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航天军工模块电源项目规划设计蓝图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053" w:history="1">
        <w:r>
          <w:rPr>
            <w:rFonts w:ascii="仿宋" w:eastAsia="仿宋" w:hAnsi="仿宋" w:cs="仿宋" w:hint="eastAsia"/>
            <w:lang w:eastAsia="zh-CN"/>
          </w:rPr>
          <w:t>概论</w:t>
        </w:r>
        <w:r>
          <w:tab/>
        </w:r>
        <w:r>
          <w:fldChar w:fldCharType="begin"/>
        </w:r>
        <w:r>
          <w:instrText xml:space="preserve"> PAGEREF _Toc31053 \h </w:instrText>
        </w:r>
        <w:r>
          <w:fldChar w:fldCharType="separate"/>
        </w:r>
        <w:r>
          <w:t>3</w:t>
        </w:r>
        <w:r>
          <w:fldChar w:fldCharType="end"/>
        </w:r>
      </w:hyperlink>
    </w:p>
    <w:p>
      <w:pPr>
        <w:pStyle w:val="TOC1"/>
        <w:tabs>
          <w:tab w:val="right" w:leader="dot" w:pos="8306"/>
        </w:tabs>
      </w:pPr>
      <w:hyperlink w:anchor="_Toc12434" w:history="1">
        <w:r>
          <w:rPr>
            <w:rFonts w:ascii="仿宋" w:eastAsia="仿宋" w:hAnsi="仿宋" w:cs="仿宋" w:hint="eastAsia"/>
            <w:lang w:eastAsia="zh-CN"/>
          </w:rPr>
          <w:t>一、航天军工模块电源项目概论</w:t>
        </w:r>
        <w:r>
          <w:tab/>
        </w:r>
        <w:r>
          <w:fldChar w:fldCharType="begin"/>
        </w:r>
        <w:r>
          <w:instrText xml:space="preserve"> PAGEREF _Toc12434 \h </w:instrText>
        </w:r>
        <w:r>
          <w:fldChar w:fldCharType="separate"/>
        </w:r>
        <w:r>
          <w:t>3</w:t>
        </w:r>
        <w:r>
          <w:fldChar w:fldCharType="end"/>
        </w:r>
      </w:hyperlink>
    </w:p>
    <w:p>
      <w:pPr>
        <w:pStyle w:val="TOC2"/>
        <w:tabs>
          <w:tab w:val="right" w:leader="dot" w:pos="8306"/>
        </w:tabs>
      </w:pPr>
      <w:hyperlink w:anchor="_Toc12082" w:history="1">
        <w:r>
          <w:rPr>
            <w:rFonts w:ascii="仿宋" w:eastAsia="仿宋" w:hAnsi="仿宋" w:cs="仿宋" w:hint="eastAsia"/>
            <w:lang w:eastAsia="zh-CN"/>
          </w:rPr>
          <w:t>(一)、航天军工模块电源项目概况</w:t>
        </w:r>
        <w:r>
          <w:tab/>
        </w:r>
        <w:r>
          <w:fldChar w:fldCharType="begin"/>
        </w:r>
        <w:r>
          <w:instrText xml:space="preserve"> PAGEREF _Toc12082 \h </w:instrText>
        </w:r>
        <w:r>
          <w:fldChar w:fldCharType="separate"/>
        </w:r>
        <w:r>
          <w:t>3</w:t>
        </w:r>
        <w:r>
          <w:fldChar w:fldCharType="end"/>
        </w:r>
      </w:hyperlink>
    </w:p>
    <w:p>
      <w:pPr>
        <w:pStyle w:val="TOC2"/>
        <w:tabs>
          <w:tab w:val="right" w:leader="dot" w:pos="8306"/>
        </w:tabs>
      </w:pPr>
      <w:hyperlink w:anchor="_Toc4855" w:history="1">
        <w:r>
          <w:rPr>
            <w:rFonts w:ascii="仿宋" w:eastAsia="仿宋" w:hAnsi="仿宋" w:cs="仿宋" w:hint="eastAsia"/>
            <w:lang w:eastAsia="zh-CN"/>
          </w:rPr>
          <w:t>(二)、航天军工模块电源项目目标</w:t>
        </w:r>
        <w:r>
          <w:tab/>
        </w:r>
        <w:r>
          <w:fldChar w:fldCharType="begin"/>
        </w:r>
        <w:r>
          <w:instrText xml:space="preserve"> PAGEREF _Toc4855 \h </w:instrText>
        </w:r>
        <w:r>
          <w:fldChar w:fldCharType="separate"/>
        </w:r>
        <w:r>
          <w:t>5</w:t>
        </w:r>
        <w:r>
          <w:fldChar w:fldCharType="end"/>
        </w:r>
      </w:hyperlink>
    </w:p>
    <w:p>
      <w:pPr>
        <w:pStyle w:val="TOC2"/>
        <w:tabs>
          <w:tab w:val="right" w:leader="dot" w:pos="8306"/>
        </w:tabs>
      </w:pPr>
      <w:hyperlink w:anchor="_Toc8681" w:history="1">
        <w:r>
          <w:rPr>
            <w:rFonts w:ascii="仿宋" w:eastAsia="仿宋" w:hAnsi="仿宋" w:cs="仿宋" w:hint="eastAsia"/>
            <w:lang w:eastAsia="zh-CN"/>
          </w:rPr>
          <w:t>(三)、航天军工模块电源项目提出的理由</w:t>
        </w:r>
        <w:r>
          <w:tab/>
        </w:r>
        <w:r>
          <w:fldChar w:fldCharType="begin"/>
        </w:r>
        <w:r>
          <w:instrText xml:space="preserve"> PAGEREF _Toc8681 \h </w:instrText>
        </w:r>
        <w:r>
          <w:fldChar w:fldCharType="separate"/>
        </w:r>
        <w:r>
          <w:t>6</w:t>
        </w:r>
        <w:r>
          <w:fldChar w:fldCharType="end"/>
        </w:r>
      </w:hyperlink>
    </w:p>
    <w:p>
      <w:pPr>
        <w:pStyle w:val="TOC2"/>
        <w:tabs>
          <w:tab w:val="right" w:leader="dot" w:pos="8306"/>
        </w:tabs>
      </w:pPr>
      <w:hyperlink w:anchor="_Toc31421" w:history="1">
        <w:r>
          <w:rPr>
            <w:rFonts w:ascii="仿宋" w:eastAsia="仿宋" w:hAnsi="仿宋" w:cs="仿宋" w:hint="eastAsia"/>
            <w:lang w:eastAsia="zh-CN"/>
          </w:rPr>
          <w:t>(四)、航天军工模块电源项目意义</w:t>
        </w:r>
        <w:r>
          <w:tab/>
        </w:r>
        <w:r>
          <w:fldChar w:fldCharType="begin"/>
        </w:r>
        <w:r>
          <w:instrText xml:space="preserve"> PAGEREF _Toc31421 \h </w:instrText>
        </w:r>
        <w:r>
          <w:fldChar w:fldCharType="separate"/>
        </w:r>
        <w:r>
          <w:t>8</w:t>
        </w:r>
        <w:r>
          <w:fldChar w:fldCharType="end"/>
        </w:r>
      </w:hyperlink>
    </w:p>
    <w:p>
      <w:pPr>
        <w:pStyle w:val="TOC2"/>
        <w:tabs>
          <w:tab w:val="right" w:leader="dot" w:pos="8306"/>
        </w:tabs>
      </w:pPr>
      <w:hyperlink w:anchor="_Toc502" w:history="1">
        <w:r>
          <w:rPr>
            <w:rFonts w:ascii="仿宋" w:eastAsia="仿宋" w:hAnsi="仿宋" w:cs="仿宋" w:hint="eastAsia"/>
            <w:lang w:eastAsia="zh-CN"/>
          </w:rPr>
          <w:t>(五)、航天军工模块电源项目背景</w:t>
        </w:r>
        <w:r>
          <w:tab/>
        </w:r>
        <w:r>
          <w:fldChar w:fldCharType="begin"/>
        </w:r>
        <w:r>
          <w:instrText xml:space="preserve"> PAGEREF _Toc502 \h </w:instrText>
        </w:r>
        <w:r>
          <w:fldChar w:fldCharType="separate"/>
        </w:r>
        <w:r>
          <w:t>9</w:t>
        </w:r>
        <w:r>
          <w:fldChar w:fldCharType="end"/>
        </w:r>
      </w:hyperlink>
    </w:p>
    <w:p>
      <w:pPr>
        <w:pStyle w:val="TOC1"/>
        <w:tabs>
          <w:tab w:val="right" w:leader="dot" w:pos="8306"/>
        </w:tabs>
      </w:pPr>
      <w:hyperlink w:anchor="_Toc3867" w:history="1">
        <w:r>
          <w:rPr>
            <w:rFonts w:ascii="仿宋" w:eastAsia="仿宋" w:hAnsi="仿宋" w:cs="仿宋" w:hint="eastAsia"/>
            <w:lang w:eastAsia="zh-CN"/>
          </w:rPr>
          <w:t>二、航天军工模块电源项目可持续发展</w:t>
        </w:r>
        <w:r>
          <w:tab/>
        </w:r>
        <w:r>
          <w:fldChar w:fldCharType="begin"/>
        </w:r>
        <w:r>
          <w:instrText xml:space="preserve"> PAGEREF _Toc3867 \h </w:instrText>
        </w:r>
        <w:r>
          <w:fldChar w:fldCharType="separate"/>
        </w:r>
        <w:r>
          <w:t>10</w:t>
        </w:r>
        <w:r>
          <w:fldChar w:fldCharType="end"/>
        </w:r>
      </w:hyperlink>
    </w:p>
    <w:p>
      <w:pPr>
        <w:pStyle w:val="TOC2"/>
        <w:tabs>
          <w:tab w:val="right" w:leader="dot" w:pos="8306"/>
        </w:tabs>
      </w:pPr>
      <w:hyperlink w:anchor="_Toc14187" w:history="1">
        <w:r>
          <w:rPr>
            <w:rFonts w:ascii="仿宋" w:eastAsia="仿宋" w:hAnsi="仿宋" w:cs="仿宋" w:hint="eastAsia"/>
            <w:lang w:eastAsia="zh-CN"/>
          </w:rPr>
          <w:t>(一)、可持续战略与实践</w:t>
        </w:r>
        <w:r>
          <w:tab/>
        </w:r>
        <w:r>
          <w:fldChar w:fldCharType="begin"/>
        </w:r>
        <w:r>
          <w:instrText xml:space="preserve"> PAGEREF _Toc14187 \h </w:instrText>
        </w:r>
        <w:r>
          <w:fldChar w:fldCharType="separate"/>
        </w:r>
        <w:r>
          <w:t>10</w:t>
        </w:r>
        <w:r>
          <w:fldChar w:fldCharType="end"/>
        </w:r>
      </w:hyperlink>
    </w:p>
    <w:p>
      <w:pPr>
        <w:pStyle w:val="TOC2"/>
        <w:tabs>
          <w:tab w:val="right" w:leader="dot" w:pos="8306"/>
        </w:tabs>
      </w:pPr>
      <w:hyperlink w:anchor="_Toc26288" w:history="1">
        <w:r>
          <w:rPr>
            <w:rFonts w:ascii="仿宋" w:eastAsia="仿宋" w:hAnsi="仿宋" w:cs="仿宋" w:hint="eastAsia"/>
            <w:lang w:eastAsia="zh-CN"/>
          </w:rPr>
          <w:t>(二)、环保与社会责任</w:t>
        </w:r>
        <w:r>
          <w:tab/>
        </w:r>
        <w:r>
          <w:fldChar w:fldCharType="begin"/>
        </w:r>
        <w:r>
          <w:instrText xml:space="preserve"> PAGEREF _Toc26288 \h </w:instrText>
        </w:r>
        <w:r>
          <w:fldChar w:fldCharType="separate"/>
        </w:r>
        <w:r>
          <w:t>11</w:t>
        </w:r>
        <w:r>
          <w:fldChar w:fldCharType="end"/>
        </w:r>
      </w:hyperlink>
    </w:p>
    <w:p>
      <w:pPr>
        <w:pStyle w:val="TOC1"/>
        <w:tabs>
          <w:tab w:val="right" w:leader="dot" w:pos="8306"/>
        </w:tabs>
      </w:pPr>
      <w:hyperlink w:anchor="_Toc23033" w:history="1">
        <w:r>
          <w:rPr>
            <w:rFonts w:ascii="仿宋" w:eastAsia="仿宋" w:hAnsi="仿宋" w:cs="仿宋" w:hint="eastAsia"/>
            <w:lang w:eastAsia="zh-CN"/>
          </w:rPr>
          <w:t>三、航天军工模块电源项目建设背景及必要性分析</w:t>
        </w:r>
        <w:r>
          <w:tab/>
        </w:r>
        <w:r>
          <w:fldChar w:fldCharType="begin"/>
        </w:r>
        <w:r>
          <w:instrText xml:space="preserve"> PAGEREF _Toc23033 \h </w:instrText>
        </w:r>
        <w:r>
          <w:fldChar w:fldCharType="separate"/>
        </w:r>
        <w:r>
          <w:t>12</w:t>
        </w:r>
        <w:r>
          <w:fldChar w:fldCharType="end"/>
        </w:r>
      </w:hyperlink>
    </w:p>
    <w:p>
      <w:pPr>
        <w:pStyle w:val="TOC2"/>
        <w:tabs>
          <w:tab w:val="right" w:leader="dot" w:pos="8306"/>
        </w:tabs>
      </w:pPr>
      <w:hyperlink w:anchor="_Toc20422" w:history="1">
        <w:r>
          <w:rPr>
            <w:rFonts w:ascii="仿宋" w:eastAsia="仿宋" w:hAnsi="仿宋" w:cs="仿宋" w:hint="eastAsia"/>
            <w:lang w:eastAsia="zh-CN"/>
          </w:rPr>
          <w:t>(一)、航天军工模块电源项目背景分析</w:t>
        </w:r>
        <w:r>
          <w:tab/>
        </w:r>
        <w:r>
          <w:fldChar w:fldCharType="begin"/>
        </w:r>
        <w:r>
          <w:instrText xml:space="preserve"> PAGEREF _Toc20422 \h </w:instrText>
        </w:r>
        <w:r>
          <w:fldChar w:fldCharType="separate"/>
        </w:r>
        <w:r>
          <w:t>12</w:t>
        </w:r>
        <w:r>
          <w:fldChar w:fldCharType="end"/>
        </w:r>
      </w:hyperlink>
    </w:p>
    <w:p>
      <w:pPr>
        <w:pStyle w:val="TOC2"/>
        <w:tabs>
          <w:tab w:val="right" w:leader="dot" w:pos="8306"/>
        </w:tabs>
      </w:pPr>
      <w:hyperlink w:anchor="_Toc18069" w:history="1">
        <w:r>
          <w:rPr>
            <w:rFonts w:ascii="仿宋" w:eastAsia="仿宋" w:hAnsi="仿宋" w:cs="仿宋" w:hint="eastAsia"/>
            <w:lang w:eastAsia="zh-CN"/>
          </w:rPr>
          <w:t>(二)、航天军工模块电源项目建设必要性分析</w:t>
        </w:r>
        <w:r>
          <w:tab/>
        </w:r>
        <w:r>
          <w:fldChar w:fldCharType="begin"/>
        </w:r>
        <w:r>
          <w:instrText xml:space="preserve"> PAGEREF _Toc18069 \h </w:instrText>
        </w:r>
        <w:r>
          <w:fldChar w:fldCharType="separate"/>
        </w:r>
        <w:r>
          <w:t>13</w:t>
        </w:r>
        <w:r>
          <w:fldChar w:fldCharType="end"/>
        </w:r>
      </w:hyperlink>
    </w:p>
    <w:p>
      <w:pPr>
        <w:pStyle w:val="TOC1"/>
        <w:tabs>
          <w:tab w:val="right" w:leader="dot" w:pos="8306"/>
        </w:tabs>
      </w:pPr>
      <w:hyperlink w:anchor="_Toc17392" w:history="1">
        <w:r>
          <w:rPr>
            <w:rFonts w:ascii="仿宋" w:eastAsia="仿宋" w:hAnsi="仿宋" w:cs="仿宋" w:hint="eastAsia"/>
            <w:lang w:eastAsia="zh-CN"/>
          </w:rPr>
          <w:t>四、航天军工模块电源项目文档管理</w:t>
        </w:r>
        <w:r>
          <w:tab/>
        </w:r>
        <w:r>
          <w:fldChar w:fldCharType="begin"/>
        </w:r>
        <w:r>
          <w:instrText xml:space="preserve"> PAGEREF _Toc17392 \h </w:instrText>
        </w:r>
        <w:r>
          <w:fldChar w:fldCharType="separate"/>
        </w:r>
        <w:r>
          <w:t>15</w:t>
        </w:r>
        <w:r>
          <w:fldChar w:fldCharType="end"/>
        </w:r>
      </w:hyperlink>
    </w:p>
    <w:p>
      <w:pPr>
        <w:pStyle w:val="TOC2"/>
        <w:tabs>
          <w:tab w:val="right" w:leader="dot" w:pos="8306"/>
        </w:tabs>
      </w:pPr>
      <w:hyperlink w:anchor="_Toc10038" w:history="1">
        <w:r>
          <w:rPr>
            <w:rFonts w:ascii="仿宋" w:eastAsia="仿宋" w:hAnsi="仿宋" w:cs="仿宋" w:hint="eastAsia"/>
            <w:lang w:eastAsia="zh-CN"/>
          </w:rPr>
          <w:t>(一)、文档编制与审查</w:t>
        </w:r>
        <w:r>
          <w:tab/>
        </w:r>
        <w:r>
          <w:fldChar w:fldCharType="begin"/>
        </w:r>
        <w:r>
          <w:instrText xml:space="preserve"> PAGEREF _Toc10038 \h </w:instrText>
        </w:r>
        <w:r>
          <w:fldChar w:fldCharType="separate"/>
        </w:r>
        <w:r>
          <w:t>15</w:t>
        </w:r>
        <w:r>
          <w:fldChar w:fldCharType="end"/>
        </w:r>
      </w:hyperlink>
    </w:p>
    <w:p>
      <w:pPr>
        <w:pStyle w:val="TOC2"/>
        <w:tabs>
          <w:tab w:val="right" w:leader="dot" w:pos="8306"/>
        </w:tabs>
      </w:pPr>
      <w:hyperlink w:anchor="_Toc10577" w:history="1">
        <w:r>
          <w:rPr>
            <w:rFonts w:ascii="仿宋" w:eastAsia="仿宋" w:hAnsi="仿宋" w:cs="仿宋" w:hint="eastAsia"/>
            <w:lang w:eastAsia="zh-CN"/>
          </w:rPr>
          <w:t>(二)、文档发布与分发</w:t>
        </w:r>
        <w:r>
          <w:tab/>
        </w:r>
        <w:r>
          <w:fldChar w:fldCharType="begin"/>
        </w:r>
        <w:r>
          <w:instrText xml:space="preserve"> PAGEREF _Toc10577 \h </w:instrText>
        </w:r>
        <w:r>
          <w:fldChar w:fldCharType="separate"/>
        </w:r>
        <w:r>
          <w:t>16</w:t>
        </w:r>
        <w:r>
          <w:fldChar w:fldCharType="end"/>
        </w:r>
      </w:hyperlink>
    </w:p>
    <w:p>
      <w:pPr>
        <w:pStyle w:val="TOC2"/>
        <w:tabs>
          <w:tab w:val="right" w:leader="dot" w:pos="8306"/>
        </w:tabs>
      </w:pPr>
      <w:hyperlink w:anchor="_Toc9580" w:history="1">
        <w:r>
          <w:rPr>
            <w:rFonts w:ascii="仿宋" w:eastAsia="仿宋" w:hAnsi="仿宋" w:cs="仿宋" w:hint="eastAsia"/>
            <w:lang w:eastAsia="zh-CN"/>
          </w:rPr>
          <w:t>(三)、文档存档与归档</w:t>
        </w:r>
        <w:r>
          <w:tab/>
        </w:r>
        <w:r>
          <w:fldChar w:fldCharType="begin"/>
        </w:r>
        <w:r>
          <w:instrText xml:space="preserve"> PAGEREF _Toc9580 \h </w:instrText>
        </w:r>
        <w:r>
          <w:fldChar w:fldCharType="separate"/>
        </w:r>
        <w:r>
          <w:t>17</w:t>
        </w:r>
        <w:r>
          <w:fldChar w:fldCharType="end"/>
        </w:r>
      </w:hyperlink>
    </w:p>
    <w:p>
      <w:pPr>
        <w:pStyle w:val="TOC1"/>
        <w:tabs>
          <w:tab w:val="right" w:leader="dot" w:pos="8306"/>
        </w:tabs>
      </w:pPr>
      <w:hyperlink w:anchor="_Toc22341" w:history="1">
        <w:r>
          <w:rPr>
            <w:rFonts w:ascii="仿宋" w:eastAsia="仿宋" w:hAnsi="仿宋" w:cs="仿宋" w:hint="eastAsia"/>
            <w:lang w:eastAsia="zh-CN"/>
          </w:rPr>
          <w:t>五、航天军工模块电源项目绩效评估</w:t>
        </w:r>
        <w:r>
          <w:tab/>
        </w:r>
        <w:r>
          <w:fldChar w:fldCharType="begin"/>
        </w:r>
        <w:r>
          <w:instrText xml:space="preserve"> PAGEREF _Toc22341 \h </w:instrText>
        </w:r>
        <w:r>
          <w:fldChar w:fldCharType="separate"/>
        </w:r>
        <w:r>
          <w:t>18</w:t>
        </w:r>
        <w:r>
          <w:fldChar w:fldCharType="end"/>
        </w:r>
      </w:hyperlink>
    </w:p>
    <w:p>
      <w:pPr>
        <w:pStyle w:val="TOC2"/>
        <w:tabs>
          <w:tab w:val="right" w:leader="dot" w:pos="8306"/>
        </w:tabs>
      </w:pPr>
      <w:hyperlink w:anchor="_Toc1773" w:history="1">
        <w:r>
          <w:rPr>
            <w:rFonts w:ascii="仿宋" w:eastAsia="仿宋" w:hAnsi="仿宋" w:cs="仿宋" w:hint="eastAsia"/>
            <w:lang w:eastAsia="zh-CN"/>
          </w:rPr>
          <w:t>(一)、绩效评估指标</w:t>
        </w:r>
        <w:r>
          <w:tab/>
        </w:r>
        <w:r>
          <w:fldChar w:fldCharType="begin"/>
        </w:r>
        <w:r>
          <w:instrText xml:space="preserve"> PAGEREF _Toc1773 \h </w:instrText>
        </w:r>
        <w:r>
          <w:fldChar w:fldCharType="separate"/>
        </w:r>
        <w:r>
          <w:t>18</w:t>
        </w:r>
        <w:r>
          <w:fldChar w:fldCharType="end"/>
        </w:r>
      </w:hyperlink>
    </w:p>
    <w:p>
      <w:pPr>
        <w:pStyle w:val="TOC2"/>
        <w:tabs>
          <w:tab w:val="right" w:leader="dot" w:pos="8306"/>
        </w:tabs>
      </w:pPr>
      <w:hyperlink w:anchor="_Toc16719" w:history="1">
        <w:r>
          <w:rPr>
            <w:rFonts w:ascii="仿宋" w:eastAsia="仿宋" w:hAnsi="仿宋" w:cs="仿宋" w:hint="eastAsia"/>
            <w:lang w:eastAsia="zh-CN"/>
          </w:rPr>
          <w:t>(二)、绩效评估方法</w:t>
        </w:r>
        <w:r>
          <w:tab/>
        </w:r>
        <w:r>
          <w:fldChar w:fldCharType="begin"/>
        </w:r>
        <w:r>
          <w:instrText xml:space="preserve"> PAGEREF _Toc16719 \h </w:instrText>
        </w:r>
        <w:r>
          <w:fldChar w:fldCharType="separate"/>
        </w:r>
        <w:r>
          <w:t>19</w:t>
        </w:r>
        <w:r>
          <w:fldChar w:fldCharType="end"/>
        </w:r>
      </w:hyperlink>
    </w:p>
    <w:p>
      <w:pPr>
        <w:pStyle w:val="TOC2"/>
        <w:tabs>
          <w:tab w:val="right" w:leader="dot" w:pos="8306"/>
        </w:tabs>
      </w:pPr>
      <w:hyperlink w:anchor="_Toc11079" w:history="1">
        <w:r>
          <w:rPr>
            <w:rFonts w:ascii="仿宋" w:eastAsia="仿宋" w:hAnsi="仿宋" w:cs="仿宋" w:hint="eastAsia"/>
            <w:lang w:eastAsia="zh-CN"/>
          </w:rPr>
          <w:t>(三)、绩效评估周期</w:t>
        </w:r>
        <w:r>
          <w:tab/>
        </w:r>
        <w:r>
          <w:fldChar w:fldCharType="begin"/>
        </w:r>
        <w:r>
          <w:instrText xml:space="preserve"> PAGEREF _Toc11079 \h </w:instrText>
        </w:r>
        <w:r>
          <w:fldChar w:fldCharType="separate"/>
        </w:r>
        <w:r>
          <w:t>20</w:t>
        </w:r>
        <w:r>
          <w:fldChar w:fldCharType="end"/>
        </w:r>
      </w:hyperlink>
    </w:p>
    <w:p>
      <w:pPr>
        <w:pStyle w:val="TOC1"/>
        <w:tabs>
          <w:tab w:val="right" w:leader="dot" w:pos="8306"/>
        </w:tabs>
      </w:pPr>
      <w:hyperlink w:anchor="_Toc629" w:history="1">
        <w:r>
          <w:rPr>
            <w:rFonts w:ascii="仿宋" w:eastAsia="仿宋" w:hAnsi="仿宋" w:cs="仿宋" w:hint="eastAsia"/>
            <w:lang w:eastAsia="zh-CN"/>
          </w:rPr>
          <w:t>六、产品规划分析</w:t>
        </w:r>
        <w:r>
          <w:tab/>
        </w:r>
        <w:r>
          <w:fldChar w:fldCharType="begin"/>
        </w:r>
        <w:r>
          <w:instrText xml:space="preserve"> PAGEREF _Toc629 \h </w:instrText>
        </w:r>
        <w:r>
          <w:fldChar w:fldCharType="separate"/>
        </w:r>
        <w:r>
          <w:t>22</w:t>
        </w:r>
        <w:r>
          <w:fldChar w:fldCharType="end"/>
        </w:r>
      </w:hyperlink>
    </w:p>
    <w:p>
      <w:pPr>
        <w:pStyle w:val="TOC2"/>
        <w:tabs>
          <w:tab w:val="right" w:leader="dot" w:pos="8306"/>
        </w:tabs>
      </w:pPr>
      <w:hyperlink w:anchor="_Toc23636" w:history="1">
        <w:r>
          <w:rPr>
            <w:rFonts w:ascii="仿宋" w:eastAsia="仿宋" w:hAnsi="仿宋" w:cs="仿宋" w:hint="eastAsia"/>
            <w:lang w:eastAsia="zh-CN"/>
          </w:rPr>
          <w:t>(一)、产品规划</w:t>
        </w:r>
        <w:r>
          <w:tab/>
        </w:r>
        <w:r>
          <w:fldChar w:fldCharType="begin"/>
        </w:r>
        <w:r>
          <w:instrText xml:space="preserve"> PAGEREF _Toc23636 \h </w:instrText>
        </w:r>
        <w:r>
          <w:fldChar w:fldCharType="separate"/>
        </w:r>
        <w:r>
          <w:t>22</w:t>
        </w:r>
        <w:r>
          <w:fldChar w:fldCharType="end"/>
        </w:r>
      </w:hyperlink>
    </w:p>
    <w:p>
      <w:pPr>
        <w:pStyle w:val="TOC2"/>
        <w:tabs>
          <w:tab w:val="right" w:leader="dot" w:pos="8306"/>
        </w:tabs>
      </w:pPr>
      <w:hyperlink w:anchor="_Toc5232" w:history="1">
        <w:r>
          <w:rPr>
            <w:rFonts w:ascii="仿宋" w:eastAsia="仿宋" w:hAnsi="仿宋" w:cs="仿宋" w:hint="eastAsia"/>
            <w:lang w:eastAsia="zh-CN"/>
          </w:rPr>
          <w:t>(二)、建设规模</w:t>
        </w:r>
        <w:r>
          <w:tab/>
        </w:r>
        <w:r>
          <w:fldChar w:fldCharType="begin"/>
        </w:r>
        <w:r>
          <w:instrText xml:space="preserve"> PAGEREF _Toc5232 \h </w:instrText>
        </w:r>
        <w:r>
          <w:fldChar w:fldCharType="separate"/>
        </w:r>
        <w:r>
          <w:t>22</w:t>
        </w:r>
        <w:r>
          <w:fldChar w:fldCharType="end"/>
        </w:r>
      </w:hyperlink>
    </w:p>
    <w:p>
      <w:pPr>
        <w:pStyle w:val="TOC1"/>
        <w:tabs>
          <w:tab w:val="right" w:leader="dot" w:pos="8306"/>
        </w:tabs>
      </w:pPr>
      <w:hyperlink w:anchor="_Toc12071" w:history="1">
        <w:r>
          <w:rPr>
            <w:rFonts w:ascii="仿宋" w:eastAsia="仿宋" w:hAnsi="仿宋" w:cs="仿宋" w:hint="eastAsia"/>
            <w:lang w:eastAsia="zh-CN"/>
          </w:rPr>
          <w:t>七、航天军工模块电源项目环境影响分析</w:t>
        </w:r>
        <w:r>
          <w:tab/>
        </w:r>
        <w:r>
          <w:fldChar w:fldCharType="begin"/>
        </w:r>
        <w:r>
          <w:instrText xml:space="preserve"> PAGEREF _Toc12071 \h </w:instrText>
        </w:r>
        <w:r>
          <w:fldChar w:fldCharType="separate"/>
        </w:r>
        <w:r>
          <w:t>24</w:t>
        </w:r>
        <w:r>
          <w:fldChar w:fldCharType="end"/>
        </w:r>
      </w:hyperlink>
    </w:p>
    <w:p>
      <w:pPr>
        <w:pStyle w:val="TOC2"/>
        <w:tabs>
          <w:tab w:val="right" w:leader="dot" w:pos="8306"/>
        </w:tabs>
      </w:pPr>
      <w:hyperlink w:anchor="_Toc6483" w:history="1">
        <w:r>
          <w:rPr>
            <w:rFonts w:ascii="仿宋" w:eastAsia="仿宋" w:hAnsi="仿宋" w:cs="仿宋" w:hint="eastAsia"/>
            <w:lang w:eastAsia="zh-CN"/>
          </w:rPr>
          <w:t>(一)、建设区域环境质量现状</w:t>
        </w:r>
        <w:r>
          <w:tab/>
        </w:r>
        <w:r>
          <w:fldChar w:fldCharType="begin"/>
        </w:r>
        <w:r>
          <w:instrText xml:space="preserve"> PAGEREF _Toc6483 \h </w:instrText>
        </w:r>
        <w:r>
          <w:fldChar w:fldCharType="separate"/>
        </w:r>
        <w:r>
          <w:t>24</w:t>
        </w:r>
        <w:r>
          <w:fldChar w:fldCharType="end"/>
        </w:r>
      </w:hyperlink>
    </w:p>
    <w:p>
      <w:pPr>
        <w:pStyle w:val="TOC2"/>
        <w:tabs>
          <w:tab w:val="right" w:leader="dot" w:pos="8306"/>
        </w:tabs>
      </w:pPr>
      <w:hyperlink w:anchor="_Toc24970" w:history="1">
        <w:r>
          <w:rPr>
            <w:rFonts w:ascii="仿宋" w:eastAsia="仿宋" w:hAnsi="仿宋" w:cs="仿宋" w:hint="eastAsia"/>
            <w:lang w:eastAsia="zh-CN"/>
          </w:rPr>
          <w:t>(二)、建设期环境保护</w:t>
        </w:r>
        <w:r>
          <w:tab/>
        </w:r>
        <w:r>
          <w:fldChar w:fldCharType="begin"/>
        </w:r>
        <w:r>
          <w:instrText xml:space="preserve"> PAGEREF _Toc24970 \h </w:instrText>
        </w:r>
        <w:r>
          <w:fldChar w:fldCharType="separate"/>
        </w:r>
        <w:r>
          <w:t>25</w:t>
        </w:r>
        <w:r>
          <w:fldChar w:fldCharType="end"/>
        </w:r>
      </w:hyperlink>
    </w:p>
    <w:p>
      <w:pPr>
        <w:pStyle w:val="TOC2"/>
        <w:tabs>
          <w:tab w:val="right" w:leader="dot" w:pos="8306"/>
        </w:tabs>
      </w:pPr>
      <w:hyperlink w:anchor="_Toc5029" w:history="1">
        <w:r>
          <w:rPr>
            <w:rFonts w:ascii="仿宋" w:eastAsia="仿宋" w:hAnsi="仿宋" w:cs="仿宋" w:hint="eastAsia"/>
            <w:lang w:eastAsia="zh-CN"/>
          </w:rPr>
          <w:t>(三)、运营期环境保护</w:t>
        </w:r>
        <w:r>
          <w:tab/>
        </w:r>
        <w:r>
          <w:fldChar w:fldCharType="begin"/>
        </w:r>
        <w:r>
          <w:instrText xml:space="preserve"> PAGEREF _Toc5029 \h </w:instrText>
        </w:r>
        <w:r>
          <w:fldChar w:fldCharType="separate"/>
        </w:r>
        <w:r>
          <w:t>26</w:t>
        </w:r>
        <w:r>
          <w:fldChar w:fldCharType="end"/>
        </w:r>
      </w:hyperlink>
    </w:p>
    <w:p>
      <w:pPr>
        <w:pStyle w:val="TOC2"/>
        <w:tabs>
          <w:tab w:val="right" w:leader="dot" w:pos="8306"/>
        </w:tabs>
      </w:pPr>
      <w:hyperlink w:anchor="_Toc16454" w:history="1">
        <w:r>
          <w:rPr>
            <w:rFonts w:ascii="仿宋" w:eastAsia="仿宋" w:hAnsi="仿宋" w:cs="仿宋" w:hint="eastAsia"/>
            <w:lang w:eastAsia="zh-CN"/>
          </w:rPr>
          <w:t>(四)、航天军工模块电源项目建设对区域经济的影响</w:t>
        </w:r>
        <w:r>
          <w:tab/>
        </w:r>
        <w:r>
          <w:fldChar w:fldCharType="begin"/>
        </w:r>
        <w:r>
          <w:instrText xml:space="preserve"> PAGEREF _Toc16454 \h </w:instrText>
        </w:r>
        <w:r>
          <w:fldChar w:fldCharType="separate"/>
        </w:r>
        <w:r>
          <w:t>28</w:t>
        </w:r>
        <w:r>
          <w:fldChar w:fldCharType="end"/>
        </w:r>
      </w:hyperlink>
    </w:p>
    <w:p>
      <w:pPr>
        <w:pStyle w:val="TOC2"/>
        <w:tabs>
          <w:tab w:val="right" w:leader="dot" w:pos="8306"/>
        </w:tabs>
      </w:pPr>
      <w:hyperlink w:anchor="_Toc2040" w:history="1">
        <w:r>
          <w:rPr>
            <w:rFonts w:ascii="仿宋" w:eastAsia="仿宋" w:hAnsi="仿宋" w:cs="仿宋" w:hint="eastAsia"/>
            <w:lang w:eastAsia="zh-CN"/>
          </w:rPr>
          <w:t>(五)、废弃物处理</w:t>
        </w:r>
        <w:r>
          <w:tab/>
        </w:r>
        <w:r>
          <w:fldChar w:fldCharType="begin"/>
        </w:r>
        <w:r>
          <w:instrText xml:space="preserve"> PAGEREF _Toc2040 \h </w:instrText>
        </w:r>
        <w:r>
          <w:fldChar w:fldCharType="separate"/>
        </w:r>
        <w:r>
          <w:t>30</w:t>
        </w:r>
        <w:r>
          <w:fldChar w:fldCharType="end"/>
        </w:r>
      </w:hyperlink>
    </w:p>
    <w:p>
      <w:pPr>
        <w:pStyle w:val="TOC2"/>
        <w:tabs>
          <w:tab w:val="right" w:leader="dot" w:pos="8306"/>
        </w:tabs>
      </w:pPr>
      <w:hyperlink w:anchor="_Toc17612" w:history="1">
        <w:r>
          <w:rPr>
            <w:rFonts w:ascii="仿宋" w:eastAsia="仿宋" w:hAnsi="仿宋" w:cs="仿宋" w:hint="eastAsia"/>
            <w:lang w:eastAsia="zh-CN"/>
          </w:rPr>
          <w:t>(六)、特殊环境影响分析</w:t>
        </w:r>
        <w:r>
          <w:tab/>
        </w:r>
        <w:r>
          <w:fldChar w:fldCharType="begin"/>
        </w:r>
        <w:r>
          <w:instrText xml:space="preserve"> PAGEREF _Toc17612 \h </w:instrText>
        </w:r>
        <w:r>
          <w:fldChar w:fldCharType="separate"/>
        </w:r>
        <w:r>
          <w:t>31</w:t>
        </w:r>
        <w:r>
          <w:fldChar w:fldCharType="end"/>
        </w:r>
      </w:hyperlink>
    </w:p>
    <w:p>
      <w:pPr>
        <w:pStyle w:val="TOC2"/>
        <w:tabs>
          <w:tab w:val="right" w:leader="dot" w:pos="8306"/>
        </w:tabs>
      </w:pPr>
      <w:hyperlink w:anchor="_Toc7300" w:history="1">
        <w:r>
          <w:rPr>
            <w:rFonts w:ascii="仿宋" w:eastAsia="仿宋" w:hAnsi="仿宋" w:cs="仿宋" w:hint="eastAsia"/>
            <w:lang w:eastAsia="zh-CN"/>
          </w:rPr>
          <w:t>(七)、清洁生产</w:t>
        </w:r>
        <w:r>
          <w:tab/>
        </w:r>
        <w:r>
          <w:fldChar w:fldCharType="begin"/>
        </w:r>
        <w:r>
          <w:instrText xml:space="preserve"> PAGEREF _Toc7300 \h </w:instrText>
        </w:r>
        <w:r>
          <w:fldChar w:fldCharType="separate"/>
        </w:r>
        <w:r>
          <w:t>32</w:t>
        </w:r>
        <w:r>
          <w:fldChar w:fldCharType="end"/>
        </w:r>
      </w:hyperlink>
    </w:p>
    <w:p>
      <w:pPr>
        <w:pStyle w:val="TOC2"/>
        <w:tabs>
          <w:tab w:val="right" w:leader="dot" w:pos="8306"/>
        </w:tabs>
      </w:pPr>
      <w:hyperlink w:anchor="_Toc19699" w:history="1">
        <w:r>
          <w:rPr>
            <w:rFonts w:ascii="仿宋" w:eastAsia="仿宋" w:hAnsi="仿宋" w:cs="仿宋" w:hint="eastAsia"/>
            <w:lang w:eastAsia="zh-CN"/>
          </w:rPr>
          <w:t>(八)、环境保护综合评价</w:t>
        </w:r>
        <w:r>
          <w:tab/>
        </w:r>
        <w:r>
          <w:fldChar w:fldCharType="begin"/>
        </w:r>
        <w:r>
          <w:instrText xml:space="preserve"> PAGEREF _Toc19699 \h </w:instrText>
        </w:r>
        <w:r>
          <w:fldChar w:fldCharType="separate"/>
        </w:r>
        <w:r>
          <w:t>33</w:t>
        </w:r>
        <w:r>
          <w:fldChar w:fldCharType="end"/>
        </w:r>
      </w:hyperlink>
    </w:p>
    <w:p>
      <w:pPr>
        <w:pStyle w:val="TOC1"/>
        <w:tabs>
          <w:tab w:val="right" w:leader="dot" w:pos="8306"/>
        </w:tabs>
      </w:pPr>
      <w:hyperlink w:anchor="_Toc11857" w:history="1">
        <w:r>
          <w:rPr>
            <w:rFonts w:ascii="仿宋" w:eastAsia="仿宋" w:hAnsi="仿宋" w:cs="仿宋" w:hint="eastAsia"/>
            <w:lang w:eastAsia="zh-CN"/>
          </w:rPr>
          <w:t>八、航天军工模块电源项目社会影响</w:t>
        </w:r>
        <w:r>
          <w:tab/>
        </w:r>
        <w:r>
          <w:fldChar w:fldCharType="begin"/>
        </w:r>
        <w:r>
          <w:instrText xml:space="preserve"> PAGEREF _Toc11857 \h </w:instrText>
        </w:r>
        <w:r>
          <w:fldChar w:fldCharType="separate"/>
        </w:r>
        <w:r>
          <w:t>35</w:t>
        </w:r>
        <w:r>
          <w:fldChar w:fldCharType="end"/>
        </w:r>
      </w:hyperlink>
    </w:p>
    <w:p>
      <w:pPr>
        <w:pStyle w:val="TOC2"/>
        <w:tabs>
          <w:tab w:val="right" w:leader="dot" w:pos="8306"/>
        </w:tabs>
      </w:pPr>
      <w:hyperlink w:anchor="_Toc9707" w:history="1">
        <w:r>
          <w:rPr>
            <w:rFonts w:ascii="仿宋" w:eastAsia="仿宋" w:hAnsi="仿宋" w:cs="仿宋" w:hint="eastAsia"/>
            <w:lang w:eastAsia="zh-CN"/>
          </w:rPr>
          <w:t>(一)、社会责任与义务</w:t>
        </w:r>
        <w:r>
          <w:tab/>
        </w:r>
        <w:r>
          <w:fldChar w:fldCharType="begin"/>
        </w:r>
        <w:r>
          <w:instrText xml:space="preserve"> PAGEREF _Toc9707 \h </w:instrText>
        </w:r>
        <w:r>
          <w:fldChar w:fldCharType="separate"/>
        </w:r>
        <w:r>
          <w:t>35</w:t>
        </w:r>
        <w:r>
          <w:fldChar w:fldCharType="end"/>
        </w:r>
      </w:hyperlink>
    </w:p>
    <w:p>
      <w:pPr>
        <w:pStyle w:val="TOC2"/>
        <w:tabs>
          <w:tab w:val="right" w:leader="dot" w:pos="8306"/>
        </w:tabs>
      </w:pPr>
      <w:hyperlink w:anchor="_Toc20719" w:history="1">
        <w:r>
          <w:rPr>
            <w:rFonts w:ascii="仿宋" w:eastAsia="仿宋" w:hAnsi="仿宋" w:cs="仿宋" w:hint="eastAsia"/>
            <w:lang w:eastAsia="zh-CN"/>
          </w:rPr>
          <w:t>(二)、社会参与与沟通</w:t>
        </w:r>
        <w:r>
          <w:tab/>
        </w:r>
        <w:r>
          <w:fldChar w:fldCharType="begin"/>
        </w:r>
        <w:r>
          <w:instrText xml:space="preserve"> PAGEREF _Toc20719 \h </w:instrText>
        </w:r>
        <w:r>
          <w:fldChar w:fldCharType="separate"/>
        </w:r>
        <w:r>
          <w:t>36</w:t>
        </w:r>
        <w:r>
          <w:fldChar w:fldCharType="end"/>
        </w:r>
      </w:hyperlink>
    </w:p>
    <w:p>
      <w:pPr>
        <w:pStyle w:val="TOC1"/>
        <w:tabs>
          <w:tab w:val="right" w:leader="dot" w:pos="8306"/>
        </w:tabs>
      </w:pPr>
      <w:hyperlink w:anchor="_Toc11164" w:history="1">
        <w:r>
          <w:rPr>
            <w:rFonts w:ascii="仿宋" w:eastAsia="仿宋" w:hAnsi="仿宋" w:cs="仿宋" w:hint="eastAsia"/>
            <w:lang w:eastAsia="zh-CN"/>
          </w:rPr>
          <w:t>九、航天军工模块电源项目经营效益</w:t>
        </w:r>
        <w:r>
          <w:tab/>
        </w:r>
        <w:r>
          <w:fldChar w:fldCharType="begin"/>
        </w:r>
        <w:r>
          <w:instrText xml:space="preserve"> PAGEREF _Toc11164 \h </w:instrText>
        </w:r>
        <w:r>
          <w:fldChar w:fldCharType="separate"/>
        </w:r>
        <w:r>
          <w:t>37</w:t>
        </w:r>
        <w:r>
          <w:fldChar w:fldCharType="end"/>
        </w:r>
      </w:hyperlink>
    </w:p>
    <w:p>
      <w:pPr>
        <w:pStyle w:val="TOC2"/>
        <w:tabs>
          <w:tab w:val="right" w:leader="dot" w:pos="8306"/>
        </w:tabs>
      </w:pPr>
      <w:hyperlink w:anchor="_Toc5338" w:history="1">
        <w:r>
          <w:rPr>
            <w:rFonts w:ascii="仿宋" w:eastAsia="仿宋" w:hAnsi="仿宋" w:cs="仿宋" w:hint="eastAsia"/>
            <w:lang w:eastAsia="zh-CN"/>
          </w:rPr>
          <w:t>(一)、经济评价财务测算</w:t>
        </w:r>
        <w:r>
          <w:tab/>
        </w:r>
        <w:r>
          <w:fldChar w:fldCharType="begin"/>
        </w:r>
        <w:r>
          <w:instrText xml:space="preserve"> PAGEREF _Toc5338 \h </w:instrText>
        </w:r>
        <w:r>
          <w:fldChar w:fldCharType="separate"/>
        </w:r>
        <w:r>
          <w:t>37</w:t>
        </w:r>
        <w:r>
          <w:fldChar w:fldCharType="end"/>
        </w:r>
      </w:hyperlink>
    </w:p>
    <w:p>
      <w:pPr>
        <w:pStyle w:val="TOC2"/>
        <w:tabs>
          <w:tab w:val="right" w:leader="dot" w:pos="8306"/>
        </w:tabs>
      </w:pPr>
      <w:hyperlink w:anchor="_Toc2045" w:history="1">
        <w:r>
          <w:rPr>
            <w:rFonts w:ascii="仿宋" w:eastAsia="仿宋" w:hAnsi="仿宋" w:cs="仿宋" w:hint="eastAsia"/>
            <w:lang w:eastAsia="zh-CN"/>
          </w:rPr>
          <w:t>(二)、航天军工模块电源项目盈利能力分析</w:t>
        </w:r>
        <w:r>
          <w:tab/>
        </w:r>
        <w:r>
          <w:fldChar w:fldCharType="begin"/>
        </w:r>
        <w:r>
          <w:instrText xml:space="preserve"> PAGEREF _Toc2045 \h </w:instrText>
        </w:r>
        <w:r>
          <w:fldChar w:fldCharType="separate"/>
        </w:r>
        <w:r>
          <w:t>38</w:t>
        </w:r>
        <w:r>
          <w:fldChar w:fldCharType="end"/>
        </w:r>
      </w:hyperlink>
    </w:p>
    <w:p>
      <w:pPr>
        <w:pStyle w:val="TOC1"/>
        <w:tabs>
          <w:tab w:val="right" w:leader="dot" w:pos="8306"/>
        </w:tabs>
      </w:pPr>
      <w:hyperlink w:anchor="_Toc4592" w:history="1">
        <w:r>
          <w:rPr>
            <w:rFonts w:ascii="仿宋" w:eastAsia="仿宋" w:hAnsi="仿宋" w:cs="仿宋" w:hint="eastAsia"/>
            <w:lang w:eastAsia="zh-CN"/>
          </w:rPr>
          <w:t>十、航天军工模块电源项目风险管理</w:t>
        </w:r>
        <w:r>
          <w:tab/>
        </w:r>
        <w:r>
          <w:fldChar w:fldCharType="begin"/>
        </w:r>
        <w:r>
          <w:instrText xml:space="preserve"> PAGEREF _Toc4592 \h </w:instrText>
        </w:r>
        <w:r>
          <w:fldChar w:fldCharType="separate"/>
        </w:r>
        <w:r>
          <w:t>39</w:t>
        </w:r>
        <w:r>
          <w:fldChar w:fldCharType="end"/>
        </w:r>
      </w:hyperlink>
    </w:p>
    <w:p>
      <w:pPr>
        <w:pStyle w:val="TOC2"/>
        <w:tabs>
          <w:tab w:val="right" w:leader="dot" w:pos="8306"/>
        </w:tabs>
      </w:pPr>
      <w:hyperlink w:anchor="_Toc14893" w:history="1">
        <w:r>
          <w:rPr>
            <w:rFonts w:ascii="仿宋" w:eastAsia="仿宋" w:hAnsi="仿宋" w:cs="仿宋" w:hint="eastAsia"/>
            <w:lang w:eastAsia="zh-CN"/>
          </w:rPr>
          <w:t>(一)、风险识别与评估</w:t>
        </w:r>
        <w:r>
          <w:tab/>
        </w:r>
        <w:r>
          <w:fldChar w:fldCharType="begin"/>
        </w:r>
        <w:r>
          <w:instrText xml:space="preserve"> PAGEREF _Toc14893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232" w:history="1">
        <w:r>
          <w:rPr>
            <w:rFonts w:ascii="仿宋" w:eastAsia="仿宋" w:hAnsi="仿宋" w:cs="仿宋" w:hint="eastAsia"/>
            <w:lang w:eastAsia="zh-CN"/>
          </w:rPr>
          <w:t>(二)、风险应对策略</w:t>
        </w:r>
        <w:r>
          <w:tab/>
        </w:r>
        <w:r>
          <w:fldChar w:fldCharType="begin"/>
        </w:r>
        <w:r>
          <w:instrText xml:space="preserve"> PAGEREF _Toc24232 \h </w:instrText>
        </w:r>
        <w:r>
          <w:fldChar w:fldCharType="separate"/>
        </w:r>
        <w:r>
          <w:t>40</w:t>
        </w:r>
        <w:r>
          <w:fldChar w:fldCharType="end"/>
        </w:r>
      </w:hyperlink>
    </w:p>
    <w:p>
      <w:pPr>
        <w:pStyle w:val="TOC2"/>
        <w:tabs>
          <w:tab w:val="right" w:leader="dot" w:pos="8306"/>
        </w:tabs>
      </w:pPr>
      <w:hyperlink w:anchor="_Toc2899" w:history="1">
        <w:r>
          <w:rPr>
            <w:rFonts w:ascii="仿宋" w:eastAsia="仿宋" w:hAnsi="仿宋" w:cs="仿宋" w:hint="eastAsia"/>
            <w:lang w:eastAsia="zh-CN"/>
          </w:rPr>
          <w:t>(三)、风险监控与控制</w:t>
        </w:r>
        <w:r>
          <w:tab/>
        </w:r>
        <w:r>
          <w:fldChar w:fldCharType="begin"/>
        </w:r>
        <w:r>
          <w:instrText xml:space="preserve"> PAGEREF _Toc2899 \h </w:instrText>
        </w:r>
        <w:r>
          <w:fldChar w:fldCharType="separate"/>
        </w:r>
        <w:r>
          <w:t>42</w:t>
        </w:r>
        <w:r>
          <w:fldChar w:fldCharType="end"/>
        </w:r>
      </w:hyperlink>
    </w:p>
    <w:p>
      <w:pPr>
        <w:pStyle w:val="TOC1"/>
        <w:tabs>
          <w:tab w:val="right" w:leader="dot" w:pos="8306"/>
        </w:tabs>
      </w:pPr>
      <w:hyperlink w:anchor="_Toc8680" w:history="1">
        <w:r>
          <w:rPr>
            <w:rFonts w:ascii="仿宋" w:eastAsia="仿宋" w:hAnsi="仿宋" w:cs="仿宋" w:hint="eastAsia"/>
            <w:lang w:eastAsia="zh-CN"/>
          </w:rPr>
          <w:t>十一、航天军工模块电源项目计划安排</w:t>
        </w:r>
        <w:r>
          <w:tab/>
        </w:r>
        <w:r>
          <w:fldChar w:fldCharType="begin"/>
        </w:r>
        <w:r>
          <w:instrText xml:space="preserve"> PAGEREF _Toc8680 \h </w:instrText>
        </w:r>
        <w:r>
          <w:fldChar w:fldCharType="separate"/>
        </w:r>
        <w:r>
          <w:t>43</w:t>
        </w:r>
        <w:r>
          <w:fldChar w:fldCharType="end"/>
        </w:r>
      </w:hyperlink>
    </w:p>
    <w:p>
      <w:pPr>
        <w:pStyle w:val="TOC2"/>
        <w:tabs>
          <w:tab w:val="right" w:leader="dot" w:pos="8306"/>
        </w:tabs>
      </w:pPr>
      <w:hyperlink w:anchor="_Toc1945" w:history="1">
        <w:r>
          <w:rPr>
            <w:rFonts w:ascii="仿宋" w:eastAsia="仿宋" w:hAnsi="仿宋" w:cs="仿宋" w:hint="eastAsia"/>
            <w:lang w:eastAsia="zh-CN"/>
          </w:rPr>
          <w:t>(一)、建设周期</w:t>
        </w:r>
        <w:r>
          <w:tab/>
        </w:r>
        <w:r>
          <w:fldChar w:fldCharType="begin"/>
        </w:r>
        <w:r>
          <w:instrText xml:space="preserve"> PAGEREF _Toc1945 \h </w:instrText>
        </w:r>
        <w:r>
          <w:fldChar w:fldCharType="separate"/>
        </w:r>
        <w:r>
          <w:t>43</w:t>
        </w:r>
        <w:r>
          <w:fldChar w:fldCharType="end"/>
        </w:r>
      </w:hyperlink>
    </w:p>
    <w:p>
      <w:pPr>
        <w:pStyle w:val="TOC2"/>
        <w:tabs>
          <w:tab w:val="right" w:leader="dot" w:pos="8306"/>
        </w:tabs>
      </w:pPr>
      <w:hyperlink w:anchor="_Toc7341" w:history="1">
        <w:r>
          <w:rPr>
            <w:rFonts w:ascii="仿宋" w:eastAsia="仿宋" w:hAnsi="仿宋" w:cs="仿宋" w:hint="eastAsia"/>
            <w:lang w:eastAsia="zh-CN"/>
          </w:rPr>
          <w:t>(二)、建设进度</w:t>
        </w:r>
        <w:r>
          <w:tab/>
        </w:r>
        <w:r>
          <w:fldChar w:fldCharType="begin"/>
        </w:r>
        <w:r>
          <w:instrText xml:space="preserve"> PAGEREF _Toc7341 \h </w:instrText>
        </w:r>
        <w:r>
          <w:fldChar w:fldCharType="separate"/>
        </w:r>
        <w:r>
          <w:t>44</w:t>
        </w:r>
        <w:r>
          <w:fldChar w:fldCharType="end"/>
        </w:r>
      </w:hyperlink>
    </w:p>
    <w:p>
      <w:pPr>
        <w:pStyle w:val="TOC2"/>
        <w:tabs>
          <w:tab w:val="right" w:leader="dot" w:pos="8306"/>
        </w:tabs>
      </w:pPr>
      <w:hyperlink w:anchor="_Toc940" w:history="1">
        <w:r>
          <w:rPr>
            <w:rFonts w:ascii="仿宋" w:eastAsia="仿宋" w:hAnsi="仿宋" w:cs="仿宋" w:hint="eastAsia"/>
            <w:lang w:eastAsia="zh-CN"/>
          </w:rPr>
          <w:t>(三)、进度安排注意事项</w:t>
        </w:r>
        <w:r>
          <w:tab/>
        </w:r>
        <w:r>
          <w:fldChar w:fldCharType="begin"/>
        </w:r>
        <w:r>
          <w:instrText xml:space="preserve"> PAGEREF _Toc940 \h </w:instrText>
        </w:r>
        <w:r>
          <w:fldChar w:fldCharType="separate"/>
        </w:r>
        <w:r>
          <w:t>45</w:t>
        </w:r>
        <w:r>
          <w:fldChar w:fldCharType="end"/>
        </w:r>
      </w:hyperlink>
    </w:p>
    <w:p>
      <w:pPr>
        <w:pStyle w:val="TOC2"/>
        <w:tabs>
          <w:tab w:val="right" w:leader="dot" w:pos="8306"/>
        </w:tabs>
      </w:pPr>
      <w:hyperlink w:anchor="_Toc12777" w:history="1">
        <w:r>
          <w:rPr>
            <w:rFonts w:ascii="仿宋" w:eastAsia="仿宋" w:hAnsi="仿宋" w:cs="仿宋" w:hint="eastAsia"/>
            <w:lang w:eastAsia="zh-CN"/>
          </w:rPr>
          <w:t>(四)、人力资源配置</w:t>
        </w:r>
        <w:r>
          <w:tab/>
        </w:r>
        <w:r>
          <w:fldChar w:fldCharType="begin"/>
        </w:r>
        <w:r>
          <w:instrText xml:space="preserve"> PAGEREF _Toc12777 \h </w:instrText>
        </w:r>
        <w:r>
          <w:fldChar w:fldCharType="separate"/>
        </w:r>
        <w:r>
          <w:t>46</w:t>
        </w:r>
        <w:r>
          <w:fldChar w:fldCharType="end"/>
        </w:r>
      </w:hyperlink>
    </w:p>
    <w:p>
      <w:pPr>
        <w:pStyle w:val="TOC1"/>
        <w:tabs>
          <w:tab w:val="right" w:leader="dot" w:pos="8306"/>
        </w:tabs>
      </w:pPr>
      <w:hyperlink w:anchor="_Toc15285" w:history="1">
        <w:r>
          <w:rPr>
            <w:rFonts w:ascii="仿宋" w:eastAsia="仿宋" w:hAnsi="仿宋" w:cs="仿宋" w:hint="eastAsia"/>
            <w:lang w:eastAsia="zh-CN"/>
          </w:rPr>
          <w:t>十二、航天军工模块电源项目创新与研发</w:t>
        </w:r>
        <w:r>
          <w:tab/>
        </w:r>
        <w:r>
          <w:fldChar w:fldCharType="begin"/>
        </w:r>
        <w:r>
          <w:instrText xml:space="preserve"> PAGEREF _Toc15285 \h </w:instrText>
        </w:r>
        <w:r>
          <w:fldChar w:fldCharType="separate"/>
        </w:r>
        <w:r>
          <w:t>47</w:t>
        </w:r>
        <w:r>
          <w:fldChar w:fldCharType="end"/>
        </w:r>
      </w:hyperlink>
    </w:p>
    <w:p>
      <w:pPr>
        <w:pStyle w:val="TOC2"/>
        <w:tabs>
          <w:tab w:val="right" w:leader="dot" w:pos="8306"/>
        </w:tabs>
      </w:pPr>
      <w:hyperlink w:anchor="_Toc26168" w:history="1">
        <w:r>
          <w:rPr>
            <w:rFonts w:ascii="仿宋" w:eastAsia="仿宋" w:hAnsi="仿宋" w:cs="仿宋" w:hint="eastAsia"/>
            <w:lang w:eastAsia="zh-CN"/>
          </w:rPr>
          <w:t>(一)、创新策略与方向</w:t>
        </w:r>
        <w:r>
          <w:tab/>
        </w:r>
        <w:r>
          <w:fldChar w:fldCharType="begin"/>
        </w:r>
        <w:r>
          <w:instrText xml:space="preserve"> PAGEREF _Toc26168 \h </w:instrText>
        </w:r>
        <w:r>
          <w:fldChar w:fldCharType="separate"/>
        </w:r>
        <w:r>
          <w:t>47</w:t>
        </w:r>
        <w:r>
          <w:fldChar w:fldCharType="end"/>
        </w:r>
      </w:hyperlink>
    </w:p>
    <w:p>
      <w:pPr>
        <w:pStyle w:val="TOC2"/>
        <w:tabs>
          <w:tab w:val="right" w:leader="dot" w:pos="8306"/>
        </w:tabs>
      </w:pPr>
      <w:hyperlink w:anchor="_Toc16040" w:history="1">
        <w:r>
          <w:rPr>
            <w:rFonts w:ascii="仿宋" w:eastAsia="仿宋" w:hAnsi="仿宋" w:cs="仿宋" w:hint="eastAsia"/>
            <w:lang w:eastAsia="zh-CN"/>
          </w:rPr>
          <w:t>(二)、研发规划与投入</w:t>
        </w:r>
        <w:r>
          <w:tab/>
        </w:r>
        <w:r>
          <w:fldChar w:fldCharType="begin"/>
        </w:r>
        <w:r>
          <w:instrText xml:space="preserve"> PAGEREF _Toc16040 \h </w:instrText>
        </w:r>
        <w:r>
          <w:fldChar w:fldCharType="separate"/>
        </w:r>
        <w:r>
          <w:t>48</w:t>
        </w:r>
        <w:r>
          <w:fldChar w:fldCharType="end"/>
        </w:r>
      </w:hyperlink>
    </w:p>
    <w:p>
      <w:pPr>
        <w:pStyle w:val="TOC1"/>
        <w:tabs>
          <w:tab w:val="right" w:leader="dot" w:pos="8306"/>
        </w:tabs>
      </w:pPr>
      <w:hyperlink w:anchor="_Toc24160" w:history="1">
        <w:r>
          <w:rPr>
            <w:rFonts w:ascii="仿宋" w:eastAsia="仿宋" w:hAnsi="仿宋" w:cs="仿宋" w:hint="eastAsia"/>
            <w:lang w:eastAsia="zh-CN"/>
          </w:rPr>
          <w:t>十三、营销与推广策略</w:t>
        </w:r>
        <w:r>
          <w:tab/>
        </w:r>
        <w:r>
          <w:fldChar w:fldCharType="begin"/>
        </w:r>
        <w:r>
          <w:instrText xml:space="preserve"> PAGEREF _Toc24160 \h </w:instrText>
        </w:r>
        <w:r>
          <w:fldChar w:fldCharType="separate"/>
        </w:r>
        <w:r>
          <w:t>50</w:t>
        </w:r>
        <w:r>
          <w:fldChar w:fldCharType="end"/>
        </w:r>
      </w:hyperlink>
    </w:p>
    <w:p>
      <w:pPr>
        <w:pStyle w:val="TOC2"/>
        <w:tabs>
          <w:tab w:val="right" w:leader="dot" w:pos="8306"/>
        </w:tabs>
      </w:pPr>
      <w:hyperlink w:anchor="_Toc12621" w:history="1">
        <w:r>
          <w:rPr>
            <w:rFonts w:ascii="仿宋" w:eastAsia="仿宋" w:hAnsi="仿宋" w:cs="仿宋" w:hint="eastAsia"/>
            <w:lang w:eastAsia="zh-CN"/>
          </w:rPr>
          <w:t>(一)、产品/服务定位与特点</w:t>
        </w:r>
        <w:r>
          <w:tab/>
        </w:r>
        <w:r>
          <w:fldChar w:fldCharType="begin"/>
        </w:r>
        <w:r>
          <w:instrText xml:space="preserve"> PAGEREF _Toc12621 \h </w:instrText>
        </w:r>
        <w:r>
          <w:fldChar w:fldCharType="separate"/>
        </w:r>
        <w:r>
          <w:t>50</w:t>
        </w:r>
        <w:r>
          <w:fldChar w:fldCharType="end"/>
        </w:r>
      </w:hyperlink>
    </w:p>
    <w:p>
      <w:pPr>
        <w:pStyle w:val="TOC2"/>
        <w:tabs>
          <w:tab w:val="right" w:leader="dot" w:pos="8306"/>
        </w:tabs>
      </w:pPr>
      <w:hyperlink w:anchor="_Toc23227" w:history="1">
        <w:r>
          <w:rPr>
            <w:rFonts w:ascii="仿宋" w:eastAsia="仿宋" w:hAnsi="仿宋" w:cs="仿宋" w:hint="eastAsia"/>
            <w:lang w:eastAsia="zh-CN"/>
          </w:rPr>
          <w:t>(二)、市场定位与竞争分析</w:t>
        </w:r>
        <w:r>
          <w:tab/>
        </w:r>
        <w:r>
          <w:fldChar w:fldCharType="begin"/>
        </w:r>
        <w:r>
          <w:instrText xml:space="preserve"> PAGEREF _Toc23227 \h </w:instrText>
        </w:r>
        <w:r>
          <w:fldChar w:fldCharType="separate"/>
        </w:r>
        <w:r>
          <w:t>51</w:t>
        </w:r>
        <w:r>
          <w:fldChar w:fldCharType="end"/>
        </w:r>
      </w:hyperlink>
    </w:p>
    <w:p>
      <w:pPr>
        <w:pStyle w:val="TOC2"/>
        <w:tabs>
          <w:tab w:val="right" w:leader="dot" w:pos="8306"/>
        </w:tabs>
      </w:pPr>
      <w:hyperlink w:anchor="_Toc3712" w:history="1">
        <w:r>
          <w:rPr>
            <w:rFonts w:ascii="仿宋" w:eastAsia="仿宋" w:hAnsi="仿宋" w:cs="仿宋" w:hint="eastAsia"/>
            <w:lang w:eastAsia="zh-CN"/>
          </w:rPr>
          <w:t>(三)、营销渠道与策略</w:t>
        </w:r>
        <w:r>
          <w:tab/>
        </w:r>
        <w:r>
          <w:fldChar w:fldCharType="begin"/>
        </w:r>
        <w:r>
          <w:instrText xml:space="preserve"> PAGEREF _Toc3712 \h </w:instrText>
        </w:r>
        <w:r>
          <w:fldChar w:fldCharType="separate"/>
        </w:r>
        <w:r>
          <w:t>53</w:t>
        </w:r>
        <w:r>
          <w:fldChar w:fldCharType="end"/>
        </w:r>
      </w:hyperlink>
    </w:p>
    <w:p>
      <w:pPr>
        <w:pStyle w:val="TOC2"/>
        <w:tabs>
          <w:tab w:val="right" w:leader="dot" w:pos="8306"/>
        </w:tabs>
      </w:pPr>
      <w:hyperlink w:anchor="_Toc24311" w:history="1">
        <w:r>
          <w:rPr>
            <w:rFonts w:ascii="仿宋" w:eastAsia="仿宋" w:hAnsi="仿宋" w:cs="仿宋" w:hint="eastAsia"/>
            <w:lang w:eastAsia="zh-CN"/>
          </w:rPr>
          <w:t>(四)、推广与宣传活动</w:t>
        </w:r>
        <w:r>
          <w:tab/>
        </w:r>
        <w:r>
          <w:fldChar w:fldCharType="begin"/>
        </w:r>
        <w:r>
          <w:instrText xml:space="preserve"> PAGEREF _Toc24311 \h </w:instrText>
        </w:r>
        <w:r>
          <w:fldChar w:fldCharType="separate"/>
        </w:r>
        <w:r>
          <w:t>54</w:t>
        </w:r>
        <w:r>
          <w:fldChar w:fldCharType="end"/>
        </w:r>
      </w:hyperlink>
    </w:p>
    <w:p>
      <w:pPr>
        <w:pStyle w:val="TOC1"/>
        <w:tabs>
          <w:tab w:val="right" w:leader="dot" w:pos="8306"/>
        </w:tabs>
      </w:pPr>
      <w:hyperlink w:anchor="_Toc30322" w:history="1">
        <w:r>
          <w:rPr>
            <w:rFonts w:ascii="仿宋" w:eastAsia="仿宋" w:hAnsi="仿宋" w:cs="仿宋" w:hint="eastAsia"/>
            <w:lang w:eastAsia="zh-CN"/>
          </w:rPr>
          <w:t>十四、供应链管理</w:t>
        </w:r>
        <w:r>
          <w:tab/>
        </w:r>
        <w:r>
          <w:fldChar w:fldCharType="begin"/>
        </w:r>
        <w:r>
          <w:instrText xml:space="preserve"> PAGEREF _Toc30322 \h </w:instrText>
        </w:r>
        <w:r>
          <w:fldChar w:fldCharType="separate"/>
        </w:r>
        <w:r>
          <w:t>59</w:t>
        </w:r>
        <w:r>
          <w:fldChar w:fldCharType="end"/>
        </w:r>
      </w:hyperlink>
    </w:p>
    <w:p>
      <w:pPr>
        <w:pStyle w:val="TOC2"/>
        <w:tabs>
          <w:tab w:val="right" w:leader="dot" w:pos="8306"/>
        </w:tabs>
      </w:pPr>
      <w:hyperlink w:anchor="_Toc28881" w:history="1">
        <w:r>
          <w:rPr>
            <w:rFonts w:ascii="仿宋" w:eastAsia="仿宋" w:hAnsi="仿宋" w:cs="仿宋" w:hint="eastAsia"/>
            <w:lang w:eastAsia="zh-CN"/>
          </w:rPr>
          <w:t>(一)、供应链战略规划</w:t>
        </w:r>
        <w:r>
          <w:tab/>
        </w:r>
        <w:r>
          <w:fldChar w:fldCharType="begin"/>
        </w:r>
        <w:r>
          <w:instrText xml:space="preserve"> PAGEREF _Toc28881 \h </w:instrText>
        </w:r>
        <w:r>
          <w:fldChar w:fldCharType="separate"/>
        </w:r>
        <w:r>
          <w:t>59</w:t>
        </w:r>
        <w:r>
          <w:fldChar w:fldCharType="end"/>
        </w:r>
      </w:hyperlink>
    </w:p>
    <w:p>
      <w:pPr>
        <w:pStyle w:val="TOC2"/>
        <w:tabs>
          <w:tab w:val="right" w:leader="dot" w:pos="8306"/>
        </w:tabs>
      </w:pPr>
      <w:hyperlink w:anchor="_Toc27891" w:history="1">
        <w:r>
          <w:rPr>
            <w:rFonts w:ascii="仿宋" w:eastAsia="仿宋" w:hAnsi="仿宋" w:cs="仿宋" w:hint="eastAsia"/>
            <w:lang w:eastAsia="zh-CN"/>
          </w:rPr>
          <w:t>(二)、供应商选择与合作</w:t>
        </w:r>
        <w:r>
          <w:tab/>
        </w:r>
        <w:r>
          <w:fldChar w:fldCharType="begin"/>
        </w:r>
        <w:r>
          <w:instrText xml:space="preserve"> PAGEREF _Toc27891 \h </w:instrText>
        </w:r>
        <w:r>
          <w:fldChar w:fldCharType="separate"/>
        </w:r>
        <w:r>
          <w:t>61</w:t>
        </w:r>
        <w:r>
          <w:fldChar w:fldCharType="end"/>
        </w:r>
      </w:hyperlink>
    </w:p>
    <w:p>
      <w:pPr>
        <w:pStyle w:val="TOC2"/>
        <w:tabs>
          <w:tab w:val="right" w:leader="dot" w:pos="8306"/>
        </w:tabs>
      </w:pPr>
      <w:hyperlink w:anchor="_Toc28089" w:history="1">
        <w:r>
          <w:rPr>
            <w:rFonts w:ascii="仿宋" w:eastAsia="仿宋" w:hAnsi="仿宋" w:cs="仿宋" w:hint="eastAsia"/>
            <w:lang w:eastAsia="zh-CN"/>
          </w:rPr>
          <w:t>(三)、物流与库存管理</w:t>
        </w:r>
        <w:r>
          <w:tab/>
        </w:r>
        <w:r>
          <w:fldChar w:fldCharType="begin"/>
        </w:r>
        <w:r>
          <w:instrText xml:space="preserve"> PAGEREF _Toc28089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05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434"/>
      <w:r>
        <w:rPr>
          <w:rFonts w:ascii="仿宋" w:eastAsia="仿宋" w:hAnsi="仿宋" w:cs="仿宋" w:hint="eastAsia"/>
          <w:sz w:val="28"/>
          <w:lang w:eastAsia="zh-CN"/>
        </w:rPr>
        <w:t>一、航天军工模块电源项目概论</w:t>
      </w:r>
      <w:bookmarkEnd w:id="2"/>
    </w:p>
    <w:p>
      <w:pPr>
        <w:pStyle w:val="Heading2"/>
        <w:rPr>
          <w:rFonts w:ascii="仿宋" w:eastAsia="仿宋" w:hAnsi="仿宋" w:cs="仿宋" w:hint="eastAsia"/>
          <w:lang w:eastAsia="zh-CN"/>
        </w:rPr>
      </w:pPr>
      <w:bookmarkStart w:id="3" w:name="_Toc12082"/>
      <w:r>
        <w:rPr>
          <w:rFonts w:ascii="仿宋" w:eastAsia="仿宋" w:hAnsi="仿宋" w:cs="仿宋" w:hint="eastAsia"/>
          <w:lang w:eastAsia="zh-CN"/>
        </w:rPr>
        <w:t>(一)、航天军工模块电源项目概况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的起源追溯至对市场的深入洞察。市场的不断演变与变革为航天军工模块电源项目提供了难得的机遇。当前市场存在的需求缺口和变革的大环境共同构成了航天军工模块电源项目的背景。这个航天军工模块电源项目旨在充分利用市场机遇，填补行业中尚未满足的需求，为客户提供全新的解决方案。市场的变革和需求的增长使得这个航天军工模块电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航天军工模块电源项目名称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航天军工模块电源项目正式命名为航天军工模块电源。这个名称不仅仅是一个标识，更代表了航天军工模块电源项目的核心理念和愿景。它蕴含着航天军工模块电源项目所要解决问题的关键字，具有强烈的表达和辨识度，为航天军工模块电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航天军工模块电源项目目标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的核心目标是提供一种全新、高效的解决方案，满足客户日益增长的需求。航天军工模块电源项目追求的不仅仅是满足市场需求，更是在市场中获得卓越的竞争优势。通过不断提升产品或服务的质量和创新水平，航天军工模块电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航天军工模块电源项目范围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全面涵盖了产品研发、制造、市场推广和售后服务，确保从产品设计到最终用户体验的全方位关注。这一全面的航天军工模块电源项目范围是为了确保航天军工模块电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航天军工模块电源项目时间表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航天军工模块电源项目计划在未来18个月内完成，包括研发、测试、市场试点和正式推出等不同阶段。这个时间表的合理设计是为了确保航天军工模块电源项目各个阶段的顺利推进，以便按时交付高质量的成果。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航天军工模块电源项目预算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航天军工模块电源项目总预算估算为XX百万美元，主要分配在研发、市场推广、人员培训和运营等方面。这一充足的预算为航天军工模块电源项目提供了充足的资源，确保航天军工模块电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航天军工模块电源项目风险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可能面临的风险包括市场接受度低、技术难题、竞争激烈等。航天军工模块电源项目团队已经制定了相应的风险应对计划，通过前瞻性的风险管理，确保航天军工模块电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航天军工模块电源项目团队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航天军工模块电源项目汇聚了一支经验丰富、多领域专业素养的核心团队，确保航天军工模块电源项目在各个方面都能拥有高水平的执行力。团队的协同作战是航天军工模块电源项目成功的关键因素之一。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航天军工模块电源项目背景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航天军工模块电源项目的背景根植于市场对更高效、创新产品的渴望，同时也受到科技发展对行业格局的深刻改变的影响。这为航天军工模块电源项目提供了广阔的发展空间和市场需求。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航天军工模块电源项目现状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截至目前，航天军工模块电源项目已完成市场调研和技术验证，取得了初步的成功。这为航天军工模块电源项目在未来的发展奠定了坚实的基础，为更远大的目标打下了坚实的基石。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4855"/>
      <w:r>
        <w:rPr>
          <w:rFonts w:ascii="仿宋" w:eastAsia="仿宋" w:hAnsi="仿宋" w:cs="仿宋" w:hint="eastAsia"/>
          <w:sz w:val="28"/>
          <w:lang w:eastAsia="zh-CN"/>
        </w:rPr>
        <w:t>(二)、航天军工模块电源项目目标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航天军工模块电源项目首要业务目标是在市场中占据有利地位，实现产品/服务的成功推广和销售。通过不断提升产品质量、创新性，航天军工模块电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在科技迅速发展的时代，航天军工模块电源项目着眼于技术创新。通过持续的研发和技术升级，航天军工模块电源项目旨在推出更具创新性的产品或服务，以满足市场对新鲜、先进解决方案的需求。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航天军工模块电源项目设定了客户满意度目标。通过提供卓越的产品质量和优质的客户服务，航天军工模块电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航天军工模块电源项目注重社会责任和可持续发展。通过实施环保、社会责任航天军工模块电源项目，航天军工模块电源项目致力于在经济发展的同时保护环境，促进社会公平，实现可持续经营。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航天军工模块电源项目的团队是实现目标的核心驱动力。因此，航天军工模块电源项目设定了团队发展目标，包括提升团队成员的专业技能、培养领导力，以及搭建协同高效的团队工作氛围。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8681"/>
      <w:r>
        <w:rPr>
          <w:rFonts w:ascii="仿宋" w:eastAsia="仿宋" w:hAnsi="仿宋" w:cs="仿宋" w:hint="eastAsia"/>
          <w:sz w:val="28"/>
          <w:lang w:eastAsia="zh-CN"/>
        </w:rPr>
        <w:t>(三)、航天军工模块电源项目提出的理由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航天军工模块电源项目提出的理由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的提出源于对市场机遇的深刻洞察。当前市场中存在的需求缺口和行业发展趋势表明，有巨大的商业机会等待被开发。通过准确捕捉市场机遇，航天军工模块电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的理念基于对技术创新的信仰。通过持续的研发和技术投入，航天军工模块电源项目有望推出更具创新性的产品或服务。在科技飞速发展的当下，航天军工模块电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的提出是为了增强企业的行业竞争力。通过提升产品或服务的质量和独特性，航天军工模块电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响应了消费者需求的变化。随着社会和科技的不断发展，消费者对产品和服务的需求也在发生变化。通过深入了解并及时回应消费者的新需求，航天军工模块电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的提出是企业战略发展规划的一部分。在面对日益激烈的市场竞争和不断变化的商业环境中，航天军工模块电源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的提出不仅仅是基于商业考量，还注重社会责任。通过推出环保、社会责任等方面的航天军工模块电源项目，航天军工模块电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航天军工模块电源项目的提出反映了对利益相关者期望的关注。包括客户、员工、投资者等利益相关者在企业发展中都有着各自的期望，航天军工模块电源项目力求在满足这些期望的同时，取得更大的共赢。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1421"/>
      <w:r>
        <w:rPr>
          <w:rFonts w:ascii="仿宋" w:eastAsia="仿宋" w:hAnsi="仿宋" w:cs="仿宋" w:hint="eastAsia"/>
          <w:sz w:val="28"/>
          <w:lang w:eastAsia="zh-CN"/>
        </w:rPr>
        <w:t>(四)、航天军工模块电源项目意义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在实施航天军工模块电源项目的过程中，我们不仅仅是在追逐商业成功，更是为企业和社会的多个层面创造了深远的意义。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的首要意义在于提升企业的市场竞争力。通过持续的创新和对产品质量的高标准要求，航天军工模块电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航天军工模块电源项目的推进将促使行业技术水平的提升。通过引入先进技术和创新性解决方案，航天军工模块电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航天军工模块电源项目不仅创造了大量就业机会，提高了就业水平，还注重社会责任和环保。通过参与社会公益事业和推动环保航天军工模块电源项目，航天军工模块电源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综合而言，航天军工模块电源项目意义重大，不仅推动了企业的发展，也为行业和社会的进步贡献了积极力量。这是一个全面而深刻的影响，将在未来产生可持续的正面效应。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502"/>
      <w:r>
        <w:rPr>
          <w:rFonts w:ascii="仿宋" w:eastAsia="仿宋" w:hAnsi="仿宋" w:cs="仿宋" w:hint="eastAsia"/>
          <w:sz w:val="28"/>
          <w:lang w:eastAsia="zh-CN"/>
        </w:rPr>
        <w:t>(五)、航天军工模块电源项目背景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在当今迅猛发展的商业环境中，航天军工模块电源项目的动因根植于对多方面因素的审慎考量。这个航天军工模块电源项目的提出并非孤立的决策，而是对企业所处背景深入思考的产物。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航天军工模块电源项目背后的首要原因。科技的迅速发展和全球市场的快速变化使得企业必须灵活应对。航天军工模块电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竞争的激烈程度也是航天军工模块电源项目背景中不可忽视的一环。企业需要在激烈竞争中脱颖而出，为此，航天军工模块电源项目致力于打破常规，提供独特的价值主张，以吸引客户并确保市场份额的增长。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技术的迅速发展为企业带来了机遇与挑战。作为航天军工模块电源项目启动的背景之一，对新兴技术的应用将有助于提升企业的技术水平，使其在不断演进的商业环境中保持竞争优势。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此外，社会对企业责任的期望也在逐渐升高。航天军工模块电源项目充分融入了社会责任的理念，通过可持续经营和社会公益航天军工模块电源项目，企图为社会贡献一份力量，在商业成功的同时关注社会价值。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867"/>
      <w:r>
        <w:rPr>
          <w:rFonts w:ascii="仿宋" w:eastAsia="仿宋" w:hAnsi="仿宋" w:cs="仿宋" w:hint="eastAsia"/>
          <w:sz w:val="28"/>
          <w:lang w:eastAsia="zh-CN"/>
        </w:rPr>
        <w:t>二、航天军工模块电源项目可持续发展</w:t>
      </w:r>
      <w:bookmarkEnd w:id="8"/>
    </w:p>
    <w:p>
      <w:pPr>
        <w:pStyle w:val="Heading2"/>
        <w:rPr>
          <w:rFonts w:ascii="仿宋" w:eastAsia="仿宋" w:hAnsi="仿宋" w:cs="仿宋" w:hint="eastAsia"/>
          <w:lang w:eastAsia="zh-CN"/>
        </w:rPr>
      </w:pPr>
      <w:bookmarkStart w:id="9" w:name="_Toc14187"/>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军工模块电源项目中，航天军工模块电源项目团队着眼于未来，明确了可持续发展的战略方向。制定的具体可持续发展目标包括降低资源使用、采用环保技术、最大化社会效益等。这一步骤不仅有助于航天军工模块电源项目在环保和社会责任方面达到最高标准，也为未来提供了明确的指引，确保航天军工模块电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可持续实践的融入航天军工模块电源项目管理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航天军工模块电源项目管理周期。从航天军工模块电源项目规划开始，航天军工模块电源项目团队就考虑了环境和社会的因素。在执行阶段，航天军工模块电源项目团队积极推动绿色技术的应用，优化资源利用。此外，关注员工的社会责任，通过培训和沟通活动提高员工对可持续发展的认知，使他们能够在日常工作中践行可持续实践。这些举措不仅为航天军工模块电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6288"/>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航天军工模块电源项目的可持续发展理念，我们深信环保与社会责任是航天军工模块电源项目成功的关键支柱。在航天军工模块电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团队通过引入先进的环保技术、建立高效的废物处理系统以及推动能源节约措施，积极履行环保责任。定期的环保监测和评估确保航天军工模块电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不仅致力于自身可持续发展，还注重对社会的回馈。通过支持社区航天军工模块电源项目、参与慈善事业、提供培训机会等方式，航天军工模块电源项目积极履行社会责任。与当地社区建立积极互动，关注员工的工作与生活平衡，以及员工的身心健康，是航天军工模块电源项目在社会责任层面的关键举措。这样的实践不仅增强了航天军工模块电源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1" w:name="_Toc23033"/>
      <w:r>
        <w:rPr>
          <w:rFonts w:ascii="仿宋" w:eastAsia="仿宋" w:hAnsi="仿宋" w:cs="仿宋" w:hint="eastAsia"/>
          <w:sz w:val="28"/>
          <w:lang w:eastAsia="zh-CN"/>
        </w:rPr>
        <w:t>三、航天军工模块电源项目建设背景及必要性分析</w:t>
      </w:r>
      <w:bookmarkEnd w:id="11"/>
    </w:p>
    <w:p>
      <w:pPr>
        <w:pStyle w:val="Heading2"/>
        <w:rPr>
          <w:rFonts w:ascii="仿宋" w:eastAsia="仿宋" w:hAnsi="仿宋" w:cs="仿宋" w:hint="eastAsia"/>
          <w:lang w:eastAsia="zh-CN"/>
        </w:rPr>
      </w:pPr>
      <w:bookmarkStart w:id="12" w:name="_Toc20422"/>
      <w:r>
        <w:rPr>
          <w:rFonts w:ascii="仿宋" w:eastAsia="仿宋" w:hAnsi="仿宋" w:cs="仿宋" w:hint="eastAsia"/>
          <w:lang w:eastAsia="zh-CN"/>
        </w:rPr>
        <w:t>(一)、航天军工模块电源项目背景分析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航天军工模块电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航天军工模块电源项目在这个潮流中的定位。同时，我们将关注行业内涌现的新兴机遇，以便航天军工模块电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航天军工模块电源项目提供了强大的发展动力。我们将聚焦于行业内最新的技术发展趋势，包括但不限于人工智能、大数据分析、物联网等领域。通过深度的技术研究，我们将确保航天军工模块电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航天军工模块电源项目发展的源泉。我们将投入更多的精力对市场需求进行深入剖析，超越表面的需求，深入挖掘潜在的市场痛点和机遇。通过对市场需求的细致了解，航天军工模块电源项目将更有针对性地设计解决方案，满足市场的多样化需求，从而更好地促进航天军工模块电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航天军工模块电源项目战略至关重要。我们将对竞争态势进行更为深入的分析，包括但不限于市场份额、产品特点、客户满意度等多个维度。通过深度的竞争分析，航天军工模块电源项目将能够更准确地把握市场脉搏，制定具有竞争力的航天军工模块电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航天军工模块电源项目的发展具有直接的影响。我们将进行更为全面的法规和政策分析，了解行业发展中的潜在法律风险和合规挑战。通过充分了解和遵守相关法规，航天军工模块电源项目将确保在法律框架内合法合规运营，为航天军工模块电源项目的稳健发展提供有力支持。</w:t>
      </w:r>
    </w:p>
    <w:p>
      <w:pPr>
        <w:pStyle w:val="Heading2"/>
        <w:ind w:firstLine="560" w:firstLineChars="200"/>
        <w:rPr>
          <w:rFonts w:ascii="仿宋" w:eastAsia="仿宋" w:hAnsi="仿宋" w:cs="仿宋" w:hint="eastAsia"/>
          <w:sz w:val="28"/>
          <w:lang w:eastAsia="zh-CN"/>
        </w:rPr>
      </w:pPr>
      <w:bookmarkStart w:id="13" w:name="_Toc18069"/>
      <w:r>
        <w:rPr>
          <w:rFonts w:ascii="仿宋" w:eastAsia="仿宋" w:hAnsi="仿宋" w:cs="仿宋" w:hint="eastAsia"/>
          <w:sz w:val="28"/>
          <w:lang w:eastAsia="zh-CN"/>
        </w:rPr>
        <w:t>(二)、航天军工模块电源项目建设必要性分析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建设的迫切性源于对行业发展趋势的深刻洞察。我们正处于一个行业变革的时代，科技创新、数字化转型成为企业发展的关键动力。航天军工模块电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建设不仅仅是为了跟上潮流，更是为了通过技术创新推动企业的持续发展。通过引入先进的技术和解决方案，航天军工模块电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航天军工模块电源项目的建设成为必然选择，通过提高产品质量、拓展服务领域，从而在竞争中获得更多的机会。航天军工模块电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航天军工模块电源项目建设的必要性体现在对客户需求更精准的满足。通过航天军工模块电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建设的背后是对企业持续创新的追求。只有通过不断创新，企业才能在竞争中立于不败之地。航天军工模块电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7392"/>
      <w:r>
        <w:rPr>
          <w:rFonts w:ascii="仿宋" w:eastAsia="仿宋" w:hAnsi="仿宋" w:cs="仿宋" w:hint="eastAsia"/>
          <w:sz w:val="28"/>
          <w:lang w:eastAsia="zh-CN"/>
        </w:rPr>
        <w:t>四、航天军工模块电源项目文档管理</w:t>
      </w:r>
      <w:bookmarkEnd w:id="14"/>
    </w:p>
    <w:p>
      <w:pPr>
        <w:pStyle w:val="Heading2"/>
        <w:rPr>
          <w:rFonts w:ascii="仿宋" w:eastAsia="仿宋" w:hAnsi="仿宋" w:cs="仿宋" w:hint="eastAsia"/>
          <w:lang w:eastAsia="zh-CN"/>
        </w:rPr>
      </w:pPr>
      <w:bookmarkStart w:id="15" w:name="_Toc10038"/>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航天军工模块电源项目高度重视文档的质量和准确性，以支持航天军工模块电源项目的各项活动和决策。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文档的编制始于航天军工模块电源项目计划的初期，我们制定了详细的文档编制计划，明确了每个文档的内容、格式和编写责任人。在航天军工模块电源项目启动阶段，我们首先编制了航天军工模块电源项目章程，明确定义了航天军工模块电源项目的目标、范围、风险等关键要素。随后，航天军工模块电源项目团队根据计划陆续编制了需求文档、设计文档、测试文档等各类文档，确保航天军工模块电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航天军工模块电源项目管理中的重要环节，旨在确保航天军工模块电源项目文档符合质量标准和航天军工模块电源项目需求。在航天军工模块电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航天军工模块电源项目相关利益方和专业领域的专家对文档进行独立审查。这有助于获取更全面、客观的反馈，确保航天军工模块电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在文档编制与审查方面建立了严格的管理机制，通过规范的流程和多维度的审查，确保航天军工模块电源项目文档的质量、准确性和可靠性，为航天军工模块电源项目的顺利推进提供了有力支持。</w:t>
      </w:r>
    </w:p>
    <w:p>
      <w:pPr>
        <w:pStyle w:val="Heading2"/>
        <w:ind w:firstLine="560" w:firstLineChars="200"/>
        <w:rPr>
          <w:rFonts w:ascii="仿宋" w:eastAsia="仿宋" w:hAnsi="仿宋" w:cs="仿宋" w:hint="eastAsia"/>
          <w:sz w:val="28"/>
          <w:lang w:eastAsia="zh-CN"/>
        </w:rPr>
      </w:pPr>
      <w:bookmarkStart w:id="16" w:name="_Toc10577"/>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在航天军工模块电源项目中，我们致力于优化文档发布与分发过程，以确保信息的高效传递和团队间协作的顺畅进行。以下是我们采取的关键优化策略：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https://d.book118.com/966050025212010031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E2538F"/>
    <w:rsid w:val="5AE2538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6050025212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2024-01-04T08:08:00Z</dcterms:created>
  <dcterms:modified xsi:type="dcterms:W3CDTF">2024-01-04T08:08:39Z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956F5DF8669846FFA3C2CB938EF5191A_11</vt:lpwstr>
  </property>
  <property fmtid="{D5CDD505-2E9C-101B-9397-08002B2CF9AE}" pid="3" name="KSOProductBuildVer">
    <vt:lpwstr>2052-12.1.0.16120</vt:lpwstr>
  </property>
</Properties>
</file>