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2024年小型装载机行业分析报告及未来五到十年行业发展趋势报告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0775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小型装载机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_Toc30775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6747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小型装载机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_Toc6747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351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小型装载机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_Toc5351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895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小型装载机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_Toc29895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302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小型装载机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_Toc20302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319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小型装载机</w:t>
        </w:r>
        <w:r>
          <w:rPr>
            <w:rFonts w:eastAsia="微软雅黑" w:hint="eastAsia"/>
            <w:snapToGrid/>
            <w:lang w:val="en-US" w:eastAsia="en-US"/>
          </w:rPr>
          <w:t>行业政策环境</w:t>
        </w:r>
        <w:r>
          <w:tab/>
        </w:r>
        <w:r>
          <w:fldChar w:fldCharType="begin"/>
        </w:r>
        <w:r>
          <w:instrText xml:space="preserve"> PAGEREF _Toc22319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075" w:history="1">
        <w:r>
          <w:rPr>
            <w:rFonts w:eastAsia="微软雅黑" w:hint="eastAsia"/>
            <w:snapToGrid/>
            <w:lang w:val="en-US" w:eastAsia="en-US"/>
          </w:rPr>
          <w:t>(一)、政策持续利好</w:t>
        </w:r>
        <w:r>
          <w:rPr>
            <w:rFonts w:eastAsia="微软雅黑" w:hint="eastAsia"/>
            <w:snapToGrid/>
            <w:lang w:val="en-US" w:eastAsia="en-US"/>
          </w:rPr>
          <w:t>小型装载机</w:t>
        </w:r>
        <w:r>
          <w:rPr>
            <w:rFonts w:eastAsia="微软雅黑" w:hint="eastAsia"/>
            <w:snapToGrid/>
            <w:lang w:val="en-US" w:eastAsia="en-US"/>
          </w:rPr>
          <w:t>行业发展</w:t>
        </w:r>
        <w:r>
          <w:tab/>
        </w:r>
        <w:r>
          <w:fldChar w:fldCharType="begin"/>
        </w:r>
        <w:r>
          <w:instrText xml:space="preserve"> PAGEREF _Toc10075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533" w:history="1">
        <w:r>
          <w:rPr>
            <w:rFonts w:eastAsia="微软雅黑" w:hint="eastAsia"/>
            <w:snapToGrid/>
            <w:lang w:val="en-US" w:eastAsia="zh-CN"/>
          </w:rPr>
          <w:t>(二)、行业政策体系日趋完善</w:t>
        </w:r>
        <w:r>
          <w:tab/>
        </w:r>
        <w:r>
          <w:fldChar w:fldCharType="begin"/>
        </w:r>
        <w:r>
          <w:instrText xml:space="preserve"> PAGEREF _Toc13533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795" w:history="1">
        <w:r>
          <w:rPr>
            <w:rFonts w:eastAsia="微软雅黑" w:hint="eastAsia"/>
            <w:snapToGrid/>
            <w:lang w:val="en-US" w:eastAsia="zh-CN"/>
          </w:rPr>
          <w:t>(三)、一级市场火热,国内专利不断攀升</w:t>
        </w:r>
        <w:r>
          <w:tab/>
        </w:r>
        <w:r>
          <w:fldChar w:fldCharType="begin"/>
        </w:r>
        <w:r>
          <w:instrText xml:space="preserve"> PAGEREF _Toc12795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917" w:history="1">
        <w:r>
          <w:rPr>
            <w:rFonts w:eastAsia="微软雅黑" w:hint="eastAsia"/>
            <w:snapToGrid/>
            <w:lang w:val="en-US" w:eastAsia="zh-CN"/>
          </w:rPr>
          <w:t>(四)、宏观环境下</w:t>
        </w:r>
        <w:r>
          <w:rPr>
            <w:rFonts w:eastAsia="微软雅黑" w:hint="eastAsia"/>
            <w:snapToGrid/>
            <w:lang w:val="en-US" w:eastAsia="zh-CN"/>
          </w:rPr>
          <w:t>小型装载机</w:t>
        </w:r>
        <w:r>
          <w:rPr>
            <w:rFonts w:eastAsia="微软雅黑" w:hint="eastAsia"/>
            <w:snapToGrid/>
            <w:lang w:val="en-US" w:eastAsia="zh-CN"/>
          </w:rPr>
          <w:t>行业定位</w:t>
        </w:r>
        <w:r>
          <w:tab/>
        </w:r>
        <w:r>
          <w:fldChar w:fldCharType="begin"/>
        </w:r>
        <w:r>
          <w:instrText xml:space="preserve"> PAGEREF _Toc10917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525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小型装载机</w:t>
        </w:r>
        <w:r>
          <w:rPr>
            <w:rFonts w:eastAsia="微软雅黑" w:hint="eastAsia"/>
            <w:snapToGrid/>
            <w:lang w:val="en-US" w:eastAsia="zh-CN"/>
          </w:rPr>
          <w:t>行业绩显著</w:t>
        </w:r>
        <w:r>
          <w:tab/>
        </w:r>
        <w:r>
          <w:fldChar w:fldCharType="begin"/>
        </w:r>
        <w:r>
          <w:instrText xml:space="preserve"> PAGEREF _Toc3525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977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小型装载机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_Toc25977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04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小型装载机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_Toc25048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64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小型装载机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_Toc3644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763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小型装载机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_Toc24763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074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小型装载机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_Toc28074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346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小型装载机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_Toc22346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49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小型装载机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_Toc20498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46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小型装载机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_Toc20463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329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小型装载机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_Toc12329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686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小型装载机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_Toc21686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572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小型装载机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_Toc10572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420" w:history="1">
        <w:r>
          <w:rPr>
            <w:rFonts w:eastAsia="微软雅黑" w:hint="eastAsia"/>
            <w:snapToGrid/>
            <w:lang w:val="en-US" w:eastAsia="en-US"/>
          </w:rPr>
          <w:t>五、2024-2029年</w:t>
        </w:r>
        <w:r>
          <w:rPr>
            <w:rFonts w:eastAsia="微软雅黑" w:hint="eastAsia"/>
            <w:snapToGrid/>
            <w:lang w:val="en-US" w:eastAsia="en-US"/>
          </w:rPr>
          <w:t>小型装载机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_Toc28420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920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小型装载机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_Toc29920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834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小型装载机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_Toc14834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048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小型装载机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_Toc5048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568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_Toc17568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86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小型装载机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_Toc2986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258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_Toc11258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881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小型装载机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_Toc8881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41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小型装载机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_Toc20419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62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小型装载机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_Toc3162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829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小型装载机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_Toc25829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41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小型装载机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_Toc25412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3055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小型装载机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_Toc30551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526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小型装载机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_Toc22526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407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小型装载机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_Toc16407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37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小型装载机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_Toc1937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152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小型装载机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_Toc6152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229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小型装载机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_Toc16229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199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小型装载机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_Toc22199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947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_Toc24947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301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_Toc9301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406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_Toc29406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484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_Toc16484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771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_Toc28771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91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_Toc2791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003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_Toc8003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491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_Toc19491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89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_Toc1689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306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_Toc22306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606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_Toc23606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820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_Toc17820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805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_Toc18805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379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小型装载机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_Toc16379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395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小型装载机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_Toc20395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791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_Toc6791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382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小型装载机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_Toc4382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409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小型装载机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_Toc6409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919" w:history="1">
        <w:r>
          <w:rPr>
            <w:rFonts w:eastAsia="微软雅黑" w:hint="eastAsia"/>
            <w:snapToGrid/>
            <w:lang w:val="en-US" w:eastAsia="en-US"/>
          </w:rPr>
          <w:t>十一、“疫情”对</w:t>
        </w:r>
        <w:r>
          <w:rPr>
            <w:rFonts w:eastAsia="微软雅黑" w:hint="eastAsia"/>
            <w:snapToGrid/>
            <w:lang w:val="en-US" w:eastAsia="en-US"/>
          </w:rPr>
          <w:t>小型装载机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_Toc10919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793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小型装载机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_Toc29793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497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小型装载机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_Toc27497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006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小型装载机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_Toc23006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414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小型装载机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_Toc25414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755" w:history="1">
        <w:r>
          <w:rPr>
            <w:rFonts w:eastAsia="微软雅黑" w:hint="eastAsia"/>
            <w:snapToGrid/>
            <w:lang w:val="en-US" w:eastAsia="en-US"/>
          </w:rPr>
          <w:t>(一)、宏观机制升级</w:t>
        </w:r>
        <w:r>
          <w:tab/>
        </w:r>
        <w:r>
          <w:fldChar w:fldCharType="begin"/>
        </w:r>
        <w:r>
          <w:instrText xml:space="preserve"> PAGEREF _Toc6755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916" w:history="1">
        <w:r>
          <w:rPr>
            <w:rFonts w:eastAsia="微软雅黑" w:hint="eastAsia"/>
            <w:snapToGrid/>
            <w:lang w:val="en-US" w:eastAsia="zh-CN"/>
          </w:rPr>
          <w:t>(二)、服务模式多元化</w:t>
        </w:r>
        <w:r>
          <w:tab/>
        </w:r>
        <w:r>
          <w:fldChar w:fldCharType="begin"/>
        </w:r>
        <w:r>
          <w:instrText xml:space="preserve"> PAGEREF _Toc17916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183" w:history="1">
        <w:r>
          <w:rPr>
            <w:rFonts w:eastAsia="微软雅黑" w:hint="eastAsia"/>
            <w:snapToGrid/>
            <w:lang w:val="en-US" w:eastAsia="zh-CN"/>
          </w:rPr>
          <w:t>(三)、新的价格战将不可避免</w:t>
        </w:r>
        <w:r>
          <w:tab/>
        </w:r>
        <w:r>
          <w:fldChar w:fldCharType="begin"/>
        </w:r>
        <w:r>
          <w:instrText xml:space="preserve"> PAGEREF _Toc12183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483" w:history="1">
        <w:r>
          <w:rPr>
            <w:rFonts w:eastAsia="微软雅黑" w:hint="eastAsia"/>
            <w:snapToGrid/>
            <w:lang w:val="en-US" w:eastAsia="zh-CN"/>
          </w:rPr>
          <w:t>(四)、社会化特征增强</w:t>
        </w:r>
        <w:r>
          <w:tab/>
        </w:r>
        <w:r>
          <w:fldChar w:fldCharType="begin"/>
        </w:r>
        <w:r>
          <w:instrText xml:space="preserve"> PAGEREF _Toc20483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212" w:history="1">
        <w:r>
          <w:rPr>
            <w:rFonts w:eastAsia="微软雅黑" w:hint="eastAsia"/>
            <w:snapToGrid/>
            <w:lang w:val="en-US" w:eastAsia="zh-CN"/>
          </w:rPr>
          <w:t>(五)、信息化实施力度加大</w:t>
        </w:r>
        <w:r>
          <w:tab/>
        </w:r>
        <w:r>
          <w:fldChar w:fldCharType="begin"/>
        </w:r>
        <w:r>
          <w:instrText xml:space="preserve"> PAGEREF _Toc12212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47" w:history="1">
        <w:r>
          <w:rPr>
            <w:rFonts w:eastAsia="微软雅黑" w:hint="eastAsia"/>
            <w:snapToGrid/>
            <w:lang w:val="en-US" w:eastAsia="zh-CN"/>
          </w:rPr>
          <w:t>(六)、生态化建设进一步开放</w:t>
        </w:r>
        <w:r>
          <w:tab/>
        </w:r>
        <w:r>
          <w:fldChar w:fldCharType="begin"/>
        </w:r>
        <w:r>
          <w:instrText xml:space="preserve"> PAGEREF _Toc947 \h </w:instrText>
        </w:r>
        <w:r>
          <w:fldChar w:fldCharType="separate"/>
        </w:r>
        <w:r>
          <w:t>33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https://d.book118.com/966124040241010030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966124040241010030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