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4EE" w:rsidRPr="00E4526A">
      <w:pPr>
        <w:bidi w:val="0"/>
        <w:jc w:val="center"/>
        <w:rPr>
          <w:rFonts w:ascii="黑体" w:eastAsia="黑体" w:hAnsi="黑体" w:cs="黑体" w:hint="eastAsia"/>
          <w:b w:val="0"/>
          <w:color w:val="000000"/>
          <w:sz w:val="36"/>
          <w:szCs w:val="36"/>
        </w:rPr>
      </w:pPr>
      <w:r w:rsidRPr="00E4526A">
        <w:rPr>
          <w:rFonts w:ascii="黑体" w:eastAsia="黑体" w:hAnsi="黑体" w:cs="黑体" w:hint="eastAsia"/>
          <w:b w:val="0"/>
          <w:color w:val="000000"/>
          <w:sz w:val="36"/>
          <w:szCs w:val="36"/>
        </w:rPr>
        <w:t>东港市翔龙水泥制造有限公司</w:t>
      </w:r>
    </w:p>
    <w:p w:rsidR="001474EE" w:rsidRPr="002D3A81">
      <w:pPr>
        <w:bidi w:val="0"/>
        <w:jc w:val="center"/>
        <w:rPr>
          <w:rFonts w:ascii="华文中宋" w:eastAsia="华文中宋" w:hAnsi="华文中宋" w:hint="eastAsia"/>
          <w:b/>
          <w:sz w:val="52"/>
          <w:szCs w:val="52"/>
        </w:rPr>
      </w:pPr>
      <w:r w:rsidRPr="002D3A81">
        <w:rPr>
          <w:rFonts w:ascii="宋体" w:eastAsia="宋体" w:hAnsi="宋体" w:cs="宋体" w:hint="eastAsia"/>
          <w:b/>
          <w:color w:val="000000"/>
          <w:sz w:val="30"/>
          <w:szCs w:val="52"/>
        </w:rPr>
        <w:t>突发</w:t>
      </w:r>
      <w:r w:rsidRPr="002D3A81" w:rsidR="00FD58DA">
        <w:rPr>
          <w:rFonts w:ascii="宋体" w:eastAsia="宋体" w:hAnsi="宋体" w:cs="宋体" w:hint="eastAsia"/>
          <w:b/>
          <w:color w:val="000000"/>
          <w:sz w:val="30"/>
          <w:szCs w:val="52"/>
        </w:rPr>
        <w:t>性</w:t>
      </w:r>
      <w:r w:rsidRPr="002D3A81" w:rsidR="004C209C">
        <w:rPr>
          <w:rFonts w:ascii="宋体" w:eastAsia="宋体" w:hAnsi="宋体" w:cs="宋体" w:hint="eastAsia"/>
          <w:b/>
          <w:color w:val="000000"/>
          <w:sz w:val="30"/>
          <w:szCs w:val="52"/>
        </w:rPr>
        <w:t>环境事务</w:t>
      </w:r>
      <w:r w:rsidRPr="002D3A81">
        <w:rPr>
          <w:rFonts w:ascii="宋体" w:eastAsia="宋体" w:hAnsi="宋体" w:cs="宋体" w:hint="eastAsia"/>
          <w:b/>
          <w:color w:val="000000"/>
          <w:sz w:val="30"/>
          <w:szCs w:val="52"/>
        </w:rPr>
        <w:t>应急预案</w:t>
      </w:r>
    </w:p>
    <w:p w:rsidR="001474EE">
      <w:pPr>
        <w:bidi w:val="0"/>
        <w:rPr>
          <w:rFonts w:ascii="黑体" w:eastAsia="黑体" w:hAnsi="黑体" w:hint="eastAsia"/>
          <w:sz w:val="28"/>
        </w:rPr>
      </w:pPr>
      <w:r>
        <w:rPr>
          <w:rFonts w:ascii="宋体" w:eastAsia="宋体" w:hAnsi="宋体" w:cs="宋体" w:hint="eastAsia"/>
          <w:color w:val="000000"/>
          <w:sz w:val="30"/>
        </w:rPr>
        <w:t xml:space="preserve">          编制单位：</w:t>
      </w:r>
      <w:r w:rsidR="004C209C">
        <w:rPr>
          <w:rFonts w:ascii="宋体" w:eastAsia="宋体" w:hAnsi="宋体" w:cs="宋体" w:hint="eastAsia"/>
          <w:color w:val="000000"/>
          <w:sz w:val="30"/>
          <w:u w:val="single"/>
        </w:rPr>
        <w:t xml:space="preserve">   东港市翔龙水泥制造有限公司</w:t>
      </w:r>
      <w:r>
        <w:rPr>
          <w:rFonts w:ascii="宋体" w:eastAsia="宋体" w:hAnsi="宋体" w:cs="宋体" w:hint="eastAsia"/>
          <w:color w:val="000000"/>
          <w:sz w:val="30"/>
          <w:u w:val="single"/>
        </w:rPr>
        <w:t>__</w:t>
      </w:r>
    </w:p>
    <w:p w:rsidR="001474EE">
      <w:pPr>
        <w:pStyle w:val="TOC1"/>
        <w:bidi w:val="0"/>
        <w:rPr>
          <w:rFonts w:ascii="宋体" w:hAnsi="宋体"/>
          <w:b/>
          <w:bCs/>
          <w:sz w:val="44"/>
        </w:rPr>
      </w:pPr>
      <w:r>
        <w:rPr>
          <w:rFonts w:ascii="宋体" w:eastAsia="宋体" w:hAnsi="宋体" w:cs="宋体" w:hint="eastAsia"/>
          <w:color w:val="000000"/>
          <w:sz w:val="30"/>
        </w:rPr>
        <w:t xml:space="preserve">          实施日期：</w:t>
      </w:r>
      <w:r w:rsidR="00FD58DA">
        <w:rPr>
          <w:rFonts w:ascii="宋体" w:eastAsia="宋体" w:hAnsi="宋体" w:cs="宋体" w:hint="eastAsia"/>
          <w:color w:val="000000"/>
          <w:sz w:val="30"/>
          <w:u w:val="single"/>
        </w:rPr>
        <w:t>2019年</w:t>
      </w:r>
      <w:r w:rsidR="004C209C">
        <w:rPr>
          <w:rFonts w:ascii="宋体" w:eastAsia="宋体" w:hAnsi="宋体" w:cs="宋体" w:hint="eastAsia"/>
          <w:color w:val="000000"/>
          <w:sz w:val="30"/>
          <w:u w:val="single"/>
        </w:rPr>
        <w:t>3</w:t>
      </w:r>
      <w:r w:rsidR="00FD58DA">
        <w:rPr>
          <w:rFonts w:ascii="宋体" w:eastAsia="宋体" w:hAnsi="宋体" w:cs="宋体" w:hint="eastAsia"/>
          <w:color w:val="000000"/>
          <w:sz w:val="30"/>
          <w:u w:val="single"/>
        </w:rPr>
        <w:t>月</w:t>
      </w:r>
      <w:r w:rsidR="004C209C">
        <w:rPr>
          <w:rFonts w:ascii="宋体" w:eastAsia="宋体" w:hAnsi="宋体" w:cs="宋体" w:hint="eastAsia"/>
          <w:color w:val="000000"/>
          <w:sz w:val="30"/>
          <w:u w:val="single"/>
        </w:rPr>
        <w:t>1日起</w:t>
      </w:r>
      <w:r w:rsidR="00FD58DA">
        <w:rPr>
          <w:rFonts w:ascii="宋体" w:eastAsia="宋体" w:hAnsi="宋体" w:cs="宋体" w:hint="eastAsia"/>
          <w:color w:val="000000"/>
          <w:sz w:val="30"/>
          <w:u w:val="single"/>
        </w:rPr>
        <w:t>实施</w:t>
      </w:r>
    </w:p>
    <w:p w:rsidR="008220BE" w:rsidP="00D17524">
      <w:pPr>
        <w:pStyle w:val="TOC1"/>
        <w:bidi w:val="0"/>
        <w:jc w:val="center"/>
        <w:rPr>
          <w:rFonts w:ascii="宋体" w:hAnsi="宋体" w:hint="eastAsia"/>
          <w:b/>
          <w:bCs/>
          <w:sz w:val="44"/>
        </w:rPr>
      </w:pPr>
      <w:r w:rsidR="00D17524">
        <w:rPr>
          <w:rFonts w:ascii="宋体" w:eastAsia="宋体" w:hAnsi="宋体" w:cs="宋体" w:hint="eastAsia"/>
          <w:b/>
          <w:bCs/>
          <w:color w:val="000000"/>
          <w:sz w:val="30"/>
        </w:rPr>
        <w:t>目  录</w:t>
      </w:r>
    </w:p>
    <w:p w:rsidR="009A3428">
      <w:pPr>
        <w:pStyle w:val="TOC1"/>
        <w:bidi w:val="0"/>
        <w:rPr>
          <w:rFonts w:ascii="Calibri" w:hAnsi="Calibri"/>
          <w:noProof/>
          <w:szCs w:val="22"/>
        </w:rPr>
      </w:pPr>
      <w:r w:rsidR="001474EE">
        <w:rPr>
          <w:rFonts w:ascii="宋体" w:hAnsi="宋体"/>
          <w:b/>
          <w:bCs/>
          <w:sz w:val="44"/>
        </w:rPr>
        <w:fldChar w:fldCharType="begin"/>
      </w:r>
      <w:r w:rsidR="001474EE">
        <w:rPr>
          <w:rFonts w:ascii="宋体" w:eastAsia="宋体" w:hAnsi="宋体" w:cs="宋体" w:hint="eastAsia"/>
          <w:b/>
          <w:bCs/>
          <w:color w:val="000000"/>
          <w:sz w:val="30"/>
        </w:rPr>
        <w:instrText xml:space="preserve"> \o "1-4" \h \z \u</w:instrText>
      </w:r>
      <w:r w:rsidR="001474EE">
        <w:rPr>
          <w:rFonts w:ascii="宋体" w:hAnsi="宋体"/>
          <w:b/>
          <w:bCs/>
          <w:sz w:val="44"/>
        </w:rPr>
        <w:fldChar w:fldCharType="separate"/>
      </w: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第一章总则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430240721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- 1 -</w:t>
      </w:r>
      <w:r w:rsidRPr="001F46D3">
        <w:rPr>
          <w:rStyle w:val="Hyperlink"/>
          <w:noProof/>
        </w:rPr>
        <w:fldChar w:fldCharType="end"/>
      </w:r>
      <w:r w:rsidR="001474EE">
        <w:rPr>
          <w:rFonts w:ascii="宋体" w:hAnsi="宋体"/>
          <w:b/>
          <w:bCs/>
          <w:sz w:val="44"/>
        </w:rPr>
        <w:fldChar w:fldCharType="end"/>
      </w:r>
    </w:p>
    <w:p w:rsidR="009A3428">
      <w:pPr>
        <w:pStyle w:val="TOC2"/>
        <w:bidi w:val="0"/>
        <w:rPr>
          <w:rFonts w:ascii="Calibri" w:hAnsi="Calibri" w:cs="Times New Roman"/>
          <w:noProof/>
          <w:kern w:val="2"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/>
          <w:b w:val="0"/>
          <w:noProof/>
          <w:color w:val="000000"/>
          <w:sz w:val="30"/>
          <w:u w:val="none"/>
        </w:rPr>
        <w:t xml:space="preserve">1.1 </w:t>
      </w: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编制目的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430240722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- 1 -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2"/>
        <w:bidi w:val="0"/>
        <w:rPr>
          <w:rFonts w:ascii="Calibri" w:hAnsi="Calibri" w:cs="Times New Roman"/>
          <w:noProof/>
          <w:kern w:val="2"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/>
          <w:b w:val="0"/>
          <w:noProof/>
          <w:color w:val="000000"/>
          <w:sz w:val="30"/>
          <w:u w:val="none"/>
        </w:rPr>
        <w:t xml:space="preserve">1.2 </w:t>
      </w: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编制依据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430240723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- 1 -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3"/>
        <w:bidi w:val="0"/>
        <w:rPr>
          <w:rFonts w:ascii="Calibri" w:hAnsi="Calibri"/>
          <w:noProof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/>
          <w:b w:val="0"/>
          <w:bCs/>
          <w:noProof/>
          <w:color w:val="000000"/>
          <w:sz w:val="30"/>
          <w:u w:val="none"/>
        </w:rPr>
        <w:t xml:space="preserve">1.2.1 </w:t>
      </w:r>
      <w:r w:rsidRPr="001F46D3">
        <w:rPr>
          <w:rStyle w:val="Hyperlink"/>
          <w:rFonts w:ascii="宋体" w:eastAsia="宋体" w:hAnsi="宋体" w:cs="宋体" w:hint="eastAsia"/>
          <w:b w:val="0"/>
          <w:bCs/>
          <w:noProof/>
          <w:color w:val="000000"/>
          <w:sz w:val="30"/>
          <w:u w:val="none"/>
        </w:rPr>
        <w:t>相关法律法规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430240724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- 1 -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3"/>
        <w:bidi w:val="0"/>
        <w:rPr>
          <w:rFonts w:ascii="Calibri" w:hAnsi="Calibri"/>
          <w:noProof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有关技术标准及方法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430240725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- 2 -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2"/>
        <w:bidi w:val="0"/>
        <w:rPr>
          <w:rFonts w:ascii="Calibri" w:hAnsi="Calibri" w:cs="Times New Roman"/>
          <w:noProof/>
          <w:kern w:val="2"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/>
          <w:b w:val="0"/>
          <w:noProof/>
          <w:color w:val="000000"/>
          <w:sz w:val="30"/>
          <w:u w:val="none"/>
        </w:rPr>
        <w:t xml:space="preserve">1.3 </w:t>
      </w: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适用范围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430240726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- 2 -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2"/>
        <w:bidi w:val="0"/>
        <w:rPr>
          <w:rFonts w:ascii="Calibri" w:hAnsi="Calibri" w:cs="Times New Roman"/>
          <w:noProof/>
          <w:kern w:val="2"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/>
          <w:b w:val="0"/>
          <w:noProof/>
          <w:color w:val="000000"/>
          <w:sz w:val="30"/>
          <w:u w:val="none"/>
        </w:rPr>
        <w:t xml:space="preserve">1.4 </w:t>
      </w: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工作原则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430240727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- 2 -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1"/>
        <w:bidi w:val="0"/>
        <w:rPr>
          <w:rFonts w:ascii="Calibri" w:hAnsi="Calibri"/>
          <w:noProof/>
          <w:szCs w:val="22"/>
        </w:rPr>
      </w:pP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其次章企业基本状况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430240728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- 4 -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2"/>
        <w:bidi w:val="0"/>
        <w:rPr>
          <w:rFonts w:ascii="Calibri" w:hAnsi="Calibri" w:cs="Times New Roman"/>
          <w:noProof/>
          <w:kern w:val="2"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/>
          <w:b w:val="0"/>
          <w:noProof/>
          <w:color w:val="000000"/>
          <w:sz w:val="30"/>
          <w:u w:val="none"/>
        </w:rPr>
        <w:t xml:space="preserve">2.1 </w:t>
      </w: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企业简介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430240729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- 4 -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2"/>
        <w:bidi w:val="0"/>
        <w:rPr>
          <w:rFonts w:ascii="Calibri" w:hAnsi="Calibri" w:cs="Times New Roman"/>
          <w:noProof/>
          <w:kern w:val="2"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/>
          <w:b w:val="0"/>
          <w:noProof/>
          <w:color w:val="000000"/>
          <w:sz w:val="30"/>
          <w:u w:val="none"/>
        </w:rPr>
        <w:t>2.2</w:t>
      </w: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污染源及其防治措施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430240730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- 5 -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3"/>
        <w:bidi w:val="0"/>
        <w:rPr>
          <w:rFonts w:ascii="Calibri" w:hAnsi="Calibri"/>
          <w:noProof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 w:hint="eastAsia"/>
          <w:b w:val="0"/>
          <w:bCs/>
          <w:noProof/>
          <w:color w:val="000000"/>
          <w:sz w:val="30"/>
          <w:u w:val="none"/>
        </w:rPr>
        <w:t>粉（烟）尘的污染物产生和限制状况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430240731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- 5 -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3"/>
        <w:bidi w:val="0"/>
        <w:rPr>
          <w:rFonts w:ascii="Calibri" w:hAnsi="Calibri"/>
          <w:noProof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 w:hint="eastAsia"/>
          <w:b w:val="0"/>
          <w:bCs/>
          <w:noProof/>
          <w:color w:val="000000"/>
          <w:sz w:val="30"/>
          <w:u w:val="none"/>
        </w:rPr>
        <w:t>废水排放及限制状况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430240732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- 5 -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3"/>
        <w:bidi w:val="0"/>
        <w:rPr>
          <w:rFonts w:ascii="Calibri" w:hAnsi="Calibri"/>
          <w:noProof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 w:hint="eastAsia"/>
          <w:b w:val="0"/>
          <w:bCs/>
          <w:noProof/>
          <w:color w:val="000000"/>
          <w:sz w:val="30"/>
          <w:u w:val="none"/>
        </w:rPr>
        <w:t>固体废物排放及处置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430240733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- 5 -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3"/>
        <w:bidi w:val="0"/>
        <w:rPr>
          <w:rFonts w:ascii="Calibri" w:hAnsi="Calibri"/>
          <w:noProof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 w:hint="eastAsia"/>
          <w:b w:val="0"/>
          <w:bCs/>
          <w:noProof/>
          <w:color w:val="000000"/>
          <w:sz w:val="30"/>
          <w:u w:val="none"/>
        </w:rPr>
        <w:t>噪声污染源排查及综合噪声限制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430240734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- 5 -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1"/>
        <w:bidi w:val="0"/>
        <w:rPr>
          <w:rFonts w:ascii="Calibri" w:hAnsi="Calibri"/>
          <w:noProof/>
          <w:szCs w:val="22"/>
        </w:rPr>
      </w:pP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第三章应急组织机构及职责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430240735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- 7 -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2"/>
        <w:bidi w:val="0"/>
        <w:rPr>
          <w:rFonts w:ascii="Calibri" w:hAnsi="Calibri" w:cs="Times New Roman"/>
          <w:noProof/>
          <w:kern w:val="2"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/>
          <w:b w:val="0"/>
          <w:noProof/>
          <w:color w:val="000000"/>
          <w:sz w:val="30"/>
          <w:u w:val="none"/>
        </w:rPr>
        <w:t>3.1</w:t>
      </w: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应急组织体系及职责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430240736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- 7 -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2"/>
        <w:bidi w:val="0"/>
        <w:rPr>
          <w:rFonts w:ascii="Calibri" w:hAnsi="Calibri" w:cs="Times New Roman"/>
          <w:noProof/>
          <w:kern w:val="2"/>
          <w:szCs w:val="22"/>
          <w:lang w:val="en-US" w:eastAsia="zh-CN"/>
        </w:rPr>
        <w:sectPr>
          <w:pgSz w:w="11906" w:h="16838"/>
          <w:pgMar w:top="1418" w:right="1588" w:bottom="1418" w:left="1588" w:header="851" w:footer="992" w:gutter="0"/>
          <w:pgNumType w:fmt="numberInDash" w:start="1"/>
          <w:cols w:space="720"/>
          <w:docGrid w:type="linesAndChars" w:linePitch="312"/>
        </w:sectPr>
      </w:pPr>
      <w:r w:rsidRPr="001F46D3">
        <w:rPr>
          <w:rStyle w:val="Hyperlink"/>
          <w:rFonts w:ascii="宋体" w:eastAsia="宋体" w:hAnsi="宋体" w:cs="宋体"/>
          <w:b w:val="0"/>
          <w:noProof/>
          <w:color w:val="000000"/>
          <w:sz w:val="30"/>
          <w:u w:val="none"/>
        </w:rPr>
        <w:t>3.2</w:t>
      </w: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应急救援指挥部下设机构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430240737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- 7 -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3"/>
        <w:bidi w:val="0"/>
        <w:rPr>
          <w:rFonts w:ascii="Calibri" w:hAnsi="Calibri"/>
          <w:noProof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警戒疏散组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430240738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- 8 -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3"/>
        <w:bidi w:val="0"/>
        <w:rPr>
          <w:rFonts w:ascii="Calibri" w:hAnsi="Calibri"/>
          <w:noProof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抢险救援组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430240739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- 8 -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3"/>
        <w:bidi w:val="0"/>
        <w:rPr>
          <w:rFonts w:ascii="Calibri" w:hAnsi="Calibri"/>
          <w:noProof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后勤保障组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430240740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- 8 -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3"/>
        <w:tabs>
          <w:tab w:val="left" w:pos="1680"/>
        </w:tabs>
        <w:bidi w:val="0"/>
        <w:rPr>
          <w:rFonts w:ascii="Calibri" w:hAnsi="Calibri"/>
          <w:noProof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善后处理组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430240741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- 8 -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1"/>
        <w:bidi w:val="0"/>
        <w:rPr>
          <w:rFonts w:ascii="Calibri" w:hAnsi="Calibri"/>
          <w:noProof/>
          <w:szCs w:val="22"/>
        </w:rPr>
      </w:pP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第四章预防及预警机制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430240742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- 9 -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2"/>
        <w:bidi w:val="0"/>
        <w:rPr>
          <w:rFonts w:ascii="Calibri" w:hAnsi="Calibri" w:cs="Times New Roman"/>
          <w:noProof/>
          <w:kern w:val="2"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/>
          <w:b w:val="0"/>
          <w:noProof/>
          <w:color w:val="000000"/>
          <w:sz w:val="30"/>
          <w:u w:val="none"/>
        </w:rPr>
        <w:t xml:space="preserve">4.1 </w:t>
      </w: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预防措施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430240743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- 9 -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2"/>
        <w:bidi w:val="0"/>
        <w:rPr>
          <w:rFonts w:ascii="Calibri" w:hAnsi="Calibri" w:cs="Times New Roman"/>
          <w:noProof/>
          <w:kern w:val="2"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/>
          <w:b w:val="0"/>
          <w:noProof/>
          <w:color w:val="000000"/>
          <w:sz w:val="30"/>
          <w:u w:val="none"/>
        </w:rPr>
        <w:t>4.2</w:t>
      </w: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预警行动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430240744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- 9 -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3"/>
        <w:bidi w:val="0"/>
        <w:rPr>
          <w:rFonts w:ascii="Calibri" w:hAnsi="Calibri"/>
          <w:noProof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/>
          <w:b w:val="0"/>
          <w:noProof/>
          <w:color w:val="000000"/>
          <w:sz w:val="30"/>
          <w:u w:val="none"/>
        </w:rPr>
        <w:t xml:space="preserve">4.2.1 </w:t>
      </w: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预警分级指标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430240745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- 9 -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3"/>
        <w:bidi w:val="0"/>
        <w:rPr>
          <w:rFonts w:ascii="Calibri" w:hAnsi="Calibri"/>
          <w:noProof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进入预警状态后实行措施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430240746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- 10 -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3"/>
        <w:bidi w:val="0"/>
        <w:rPr>
          <w:rFonts w:ascii="Calibri" w:hAnsi="Calibri"/>
          <w:noProof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预警支持系统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430240747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- 10 -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1"/>
        <w:bidi w:val="0"/>
        <w:rPr>
          <w:rFonts w:ascii="Calibri" w:hAnsi="Calibri"/>
          <w:noProof/>
          <w:szCs w:val="22"/>
        </w:rPr>
      </w:pP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第五章应急响应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430240748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- 11 -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2"/>
        <w:bidi w:val="0"/>
        <w:rPr>
          <w:rFonts w:ascii="Calibri" w:hAnsi="Calibri" w:cs="Times New Roman"/>
          <w:noProof/>
          <w:kern w:val="2"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/>
          <w:b w:val="0"/>
          <w:noProof/>
          <w:color w:val="000000"/>
          <w:sz w:val="30"/>
          <w:u w:val="none"/>
        </w:rPr>
        <w:t>5.1</w:t>
      </w: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突发环境事务分级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430240749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- 11 -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2"/>
        <w:bidi w:val="0"/>
        <w:rPr>
          <w:rFonts w:ascii="Calibri" w:hAnsi="Calibri" w:cs="Times New Roman"/>
          <w:noProof/>
          <w:kern w:val="2"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/>
          <w:b w:val="0"/>
          <w:noProof/>
          <w:color w:val="000000"/>
          <w:sz w:val="30"/>
          <w:u w:val="none"/>
        </w:rPr>
        <w:t>5.2</w:t>
      </w: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基本应急程序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430240750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- 11 -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1"/>
        <w:bidi w:val="0"/>
        <w:rPr>
          <w:rFonts w:ascii="Calibri" w:hAnsi="Calibri"/>
          <w:noProof/>
          <w:szCs w:val="22"/>
        </w:rPr>
      </w:pP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第六章事故报告及通告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430240751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- 14 -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2"/>
        <w:bidi w:val="0"/>
        <w:rPr>
          <w:rFonts w:ascii="Calibri" w:hAnsi="Calibri" w:cs="Times New Roman"/>
          <w:noProof/>
          <w:kern w:val="2"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/>
          <w:b w:val="0"/>
          <w:noProof/>
          <w:color w:val="000000"/>
          <w:sz w:val="30"/>
          <w:u w:val="none"/>
        </w:rPr>
        <w:t>6.1</w:t>
      </w: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报告程序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430240752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- 14 -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3"/>
        <w:bidi w:val="0"/>
        <w:rPr>
          <w:rFonts w:ascii="Calibri" w:hAnsi="Calibri"/>
          <w:noProof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企业内部报告程序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430240753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- 14 -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3"/>
        <w:bidi w:val="0"/>
        <w:rPr>
          <w:rFonts w:ascii="Calibri" w:hAnsi="Calibri"/>
          <w:noProof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外部报告时限及程序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430240754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- 14 -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2"/>
        <w:bidi w:val="0"/>
        <w:rPr>
          <w:rFonts w:ascii="Calibri" w:hAnsi="Calibri" w:cs="Times New Roman"/>
          <w:noProof/>
          <w:kern w:val="2"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/>
          <w:b w:val="0"/>
          <w:noProof/>
          <w:color w:val="000000"/>
          <w:sz w:val="30"/>
          <w:u w:val="none"/>
        </w:rPr>
        <w:t>6.2</w:t>
      </w: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报告内容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430240755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- 15 -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3"/>
        <w:bidi w:val="0"/>
        <w:rPr>
          <w:rFonts w:ascii="Calibri" w:hAnsi="Calibri"/>
          <w:noProof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事故报告方式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430240756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- 15 -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3"/>
        <w:bidi w:val="0"/>
        <w:rPr>
          <w:rFonts w:ascii="Calibri" w:hAnsi="Calibri"/>
          <w:noProof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事故报告内容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430240757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- 15 -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2"/>
        <w:bidi w:val="0"/>
        <w:rPr>
          <w:rFonts w:ascii="Calibri" w:hAnsi="Calibri" w:cs="Times New Roman"/>
          <w:noProof/>
          <w:kern w:val="2"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/>
          <w:b w:val="0"/>
          <w:noProof/>
          <w:color w:val="000000"/>
          <w:sz w:val="30"/>
          <w:u w:val="none"/>
        </w:rPr>
        <w:t>6.3</w:t>
      </w: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通报可能影响的区域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430240758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- 16 -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2"/>
        <w:bidi w:val="0"/>
        <w:rPr>
          <w:rFonts w:ascii="Calibri" w:hAnsi="Calibri" w:cs="Times New Roman"/>
          <w:noProof/>
          <w:kern w:val="2"/>
          <w:szCs w:val="22"/>
          <w:lang w:val="en-US" w:eastAsia="zh-CN"/>
        </w:rPr>
        <w:sectPr>
          <w:type w:val="nextPage"/>
          <w:pgSz w:w="11906" w:h="16838"/>
          <w:pgMar w:top="1418" w:right="1588" w:bottom="1418" w:left="1588" w:header="851" w:footer="992" w:gutter="0"/>
          <w:pgNumType w:fmt="numberInDash" w:start="2"/>
          <w:cols w:space="720"/>
          <w:titlePg w:val="0"/>
          <w:docGrid w:type="linesAndChars" w:linePitch="312"/>
        </w:sectPr>
      </w:pPr>
      <w:r w:rsidRPr="001F46D3">
        <w:rPr>
          <w:rStyle w:val="Hyperlink"/>
          <w:rFonts w:ascii="宋体" w:eastAsia="宋体" w:hAnsi="宋体" w:cs="宋体"/>
          <w:b w:val="0"/>
          <w:noProof/>
          <w:color w:val="000000"/>
          <w:sz w:val="30"/>
          <w:u w:val="none"/>
        </w:rPr>
        <w:t xml:space="preserve">6.4 </w:t>
      </w: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二十四小时报警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430240759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- 16 -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2"/>
        <w:bidi w:val="0"/>
        <w:rPr>
          <w:rFonts w:ascii="Calibri" w:hAnsi="Calibri" w:cs="Times New Roman"/>
          <w:noProof/>
          <w:kern w:val="2"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/>
          <w:b w:val="0"/>
          <w:noProof/>
          <w:color w:val="000000"/>
          <w:sz w:val="30"/>
          <w:u w:val="none"/>
        </w:rPr>
        <w:t>6.5</w:t>
      </w: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被报告人及联系方式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430240760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- 16 -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3"/>
        <w:bidi w:val="0"/>
        <w:rPr>
          <w:rFonts w:ascii="Calibri" w:hAnsi="Calibri"/>
          <w:noProof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报警装置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430240761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- 16 -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3"/>
        <w:bidi w:val="0"/>
        <w:rPr>
          <w:rFonts w:ascii="Calibri" w:hAnsi="Calibri"/>
          <w:noProof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内部通讯联络方式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430240762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- 16 -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1"/>
        <w:bidi w:val="0"/>
        <w:rPr>
          <w:rFonts w:ascii="Calibri" w:hAnsi="Calibri"/>
          <w:noProof/>
          <w:szCs w:val="22"/>
        </w:rPr>
      </w:pP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第七章污染事故现场应急措施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430240763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- 18 -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2"/>
        <w:bidi w:val="0"/>
        <w:rPr>
          <w:rFonts w:ascii="Calibri" w:hAnsi="Calibri" w:cs="Times New Roman"/>
          <w:noProof/>
          <w:kern w:val="2"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/>
          <w:b w:val="0"/>
          <w:noProof/>
          <w:color w:val="000000"/>
          <w:sz w:val="30"/>
          <w:u w:val="none"/>
        </w:rPr>
        <w:t>7.1</w:t>
      </w: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应急物资储备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430240764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- 18 -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2"/>
        <w:bidi w:val="0"/>
        <w:rPr>
          <w:rFonts w:ascii="Calibri" w:hAnsi="Calibri" w:cs="Times New Roman"/>
          <w:noProof/>
          <w:kern w:val="2"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/>
          <w:b w:val="0"/>
          <w:noProof/>
          <w:color w:val="000000"/>
          <w:sz w:val="30"/>
          <w:u w:val="none"/>
        </w:rPr>
        <w:t>7.2</w:t>
      </w: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装备保障维护保养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430240765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- 19 -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2"/>
        <w:bidi w:val="0"/>
        <w:rPr>
          <w:rFonts w:ascii="Calibri" w:hAnsi="Calibri" w:cs="Times New Roman"/>
          <w:noProof/>
          <w:kern w:val="2"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/>
          <w:b w:val="0"/>
          <w:noProof/>
          <w:color w:val="000000"/>
          <w:sz w:val="30"/>
          <w:u w:val="none"/>
        </w:rPr>
        <w:t>7.3</w:t>
      </w: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生产过程中应急解决方案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430240766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- 19 -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3"/>
        <w:bidi w:val="0"/>
        <w:rPr>
          <w:rFonts w:ascii="Calibri" w:hAnsi="Calibri"/>
          <w:noProof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设备事故应急处理措施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430240767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- 19 -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4"/>
        <w:tabs>
          <w:tab w:val="right" w:leader="dot" w:pos="8720"/>
        </w:tabs>
        <w:bidi w:val="0"/>
        <w:rPr>
          <w:rFonts w:ascii="Calibri" w:hAnsi="Calibri"/>
          <w:noProof/>
          <w:szCs w:val="22"/>
        </w:rPr>
      </w:pP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设备事故分类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430240768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- 19 -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4"/>
        <w:tabs>
          <w:tab w:val="right" w:leader="dot" w:pos="8720"/>
        </w:tabs>
        <w:bidi w:val="0"/>
        <w:rPr>
          <w:rFonts w:ascii="Calibri" w:hAnsi="Calibri"/>
          <w:noProof/>
          <w:szCs w:val="22"/>
        </w:rPr>
      </w:pP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设备事故缘由分析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430240769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- 19 -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4"/>
        <w:tabs>
          <w:tab w:val="right" w:leader="dot" w:pos="8720"/>
        </w:tabs>
        <w:bidi w:val="0"/>
        <w:rPr>
          <w:rFonts w:ascii="Calibri" w:hAnsi="Calibri"/>
          <w:noProof/>
          <w:szCs w:val="22"/>
        </w:rPr>
      </w:pP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设备事故预防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430240770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- 20 -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4"/>
        <w:tabs>
          <w:tab w:val="right" w:leader="dot" w:pos="8720"/>
        </w:tabs>
        <w:bidi w:val="0"/>
        <w:rPr>
          <w:rFonts w:ascii="Calibri" w:hAnsi="Calibri"/>
          <w:noProof/>
          <w:szCs w:val="22"/>
        </w:rPr>
      </w:pP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实行措施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430240771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- 20 -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3"/>
        <w:bidi w:val="0"/>
        <w:rPr>
          <w:rFonts w:ascii="Calibri" w:hAnsi="Calibri"/>
          <w:noProof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/>
          <w:b w:val="0"/>
          <w:noProof/>
          <w:color w:val="000000"/>
          <w:sz w:val="30"/>
          <w:u w:val="none"/>
        </w:rPr>
        <w:t>7</w:t>
      </w: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．</w:t>
      </w:r>
      <w:r w:rsidRPr="001F46D3">
        <w:rPr>
          <w:rStyle w:val="Hyperlink"/>
          <w:rFonts w:ascii="宋体" w:eastAsia="宋体" w:hAnsi="宋体" w:cs="宋体"/>
          <w:b w:val="0"/>
          <w:noProof/>
          <w:color w:val="000000"/>
          <w:sz w:val="30"/>
          <w:u w:val="none"/>
        </w:rPr>
        <w:t>3</w:t>
      </w: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．</w:t>
      </w:r>
      <w:r w:rsidRPr="001F46D3">
        <w:rPr>
          <w:rStyle w:val="Hyperlink"/>
          <w:rFonts w:ascii="宋体" w:eastAsia="宋体" w:hAnsi="宋体" w:cs="宋体"/>
          <w:b w:val="0"/>
          <w:noProof/>
          <w:color w:val="000000"/>
          <w:sz w:val="30"/>
          <w:u w:val="none"/>
        </w:rPr>
        <w:t>2</w:t>
      </w: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事故应急处理措施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430240772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- 20 -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3"/>
        <w:bidi w:val="0"/>
        <w:rPr>
          <w:rFonts w:ascii="Calibri" w:hAnsi="Calibri"/>
          <w:noProof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紧急区隔离及平安区的设定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430240773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- 22 -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4"/>
        <w:tabs>
          <w:tab w:val="right" w:leader="dot" w:pos="8720"/>
        </w:tabs>
        <w:bidi w:val="0"/>
        <w:rPr>
          <w:rFonts w:ascii="Calibri" w:hAnsi="Calibri"/>
          <w:noProof/>
          <w:szCs w:val="22"/>
        </w:rPr>
      </w:pP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隔离区域划分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430240774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- 22 -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4"/>
        <w:tabs>
          <w:tab w:val="right" w:leader="dot" w:pos="8720"/>
        </w:tabs>
        <w:bidi w:val="0"/>
        <w:rPr>
          <w:rFonts w:ascii="Calibri" w:hAnsi="Calibri"/>
          <w:noProof/>
          <w:szCs w:val="22"/>
        </w:rPr>
      </w:pP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事故现场的隔离方法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430240775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- 22 -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4"/>
        <w:tabs>
          <w:tab w:val="right" w:leader="dot" w:pos="8720"/>
        </w:tabs>
        <w:bidi w:val="0"/>
        <w:rPr>
          <w:rFonts w:ascii="Calibri" w:hAnsi="Calibri"/>
          <w:noProof/>
          <w:szCs w:val="22"/>
        </w:rPr>
      </w:pP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事故现场周边区域的道路隔离或交通疏散方法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430240776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- 22 -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4"/>
        <w:tabs>
          <w:tab w:val="right" w:leader="dot" w:pos="8720"/>
        </w:tabs>
        <w:bidi w:val="0"/>
        <w:rPr>
          <w:rFonts w:ascii="Calibri" w:hAnsi="Calibri"/>
          <w:noProof/>
          <w:szCs w:val="22"/>
        </w:rPr>
      </w:pPr>
      <w:r w:rsidRPr="001F46D3">
        <w:rPr>
          <w:rStyle w:val="Hyperlink"/>
          <w:rFonts w:ascii="宋体" w:eastAsia="宋体" w:hAnsi="宋体" w:cs="宋体"/>
          <w:b w:val="0"/>
          <w:noProof/>
          <w:color w:val="000000"/>
          <w:sz w:val="30"/>
          <w:u w:val="none"/>
        </w:rPr>
        <w:t xml:space="preserve">7.3.3.4 </w:t>
      </w: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现场应急人员在撤离前后的报告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430240777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- 23 -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4"/>
        <w:tabs>
          <w:tab w:val="right" w:leader="dot" w:pos="8720"/>
        </w:tabs>
        <w:bidi w:val="0"/>
        <w:rPr>
          <w:rFonts w:ascii="Calibri" w:hAnsi="Calibri"/>
          <w:noProof/>
          <w:szCs w:val="22"/>
        </w:rPr>
      </w:pP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对可能产生的二次污染的处理措施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430240778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- 23 -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1"/>
        <w:bidi w:val="0"/>
        <w:rPr>
          <w:rFonts w:ascii="Calibri" w:hAnsi="Calibri"/>
          <w:noProof/>
          <w:szCs w:val="22"/>
        </w:rPr>
      </w:pP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第八章抢险救援措施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430240779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- 24 -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2"/>
        <w:bidi w:val="0"/>
        <w:rPr>
          <w:rFonts w:ascii="Calibri" w:hAnsi="Calibri" w:cs="Times New Roman"/>
          <w:noProof/>
          <w:kern w:val="2"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/>
          <w:b w:val="0"/>
          <w:noProof/>
          <w:color w:val="000000"/>
          <w:sz w:val="30"/>
          <w:u w:val="none"/>
        </w:rPr>
        <w:t>8.1</w:t>
      </w: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事故现场的抢险、救援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430240780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- 24 -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3"/>
        <w:bidi w:val="0"/>
        <w:rPr>
          <w:rFonts w:ascii="Calibri" w:hAnsi="Calibri"/>
          <w:noProof/>
          <w:szCs w:val="22"/>
          <w:lang w:val="en-US" w:eastAsia="zh-CN"/>
        </w:rPr>
        <w:sectPr>
          <w:type w:val="nextPage"/>
          <w:pgSz w:w="11906" w:h="16838"/>
          <w:pgMar w:top="1418" w:right="1588" w:bottom="1418" w:left="1588" w:header="851" w:footer="992" w:gutter="0"/>
          <w:pgNumType w:fmt="numberInDash" w:start="3"/>
          <w:cols w:space="720"/>
          <w:titlePg w:val="0"/>
          <w:docGrid w:type="linesAndChars" w:linePitch="312"/>
        </w:sectPr>
      </w:pP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人员撤离方式方法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430240781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- 24 -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3"/>
        <w:bidi w:val="0"/>
        <w:rPr>
          <w:rFonts w:ascii="Calibri" w:hAnsi="Calibri"/>
          <w:noProof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撤离路途描述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430240782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- 24 -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3"/>
        <w:bidi w:val="0"/>
        <w:rPr>
          <w:rFonts w:ascii="Calibri" w:hAnsi="Calibri"/>
          <w:noProof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非事故原发点现场人员的紧急疏散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430240783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- 25 -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3"/>
        <w:bidi w:val="0"/>
        <w:rPr>
          <w:rFonts w:ascii="Calibri" w:hAnsi="Calibri"/>
          <w:noProof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周边区域人员的疏散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430240784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- 25 -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2"/>
        <w:bidi w:val="0"/>
        <w:rPr>
          <w:rFonts w:ascii="Calibri" w:hAnsi="Calibri" w:cs="Times New Roman"/>
          <w:noProof/>
          <w:kern w:val="2"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/>
          <w:b w:val="0"/>
          <w:noProof/>
          <w:color w:val="000000"/>
          <w:sz w:val="30"/>
          <w:u w:val="none"/>
        </w:rPr>
        <w:t>8.2</w:t>
      </w: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紧急区的隔离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430240785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- 25 -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3"/>
        <w:bidi w:val="0"/>
        <w:rPr>
          <w:rFonts w:ascii="Calibri" w:hAnsi="Calibri"/>
          <w:noProof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紧急区的隔离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430240786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- 25 -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3"/>
        <w:bidi w:val="0"/>
        <w:rPr>
          <w:rFonts w:ascii="Calibri" w:hAnsi="Calibri"/>
          <w:noProof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紧急区、平安区的设定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430240787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- 25 -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3"/>
        <w:bidi w:val="0"/>
        <w:rPr>
          <w:rFonts w:ascii="Calibri" w:hAnsi="Calibri"/>
          <w:noProof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事故现场隔离区的划定方式、方法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430240788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- 25 -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4"/>
        <w:tabs>
          <w:tab w:val="right" w:leader="dot" w:pos="8720"/>
        </w:tabs>
        <w:bidi w:val="0"/>
        <w:rPr>
          <w:rFonts w:ascii="Calibri" w:hAnsi="Calibri"/>
          <w:noProof/>
          <w:szCs w:val="22"/>
        </w:rPr>
      </w:pP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事故现场隔离区的划定方式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430240789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- 25 -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4"/>
        <w:tabs>
          <w:tab w:val="right" w:leader="dot" w:pos="8720"/>
        </w:tabs>
        <w:bidi w:val="0"/>
        <w:rPr>
          <w:rFonts w:ascii="Calibri" w:hAnsi="Calibri"/>
          <w:noProof/>
          <w:szCs w:val="22"/>
        </w:rPr>
      </w:pP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事故现场隔离区的划定方法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430240790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- 25 -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2"/>
        <w:bidi w:val="0"/>
        <w:rPr>
          <w:rFonts w:ascii="Calibri" w:hAnsi="Calibri" w:cs="Times New Roman"/>
          <w:noProof/>
          <w:kern w:val="2"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/>
          <w:b w:val="0"/>
          <w:noProof/>
          <w:color w:val="000000"/>
          <w:sz w:val="30"/>
          <w:u w:val="none"/>
        </w:rPr>
        <w:t>8.3</w:t>
      </w: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现场应急人员在撤离前、撤离后的报告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430240791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- 26 -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3"/>
        <w:bidi w:val="0"/>
        <w:rPr>
          <w:rFonts w:ascii="Calibri" w:hAnsi="Calibri"/>
          <w:noProof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撤离前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430240792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- 26 -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3"/>
        <w:bidi w:val="0"/>
        <w:rPr>
          <w:rFonts w:ascii="Calibri" w:hAnsi="Calibri"/>
          <w:noProof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撤离后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430240793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- 26 -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2"/>
        <w:bidi w:val="0"/>
        <w:rPr>
          <w:rFonts w:ascii="Calibri" w:hAnsi="Calibri" w:cs="Times New Roman"/>
          <w:noProof/>
          <w:kern w:val="2"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/>
          <w:b w:val="0"/>
          <w:noProof/>
          <w:color w:val="000000"/>
          <w:sz w:val="30"/>
          <w:u w:val="none"/>
        </w:rPr>
        <w:t>8.4</w:t>
      </w: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救援人员防护、监护措施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430240794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- 26 -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3"/>
        <w:bidi w:val="0"/>
        <w:rPr>
          <w:rFonts w:ascii="Calibri" w:hAnsi="Calibri"/>
          <w:noProof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救援人员防护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430240795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- 26 -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3"/>
        <w:bidi w:val="0"/>
        <w:rPr>
          <w:rFonts w:ascii="Calibri" w:hAnsi="Calibri"/>
          <w:noProof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监护措施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430240796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- 26 -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3"/>
        <w:bidi w:val="0"/>
        <w:rPr>
          <w:rFonts w:ascii="Calibri" w:hAnsi="Calibri"/>
          <w:noProof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监护器材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430240797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- 26 -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2"/>
        <w:bidi w:val="0"/>
        <w:rPr>
          <w:rFonts w:ascii="Calibri" w:hAnsi="Calibri" w:cs="Times New Roman"/>
          <w:noProof/>
          <w:kern w:val="2"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/>
          <w:b w:val="0"/>
          <w:noProof/>
          <w:color w:val="000000"/>
          <w:sz w:val="30"/>
          <w:u w:val="none"/>
        </w:rPr>
        <w:t>8.5</w:t>
      </w: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现场实时监测及异样状况下抢险人员的撤离条件、方法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430240798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- 26 -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3"/>
        <w:bidi w:val="0"/>
        <w:rPr>
          <w:rFonts w:ascii="Calibri" w:hAnsi="Calibri"/>
          <w:noProof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撤离条件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430240799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- 26 -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3"/>
        <w:bidi w:val="0"/>
        <w:rPr>
          <w:rFonts w:ascii="Calibri" w:hAnsi="Calibri"/>
          <w:noProof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方法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430240800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- 27 -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2"/>
        <w:bidi w:val="0"/>
        <w:rPr>
          <w:rFonts w:ascii="Calibri" w:hAnsi="Calibri" w:cs="Times New Roman"/>
          <w:noProof/>
          <w:kern w:val="2"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/>
          <w:b w:val="0"/>
          <w:noProof/>
          <w:color w:val="000000"/>
          <w:sz w:val="30"/>
          <w:u w:val="none"/>
        </w:rPr>
        <w:t>8.6</w:t>
      </w: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应急救援队伍的调度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430240801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- 27 -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2"/>
        <w:bidi w:val="0"/>
        <w:rPr>
          <w:rFonts w:ascii="Calibri" w:hAnsi="Calibri" w:cs="Times New Roman"/>
          <w:noProof/>
          <w:kern w:val="2"/>
          <w:szCs w:val="22"/>
          <w:lang w:val="en-US" w:eastAsia="zh-CN"/>
        </w:rPr>
        <w:sectPr>
          <w:type w:val="nextPage"/>
          <w:pgSz w:w="11906" w:h="16838"/>
          <w:pgMar w:top="1418" w:right="1588" w:bottom="1418" w:left="1588" w:header="851" w:footer="992" w:gutter="0"/>
          <w:pgNumType w:fmt="numberInDash" w:start="4"/>
          <w:cols w:space="720"/>
          <w:titlePg w:val="0"/>
          <w:docGrid w:type="linesAndChars" w:linePitch="312"/>
        </w:sectPr>
      </w:pPr>
      <w:r w:rsidRPr="001F46D3">
        <w:rPr>
          <w:rStyle w:val="Hyperlink"/>
          <w:rFonts w:ascii="宋体" w:eastAsia="宋体" w:hAnsi="宋体" w:cs="宋体"/>
          <w:b w:val="0"/>
          <w:noProof/>
          <w:color w:val="000000"/>
          <w:sz w:val="30"/>
          <w:u w:val="none"/>
        </w:rPr>
        <w:t>8.7</w:t>
      </w: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限制事故扩大的措施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430240802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- 27 -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1"/>
        <w:bidi w:val="0"/>
        <w:rPr>
          <w:rFonts w:ascii="Calibri" w:hAnsi="Calibri"/>
          <w:noProof/>
          <w:szCs w:val="22"/>
        </w:rPr>
      </w:pP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第九章现场爱惜及现场洗消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430240803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- 28 -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2"/>
        <w:bidi w:val="0"/>
        <w:rPr>
          <w:rFonts w:ascii="Calibri" w:hAnsi="Calibri" w:cs="Times New Roman"/>
          <w:noProof/>
          <w:kern w:val="2"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/>
          <w:b w:val="0"/>
          <w:noProof/>
          <w:color w:val="000000"/>
          <w:sz w:val="30"/>
          <w:u w:val="none"/>
        </w:rPr>
        <w:t>9.1</w:t>
      </w: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事故现场的爱惜措施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430240804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- 28 -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2"/>
        <w:bidi w:val="0"/>
        <w:rPr>
          <w:rFonts w:ascii="Calibri" w:hAnsi="Calibri" w:cs="Times New Roman"/>
          <w:noProof/>
          <w:kern w:val="2"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/>
          <w:b w:val="0"/>
          <w:noProof/>
          <w:color w:val="000000"/>
          <w:sz w:val="30"/>
          <w:u w:val="none"/>
        </w:rPr>
        <w:t>9.2</w:t>
      </w: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确定现场净化方式、方法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430240805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- 28 -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2"/>
        <w:bidi w:val="0"/>
        <w:rPr>
          <w:rFonts w:ascii="Calibri" w:hAnsi="Calibri" w:cs="Times New Roman"/>
          <w:noProof/>
          <w:kern w:val="2"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/>
          <w:b w:val="0"/>
          <w:noProof/>
          <w:color w:val="000000"/>
          <w:sz w:val="30"/>
          <w:u w:val="none"/>
        </w:rPr>
        <w:t>9.3</w:t>
      </w: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明确事故现场洗消工作的负责人和专业队伍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430240806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- 28 -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2"/>
        <w:bidi w:val="0"/>
        <w:rPr>
          <w:rFonts w:ascii="Calibri" w:hAnsi="Calibri" w:cs="Times New Roman"/>
          <w:noProof/>
          <w:kern w:val="2"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/>
          <w:b w:val="0"/>
          <w:noProof/>
          <w:color w:val="000000"/>
          <w:sz w:val="30"/>
          <w:u w:val="none"/>
        </w:rPr>
        <w:t>9.4</w:t>
      </w: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洗消后的二次污染的防治方案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430240807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- 28 -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1"/>
        <w:bidi w:val="0"/>
        <w:rPr>
          <w:rFonts w:ascii="Calibri" w:hAnsi="Calibri"/>
          <w:noProof/>
          <w:szCs w:val="22"/>
        </w:rPr>
      </w:pP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第十章事故现场的复原和善后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430240808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- 29 -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2"/>
        <w:bidi w:val="0"/>
        <w:rPr>
          <w:rFonts w:ascii="Calibri" w:hAnsi="Calibri" w:cs="Times New Roman"/>
          <w:noProof/>
          <w:kern w:val="2"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/>
          <w:b w:val="0"/>
          <w:noProof/>
          <w:color w:val="000000"/>
          <w:sz w:val="30"/>
          <w:u w:val="none"/>
        </w:rPr>
        <w:t>10.1</w:t>
      </w: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撤点、撤离和交接程序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430240809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- 29 -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2"/>
        <w:bidi w:val="0"/>
        <w:rPr>
          <w:rFonts w:ascii="Calibri" w:hAnsi="Calibri" w:cs="Times New Roman"/>
          <w:noProof/>
          <w:kern w:val="2"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/>
          <w:b w:val="0"/>
          <w:noProof/>
          <w:color w:val="000000"/>
          <w:sz w:val="30"/>
          <w:u w:val="none"/>
        </w:rPr>
        <w:t>10.2</w:t>
      </w: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受影响区域的连续环境监测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430240810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- 29 -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2"/>
        <w:bidi w:val="0"/>
        <w:rPr>
          <w:rFonts w:ascii="Calibri" w:hAnsi="Calibri" w:cs="Times New Roman"/>
          <w:noProof/>
          <w:kern w:val="2"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/>
          <w:b w:val="0"/>
          <w:noProof/>
          <w:color w:val="000000"/>
          <w:sz w:val="30"/>
          <w:u w:val="none"/>
        </w:rPr>
        <w:t>10.3</w:t>
      </w: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应急终止的条件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430240811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- 29 -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2"/>
        <w:bidi w:val="0"/>
        <w:rPr>
          <w:rFonts w:ascii="Calibri" w:hAnsi="Calibri" w:cs="Times New Roman"/>
          <w:noProof/>
          <w:kern w:val="2"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/>
          <w:b w:val="0"/>
          <w:noProof/>
          <w:color w:val="000000"/>
          <w:sz w:val="30"/>
          <w:u w:val="none"/>
        </w:rPr>
        <w:t>10.4</w:t>
      </w: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事故后的生态环境措施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430240812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- 29 -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2"/>
        <w:bidi w:val="0"/>
        <w:rPr>
          <w:rFonts w:ascii="Calibri" w:hAnsi="Calibri" w:cs="Times New Roman"/>
          <w:noProof/>
          <w:kern w:val="2"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/>
          <w:b w:val="0"/>
          <w:noProof/>
          <w:color w:val="000000"/>
          <w:sz w:val="30"/>
          <w:u w:val="none"/>
        </w:rPr>
        <w:t>10.5</w:t>
      </w: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应急终止的程序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430240813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- 30 -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1"/>
        <w:bidi w:val="0"/>
        <w:rPr>
          <w:rFonts w:ascii="Calibri" w:hAnsi="Calibri"/>
          <w:noProof/>
          <w:szCs w:val="22"/>
        </w:rPr>
      </w:pP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第十一章应急终止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430240814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- 31 -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2"/>
        <w:bidi w:val="0"/>
        <w:rPr>
          <w:rFonts w:ascii="Calibri" w:hAnsi="Calibri" w:cs="Times New Roman"/>
          <w:noProof/>
          <w:kern w:val="2"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/>
          <w:b w:val="0"/>
          <w:noProof/>
          <w:color w:val="000000"/>
          <w:sz w:val="30"/>
          <w:u w:val="none"/>
        </w:rPr>
        <w:t>11.1</w:t>
      </w: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应急终止通知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430240815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- 31 -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2"/>
        <w:bidi w:val="0"/>
        <w:rPr>
          <w:rFonts w:ascii="Calibri" w:hAnsi="Calibri" w:cs="Times New Roman"/>
          <w:noProof/>
          <w:kern w:val="2"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/>
          <w:b w:val="0"/>
          <w:noProof/>
          <w:color w:val="000000"/>
          <w:sz w:val="30"/>
          <w:u w:val="none"/>
        </w:rPr>
        <w:t>11.2</w:t>
      </w: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环境应急设备维护、保养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430240816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- 31 -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2"/>
        <w:bidi w:val="0"/>
        <w:rPr>
          <w:rFonts w:ascii="Calibri" w:hAnsi="Calibri" w:cs="Times New Roman"/>
          <w:noProof/>
          <w:kern w:val="2"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/>
          <w:b w:val="0"/>
          <w:noProof/>
          <w:color w:val="000000"/>
          <w:sz w:val="30"/>
          <w:u w:val="none"/>
        </w:rPr>
        <w:t>11.3</w:t>
      </w: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应急评价过程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430240817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- 31 -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2"/>
        <w:bidi w:val="0"/>
        <w:rPr>
          <w:rFonts w:ascii="Calibri" w:hAnsi="Calibri" w:cs="Times New Roman"/>
          <w:noProof/>
          <w:kern w:val="2"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/>
          <w:b w:val="0"/>
          <w:noProof/>
          <w:color w:val="000000"/>
          <w:sz w:val="30"/>
          <w:u w:val="none"/>
        </w:rPr>
        <w:t>11.4</w:t>
      </w: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事故缘由的调查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430240818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- 32 -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2"/>
        <w:bidi w:val="0"/>
        <w:rPr>
          <w:rFonts w:ascii="Calibri" w:hAnsi="Calibri" w:cs="Times New Roman"/>
          <w:noProof/>
          <w:kern w:val="2"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/>
          <w:b w:val="0"/>
          <w:noProof/>
          <w:color w:val="000000"/>
          <w:sz w:val="30"/>
          <w:u w:val="none"/>
        </w:rPr>
        <w:t>11.5</w:t>
      </w: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环境应急总结报告的编制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430240819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- 32 -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2"/>
        <w:bidi w:val="0"/>
        <w:rPr>
          <w:rFonts w:ascii="Calibri" w:hAnsi="Calibri" w:cs="Times New Roman"/>
          <w:noProof/>
          <w:kern w:val="2"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/>
          <w:b w:val="0"/>
          <w:noProof/>
          <w:color w:val="000000"/>
          <w:sz w:val="30"/>
          <w:u w:val="none"/>
        </w:rPr>
        <w:t>11.6</w:t>
      </w: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环境污染事故应急预案修订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430240820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- 33 -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2"/>
        <w:bidi w:val="0"/>
        <w:rPr>
          <w:rFonts w:ascii="Calibri" w:hAnsi="Calibri" w:cs="Times New Roman"/>
          <w:noProof/>
          <w:kern w:val="2"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/>
          <w:b w:val="0"/>
          <w:noProof/>
          <w:color w:val="000000"/>
          <w:sz w:val="30"/>
          <w:u w:val="none"/>
        </w:rPr>
        <w:t>11.7</w:t>
      </w: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事故损失调查和责任认定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430240821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- 33 -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2"/>
        <w:bidi w:val="0"/>
        <w:rPr>
          <w:rFonts w:ascii="Calibri" w:hAnsi="Calibri" w:cs="Times New Roman"/>
          <w:noProof/>
          <w:kern w:val="2"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/>
          <w:b w:val="0"/>
          <w:noProof/>
          <w:color w:val="000000"/>
          <w:sz w:val="30"/>
          <w:u w:val="none"/>
        </w:rPr>
        <w:t>11.8</w:t>
      </w: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善后处置和保险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430240822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- 33 -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3"/>
        <w:bidi w:val="0"/>
        <w:rPr>
          <w:rFonts w:ascii="Calibri" w:hAnsi="Calibri"/>
          <w:noProof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善后处置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430240823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- 33 -</w:t>
      </w:r>
      <w:r w:rsidRPr="001F46D3">
        <w:rPr>
          <w:rStyle w:val="Hyperlink"/>
          <w:noProof/>
        </w:rPr>
        <w:fldChar w:fldCharType="end"/>
      </w:r>
    </w:p>
    <w:p w:rsidR="009A3428">
      <w:pPr>
        <w:pStyle w:val="TOC3"/>
        <w:bidi w:val="0"/>
        <w:rPr>
          <w:rFonts w:ascii="Calibri" w:hAnsi="Calibri"/>
          <w:noProof/>
          <w:szCs w:val="22"/>
          <w:lang w:val="en-US" w:eastAsia="zh-CN"/>
        </w:rPr>
      </w:pPr>
      <w:r w:rsidRPr="001F46D3">
        <w:rPr>
          <w:rStyle w:val="Hyperlink"/>
          <w:rFonts w:ascii="宋体" w:eastAsia="宋体" w:hAnsi="宋体" w:cs="宋体" w:hint="eastAsia"/>
          <w:b w:val="0"/>
          <w:noProof/>
          <w:color w:val="000000"/>
          <w:sz w:val="30"/>
          <w:u w:val="none"/>
        </w:rPr>
        <w:t>保险</w:t>
      </w:r>
      <w:r>
        <w:rPr>
          <w:noProof/>
        </w:rPr>
        <w:fldChar w:fldCharType="begin"/>
      </w:r>
      <w:r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instrText xml:space="preserve">  430240824 \h </w:instrText>
      </w:r>
      <w:r>
        <w:rPr>
          <w:noProof/>
        </w:rPr>
        <w:fldChar w:fldCharType="separate"/>
      </w:r>
      <w:r w:rsidR="00A70509">
        <w:rPr>
          <w:rFonts w:ascii="宋体" w:eastAsia="宋体" w:hAnsi="宋体" w:cs="宋体"/>
          <w:b w:val="0"/>
          <w:noProof/>
          <w:color w:val="000000"/>
          <w:sz w:val="30"/>
          <w:u w:val="none"/>
        </w:rPr>
        <w:t>- 34 -</w:t>
      </w:r>
      <w:r w:rsidRPr="001F46D3">
        <w:rPr>
          <w:rStyle w:val="Hyperlink"/>
          <w:noProof/>
        </w:rPr>
        <w:fldChar w:fldCharType="end"/>
      </w:r>
      <w:r>
        <w:rPr>
          <w:rFonts w:ascii="Calibri" w:hAnsi="Calibri"/>
          <w:noProof/>
          <w:szCs w:val="22"/>
          <w:lang w:val="en-US" w:eastAsia="zh-CN"/>
        </w:rPr>
        <w:br/>
      </w:r>
      <w:r>
        <w:rPr>
          <w:rFonts w:ascii="Calibri" w:hAnsi="Calibri"/>
          <w:noProof/>
          <w:szCs w:val="22"/>
          <w:lang w:val="en-US" w:eastAsia="zh-CN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https://d.book118.com/966151104053010040</w:t>
        </w:r>
      </w:hyperlink>
    </w:p>
    <w:p w:rsidR="009A3428">
      <w:pPr>
        <w:pStyle w:val="TOC3"/>
        <w:bidi w:val="0"/>
        <w:rPr>
          <w:rFonts w:ascii="Calibri" w:hAnsi="Calibri"/>
          <w:noProof/>
          <w:szCs w:val="22"/>
          <w:lang w:val="en-US" w:eastAsia="zh-CN"/>
        </w:rPr>
      </w:pPr>
    </w:p>
    <w:sectPr>
      <w:type w:val="nextPage"/>
      <w:pgSz w:w="11906" w:h="16838"/>
      <w:pgMar w:top="1418" w:right="1588" w:bottom="1418" w:left="1588" w:header="851" w:footer="992" w:gutter="0"/>
      <w:pgNumType w:fmt="numberInDash" w:start="5"/>
      <w:cols w:space="720"/>
      <w:titlePg w:val="0"/>
      <w:docGrid w:type="linesAndChar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仿宋_GB2312">
    <w:altName w:val="Arial Unicode MS"/>
    <w:panose1 w:val="02010609030101010101"/>
    <w:charset w:val="86"/>
    <w:family w:val="modern"/>
    <w:pitch w:val="fixed"/>
    <w:sig w:usb0="00000000" w:usb1="080E0000" w:usb2="00000010" w:usb3="00000000" w:csb0="0004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楷体_GB2312">
    <w:altName w:val="Arial Unicode MS"/>
    <w:panose1 w:val="02010609030101010101"/>
    <w:charset w:val="86"/>
    <w:family w:val="modern"/>
    <w:pitch w:val="fixed"/>
    <w:sig w:usb0="00000000" w:usb1="080E0000" w:usb2="00000010" w:usb3="00000000" w:csb0="00040000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decimalEnclosedCircle"/>
      <w:lvlText w:val="%1"/>
      <w:lvlJc w:val="left"/>
      <w:pPr>
        <w:tabs>
          <w:tab w:val="num" w:pos="920"/>
        </w:tabs>
        <w:ind w:left="9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1">
    <w:nsid w:val="00000004"/>
    <w:multiLevelType w:val="multilevel"/>
    <w:tmpl w:val="00000004"/>
    <w:lvl w:ilvl="0">
      <w:start w:val="1"/>
      <w:numFmt w:val="decimalEnclosedCircle"/>
      <w:lvlText w:val="%1"/>
      <w:lvlJc w:val="left"/>
      <w:pPr>
        <w:tabs>
          <w:tab w:val="num" w:pos="920"/>
        </w:tabs>
        <w:ind w:left="9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2">
    <w:nsid w:val="00000008"/>
    <w:multiLevelType w:val="singleLevel"/>
    <w:tmpl w:val="00000008"/>
    <w:lvl w:ilvl="0">
      <w:start w:val="1"/>
      <w:numFmt w:val="decimal"/>
      <w:suff w:val="nothing"/>
      <w:lvlText w:val="%1."/>
      <w:lvlJc w:val="left"/>
    </w:lvl>
  </w:abstractNum>
  <w:abstractNum w:abstractNumId="3">
    <w:nsid w:val="00000009"/>
    <w:multiLevelType w:val="multilevel"/>
    <w:tmpl w:val="00000009"/>
    <w:lvl w:ilvl="0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0000000A"/>
    <w:multiLevelType w:val="singleLevel"/>
    <w:tmpl w:val="0000000A"/>
    <w:lvl w:ilvl="0">
      <w:start w:val="1"/>
      <w:numFmt w:val="decimal"/>
      <w:suff w:val="nothing"/>
      <w:lvlText w:val="%1、"/>
      <w:lvlJc w:val="left"/>
    </w:lvl>
  </w:abstractNum>
  <w:abstractNum w:abstractNumId="5">
    <w:nsid w:val="0000000F"/>
    <w:multiLevelType w:val="singleLevel"/>
    <w:tmpl w:val="0000000F"/>
    <w:lvl w:ilvl="0">
      <w:start w:val="1"/>
      <w:numFmt w:val="decimal"/>
      <w:suff w:val="nothing"/>
      <w:lvlText w:val="（%1）"/>
      <w:lvlJc w:val="left"/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2073C"/>
    <w:rsid w:val="00027C78"/>
    <w:rsid w:val="000800AA"/>
    <w:rsid w:val="001222C1"/>
    <w:rsid w:val="001422D1"/>
    <w:rsid w:val="001474EE"/>
    <w:rsid w:val="001D0E24"/>
    <w:rsid w:val="001F46D3"/>
    <w:rsid w:val="00266C60"/>
    <w:rsid w:val="00281A53"/>
    <w:rsid w:val="002D3A81"/>
    <w:rsid w:val="002E04C1"/>
    <w:rsid w:val="00386C65"/>
    <w:rsid w:val="003F4806"/>
    <w:rsid w:val="004857AE"/>
    <w:rsid w:val="004A0BD8"/>
    <w:rsid w:val="004B6E2D"/>
    <w:rsid w:val="004C209C"/>
    <w:rsid w:val="00515B1D"/>
    <w:rsid w:val="005F01E1"/>
    <w:rsid w:val="005F71B0"/>
    <w:rsid w:val="00622A5B"/>
    <w:rsid w:val="00672B67"/>
    <w:rsid w:val="00715487"/>
    <w:rsid w:val="00772FD6"/>
    <w:rsid w:val="007D1C64"/>
    <w:rsid w:val="008220BE"/>
    <w:rsid w:val="00851087"/>
    <w:rsid w:val="0086444B"/>
    <w:rsid w:val="0089704F"/>
    <w:rsid w:val="008C2678"/>
    <w:rsid w:val="0095620C"/>
    <w:rsid w:val="00971C9A"/>
    <w:rsid w:val="00983B5A"/>
    <w:rsid w:val="009A3428"/>
    <w:rsid w:val="009B1090"/>
    <w:rsid w:val="00A05A46"/>
    <w:rsid w:val="00A228BC"/>
    <w:rsid w:val="00A70509"/>
    <w:rsid w:val="00A7499A"/>
    <w:rsid w:val="00A90D0B"/>
    <w:rsid w:val="00AE0280"/>
    <w:rsid w:val="00B61FF7"/>
    <w:rsid w:val="00BF1C00"/>
    <w:rsid w:val="00C15711"/>
    <w:rsid w:val="00C34D69"/>
    <w:rsid w:val="00C435B8"/>
    <w:rsid w:val="00D17524"/>
    <w:rsid w:val="00D7471E"/>
    <w:rsid w:val="00DE05E0"/>
    <w:rsid w:val="00E17E33"/>
    <w:rsid w:val="00E4526A"/>
    <w:rsid w:val="00E66894"/>
    <w:rsid w:val="00E90FE2"/>
    <w:rsid w:val="00F3328B"/>
    <w:rsid w:val="00F53D0A"/>
    <w:rsid w:val="00F9425A"/>
    <w:rsid w:val="00FD58DA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32"/>
      <w:szCs w:val="44"/>
    </w:rPr>
  </w:style>
  <w:style w:type="paragraph" w:styleId="Heading2">
    <w:name w:val="heading 2"/>
    <w:basedOn w:val="Normal"/>
    <w:next w:val="Normal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/>
      <w:b/>
      <w:bCs/>
      <w:kern w:val="2"/>
      <w:sz w:val="32"/>
      <w:szCs w:val="32"/>
      <w:lang w:val="en-US" w:eastAsia="zh-CN" w:bidi="ar-SA"/>
    </w:rPr>
  </w:style>
  <w:style w:type="paragraph" w:styleId="Heading3">
    <w:name w:val="heading 3"/>
    <w:basedOn w:val="Normal"/>
    <w:next w:val="NormalIndent"/>
    <w:qFormat/>
    <w:pPr>
      <w:keepNext/>
      <w:keepLines/>
      <w:adjustRightInd w:val="0"/>
      <w:spacing w:line="360" w:lineRule="auto"/>
      <w:outlineLvl w:val="2"/>
    </w:pPr>
    <w:rPr>
      <w:b/>
      <w:kern w:val="0"/>
      <w:szCs w:val="20"/>
    </w:rPr>
  </w:style>
  <w:style w:type="paragraph" w:styleId="Heading4">
    <w:name w:val="heading 4"/>
    <w:basedOn w:val="Normal"/>
    <w:next w:val="Normal"/>
    <w:qFormat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bCs/>
      <w:szCs w:val="28"/>
    </w:rPr>
  </w:style>
  <w:style w:type="paragraph" w:styleId="Heading5">
    <w:name w:val="heading 5"/>
    <w:basedOn w:val="Normal"/>
    <w:next w:val="Normal"/>
    <w:link w:val="5Char"/>
    <w:uiPriority w:val="9"/>
    <w:semiHidden/>
    <w:unhideWhenUsed/>
    <w:qFormat/>
    <w:rsid w:val="008C2678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2Char">
    <w:name w:val="标题 2 Char"/>
    <w:basedOn w:val="DefaultParagraphFont"/>
    <w:link w:val="Heading2"/>
    <w:rPr>
      <w:rFonts w:ascii="Arial" w:eastAsia="黑体" w:hAnsi="Arial"/>
      <w:b/>
      <w:bCs/>
      <w:kern w:val="2"/>
      <w:sz w:val="32"/>
      <w:szCs w:val="32"/>
      <w:lang w:val="en-US" w:eastAsia="zh-CN" w:bidi="ar-SA"/>
    </w:rPr>
  </w:style>
  <w:style w:type="paragraph" w:styleId="NormalIndent">
    <w:name w:val="Normal Indent"/>
    <w:basedOn w:val="Normal"/>
    <w:pPr>
      <w:ind w:firstLine="420"/>
    </w:pPr>
    <w:rPr>
      <w:sz w:val="21"/>
    </w:rPr>
  </w:style>
  <w:style w:type="character" w:customStyle="1" w:styleId="5Char">
    <w:name w:val="标题 5 Char"/>
    <w:basedOn w:val="DefaultParagraphFont"/>
    <w:link w:val="Heading5"/>
    <w:uiPriority w:val="9"/>
    <w:semiHidden/>
    <w:rsid w:val="008C2678"/>
    <w:rPr>
      <w:b/>
      <w:bCs/>
      <w:kern w:val="2"/>
      <w:sz w:val="28"/>
      <w:szCs w:val="28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character" w:styleId="PageNumber">
    <w:name w:val="page number"/>
    <w:basedOn w:val="DefaultParagraphFont"/>
  </w:style>
  <w:style w:type="character" w:styleId="Hyperlink">
    <w:name w:val="Hyperlink"/>
    <w:basedOn w:val="DefaultParagraphFont"/>
    <w:uiPriority w:val="99"/>
    <w:rPr>
      <w:color w:val="0000FF"/>
      <w:u w:val="single"/>
    </w:rPr>
  </w:style>
  <w:style w:type="character" w:customStyle="1" w:styleId="m310">
    <w:name w:val="m_310"/>
    <w:basedOn w:val="DefaultParagraphFont"/>
    <w:rPr/>
  </w:style>
  <w:style w:type="character" w:customStyle="1" w:styleId="m381">
    <w:name w:val="m_381"/>
    <w:basedOn w:val="DefaultParagraphFont"/>
    <w:rPr/>
  </w:style>
  <w:style w:type="character" w:customStyle="1" w:styleId="m71">
    <w:name w:val="m_71"/>
    <w:basedOn w:val="DefaultParagraphFont"/>
    <w:rPr/>
  </w:style>
  <w:style w:type="character" w:customStyle="1" w:styleId="CharChar">
    <w:name w:val="表格 Char Char"/>
    <w:basedOn w:val="DefaultParagraphFont"/>
    <w:link w:val="a"/>
    <w:rPr>
      <w:rFonts w:eastAsia="宋体" w:cs="宋体"/>
      <w:kern w:val="2"/>
      <w:sz w:val="24"/>
      <w:lang w:val="en-US" w:eastAsia="zh-CN" w:bidi="ar-SA"/>
    </w:rPr>
  </w:style>
  <w:style w:type="paragraph" w:customStyle="1" w:styleId="a">
    <w:name w:val="表格"/>
    <w:basedOn w:val="Normal"/>
    <w:link w:val="CharChar"/>
    <w:pPr>
      <w:jc w:val="center"/>
    </w:pPr>
    <w:rPr>
      <w:rFonts w:eastAsia="宋体" w:cs="宋体"/>
      <w:kern w:val="2"/>
      <w:sz w:val="24"/>
      <w:lang w:val="en-US" w:eastAsia="zh-CN" w:bidi="ar-SA"/>
    </w:rPr>
  </w:style>
  <w:style w:type="character" w:customStyle="1" w:styleId="Char">
    <w:name w:val="纯文本 Char"/>
    <w:basedOn w:val="DefaultParagraphFont"/>
    <w:link w:val="PlainText"/>
    <w:rPr>
      <w:rFonts w:ascii="宋体" w:eastAsia="宋体" w:hAnsi="Courier New"/>
      <w:kern w:val="2"/>
      <w:sz w:val="24"/>
      <w:lang w:val="en-US" w:eastAsia="zh-CN" w:bidi="ar-SA"/>
    </w:rPr>
  </w:style>
  <w:style w:type="paragraph" w:styleId="PlainText">
    <w:name w:val="Plain Text"/>
    <w:basedOn w:val="Normal"/>
    <w:link w:val="Char"/>
    <w:rPr>
      <w:rFonts w:ascii="宋体" w:eastAsia="宋体" w:hAnsi="Courier New"/>
      <w:kern w:val="2"/>
      <w:sz w:val="24"/>
      <w:lang w:val="en-US" w:eastAsia="zh-CN" w:bidi="ar-SA"/>
    </w:rPr>
  </w:style>
  <w:style w:type="character" w:customStyle="1" w:styleId="m301">
    <w:name w:val="m_301"/>
    <w:basedOn w:val="DefaultParagraphFont"/>
    <w:rPr/>
  </w:style>
  <w:style w:type="character" w:customStyle="1" w:styleId="m331">
    <w:name w:val="m_331"/>
    <w:basedOn w:val="DefaultParagraphFont"/>
    <w:rPr/>
  </w:style>
  <w:style w:type="character" w:customStyle="1" w:styleId="m121">
    <w:name w:val="m_121"/>
    <w:basedOn w:val="DefaultParagraphFont"/>
    <w:rPr/>
  </w:style>
  <w:style w:type="paragraph" w:styleId="BodyTextIndent">
    <w:name w:val="Body Text Indent"/>
    <w:basedOn w:val="Normal"/>
    <w:pPr>
      <w:spacing w:line="360" w:lineRule="auto"/>
      <w:ind w:firstLine="480"/>
    </w:pPr>
    <w:rPr>
      <w:rFonts w:cs="Arial"/>
      <w:sz w:val="24"/>
    </w:rPr>
  </w:style>
  <w:style w:type="paragraph" w:styleId="BodyTextIndent3">
    <w:name w:val="Body Text Indent 3"/>
    <w:basedOn w:val="Normal"/>
    <w:pPr>
      <w:spacing w:after="120"/>
      <w:ind w:left="420"/>
    </w:pPr>
    <w:rPr>
      <w:sz w:val="16"/>
      <w:szCs w:val="16"/>
    </w:rPr>
  </w:style>
  <w:style w:type="paragraph" w:styleId="Header">
    <w:name w:val="header"/>
    <w:basedOn w:val="Normal"/>
    <w:pPr>
      <w:pBdr>
        <w:bottom w:val="thinThickSmallGap" w:sz="12" w:space="1" w:color="auto"/>
      </w:pBdr>
      <w:tabs>
        <w:tab w:val="center" w:pos="4153"/>
        <w:tab w:val="right" w:pos="8306"/>
      </w:tabs>
      <w:snapToGrid w:val="0"/>
      <w:jc w:val="center"/>
    </w:pPr>
    <w:rPr>
      <w:rFonts w:eastAsia="楷体_GB2312"/>
      <w:sz w:val="21"/>
      <w:szCs w:val="18"/>
    </w:rPr>
  </w:style>
  <w:style w:type="paragraph" w:styleId="DocumentMap">
    <w:name w:val="Document Map"/>
    <w:basedOn w:val="Normal"/>
    <w:pPr>
      <w:shd w:val="clear" w:color="auto" w:fill="000080"/>
    </w:pPr>
    <w:rPr>
      <w:sz w:val="21"/>
    </w:rPr>
  </w:style>
  <w:style w:type="paragraph" w:styleId="Date">
    <w:name w:val="Date"/>
    <w:basedOn w:val="Normal"/>
    <w:next w:val="Normal"/>
    <w:rPr>
      <w:rFonts w:ascii="宋体" w:eastAsia="宋体"/>
      <w:kern w:val="2"/>
      <w:sz w:val="24"/>
      <w:lang w:val="en-US" w:eastAsia="zh-CN" w:bidi="ar-SA"/>
    </w:rPr>
  </w:style>
  <w:style w:type="paragraph" w:styleId="TOC2">
    <w:name w:val="toc 2"/>
    <w:basedOn w:val="Normal"/>
    <w:next w:val="Normal"/>
    <w:uiPriority w:val="39"/>
    <w:pPr>
      <w:tabs>
        <w:tab w:val="right" w:leader="dot" w:pos="8296"/>
      </w:tabs>
      <w:ind w:left="420" w:firstLine="420"/>
    </w:pPr>
    <w:rPr>
      <w:rFonts w:ascii="宋体" w:hAnsi="宋体" w:cs="宋体"/>
      <w:kern w:val="0"/>
    </w:r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Indent2">
    <w:name w:val="Body Text Indent 2"/>
    <w:basedOn w:val="Normal"/>
    <w:pPr>
      <w:spacing w:after="120" w:line="480" w:lineRule="auto"/>
      <w:ind w:left="420"/>
    </w:pPr>
    <w:rPr>
      <w:sz w:val="21"/>
    </w:rPr>
  </w:style>
  <w:style w:type="paragraph" w:styleId="TOC1">
    <w:name w:val="toc 1"/>
    <w:basedOn w:val="Normal"/>
    <w:next w:val="Normal"/>
    <w:uiPriority w:val="39"/>
    <w:pPr>
      <w:tabs>
        <w:tab w:val="right" w:leader="dot" w:pos="8296"/>
      </w:tabs>
    </w:pPr>
    <w:rPr>
      <w:sz w:val="21"/>
    </w:rPr>
  </w:style>
  <w:style w:type="paragraph" w:styleId="TOC3">
    <w:name w:val="toc 3"/>
    <w:basedOn w:val="Normal"/>
    <w:next w:val="Normal"/>
    <w:uiPriority w:val="39"/>
    <w:pPr>
      <w:tabs>
        <w:tab w:val="right" w:leader="dot" w:pos="8296"/>
      </w:tabs>
      <w:ind w:left="840"/>
    </w:pPr>
    <w:rPr>
      <w:rFonts w:ascii="宋体" w:hAnsi="宋体"/>
    </w:rPr>
  </w:style>
  <w:style w:type="paragraph" w:styleId="Footer">
    <w:name w:val="footer"/>
    <w:basedOn w:val="Normal"/>
    <w:pPr>
      <w:pBdr>
        <w:top w:val="thickThinSmallGap" w:sz="12" w:space="1" w:color="auto"/>
      </w:pBdr>
      <w:tabs>
        <w:tab w:val="center" w:pos="4153"/>
        <w:tab w:val="right" w:pos="8306"/>
      </w:tabs>
      <w:snapToGrid w:val="0"/>
      <w:jc w:val="left"/>
    </w:pPr>
    <w:rPr>
      <w:rFonts w:eastAsia="楷体_GB2312"/>
      <w:sz w:val="21"/>
      <w:szCs w:val="18"/>
    </w:rPr>
  </w:style>
  <w:style w:type="paragraph" w:styleId="HTMLPreformatted">
    <w:name w:val="HTML Preformatted"/>
    <w:basedOn w:val="Normal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cs="Arial"/>
      <w:kern w:val="0"/>
      <w:sz w:val="24"/>
    </w:rPr>
  </w:style>
  <w:style w:type="paragraph" w:styleId="BalloonText">
    <w:name w:val="Balloon Text"/>
    <w:basedOn w:val="Normal"/>
    <w:rPr>
      <w:sz w:val="18"/>
      <w:szCs w:val="18"/>
    </w:rPr>
  </w:style>
  <w:style w:type="paragraph" w:styleId="BodyText3">
    <w:name w:val="Body Text 3"/>
    <w:basedOn w:val="Normal"/>
    <w:pPr>
      <w:spacing w:after="120"/>
    </w:pPr>
    <w:rPr>
      <w:sz w:val="16"/>
      <w:szCs w:val="16"/>
    </w:rPr>
  </w:style>
  <w:style w:type="paragraph" w:styleId="BodyText">
    <w:name w:val="Body Text"/>
    <w:basedOn w:val="Normal"/>
    <w:pPr>
      <w:spacing w:after="120"/>
    </w:pPr>
    <w:rPr>
      <w:sz w:val="21"/>
    </w:rPr>
  </w:style>
  <w:style w:type="paragraph" w:customStyle="1" w:styleId="a0">
    <w:name w:val="表格文字"/>
    <w:basedOn w:val="Normal"/>
    <w:next w:val="Normal"/>
    <w:pPr>
      <w:tabs>
        <w:tab w:val="left" w:pos="2880"/>
        <w:tab w:val="left" w:pos="7380"/>
      </w:tabs>
      <w:snapToGrid w:val="0"/>
      <w:spacing w:line="240" w:lineRule="atLeast"/>
      <w:ind w:right="22"/>
      <w:jc w:val="center"/>
    </w:pPr>
    <w:rPr>
      <w:position w:val="-26"/>
      <w:szCs w:val="20"/>
    </w:rPr>
  </w:style>
  <w:style w:type="paragraph" w:customStyle="1" w:styleId="pic-info">
    <w:name w:val="pic-info"/>
    <w:basedOn w:val="Normal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1">
    <w:name w:val="样式 ＠正文 + 首行缩进:  2 字符1"/>
    <w:basedOn w:val="Normal"/>
    <w:pPr>
      <w:spacing w:line="460" w:lineRule="exact"/>
      <w:ind w:firstLine="562"/>
      <w:jc w:val="left"/>
    </w:pPr>
    <w:rPr>
      <w:rFonts w:ascii="仿宋_GB2312" w:eastAsia="仿宋_GB2312"/>
      <w:kern w:val="0"/>
      <w:sz w:val="28"/>
      <w:szCs w:val="20"/>
    </w:rPr>
  </w:style>
  <w:style w:type="paragraph" w:customStyle="1" w:styleId="xl34">
    <w:name w:val="xl34"/>
    <w:basedOn w:val="Normal"/>
    <w:pPr>
      <w:widowControl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 w:val="24"/>
    </w:rPr>
  </w:style>
  <w:style w:type="paragraph" w:customStyle="1" w:styleId="3">
    <w:name w:val="样式3"/>
    <w:basedOn w:val="Normal"/>
    <w:pPr>
      <w:tabs>
        <w:tab w:val="left" w:pos="2745"/>
      </w:tabs>
      <w:spacing w:line="360" w:lineRule="auto"/>
    </w:pPr>
    <w:rPr>
      <w:rFonts w:ascii="宋体" w:hAnsi="宋体"/>
      <w:b/>
      <w:sz w:val="30"/>
      <w:szCs w:val="30"/>
    </w:rPr>
  </w:style>
  <w:style w:type="paragraph" w:customStyle="1" w:styleId="1">
    <w:name w:val="样式1"/>
    <w:basedOn w:val="Heading4"/>
    <w:pPr>
      <w:keepNext w:val="0"/>
      <w:keepLines w:val="0"/>
      <w:adjustRightInd w:val="0"/>
      <w:snapToGrid w:val="0"/>
      <w:spacing w:before="0" w:after="0" w:line="320" w:lineRule="exact"/>
      <w:jc w:val="center"/>
      <w:outlineLvl w:val="9"/>
    </w:pPr>
    <w:rPr>
      <w:rFonts w:ascii="宋体" w:eastAsia="宋体" w:hAnsi="Times New Roman"/>
      <w:b w:val="0"/>
      <w:sz w:val="21"/>
      <w:szCs w:val="24"/>
    </w:rPr>
  </w:style>
  <w:style w:type="paragraph" w:customStyle="1" w:styleId="CharCharCharCharCharCharChar">
    <w:name w:val=" Char Char Char Char Char Char Char"/>
    <w:basedOn w:val="Normal"/>
    <w:next w:val="Normal"/>
    <w:pPr>
      <w:keepNext/>
      <w:keepLines/>
      <w:widowControl/>
      <w:adjustRightInd w:val="0"/>
      <w:spacing w:before="40" w:after="40" w:line="360" w:lineRule="auto"/>
      <w:ind w:firstLine="200"/>
      <w:textAlignment w:val="baseline"/>
    </w:pPr>
  </w:style>
  <w:style w:type="paragraph" w:customStyle="1" w:styleId="2">
    <w:name w:val="样式2"/>
    <w:basedOn w:val="Footer"/>
    <w:pPr>
      <w:tabs>
        <w:tab w:val="center" w:pos="4153"/>
        <w:tab w:val="right" w:pos="8306"/>
      </w:tabs>
    </w:pPr>
    <w:rPr>
      <w:kern w:val="0"/>
    </w:rPr>
  </w:style>
  <w:style w:type="paragraph" w:customStyle="1" w:styleId="a1">
    <w:name w:val="标题 一"/>
    <w:basedOn w:val="Normal"/>
  </w:style>
  <w:style w:type="paragraph" w:customStyle="1" w:styleId="a2">
    <w:name w:val="简单回函地址"/>
    <w:basedOn w:val="Normal"/>
    <w:rPr>
      <w:szCs w:val="20"/>
    </w:rPr>
  </w:style>
  <w:style w:type="paragraph" w:customStyle="1" w:styleId="Char0">
    <w:name w:val="Char"/>
    <w:basedOn w:val="Normal"/>
    <w:pPr>
      <w:snapToGrid w:val="0"/>
      <w:spacing w:line="360" w:lineRule="auto"/>
      <w:ind w:firstLine="529"/>
    </w:pPr>
    <w:rPr>
      <w:rFonts w:ascii="宋体" w:hAnsi="宋体"/>
      <w:b/>
      <w:sz w:val="21"/>
    </w:rPr>
  </w:style>
  <w:style w:type="paragraph" w:customStyle="1" w:styleId="Char1">
    <w:name w:val=" Char"/>
    <w:basedOn w:val="Normal"/>
    <w:rPr>
      <w:sz w:val="21"/>
    </w:rPr>
  </w:style>
  <w:style w:type="paragraph" w:customStyle="1" w:styleId="444">
    <w:name w:val="444"/>
    <w:basedOn w:val="NormalIndent"/>
    <w:pPr>
      <w:spacing w:line="460" w:lineRule="exact"/>
      <w:ind w:firstLine="480"/>
    </w:pPr>
    <w:rPr>
      <w:rFonts w:hAnsi="宋体"/>
      <w:sz w:val="24"/>
    </w:rPr>
  </w:style>
  <w:style w:type="paragraph" w:customStyle="1" w:styleId="a3">
    <w:name w:val="山焦报告正文"/>
    <w:basedOn w:val="Normal"/>
    <w:pPr>
      <w:adjustRightInd w:val="0"/>
      <w:snapToGrid w:val="0"/>
      <w:spacing w:before="78" w:line="440" w:lineRule="exact"/>
      <w:ind w:firstLine="200"/>
    </w:pPr>
    <w:rPr>
      <w:color w:val="000000"/>
      <w:sz w:val="24"/>
    </w:rPr>
  </w:style>
  <w:style w:type="paragraph" w:customStyle="1" w:styleId="a4">
    <w:name w:val="表头"/>
    <w:basedOn w:val="Normal"/>
    <w:next w:val="Normal"/>
    <w:pPr>
      <w:snapToGrid w:val="0"/>
      <w:spacing w:before="120" w:after="120" w:line="480" w:lineRule="exact"/>
      <w:jc w:val="center"/>
    </w:pPr>
    <w:rPr>
      <w:b/>
      <w:kern w:val="32"/>
      <w:sz w:val="24"/>
      <w:szCs w:val="20"/>
    </w:rPr>
  </w:style>
  <w:style w:type="paragraph" w:customStyle="1" w:styleId="a5">
    <w:name w:val="段落"/>
    <w:basedOn w:val="Normal"/>
    <w:pPr>
      <w:spacing w:line="420" w:lineRule="exact"/>
      <w:ind w:firstLine="480"/>
    </w:pPr>
    <w:rPr>
      <w:rFonts w:ascii="Calibri" w:hAnsi="Calibri" w:cs="宋体"/>
      <w:sz w:val="24"/>
      <w:szCs w:val="20"/>
    </w:rPr>
  </w:style>
  <w:style w:type="paragraph" w:customStyle="1" w:styleId="10">
    <w:name w:val="表格样式1"/>
    <w:basedOn w:val="Normal"/>
    <w:pPr>
      <w:adjustRightInd w:val="0"/>
      <w:spacing w:line="20" w:lineRule="atLeast"/>
      <w:jc w:val="center"/>
      <w:textAlignment w:val="baseline"/>
    </w:pPr>
    <w:rPr>
      <w:rFonts w:ascii="宋体"/>
      <w:kern w:val="0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D474E1"/>
    <w:pPr>
      <w:ind w:left="126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6615110405301004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Normal.do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