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90" w:line="235" w:lineRule="auto"/>
        <w:ind w:left="979"/>
        <w:rPr>
          <w:rFonts w:ascii="YouYuan" w:eastAsia="YouYuan" w:hAnsi="YouYuan" w:cs="YouYuan"/>
          <w:sz w:val="59"/>
          <w:szCs w:val="59"/>
        </w:rPr>
      </w:pPr>
      <w:r>
        <w:drawing>
          <wp:anchor distT="0" distB="0" distL="0" distR="0" simplePos="0" relativeHeight="251660288" behindDoc="0" locked="0" layoutInCell="0" allowOverlap="1">
            <wp:simplePos x="0" y="0"/>
            <wp:positionH relativeFrom="page">
              <wp:posOffset>419132</wp:posOffset>
            </wp:positionH>
            <wp:positionV relativeFrom="page">
              <wp:posOffset>2470154</wp:posOffset>
            </wp:positionV>
            <wp:extent cx="194940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1949400"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14pt;height:114.95pt;margin-top:424.17pt;margin-left:5.28pt;mso-position-horizontal-relative:page;mso-position-vertical-relative:page;position:absolute;z-index:251661312" o:allowincell="f" filled="f" stroked="f">
            <o:lock v:ext="edit" aspectratio="f"/>
            <v:textbox style="layout-flow:vertical-ideographic" inset="0,0,0,0">
              <w:txbxContent>
                <w:p>
                  <w:pPr>
                    <w:spacing w:before="19" w:line="215" w:lineRule="auto"/>
                    <w:ind w:left="20"/>
                    <w:rPr>
                      <w:rFonts w:ascii="SimSun" w:eastAsia="SimSun" w:hAnsi="SimSun" w:cs="SimSun"/>
                      <w:sz w:val="20"/>
                      <w:szCs w:val="20"/>
                    </w:rPr>
                  </w:pPr>
                  <w:r>
                    <w:rPr>
                      <w:rFonts w:ascii="SimSun" w:eastAsia="SimSun" w:hAnsi="SimSun" w:cs="SimSun"/>
                      <w:spacing w:val="25"/>
                      <w:sz w:val="20"/>
                      <w:szCs w:val="20"/>
                    </w:rPr>
                    <w:t>开源证券证券研究报告</w:t>
                  </w:r>
                </w:p>
              </w:txbxContent>
            </v:textbox>
          </v:shape>
        </w:pict>
      </w:r>
      <w:r>
        <w:pict>
          <v:shape id="_x0000_s1026" type="#_x0000_t202" style="width:25pt;height:170pt;margin-top:0.03pt;margin-left:0;position:absolute;z-index:251658240" filled="t" fillcolor="#8cb2e1" stroked="f">
            <o:lock v:ext="edit" aspectratio="f"/>
            <v:textbox style="layout-flow:vertical-ideographic" inset="0,0,0,0">
              <w:txbxContent>
                <w:p>
                  <w:pPr>
                    <w:pStyle w:val="BodyText"/>
                    <w:spacing w:before="114" w:line="231" w:lineRule="auto"/>
                    <w:ind w:left="1241"/>
                    <w:rPr>
                      <w:sz w:val="20"/>
                      <w:szCs w:val="20"/>
                    </w:rPr>
                  </w:pPr>
                  <w:r>
                    <w:rPr>
                      <w:spacing w:val="23"/>
                      <w:sz w:val="20"/>
                      <w:szCs w:val="20"/>
                    </w:rPr>
                    <w:t>行业研究</w:t>
                  </w:r>
                </w:p>
              </w:txbxContent>
            </v:textbox>
          </v:shape>
        </w:pict>
      </w:r>
      <w:r>
        <w:pict>
          <v:shape id="_x0000_s1027" type="#_x0000_t202" style="width:24.5pt;height:160.5pt;margin-top:173.5pt;margin-left:0;mso-position-horizontal-relative:page;mso-position-vertical-relative:page;position:absolute;z-index:251659264" o:allowincell="f" filled="t" fillcolor="#c63f2c" stroked="f">
            <o:lock v:ext="edit" aspectratio="f"/>
            <v:textbox style="layout-flow:vertical-ideographic" inset="0,0,0,0">
              <w:txbxContent>
                <w:p>
                  <w:pPr>
                    <w:pStyle w:val="BodyText"/>
                    <w:spacing w:before="103" w:line="230" w:lineRule="auto"/>
                    <w:ind w:left="870"/>
                    <w:rPr>
                      <w:sz w:val="20"/>
                      <w:szCs w:val="20"/>
                    </w:rPr>
                  </w:pPr>
                  <w:r>
                    <w:rPr>
                      <w:spacing w:val="17"/>
                      <w:sz w:val="20"/>
                      <w:szCs w:val="20"/>
                    </w:rPr>
                    <w:t>行业深度报告</w:t>
                  </w:r>
                </w:p>
              </w:txbxContent>
            </v:textbox>
          </v:shape>
        </w:pict>
      </w:r>
      <w:r>
        <w:rPr>
          <w:rFonts w:ascii="YouYuan" w:eastAsia="YouYuan" w:hAnsi="YouYuan" w:cs="YouYuan"/>
          <w:position w:val="-21"/>
          <w:sz w:val="59"/>
          <w:szCs w:val="59"/>
        </w:rPr>
        <w:drawing>
          <wp:inline distT="0" distB="0" distL="0" distR="0">
            <wp:extent cx="565171" cy="50173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565171" cy="501734"/>
                    </a:xfrm>
                    <a:prstGeom prst="rect">
                      <a:avLst/>
                    </a:prstGeom>
                  </pic:spPr>
                </pic:pic>
              </a:graphicData>
            </a:graphic>
          </wp:inline>
        </w:drawing>
      </w:r>
      <w:r>
        <w:rPr>
          <w:rFonts w:ascii="YouYuan" w:eastAsia="YouYuan" w:hAnsi="YouYuan" w:cs="YouYuan"/>
          <w:b/>
          <w:bCs/>
          <w:spacing w:val="41"/>
          <w:sz w:val="59"/>
          <w:szCs w:val="59"/>
        </w:rPr>
        <w:t>开源证券</w:t>
      </w:r>
    </w:p>
    <w:p>
      <w:pPr>
        <w:pStyle w:val="BodyText"/>
        <w:spacing w:before="28" w:line="229" w:lineRule="auto"/>
        <w:ind w:left="9884"/>
        <w:rPr>
          <w:sz w:val="22"/>
          <w:szCs w:val="22"/>
        </w:rPr>
      </w:pPr>
      <w:r>
        <w:drawing>
          <wp:anchor distT="0" distB="0" distL="0" distR="0" simplePos="0" relativeHeight="251662336" behindDoc="0" locked="0" layoutInCell="1" allowOverlap="1">
            <wp:simplePos x="0" y="0"/>
            <wp:positionH relativeFrom="column">
              <wp:posOffset>450822</wp:posOffset>
            </wp:positionH>
            <wp:positionV relativeFrom="paragraph">
              <wp:posOffset>150854</wp:posOffset>
            </wp:positionV>
            <wp:extent cx="6616630" cy="6984"/>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6616630" cy="6984"/>
                    </a:xfrm>
                    <a:prstGeom prst="rect">
                      <a:avLst/>
                    </a:prstGeom>
                  </pic:spPr>
                </pic:pic>
              </a:graphicData>
            </a:graphic>
          </wp:anchor>
        </w:drawing>
      </w:r>
      <w:r>
        <w:rPr>
          <w:b/>
          <w:bCs/>
          <w:spacing w:val="-7"/>
          <w:sz w:val="22"/>
          <w:szCs w:val="22"/>
        </w:rPr>
        <w:t>非</w:t>
      </w:r>
      <w:r>
        <w:rPr>
          <w:spacing w:val="25"/>
          <w:sz w:val="22"/>
          <w:szCs w:val="22"/>
        </w:rPr>
        <w:t xml:space="preserve"> </w:t>
      </w:r>
      <w:r>
        <w:rPr>
          <w:b/>
          <w:bCs/>
          <w:spacing w:val="-7"/>
          <w:sz w:val="22"/>
          <w:szCs w:val="22"/>
        </w:rPr>
        <w:t>银</w:t>
      </w:r>
      <w:r>
        <w:rPr>
          <w:spacing w:val="15"/>
          <w:sz w:val="22"/>
          <w:szCs w:val="22"/>
        </w:rPr>
        <w:t xml:space="preserve"> </w:t>
      </w:r>
      <w:r>
        <w:rPr>
          <w:b/>
          <w:bCs/>
          <w:spacing w:val="-7"/>
          <w:sz w:val="22"/>
          <w:szCs w:val="22"/>
        </w:rPr>
        <w:t>金</w:t>
      </w:r>
      <w:r>
        <w:rPr>
          <w:spacing w:val="33"/>
          <w:sz w:val="22"/>
          <w:szCs w:val="22"/>
        </w:rPr>
        <w:t xml:space="preserve"> </w:t>
      </w:r>
      <w:r>
        <w:rPr>
          <w:b/>
          <w:bCs/>
          <w:spacing w:val="-7"/>
          <w:sz w:val="22"/>
          <w:szCs w:val="22"/>
        </w:rPr>
        <w:t>融</w:t>
      </w:r>
    </w:p>
    <w:p>
      <w:pPr>
        <w:spacing w:line="157" w:lineRule="exact"/>
      </w:pPr>
    </w:p>
    <w:p>
      <w:pPr>
        <w:spacing w:line="157" w:lineRule="exact"/>
        <w:sectPr>
          <w:footerReference w:type="default" r:id="rId7"/>
          <w:pgSz w:w="11910" w:h="16840"/>
          <w:pgMar w:top="9" w:right="679" w:bottom="1150" w:left="0" w:header="0" w:footer="862" w:gutter="0"/>
          <w:cols w:num="1" w:space="708" w:equalWidth="0">
            <w:col w:w="11231" w:space="0"/>
          </w:cols>
        </w:sectPr>
      </w:pPr>
    </w:p>
    <w:p>
      <w:pPr>
        <w:pStyle w:val="BodyText"/>
        <w:spacing w:before="112" w:line="229" w:lineRule="auto"/>
        <w:ind w:left="713"/>
        <w:rPr>
          <w:sz w:val="28"/>
          <w:szCs w:val="28"/>
        </w:rPr>
      </w:pPr>
      <w:r>
        <w:rPr>
          <w:b/>
          <w:bCs/>
          <w:spacing w:val="-6"/>
          <w:sz w:val="28"/>
          <w:szCs w:val="28"/>
        </w:rPr>
        <w:t>非银金融</w:t>
      </w:r>
    </w:p>
    <w:p>
      <w:pPr>
        <w:pStyle w:val="BodyText"/>
        <w:spacing w:before="136" w:line="225" w:lineRule="auto"/>
        <w:ind w:left="709"/>
        <w:rPr>
          <w:sz w:val="18"/>
          <w:szCs w:val="18"/>
        </w:rPr>
      </w:pPr>
      <w:r>
        <w:rPr>
          <w:spacing w:val="-6"/>
          <w:sz w:val="18"/>
          <w:szCs w:val="18"/>
        </w:rPr>
        <w:t>2</w:t>
      </w:r>
      <w:r>
        <w:rPr>
          <w:spacing w:val="-29"/>
          <w:sz w:val="18"/>
          <w:szCs w:val="18"/>
        </w:rPr>
        <w:t xml:space="preserve"> </w:t>
      </w:r>
      <w:r>
        <w:rPr>
          <w:spacing w:val="-6"/>
          <w:sz w:val="18"/>
          <w:szCs w:val="18"/>
        </w:rPr>
        <w:t>0</w:t>
      </w:r>
      <w:r>
        <w:rPr>
          <w:spacing w:val="-28"/>
          <w:sz w:val="18"/>
          <w:szCs w:val="18"/>
        </w:rPr>
        <w:t xml:space="preserve"> </w:t>
      </w:r>
      <w:r>
        <w:rPr>
          <w:spacing w:val="-6"/>
          <w:sz w:val="18"/>
          <w:szCs w:val="18"/>
        </w:rPr>
        <w:t>2</w:t>
      </w:r>
      <w:r>
        <w:rPr>
          <w:spacing w:val="-32"/>
          <w:sz w:val="18"/>
          <w:szCs w:val="18"/>
        </w:rPr>
        <w:t xml:space="preserve"> </w:t>
      </w:r>
      <w:r>
        <w:rPr>
          <w:spacing w:val="-6"/>
          <w:sz w:val="18"/>
          <w:szCs w:val="18"/>
        </w:rPr>
        <w:t>4</w:t>
      </w:r>
      <w:r>
        <w:rPr>
          <w:spacing w:val="-26"/>
          <w:sz w:val="18"/>
          <w:szCs w:val="18"/>
        </w:rPr>
        <w:t xml:space="preserve"> </w:t>
      </w:r>
      <w:r>
        <w:rPr>
          <w:spacing w:val="-6"/>
          <w:sz w:val="18"/>
          <w:szCs w:val="18"/>
        </w:rPr>
        <w:t>年</w:t>
      </w:r>
      <w:r>
        <w:rPr>
          <w:spacing w:val="-29"/>
          <w:sz w:val="18"/>
          <w:szCs w:val="18"/>
        </w:rPr>
        <w:t xml:space="preserve"> </w:t>
      </w:r>
      <w:r>
        <w:rPr>
          <w:spacing w:val="-6"/>
          <w:sz w:val="18"/>
          <w:szCs w:val="18"/>
        </w:rPr>
        <w:t>0</w:t>
      </w:r>
      <w:r>
        <w:rPr>
          <w:spacing w:val="-27"/>
          <w:sz w:val="18"/>
          <w:szCs w:val="18"/>
        </w:rPr>
        <w:t xml:space="preserve"> </w:t>
      </w:r>
      <w:r>
        <w:rPr>
          <w:spacing w:val="-6"/>
          <w:sz w:val="18"/>
          <w:szCs w:val="18"/>
        </w:rPr>
        <w:t>3</w:t>
      </w:r>
      <w:r>
        <w:rPr>
          <w:spacing w:val="-18"/>
          <w:sz w:val="18"/>
          <w:szCs w:val="18"/>
        </w:rPr>
        <w:t xml:space="preserve"> </w:t>
      </w:r>
      <w:r>
        <w:rPr>
          <w:spacing w:val="-6"/>
          <w:sz w:val="18"/>
          <w:szCs w:val="18"/>
        </w:rPr>
        <w:t>月</w:t>
      </w:r>
      <w:r>
        <w:rPr>
          <w:spacing w:val="-28"/>
          <w:sz w:val="18"/>
          <w:szCs w:val="18"/>
        </w:rPr>
        <w:t xml:space="preserve"> </w:t>
      </w:r>
      <w:r>
        <w:rPr>
          <w:spacing w:val="-6"/>
          <w:sz w:val="18"/>
          <w:szCs w:val="18"/>
        </w:rPr>
        <w:t>0</w:t>
      </w:r>
      <w:r>
        <w:rPr>
          <w:spacing w:val="-30"/>
          <w:sz w:val="18"/>
          <w:szCs w:val="18"/>
        </w:rPr>
        <w:t xml:space="preserve"> </w:t>
      </w:r>
      <w:r>
        <w:rPr>
          <w:spacing w:val="-6"/>
          <w:sz w:val="18"/>
          <w:szCs w:val="18"/>
        </w:rPr>
        <w:t>8</w:t>
      </w:r>
      <w:r>
        <w:rPr>
          <w:spacing w:val="12"/>
          <w:sz w:val="18"/>
          <w:szCs w:val="18"/>
        </w:rPr>
        <w:t xml:space="preserve"> </w:t>
      </w:r>
      <w:r>
        <w:rPr>
          <w:spacing w:val="-6"/>
          <w:sz w:val="18"/>
          <w:szCs w:val="18"/>
        </w:rPr>
        <w:t>日</w:t>
      </w:r>
    </w:p>
    <w:p>
      <w:pPr>
        <w:spacing w:line="454" w:lineRule="auto"/>
        <w:rPr>
          <w:rFonts w:ascii="Arial"/>
          <w:sz w:val="21"/>
        </w:rPr>
      </w:pPr>
    </w:p>
    <w:p>
      <w:pPr>
        <w:pStyle w:val="BodyText"/>
        <w:spacing w:before="69" w:line="635" w:lineRule="exact"/>
        <w:ind w:left="712"/>
      </w:pPr>
      <w:r>
        <w:rPr>
          <w:b/>
          <w:bCs/>
          <w:spacing w:val="36"/>
          <w:position w:val="33"/>
        </w:rPr>
        <w:t>投资评级：看好(维持)</w:t>
      </w:r>
    </w:p>
    <w:p>
      <w:pPr>
        <w:pStyle w:val="BodyText"/>
        <w:spacing w:line="227" w:lineRule="auto"/>
        <w:ind w:left="712"/>
      </w:pPr>
      <w:r>
        <w:rPr>
          <w:b/>
          <w:bCs/>
          <w:spacing w:val="21"/>
        </w:rPr>
        <w:t>行业走势图</w:t>
      </w:r>
    </w:p>
    <w:p>
      <w:pPr>
        <w:spacing w:line="323" w:lineRule="auto"/>
        <w:rPr>
          <w:rFonts w:ascii="Arial"/>
          <w:sz w:val="21"/>
        </w:rPr>
      </w:pPr>
    </w:p>
    <w:p>
      <w:pPr>
        <w:spacing w:before="1" w:line="1850" w:lineRule="exact"/>
        <w:ind w:firstLine="560"/>
      </w:pPr>
      <w:r>
        <w:rPr>
          <w:position w:val="-37"/>
        </w:rPr>
        <w:drawing>
          <wp:inline distT="0" distB="0" distL="0" distR="0">
            <wp:extent cx="1930417" cy="1174776"/>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1930417" cy="1174776"/>
                    </a:xfrm>
                    <a:prstGeom prst="rect">
                      <a:avLst/>
                    </a:prstGeom>
                  </pic:spPr>
                </pic:pic>
              </a:graphicData>
            </a:graphic>
          </wp:inline>
        </w:drawing>
      </w:r>
    </w:p>
    <w:p>
      <w:pPr>
        <w:pStyle w:val="BodyText"/>
        <w:spacing w:before="143" w:line="222" w:lineRule="auto"/>
        <w:ind w:left="709"/>
        <w:rPr>
          <w:sz w:val="18"/>
          <w:szCs w:val="18"/>
        </w:rPr>
      </w:pPr>
      <w:r>
        <w:rPr>
          <w:spacing w:val="-17"/>
          <w:sz w:val="18"/>
          <w:szCs w:val="18"/>
        </w:rPr>
        <w:t>数据来源：聚源</w:t>
      </w:r>
    </w:p>
    <w:p>
      <w:pPr>
        <w:pStyle w:val="BodyText"/>
        <w:spacing w:before="221" w:line="450" w:lineRule="exact"/>
        <w:ind w:firstLine="560"/>
      </w:pPr>
      <w:r>
        <w:rPr>
          <w:position w:val="-8"/>
        </w:rPr>
        <w:pict>
          <v:shape id="_x0000_i1028" type="#_x0000_t202" style="width:155pt;height:22.5pt;mso-position-horizontal-relative:char;mso-position-vertical-relative:line" filled="t" fillcolor="#214877" stroked="f">
            <o:lock v:ext="edit" aspectratio="f"/>
            <v:textbox inset="0,0,0,0">
              <w:txbxContent>
                <w:p>
                  <w:pPr>
                    <w:spacing w:before="168" w:line="229" w:lineRule="auto"/>
                    <w:ind w:left="873"/>
                    <w:rPr>
                      <w:rFonts w:ascii="KaiTi" w:eastAsia="KaiTi" w:hAnsi="KaiTi" w:cs="KaiTi"/>
                      <w:sz w:val="21"/>
                      <w:szCs w:val="21"/>
                    </w:rPr>
                  </w:pPr>
                  <w:r>
                    <w:rPr>
                      <w:rFonts w:ascii="KaiTi" w:eastAsia="KaiTi" w:hAnsi="KaiTi" w:cs="KaiTi"/>
                      <w:b/>
                      <w:bCs/>
                      <w:color w:val="FFFFFF"/>
                      <w:spacing w:val="24"/>
                      <w:sz w:val="21"/>
                      <w:szCs w:val="21"/>
                    </w:rPr>
                    <w:t>相关研究报告</w:t>
                  </w:r>
                </w:p>
              </w:txbxContent>
            </v:textbox>
            <w10:wrap type="none"/>
          </v:shape>
        </w:pict>
      </w:r>
    </w:p>
    <w:p>
      <w:pPr>
        <w:pStyle w:val="BodyText"/>
        <w:spacing w:before="209" w:line="268" w:lineRule="auto"/>
        <w:ind w:left="709" w:right="140" w:firstLine="10"/>
        <w:rPr>
          <w:sz w:val="18"/>
          <w:szCs w:val="18"/>
        </w:rPr>
      </w:pPr>
      <w:r>
        <w:rPr>
          <w:spacing w:val="2"/>
          <w:sz w:val="18"/>
          <w:szCs w:val="18"/>
        </w:rPr>
        <w:t>《交易量突破万亿，继续看好互联网</w:t>
      </w:r>
      <w:r>
        <w:rPr>
          <w:spacing w:val="7"/>
          <w:sz w:val="18"/>
          <w:szCs w:val="18"/>
        </w:rPr>
        <w:t xml:space="preserve"> </w:t>
      </w:r>
      <w:r>
        <w:rPr>
          <w:spacing w:val="-8"/>
          <w:sz w:val="18"/>
          <w:szCs w:val="18"/>
        </w:rPr>
        <w:t>券商和寿险—行业周报》-2024.3.3</w:t>
      </w:r>
    </w:p>
    <w:p>
      <w:pPr>
        <w:pStyle w:val="BodyText"/>
        <w:spacing w:before="78" w:line="252" w:lineRule="auto"/>
        <w:ind w:left="709" w:right="120" w:firstLine="10"/>
        <w:rPr>
          <w:sz w:val="18"/>
          <w:szCs w:val="18"/>
        </w:rPr>
      </w:pPr>
      <w:r>
        <w:rPr>
          <w:spacing w:val="3"/>
          <w:sz w:val="18"/>
          <w:szCs w:val="18"/>
        </w:rPr>
        <w:t>《严监管信号提振投资者信心，看好</w:t>
      </w:r>
      <w:r>
        <w:rPr>
          <w:spacing w:val="10"/>
          <w:sz w:val="18"/>
          <w:szCs w:val="18"/>
        </w:rPr>
        <w:t xml:space="preserve"> </w:t>
      </w:r>
      <w:r>
        <w:rPr>
          <w:spacing w:val="24"/>
          <w:sz w:val="18"/>
          <w:szCs w:val="18"/>
        </w:rPr>
        <w:t>互联网券商和寿险</w:t>
      </w:r>
      <w:r>
        <w:rPr>
          <w:spacing w:val="-51"/>
          <w:sz w:val="18"/>
          <w:szCs w:val="18"/>
        </w:rPr>
        <w:t xml:space="preserve"> </w:t>
      </w:r>
      <w:r>
        <w:rPr>
          <w:spacing w:val="24"/>
          <w:sz w:val="18"/>
          <w:szCs w:val="18"/>
        </w:rPr>
        <w:t>—</w:t>
      </w:r>
      <w:r>
        <w:rPr>
          <w:spacing w:val="-46"/>
          <w:sz w:val="18"/>
          <w:szCs w:val="18"/>
        </w:rPr>
        <w:t xml:space="preserve"> </w:t>
      </w:r>
      <w:r>
        <w:rPr>
          <w:spacing w:val="24"/>
          <w:sz w:val="18"/>
          <w:szCs w:val="18"/>
        </w:rPr>
        <w:t>行业周报》</w:t>
      </w:r>
    </w:p>
    <w:p>
      <w:pPr>
        <w:spacing w:line="14" w:lineRule="auto"/>
        <w:rPr>
          <w:rFonts w:ascii="Arial"/>
          <w:sz w:val="2"/>
        </w:rPr>
      </w:pPr>
      <w:r>
        <w:rPr>
          <w:rFonts w:ascii="Arial" w:eastAsia="Arial" w:hAnsi="Arial" w:cs="Arial"/>
          <w:sz w:val="2"/>
          <w:szCs w:val="2"/>
        </w:rPr>
        <w:br w:type="column"/>
      </w:r>
    </w:p>
    <w:p>
      <w:pPr>
        <w:pStyle w:val="BodyText"/>
        <w:spacing w:before="65" w:line="220" w:lineRule="auto"/>
        <w:ind w:left="24"/>
        <w:rPr>
          <w:sz w:val="32"/>
          <w:szCs w:val="32"/>
        </w:rPr>
      </w:pPr>
      <w:r>
        <w:rPr>
          <w:b/>
          <w:bCs/>
          <w:spacing w:val="-4"/>
          <w:sz w:val="32"/>
          <w:szCs w:val="32"/>
        </w:rPr>
        <w:t>促进投融资动态平衡，养老金入市空间广阔</w:t>
      </w:r>
    </w:p>
    <w:p>
      <w:pPr>
        <w:pStyle w:val="BodyText"/>
        <w:spacing w:before="261" w:line="229" w:lineRule="auto"/>
        <w:ind w:left="5023"/>
        <w:rPr>
          <w:sz w:val="28"/>
          <w:szCs w:val="28"/>
        </w:rPr>
      </w:pPr>
      <w:r>
        <w:rPr>
          <w:b/>
          <w:bCs/>
          <w:spacing w:val="-1"/>
          <w:sz w:val="28"/>
          <w:szCs w:val="28"/>
        </w:rPr>
        <w:t>——行业深度报告</w:t>
      </w:r>
    </w:p>
    <w:p>
      <w:pPr>
        <w:spacing w:line="104" w:lineRule="exact"/>
      </w:pPr>
    </w:p>
    <w:tbl>
      <w:tblPr>
        <w:tblStyle w:val="TableNormal"/>
        <w:tblW w:w="7350" w:type="dxa"/>
        <w:tblInd w:w="0" w:type="dxa"/>
        <w:tblBorders>
          <w:top w:val="nil"/>
          <w:left w:val="nil"/>
          <w:bottom w:val="nil"/>
          <w:right w:val="nil"/>
          <w:insideH w:val="nil"/>
          <w:insideV w:val="nil"/>
        </w:tblBorders>
        <w:tblLayout w:type="fixed"/>
      </w:tblPr>
      <w:tblGrid>
        <w:gridCol w:w="1991"/>
        <w:gridCol w:w="5359"/>
      </w:tblGrid>
      <w:tr>
        <w:tblPrEx>
          <w:tblW w:w="7350" w:type="dxa"/>
          <w:tblInd w:w="0" w:type="dxa"/>
          <w:tblBorders>
            <w:top w:val="nil"/>
            <w:left w:val="nil"/>
            <w:bottom w:val="nil"/>
            <w:right w:val="nil"/>
            <w:insideH w:val="nil"/>
            <w:insideV w:val="nil"/>
          </w:tblBorders>
          <w:tblLayout w:type="fixed"/>
        </w:tblPrEx>
        <w:trPr>
          <w:trHeight w:val="880"/>
        </w:trPr>
        <w:tc>
          <w:tcPr>
            <w:tcW w:w="1991" w:type="dxa"/>
            <w:tcBorders>
              <w:top w:val="single" w:sz="2" w:space="0" w:color="000000"/>
              <w:bottom w:val="single" w:sz="2" w:space="0" w:color="000000"/>
            </w:tcBorders>
            <w:vAlign w:val="top"/>
          </w:tcPr>
          <w:p>
            <w:pPr>
              <w:spacing w:before="158" w:line="225" w:lineRule="auto"/>
              <w:ind w:left="23"/>
              <w:rPr>
                <w:rFonts w:ascii="KaiTi" w:eastAsia="KaiTi" w:hAnsi="KaiTi" w:cs="KaiTi"/>
                <w:sz w:val="21"/>
                <w:szCs w:val="21"/>
              </w:rPr>
            </w:pPr>
            <w:r>
              <w:rPr>
                <w:rFonts w:ascii="KaiTi" w:eastAsia="KaiTi" w:hAnsi="KaiTi" w:cs="KaiTi"/>
                <w:b/>
                <w:bCs/>
                <w:spacing w:val="15"/>
                <w:sz w:val="21"/>
                <w:szCs w:val="21"/>
              </w:rPr>
              <w:t>高超(分析师)</w:t>
            </w:r>
          </w:p>
          <w:p>
            <w:pPr>
              <w:pStyle w:val="TableText"/>
              <w:spacing w:before="85" w:line="183" w:lineRule="auto"/>
              <w:ind w:left="20"/>
            </w:pPr>
            <w:r>
              <w:rPr>
                <w:spacing w:val="-3"/>
              </w:rPr>
              <w:t xml:space="preserve">gaochaol@kysec </w:t>
            </w:r>
            <w:r>
              <w:rPr>
                <w:rFonts w:ascii="SimSun" w:eastAsia="SimSun" w:hAnsi="SimSun" w:cs="SimSun"/>
                <w:color w:val="B45A00"/>
                <w:spacing w:val="-3"/>
              </w:rPr>
              <w:t>.</w:t>
            </w:r>
            <w:r>
              <w:rPr>
                <w:spacing w:val="-3"/>
              </w:rPr>
              <w:t>cn</w:t>
            </w:r>
          </w:p>
          <w:p>
            <w:pPr>
              <w:pStyle w:val="TableText"/>
              <w:spacing w:before="13" w:line="183" w:lineRule="auto"/>
              <w:ind w:left="20"/>
            </w:pPr>
            <w:r>
              <w:rPr>
                <w:rFonts w:ascii="SimSun" w:eastAsia="SimSun" w:hAnsi="SimSun" w:cs="SimSun"/>
                <w:spacing w:val="-17"/>
                <w:w w:val="96"/>
              </w:rPr>
              <w:t>证书编号：</w:t>
            </w:r>
            <w:r>
              <w:rPr>
                <w:rFonts w:ascii="SimSun" w:eastAsia="SimSun" w:hAnsi="SimSun" w:cs="SimSun"/>
                <w:spacing w:val="-9"/>
              </w:rPr>
              <w:t xml:space="preserve"> </w:t>
            </w:r>
            <w:r>
              <w:rPr>
                <w:spacing w:val="-17"/>
                <w:w w:val="96"/>
              </w:rPr>
              <w:t>S0790520050001</w:t>
            </w:r>
          </w:p>
        </w:tc>
        <w:tc>
          <w:tcPr>
            <w:tcW w:w="5359" w:type="dxa"/>
            <w:tcBorders>
              <w:top w:val="single" w:sz="2" w:space="0" w:color="000000"/>
              <w:bottom w:val="single" w:sz="2" w:space="0" w:color="000000"/>
            </w:tcBorders>
            <w:vAlign w:val="top"/>
          </w:tcPr>
          <w:p>
            <w:pPr>
              <w:spacing w:before="165" w:line="223" w:lineRule="auto"/>
              <w:ind w:left="611"/>
              <w:rPr>
                <w:rFonts w:ascii="KaiTi" w:eastAsia="KaiTi" w:hAnsi="KaiTi" w:cs="KaiTi"/>
                <w:sz w:val="21"/>
                <w:szCs w:val="21"/>
              </w:rPr>
            </w:pPr>
            <w:r>
              <w:rPr>
                <w:rFonts w:ascii="KaiTi" w:eastAsia="KaiTi" w:hAnsi="KaiTi" w:cs="KaiTi"/>
                <w:b/>
                <w:bCs/>
                <w:spacing w:val="13"/>
                <w:sz w:val="21"/>
                <w:szCs w:val="21"/>
              </w:rPr>
              <w:t>唐关勇(联系人)</w:t>
            </w:r>
          </w:p>
          <w:p>
            <w:pPr>
              <w:pStyle w:val="TableText"/>
              <w:spacing w:before="80" w:line="192" w:lineRule="auto"/>
              <w:ind w:left="568"/>
            </w:pPr>
            <w:r>
              <w:rPr>
                <w:spacing w:val="-1"/>
              </w:rPr>
              <w:t>tangguanyong@kysec.cn</w:t>
            </w:r>
          </w:p>
          <w:p>
            <w:pPr>
              <w:pStyle w:val="TableText"/>
              <w:spacing w:before="26" w:line="183" w:lineRule="auto"/>
              <w:ind w:left="220"/>
            </w:pPr>
            <w:r>
              <w:rPr>
                <w:rFonts w:ascii="SimSun" w:eastAsia="SimSun" w:hAnsi="SimSun" w:cs="SimSun"/>
                <w:spacing w:val="-9"/>
              </w:rPr>
              <w:t>证</w:t>
            </w:r>
            <w:r>
              <w:rPr>
                <w:rFonts w:ascii="SimSun" w:eastAsia="SimSun" w:hAnsi="SimSun" w:cs="SimSun"/>
                <w:spacing w:val="-6"/>
              </w:rPr>
              <w:t xml:space="preserve"> </w:t>
            </w:r>
            <w:r>
              <w:rPr>
                <w:rFonts w:ascii="SimSun" w:eastAsia="SimSun" w:hAnsi="SimSun" w:cs="SimSun"/>
                <w:spacing w:val="-9"/>
              </w:rPr>
              <w:t>书</w:t>
            </w:r>
            <w:r>
              <w:rPr>
                <w:rFonts w:ascii="SimSun" w:eastAsia="SimSun" w:hAnsi="SimSun" w:cs="SimSun"/>
                <w:spacing w:val="-20"/>
              </w:rPr>
              <w:t xml:space="preserve"> </w:t>
            </w:r>
            <w:r>
              <w:rPr>
                <w:rFonts w:ascii="SimSun" w:eastAsia="SimSun" w:hAnsi="SimSun" w:cs="SimSun"/>
                <w:spacing w:val="-9"/>
              </w:rPr>
              <w:t>编 号 ：</w:t>
            </w:r>
            <w:r>
              <w:rPr>
                <w:spacing w:val="-9"/>
              </w:rPr>
              <w:t>S</w:t>
            </w:r>
            <w:r>
              <w:rPr>
                <w:spacing w:val="23"/>
              </w:rPr>
              <w:t xml:space="preserve"> </w:t>
            </w:r>
            <w:r>
              <w:rPr>
                <w:spacing w:val="-9"/>
              </w:rPr>
              <w:t>0</w:t>
            </w:r>
            <w:r>
              <w:rPr>
                <w:spacing w:val="23"/>
                <w:w w:val="101"/>
              </w:rPr>
              <w:t xml:space="preserve"> </w:t>
            </w:r>
            <w:r>
              <w:rPr>
                <w:spacing w:val="-9"/>
              </w:rPr>
              <w:t>7</w:t>
            </w:r>
            <w:r>
              <w:rPr>
                <w:spacing w:val="23"/>
                <w:w w:val="101"/>
              </w:rPr>
              <w:t xml:space="preserve"> </w:t>
            </w:r>
            <w:r>
              <w:rPr>
                <w:spacing w:val="-9"/>
              </w:rPr>
              <w:t>9</w:t>
            </w:r>
            <w:r>
              <w:rPr>
                <w:spacing w:val="23"/>
              </w:rPr>
              <w:t xml:space="preserve"> </w:t>
            </w:r>
            <w:r>
              <w:rPr>
                <w:spacing w:val="-9"/>
              </w:rPr>
              <w:t>0</w:t>
            </w:r>
            <w:r>
              <w:rPr>
                <w:spacing w:val="37"/>
                <w:w w:val="102"/>
              </w:rPr>
              <w:t xml:space="preserve"> </w:t>
            </w:r>
            <w:r>
              <w:rPr>
                <w:spacing w:val="-9"/>
              </w:rPr>
              <w:t>1</w:t>
            </w:r>
            <w:r>
              <w:rPr>
                <w:spacing w:val="20"/>
              </w:rPr>
              <w:t xml:space="preserve"> </w:t>
            </w:r>
            <w:r>
              <w:rPr>
                <w:spacing w:val="-9"/>
              </w:rPr>
              <w:t>2</w:t>
            </w:r>
            <w:r>
              <w:rPr>
                <w:spacing w:val="24"/>
              </w:rPr>
              <w:t xml:space="preserve"> </w:t>
            </w:r>
            <w:r>
              <w:rPr>
                <w:spacing w:val="-9"/>
              </w:rPr>
              <w:t>3</w:t>
            </w:r>
            <w:r>
              <w:rPr>
                <w:spacing w:val="23"/>
              </w:rPr>
              <w:t xml:space="preserve"> </w:t>
            </w:r>
            <w:r>
              <w:rPr>
                <w:spacing w:val="-9"/>
              </w:rPr>
              <w:t>0</w:t>
            </w:r>
            <w:r>
              <w:rPr>
                <w:spacing w:val="23"/>
              </w:rPr>
              <w:t xml:space="preserve"> </w:t>
            </w:r>
            <w:r>
              <w:rPr>
                <w:spacing w:val="-9"/>
              </w:rPr>
              <w:t>7</w:t>
            </w:r>
            <w:r>
              <w:rPr>
                <w:spacing w:val="23"/>
              </w:rPr>
              <w:t xml:space="preserve"> </w:t>
            </w:r>
            <w:r>
              <w:rPr>
                <w:spacing w:val="-9"/>
              </w:rPr>
              <w:t>0</w:t>
            </w:r>
            <w:r>
              <w:rPr>
                <w:spacing w:val="23"/>
              </w:rPr>
              <w:t xml:space="preserve"> </w:t>
            </w:r>
            <w:r>
              <w:rPr>
                <w:spacing w:val="-9"/>
              </w:rPr>
              <w:t>0</w:t>
            </w:r>
            <w:r>
              <w:rPr>
                <w:spacing w:val="24"/>
              </w:rPr>
              <w:t xml:space="preserve"> </w:t>
            </w:r>
            <w:r>
              <w:rPr>
                <w:spacing w:val="-9"/>
              </w:rPr>
              <w:t>3</w:t>
            </w:r>
            <w:r>
              <w:rPr>
                <w:spacing w:val="23"/>
              </w:rPr>
              <w:t xml:space="preserve"> </w:t>
            </w:r>
            <w:r>
              <w:rPr>
                <w:spacing w:val="-9"/>
              </w:rPr>
              <w:t>0</w:t>
            </w:r>
          </w:p>
        </w:tc>
      </w:tr>
    </w:tbl>
    <w:p>
      <w:pPr>
        <w:pStyle w:val="BodyText"/>
        <w:spacing w:before="197" w:line="207" w:lineRule="auto"/>
        <w:ind w:left="23"/>
      </w:pPr>
      <w:r>
        <w:rPr>
          <w:b/>
          <w:bCs/>
          <w:color w:val="C00000"/>
          <w:spacing w:val="-2"/>
        </w:rPr>
        <w:t>●促进资本市场投融资动态平衡，养老金入市空间广阔</w:t>
      </w:r>
    </w:p>
    <w:p>
      <w:pPr>
        <w:pStyle w:val="BodyText"/>
        <w:spacing w:before="1" w:line="225" w:lineRule="auto"/>
        <w:ind w:left="20" w:right="13" w:firstLine="122"/>
        <w:jc w:val="both"/>
      </w:pPr>
      <w:r>
        <w:rPr>
          <w:b/>
          <w:bCs/>
          <w:spacing w:val="1"/>
        </w:rPr>
        <w:t>(1)当前我国养老金入市具备必然性与可行性。</w:t>
      </w:r>
      <w:r>
        <w:rPr>
          <w:spacing w:val="1"/>
        </w:rPr>
        <w:t>人口老龄化加速</w:t>
      </w:r>
      <w:r>
        <w:t>带来负债端压</w:t>
      </w:r>
      <w:r>
        <w:t xml:space="preserve">  </w:t>
      </w:r>
      <w:r>
        <w:rPr>
          <w:spacing w:val="-3"/>
        </w:rPr>
        <w:t>力，长端利率下行带来风险资产需求。根据全国社保基</w:t>
      </w:r>
      <w:r>
        <w:rPr>
          <w:spacing w:val="-4"/>
        </w:rPr>
        <w:t>金理事会研究，全球公共</w:t>
      </w:r>
      <w:r>
        <w:rPr>
          <w:spacing w:val="-4"/>
        </w:rPr>
        <w:t xml:space="preserve"> </w:t>
      </w:r>
      <w:r>
        <w:rPr>
          <w:spacing w:val="-1"/>
        </w:rPr>
        <w:t>和私人养老基金权益配置的提升与其长期投资收益率长期存在明显正相关关系。</w:t>
      </w:r>
      <w:r>
        <w:t xml:space="preserve"> </w:t>
      </w:r>
      <w:r>
        <w:rPr>
          <w:spacing w:val="-1"/>
        </w:rPr>
        <w:t>养老金入市有望降低资本市场波动，从而进一步吸引居民财富向权</w:t>
      </w:r>
      <w:r>
        <w:rPr>
          <w:spacing w:val="-2"/>
        </w:rPr>
        <w:t>益市场迁移。</w:t>
      </w:r>
    </w:p>
    <w:p>
      <w:pPr>
        <w:pStyle w:val="BodyText"/>
        <w:spacing w:before="9" w:line="228" w:lineRule="auto"/>
        <w:ind w:left="20" w:right="74" w:firstLine="122"/>
        <w:jc w:val="both"/>
      </w:pPr>
      <w:r>
        <w:rPr>
          <w:b/>
          <w:bCs/>
        </w:rPr>
        <w:t>(2)政策方向：促进投融资动态平衡为主基调，关注资本市场投资端改革行动</w:t>
      </w:r>
      <w:r>
        <w:rPr>
          <w:spacing w:val="18"/>
        </w:rPr>
        <w:t xml:space="preserve"> </w:t>
      </w:r>
      <w:r>
        <w:rPr>
          <w:b/>
          <w:bCs/>
          <w:spacing w:val="5"/>
        </w:rPr>
        <w:t>方案落地。</w:t>
      </w:r>
      <w:r>
        <w:rPr>
          <w:spacing w:val="5"/>
        </w:rPr>
        <w:t>2023年8月证监会就“活跃资本市场”政策部署明确提及推进养老</w:t>
      </w:r>
      <w:r>
        <w:rPr>
          <w:spacing w:val="2"/>
        </w:rPr>
        <w:t xml:space="preserve"> </w:t>
      </w:r>
      <w:r>
        <w:rPr>
          <w:spacing w:val="-3"/>
        </w:rPr>
        <w:t>金入市的投资端改革政策和跨部委协同联动方向；9-12月优化保险公司偿付</w:t>
      </w:r>
      <w:r>
        <w:rPr>
          <w:spacing w:val="-4"/>
        </w:rPr>
        <w:t>能力</w:t>
      </w:r>
      <w:r>
        <w:t xml:space="preserve"> </w:t>
      </w:r>
      <w:r>
        <w:rPr>
          <w:spacing w:val="4"/>
        </w:rPr>
        <w:t>监管和考核机制、社保基金投资管理办法陆续出台；2024年1</w:t>
      </w:r>
      <w:r>
        <w:rPr>
          <w:spacing w:val="-54"/>
        </w:rPr>
        <w:t xml:space="preserve"> </w:t>
      </w:r>
      <w:r>
        <w:rPr>
          <w:spacing w:val="4"/>
        </w:rPr>
        <w:t>月证监会系统工</w:t>
      </w:r>
      <w:r>
        <w:t xml:space="preserve"> </w:t>
      </w:r>
      <w:r>
        <w:rPr>
          <w:spacing w:val="-11"/>
        </w:rPr>
        <w:t>作会议和国常会强调“突出以投资者为本的理念”、“促进</w:t>
      </w:r>
      <w:r>
        <w:rPr>
          <w:spacing w:val="-12"/>
        </w:rPr>
        <w:t>投融资动态平衡”,“研</w:t>
      </w:r>
      <w:r>
        <w:t xml:space="preserve"> </w:t>
      </w:r>
      <w:r>
        <w:rPr>
          <w:spacing w:val="-6"/>
        </w:rPr>
        <w:t>究出台《资本市场投资端改革行动方案》”,以融资功能为主转</w:t>
      </w:r>
      <w:r>
        <w:rPr>
          <w:spacing w:val="-7"/>
        </w:rPr>
        <w:t>向构建投融资两端</w:t>
      </w:r>
      <w:r>
        <w:t xml:space="preserve"> </w:t>
      </w:r>
      <w:r>
        <w:rPr>
          <w:spacing w:val="-4"/>
        </w:rPr>
        <w:t>动态平衡的资本市场改革目标得到进一步明确，中长期资金入市行动纲要有望落</w:t>
      </w:r>
      <w:r>
        <w:rPr>
          <w:spacing w:val="8"/>
        </w:rPr>
        <w:t xml:space="preserve"> </w:t>
      </w:r>
      <w:r>
        <w:rPr>
          <w:spacing w:val="-3"/>
        </w:rPr>
        <w:t>地，资本市场与实体经济、居民财富的良性循环</w:t>
      </w:r>
      <w:r>
        <w:rPr>
          <w:spacing w:val="-4"/>
        </w:rPr>
        <w:t>逐步形成，看好证券和保险行业</w:t>
      </w:r>
      <w:r>
        <w:t xml:space="preserve"> </w:t>
      </w:r>
      <w:r>
        <w:rPr>
          <w:spacing w:val="-2"/>
        </w:rPr>
        <w:t>的长期成长空间。</w:t>
      </w:r>
    </w:p>
    <w:p>
      <w:pPr>
        <w:pStyle w:val="BodyText"/>
        <w:spacing w:before="147" w:line="205" w:lineRule="auto"/>
        <w:ind w:left="23"/>
      </w:pPr>
      <w:r>
        <w:rPr>
          <w:b/>
          <w:bCs/>
          <w:color w:val="C00000"/>
          <w:spacing w:val="-3"/>
        </w:rPr>
        <w:t>●全球养老基金委托制度市场化程度高，权益配置要求和实际占比均较高</w:t>
      </w:r>
    </w:p>
    <w:p>
      <w:pPr>
        <w:pStyle w:val="BodyText"/>
        <w:spacing w:line="224" w:lineRule="auto"/>
        <w:ind w:left="20" w:right="5" w:firstLine="122"/>
      </w:pPr>
      <w:r>
        <w:rPr>
          <w:b/>
          <w:bCs/>
          <w:spacing w:val="3"/>
        </w:rPr>
        <w:t>(1)日本</w:t>
      </w:r>
      <w:r>
        <w:rPr>
          <w:rFonts w:ascii="Times New Roman" w:eastAsia="Times New Roman" w:hAnsi="Times New Roman" w:cs="Times New Roman"/>
          <w:b/>
          <w:bCs/>
        </w:rPr>
        <w:t>GPIF</w:t>
      </w:r>
      <w:r>
        <w:rPr>
          <w:rFonts w:ascii="Times New Roman" w:eastAsia="Times New Roman" w:hAnsi="Times New Roman" w:cs="Times New Roman"/>
          <w:b/>
          <w:bCs/>
          <w:spacing w:val="3"/>
        </w:rPr>
        <w:t>:</w:t>
      </w:r>
      <w:r>
        <w:rPr>
          <w:rFonts w:ascii="Times New Roman" w:eastAsia="Times New Roman" w:hAnsi="Times New Roman" w:cs="Times New Roman"/>
          <w:b/>
          <w:bCs/>
          <w:spacing w:val="49"/>
          <w:w w:val="101"/>
        </w:rPr>
        <w:t xml:space="preserve"> </w:t>
      </w:r>
      <w:r>
        <w:rPr>
          <w:spacing w:val="3"/>
        </w:rPr>
        <w:t>被动管理+委托投资为主，2022年93%资金由外部委托人管理，</w:t>
      </w:r>
      <w:r>
        <w:t xml:space="preserve"> </w:t>
      </w:r>
      <w:r>
        <w:rPr>
          <w:spacing w:val="3"/>
        </w:rPr>
        <w:t>2022年管理人数量38家，以市场化方式公开聘任选拔，每年调整和综合评估，</w:t>
      </w:r>
    </w:p>
    <w:p>
      <w:pPr>
        <w:spacing w:line="224" w:lineRule="auto"/>
        <w:sectPr>
          <w:footerReference w:type="default" r:id="rId9"/>
          <w:type w:val="continuous"/>
          <w:pgSz w:w="11910" w:h="16840"/>
          <w:pgMar w:top="9" w:right="679" w:bottom="1150" w:left="0" w:header="0" w:footer="862" w:gutter="0"/>
          <w:pgNumType w:start="2"/>
          <w:cols w:num="2" w:space="708" w:equalWidth="0">
            <w:col w:w="3781" w:space="100"/>
            <w:col w:w="7351" w:space="0"/>
          </w:cols>
        </w:sectPr>
      </w:pPr>
    </w:p>
    <w:p>
      <w:pPr>
        <w:spacing w:before="173" w:line="183" w:lineRule="auto"/>
        <w:ind w:left="709"/>
        <w:rPr>
          <w:rFonts w:ascii="SimSun" w:eastAsia="SimSun" w:hAnsi="SimSun" w:cs="SimSun"/>
          <w:sz w:val="18"/>
          <w:szCs w:val="18"/>
        </w:rPr>
      </w:pPr>
      <w:r>
        <w:rPr>
          <w:rFonts w:ascii="SimSun" w:eastAsia="SimSun" w:hAnsi="SimSun" w:cs="SimSun"/>
          <w:spacing w:val="-12"/>
          <w:sz w:val="18"/>
          <w:szCs w:val="18"/>
        </w:rPr>
        <w:t>-2024.2.25</w:t>
      </w:r>
    </w:p>
    <w:p>
      <w:pPr>
        <w:pStyle w:val="BodyText"/>
        <w:spacing w:before="117" w:line="278" w:lineRule="auto"/>
        <w:ind w:left="709" w:right="149" w:firstLine="10"/>
        <w:rPr>
          <w:rFonts w:ascii="SimSun" w:eastAsia="SimSun" w:hAnsi="SimSun" w:cs="SimSun"/>
          <w:sz w:val="18"/>
          <w:szCs w:val="18"/>
        </w:rPr>
      </w:pPr>
      <w:r>
        <w:rPr>
          <w:spacing w:val="2"/>
          <w:sz w:val="18"/>
          <w:szCs w:val="18"/>
        </w:rPr>
        <w:t>《提振资本市场政策望延续，看好互</w:t>
      </w:r>
      <w:r>
        <w:rPr>
          <w:spacing w:val="7"/>
          <w:sz w:val="18"/>
          <w:szCs w:val="18"/>
        </w:rPr>
        <w:t xml:space="preserve"> </w:t>
      </w:r>
      <w:r>
        <w:rPr>
          <w:spacing w:val="-11"/>
          <w:sz w:val="18"/>
          <w:szCs w:val="18"/>
        </w:rPr>
        <w:t>联</w:t>
      </w:r>
      <w:r>
        <w:rPr>
          <w:spacing w:val="-11"/>
          <w:sz w:val="18"/>
          <w:szCs w:val="18"/>
        </w:rPr>
        <w:t xml:space="preserve"> </w:t>
      </w:r>
      <w:r>
        <w:rPr>
          <w:spacing w:val="-11"/>
          <w:sz w:val="18"/>
          <w:szCs w:val="18"/>
        </w:rPr>
        <w:t>网</w:t>
      </w:r>
      <w:r>
        <w:rPr>
          <w:spacing w:val="-25"/>
          <w:sz w:val="18"/>
          <w:szCs w:val="18"/>
        </w:rPr>
        <w:t xml:space="preserve"> </w:t>
      </w:r>
      <w:r>
        <w:rPr>
          <w:spacing w:val="-11"/>
          <w:sz w:val="18"/>
          <w:szCs w:val="18"/>
        </w:rPr>
        <w:t>券</w:t>
      </w:r>
      <w:r>
        <w:rPr>
          <w:spacing w:val="-25"/>
          <w:sz w:val="18"/>
          <w:szCs w:val="18"/>
        </w:rPr>
        <w:t xml:space="preserve"> </w:t>
      </w:r>
      <w:r>
        <w:rPr>
          <w:spacing w:val="-11"/>
          <w:sz w:val="18"/>
          <w:szCs w:val="18"/>
        </w:rPr>
        <w:t>商</w:t>
      </w:r>
      <w:r>
        <w:rPr>
          <w:spacing w:val="-34"/>
          <w:sz w:val="18"/>
          <w:szCs w:val="18"/>
        </w:rPr>
        <w:t xml:space="preserve"> </w:t>
      </w:r>
      <w:r>
        <w:rPr>
          <w:spacing w:val="-11"/>
          <w:sz w:val="18"/>
          <w:szCs w:val="18"/>
        </w:rPr>
        <w:t>和</w:t>
      </w:r>
      <w:r>
        <w:rPr>
          <w:spacing w:val="-34"/>
          <w:sz w:val="18"/>
          <w:szCs w:val="18"/>
        </w:rPr>
        <w:t xml:space="preserve"> </w:t>
      </w:r>
      <w:r>
        <w:rPr>
          <w:spacing w:val="-11"/>
          <w:sz w:val="18"/>
          <w:szCs w:val="18"/>
        </w:rPr>
        <w:t>寿</w:t>
      </w:r>
      <w:r>
        <w:rPr>
          <w:spacing w:val="-20"/>
          <w:sz w:val="18"/>
          <w:szCs w:val="18"/>
        </w:rPr>
        <w:t xml:space="preserve"> </w:t>
      </w:r>
      <w:r>
        <w:rPr>
          <w:spacing w:val="-11"/>
          <w:sz w:val="18"/>
          <w:szCs w:val="18"/>
        </w:rPr>
        <w:t>险</w:t>
      </w:r>
      <w:r>
        <w:rPr>
          <w:spacing w:val="-40"/>
          <w:sz w:val="18"/>
          <w:szCs w:val="18"/>
        </w:rPr>
        <w:t xml:space="preserve"> </w:t>
      </w:r>
      <w:r>
        <w:rPr>
          <w:spacing w:val="-11"/>
          <w:sz w:val="18"/>
          <w:szCs w:val="18"/>
        </w:rPr>
        <w:t>—</w:t>
      </w:r>
      <w:r>
        <w:rPr>
          <w:spacing w:val="-29"/>
          <w:sz w:val="18"/>
          <w:szCs w:val="18"/>
        </w:rPr>
        <w:t xml:space="preserve"> </w:t>
      </w:r>
      <w:r>
        <w:rPr>
          <w:spacing w:val="-11"/>
          <w:sz w:val="18"/>
          <w:szCs w:val="18"/>
        </w:rPr>
        <w:t>行</w:t>
      </w:r>
      <w:r>
        <w:rPr>
          <w:spacing w:val="-24"/>
          <w:sz w:val="18"/>
          <w:szCs w:val="18"/>
        </w:rPr>
        <w:t xml:space="preserve"> </w:t>
      </w:r>
      <w:r>
        <w:rPr>
          <w:spacing w:val="-11"/>
          <w:sz w:val="18"/>
          <w:szCs w:val="18"/>
        </w:rPr>
        <w:t>业</w:t>
      </w:r>
      <w:r>
        <w:rPr>
          <w:spacing w:val="-33"/>
          <w:sz w:val="18"/>
          <w:szCs w:val="18"/>
        </w:rPr>
        <w:t xml:space="preserve"> </w:t>
      </w:r>
      <w:r>
        <w:rPr>
          <w:spacing w:val="-11"/>
          <w:sz w:val="18"/>
          <w:szCs w:val="18"/>
        </w:rPr>
        <w:t>周</w:t>
      </w:r>
      <w:r>
        <w:rPr>
          <w:spacing w:val="-36"/>
          <w:sz w:val="18"/>
          <w:szCs w:val="18"/>
        </w:rPr>
        <w:t xml:space="preserve"> </w:t>
      </w:r>
      <w:r>
        <w:rPr>
          <w:spacing w:val="-11"/>
          <w:sz w:val="18"/>
          <w:szCs w:val="18"/>
        </w:rPr>
        <w:t>报</w:t>
      </w:r>
      <w:r>
        <w:rPr>
          <w:spacing w:val="-27"/>
          <w:sz w:val="18"/>
          <w:szCs w:val="18"/>
        </w:rPr>
        <w:t xml:space="preserve"> </w:t>
      </w:r>
      <w:r>
        <w:rPr>
          <w:spacing w:val="-11"/>
          <w:sz w:val="18"/>
          <w:szCs w:val="18"/>
        </w:rPr>
        <w:t>》</w:t>
      </w:r>
      <w:r>
        <w:rPr>
          <w:sz w:val="18"/>
          <w:szCs w:val="18"/>
        </w:rPr>
        <w:t xml:space="preserve"> </w:t>
      </w:r>
      <w:r>
        <w:rPr>
          <w:rFonts w:ascii="SimSun" w:eastAsia="SimSun" w:hAnsi="SimSun" w:cs="SimSun"/>
          <w:spacing w:val="-12"/>
          <w:sz w:val="18"/>
          <w:szCs w:val="18"/>
        </w:rPr>
        <w:t>-2024.2.18</w:t>
      </w:r>
    </w:p>
    <w:p>
      <w:pPr>
        <w:spacing w:line="14" w:lineRule="auto"/>
        <w:rPr>
          <w:rFonts w:ascii="Arial"/>
          <w:sz w:val="2"/>
        </w:rPr>
      </w:pPr>
      <w:r>
        <w:rPr>
          <w:rFonts w:ascii="Arial" w:eastAsia="Arial" w:hAnsi="Arial" w:cs="Arial"/>
          <w:sz w:val="2"/>
          <w:szCs w:val="2"/>
        </w:rPr>
        <w:br w:type="column"/>
      </w:r>
    </w:p>
    <w:p>
      <w:pPr>
        <w:pStyle w:val="BodyText"/>
        <w:spacing w:before="7" w:line="230" w:lineRule="auto"/>
        <w:ind w:right="24"/>
      </w:pPr>
      <w:r>
        <w:t>并采用过渡管理和挂钩超额收益报酬机制提高管理效率。2020</w:t>
      </w:r>
      <w:r>
        <w:t xml:space="preserve"> </w:t>
      </w:r>
      <w:r>
        <w:t>年</w:t>
      </w:r>
      <w:r>
        <w:rPr>
          <w:spacing w:val="-1"/>
        </w:rPr>
        <w:t>第四期中期目</w:t>
      </w:r>
      <w:r>
        <w:t xml:space="preserve"> </w:t>
      </w:r>
      <w:r>
        <w:rPr>
          <w:spacing w:val="6"/>
        </w:rPr>
        <w:t>标资产配置要求权益占比超50%。</w:t>
      </w:r>
      <w:r>
        <w:rPr>
          <w:b/>
          <w:bCs/>
          <w:spacing w:val="6"/>
        </w:rPr>
        <w:t>(2)挪威</w:t>
      </w:r>
      <w:r>
        <w:rPr>
          <w:spacing w:val="6"/>
        </w:rPr>
        <w:t xml:space="preserve"> </w:t>
      </w:r>
      <w:r>
        <w:rPr>
          <w:rFonts w:ascii="Times New Roman" w:eastAsia="Times New Roman" w:hAnsi="Times New Roman" w:cs="Times New Roman"/>
          <w:b/>
          <w:bCs/>
        </w:rPr>
        <w:t>GPFG</w:t>
      </w:r>
      <w:r>
        <w:rPr>
          <w:rFonts w:ascii="Times New Roman" w:eastAsia="Times New Roman" w:hAnsi="Times New Roman" w:cs="Times New Roman"/>
          <w:b/>
          <w:bCs/>
          <w:spacing w:val="6"/>
        </w:rPr>
        <w:t>:</w:t>
      </w:r>
      <w:r>
        <w:rPr>
          <w:rFonts w:ascii="Times New Roman" w:eastAsia="Times New Roman" w:hAnsi="Times New Roman" w:cs="Times New Roman"/>
          <w:b/>
          <w:bCs/>
          <w:spacing w:val="20"/>
          <w:w w:val="101"/>
        </w:rPr>
        <w:t xml:space="preserve">  </w:t>
      </w:r>
      <w:r>
        <w:rPr>
          <w:spacing w:val="6"/>
        </w:rPr>
        <w:t>全球最大主</w:t>
      </w:r>
      <w:r>
        <w:rPr>
          <w:spacing w:val="5"/>
        </w:rPr>
        <w:t>权财富基金，</w:t>
      </w:r>
      <w:r>
        <w:t xml:space="preserve">  </w:t>
      </w:r>
      <w:r>
        <w:t>以自行管理为主，但</w:t>
      </w:r>
      <w:r>
        <w:rPr>
          <w:rFonts w:ascii="SimSun" w:eastAsia="SimSun" w:hAnsi="SimSun" w:cs="SimSun"/>
        </w:rPr>
        <w:t>GPFG</w:t>
      </w:r>
      <w:r>
        <w:rPr>
          <w:rFonts w:ascii="SimSun" w:eastAsia="SimSun" w:hAnsi="SimSun" w:cs="SimSun"/>
          <w:spacing w:val="91"/>
        </w:rPr>
        <w:t xml:space="preserve"> </w:t>
      </w:r>
      <w:r>
        <w:t>每年超额回报中约4/5由委</w:t>
      </w:r>
      <w:r>
        <w:rPr>
          <w:spacing w:val="-1"/>
        </w:rPr>
        <w:t>托管理人贡献。公开市场</w:t>
      </w:r>
      <w:r>
        <w:rPr>
          <w:spacing w:val="-1"/>
        </w:rPr>
        <w:t xml:space="preserve"> </w:t>
      </w:r>
      <w:r>
        <w:rPr>
          <w:spacing w:val="2"/>
        </w:rPr>
        <w:t>化招聘、综合性评估模式，且动态考核，委托管</w:t>
      </w:r>
      <w:r>
        <w:rPr>
          <w:spacing w:val="1"/>
        </w:rPr>
        <w:t>理人快速增长至2022年100家，</w:t>
      </w:r>
      <w:r>
        <w:t xml:space="preserve"> </w:t>
      </w:r>
      <w:r>
        <w:t>偏好中小私营资管公司，委托其投资新兴市场和小市值股票。2022</w:t>
      </w:r>
      <w:r>
        <w:rPr>
          <w:spacing w:val="-1"/>
        </w:rPr>
        <w:t xml:space="preserve"> </w:t>
      </w:r>
      <w:r>
        <w:rPr>
          <w:spacing w:val="-1"/>
        </w:rPr>
        <w:t>年权益配置</w:t>
      </w:r>
      <w:r>
        <w:t xml:space="preserve"> </w:t>
      </w:r>
      <w:r>
        <w:rPr>
          <w:spacing w:val="9"/>
        </w:rPr>
        <w:t>占比70%。</w:t>
      </w:r>
      <w:r>
        <w:rPr>
          <w:b/>
          <w:bCs/>
          <w:spacing w:val="9"/>
        </w:rPr>
        <w:t>(3)美国401</w:t>
      </w:r>
      <w:r>
        <w:rPr>
          <w:spacing w:val="9"/>
        </w:rPr>
        <w:t xml:space="preserve"> </w:t>
      </w:r>
      <w:r>
        <w:rPr>
          <w:rFonts w:ascii="Times New Roman" w:eastAsia="Times New Roman" w:hAnsi="Times New Roman" w:cs="Times New Roman"/>
          <w:b/>
          <w:bCs/>
          <w:spacing w:val="9"/>
        </w:rPr>
        <w:t xml:space="preserve">(K):   </w:t>
      </w:r>
      <w:r>
        <w:rPr>
          <w:spacing w:val="9"/>
        </w:rPr>
        <w:t>二支柱</w:t>
      </w:r>
      <w:r>
        <w:rPr>
          <w:spacing w:val="8"/>
        </w:rPr>
        <w:t>养老金主要运作模式，市场化程度极高</w:t>
      </w:r>
      <w:r>
        <w:t xml:space="preserve">  </w:t>
      </w:r>
      <w:r>
        <w:rPr>
          <w:spacing w:val="-1"/>
        </w:rPr>
        <w:t>下运作机构数量和行业分布广，集中度较低。根据</w:t>
      </w:r>
      <w:r>
        <w:rPr>
          <w:rFonts w:ascii="Times New Roman" w:eastAsia="Times New Roman" w:hAnsi="Times New Roman" w:cs="Times New Roman"/>
          <w:spacing w:val="-1"/>
        </w:rPr>
        <w:t xml:space="preserve">ICI </w:t>
      </w:r>
      <w:r>
        <w:rPr>
          <w:spacing w:val="-1"/>
        </w:rPr>
        <w:t>公布，401</w:t>
      </w:r>
      <w:r>
        <w:rPr>
          <w:spacing w:val="-30"/>
        </w:rPr>
        <w:t xml:space="preserve"> </w:t>
      </w:r>
      <w:r>
        <w:rPr>
          <w:rFonts w:ascii="Times New Roman" w:eastAsia="Times New Roman" w:hAnsi="Times New Roman" w:cs="Times New Roman"/>
          <w:spacing w:val="-1"/>
        </w:rPr>
        <w:t xml:space="preserve">(K)   </w:t>
      </w:r>
      <w:r>
        <w:rPr>
          <w:spacing w:val="-1"/>
        </w:rPr>
        <w:t>合同数量</w:t>
      </w:r>
      <w:r>
        <w:rPr>
          <w:spacing w:val="-1"/>
        </w:rPr>
        <w:t xml:space="preserve"> </w:t>
      </w:r>
      <w:r>
        <w:rPr>
          <w:spacing w:val="10"/>
        </w:rPr>
        <w:t>上保险公司和资管公司占据49%/31%,资金规模占</w:t>
      </w:r>
      <w:r>
        <w:rPr>
          <w:spacing w:val="9"/>
        </w:rPr>
        <w:t>比58%/21%。账户资产中超</w:t>
      </w:r>
      <w:r>
        <w:rPr>
          <w:spacing w:val="9"/>
        </w:rPr>
        <w:t xml:space="preserve"> </w:t>
      </w:r>
      <w:r>
        <w:rPr>
          <w:spacing w:val="-2"/>
        </w:rPr>
        <w:t>60%投资于共同基金。</w:t>
      </w:r>
      <w:r>
        <w:rPr>
          <w:b/>
          <w:bCs/>
          <w:spacing w:val="-2"/>
        </w:rPr>
        <w:t>(</w:t>
      </w:r>
      <w:r>
        <w:rPr>
          <w:spacing w:val="-48"/>
        </w:rPr>
        <w:t xml:space="preserve"> </w:t>
      </w:r>
      <w:r>
        <w:rPr>
          <w:b/>
          <w:bCs/>
          <w:spacing w:val="-2"/>
        </w:rPr>
        <w:t>4</w:t>
      </w:r>
      <w:r>
        <w:rPr>
          <w:spacing w:val="-46"/>
        </w:rPr>
        <w:t xml:space="preserve"> </w:t>
      </w:r>
      <w:r>
        <w:rPr>
          <w:b/>
          <w:bCs/>
          <w:spacing w:val="-2"/>
        </w:rPr>
        <w:t>)</w:t>
      </w:r>
      <w:r>
        <w:rPr>
          <w:spacing w:val="-33"/>
        </w:rPr>
        <w:t xml:space="preserve"> </w:t>
      </w:r>
      <w:r>
        <w:rPr>
          <w:b/>
          <w:bCs/>
          <w:spacing w:val="-2"/>
        </w:rPr>
        <w:t>英</w:t>
      </w:r>
      <w:r>
        <w:rPr>
          <w:spacing w:val="-2"/>
        </w:rPr>
        <w:t xml:space="preserve"> </w:t>
      </w:r>
      <w:r>
        <w:rPr>
          <w:b/>
          <w:bCs/>
          <w:spacing w:val="-2"/>
        </w:rPr>
        <w:t>国</w:t>
      </w:r>
      <w:r>
        <w:rPr>
          <w:rFonts w:ascii="Times New Roman" w:eastAsia="Times New Roman" w:hAnsi="Times New Roman" w:cs="Times New Roman"/>
          <w:b/>
          <w:bCs/>
          <w:spacing w:val="-2"/>
        </w:rPr>
        <w:t xml:space="preserve">NEST:  </w:t>
      </w:r>
      <w:r>
        <w:rPr>
          <w:spacing w:val="-2"/>
        </w:rPr>
        <w:t>是国家层面配套“自动加入”</w:t>
      </w:r>
      <w:r>
        <w:rPr>
          <w:spacing w:val="-3"/>
        </w:rPr>
        <w:t>机制建立</w:t>
      </w:r>
      <w:r>
        <w:t xml:space="preserve"> </w:t>
      </w:r>
      <w:r>
        <w:rPr>
          <w:spacing w:val="-1"/>
        </w:rPr>
        <w:t>的国家层面职业养老金计划，由19家全球知名资管公司委托管理，“产品+委托</w:t>
      </w:r>
      <w:r>
        <w:rPr>
          <w:spacing w:val="-1"/>
        </w:rPr>
        <w:t xml:space="preserve"> </w:t>
      </w:r>
      <w:r>
        <w:rPr>
          <w:spacing w:val="4"/>
        </w:rPr>
        <w:t>管理”模式下权益配置占比超50%。</w:t>
      </w:r>
    </w:p>
    <w:p>
      <w:pPr>
        <w:pStyle w:val="BodyText"/>
        <w:spacing w:before="130" w:line="220" w:lineRule="auto"/>
        <w:ind w:left="122"/>
      </w:pPr>
      <w:r>
        <w:rPr>
          <w:b/>
          <w:bCs/>
          <w:color w:val="C00000"/>
          <w:spacing w:val="-3"/>
        </w:rPr>
        <w:t>●养老金入市正当时，投资端改革促进投融资动态平衡</w:t>
      </w:r>
    </w:p>
    <w:p>
      <w:pPr>
        <w:pStyle w:val="BodyText"/>
        <w:spacing w:before="14" w:line="226" w:lineRule="auto"/>
        <w:ind w:right="49" w:firstLine="122"/>
        <w:jc w:val="both"/>
        <w:sectPr>
          <w:footerReference w:type="default" r:id="rId10"/>
          <w:type w:val="continuous"/>
          <w:pgSz w:w="11910" w:h="16840"/>
          <w:pgMar w:top="9" w:right="679" w:bottom="1150" w:left="0" w:header="0" w:footer="862" w:gutter="0"/>
          <w:pgNumType w:start="3"/>
          <w:cols w:num="2" w:space="708" w:equalWidth="0">
            <w:col w:w="3801" w:space="100"/>
            <w:col w:w="7331" w:space="0"/>
          </w:cols>
        </w:sectPr>
      </w:pPr>
      <w:r>
        <w:rPr>
          <w:b/>
          <w:bCs/>
          <w:spacing w:val="-1"/>
        </w:rPr>
        <w:t>(1)养老金规模及结构：</w:t>
      </w:r>
      <w:r>
        <w:rPr>
          <w:spacing w:val="-19"/>
        </w:rPr>
        <w:t xml:space="preserve"> </w:t>
      </w:r>
      <w:r>
        <w:rPr>
          <w:spacing w:val="-1"/>
        </w:rPr>
        <w:t>2022年末养老金一二支柱分别10/5万亿元，占三支柱</w:t>
      </w:r>
      <w:r>
        <w:t xml:space="preserve"> </w:t>
      </w:r>
      <w:r>
        <w:rPr>
          <w:spacing w:val="8"/>
        </w:rPr>
        <w:t>比重超90%,第三支柱账户+产品制合计约万亿元</w:t>
      </w:r>
      <w:r>
        <w:rPr>
          <w:spacing w:val="7"/>
        </w:rPr>
        <w:t>，未来入市空间长远。</w:t>
      </w:r>
      <w:r>
        <w:rPr>
          <w:b/>
          <w:bCs/>
          <w:spacing w:val="7"/>
        </w:rPr>
        <w:t>(2)委</w:t>
      </w:r>
      <w:r>
        <w:t xml:space="preserve"> </w:t>
      </w:r>
      <w:r>
        <w:rPr>
          <w:b/>
          <w:bCs/>
          <w:spacing w:val="1"/>
        </w:rPr>
        <w:t>托情况：</w:t>
      </w:r>
      <w:r>
        <w:rPr>
          <w:spacing w:val="1"/>
        </w:rPr>
        <w:t xml:space="preserve"> </w:t>
      </w:r>
      <w:r>
        <w:rPr>
          <w:spacing w:val="1"/>
        </w:rPr>
        <w:t>2022</w:t>
      </w:r>
      <w:r>
        <w:rPr>
          <w:spacing w:val="41"/>
        </w:rPr>
        <w:t xml:space="preserve"> </w:t>
      </w:r>
      <w:r>
        <w:rPr>
          <w:spacing w:val="1"/>
        </w:rPr>
        <w:t>年我国社保基金和基本养老保险基金实际委托管理</w:t>
      </w:r>
      <w:r>
        <w:t>规模占比仅</w:t>
      </w:r>
      <w:r>
        <w:t xml:space="preserve"> </w:t>
      </w:r>
      <w:r>
        <w:rPr>
          <w:spacing w:val="2"/>
        </w:rPr>
        <w:t>67/13%,境内委托管理人数量18/21家，对比海外看，委托管理市场化程度有待</w:t>
      </w:r>
      <w:r>
        <w:t xml:space="preserve"> </w:t>
      </w:r>
      <w:r>
        <w:rPr>
          <w:spacing w:val="-3"/>
        </w:rPr>
        <w:t>提高。二三支柱以委托管理模式为主。</w:t>
      </w:r>
      <w:r>
        <w:rPr>
          <w:b/>
          <w:bCs/>
          <w:spacing w:val="-3"/>
        </w:rPr>
        <w:t>(3)权益配置占比：</w:t>
      </w:r>
      <w:r>
        <w:rPr>
          <w:spacing w:val="-3"/>
        </w:rPr>
        <w:t xml:space="preserve"> </w:t>
      </w:r>
      <w:r>
        <w:rPr>
          <w:spacing w:val="-3"/>
        </w:rPr>
        <w:t>我们通</w:t>
      </w:r>
      <w:r>
        <w:rPr>
          <w:spacing w:val="-3"/>
          <w:u w:val="single" w:color="auto"/>
        </w:rPr>
        <w:t>过“交易性金</w:t>
      </w:r>
      <w:r>
        <w:rPr>
          <w:spacing w:val="17"/>
        </w:rPr>
        <w:t xml:space="preserve"> </w:t>
      </w:r>
      <w:r>
        <w:rPr>
          <w:spacing w:val="8"/>
          <w:u w:val="single" w:color="auto"/>
        </w:rPr>
        <w:t>融资产(权益类)+长股投”和“重仓股流通市值+长股投”两维度测算社保基</w:t>
      </w:r>
      <w:r>
        <w:rPr>
          <w:spacing w:val="12"/>
        </w:rPr>
        <w:t xml:space="preserve"> </w:t>
      </w:r>
    </w:p>
    <w:p>
      <w:pPr>
        <w:pStyle w:val="BodyText"/>
        <w:spacing w:before="14" w:line="226" w:lineRule="auto"/>
        <w:ind w:right="49" w:firstLine="122"/>
        <w:jc w:val="both"/>
      </w:pPr>
      <w:r>
        <w:rPr>
          <w:spacing w:val="2"/>
          <w:u w:val="single" w:color="auto"/>
        </w:rPr>
        <w:t>金和基本养老保险权益配置比例。</w:t>
      </w:r>
      <w:r>
        <w:rPr>
          <w:spacing w:val="2"/>
        </w:rPr>
        <w:t>2022</w:t>
      </w:r>
      <w:r>
        <w:rPr>
          <w:spacing w:val="2"/>
        </w:rPr>
        <w:t xml:space="preserve"> </w:t>
      </w:r>
      <w:r>
        <w:rPr>
          <w:spacing w:val="2"/>
        </w:rPr>
        <w:t>年全国社保基金交易性金融资产(权益</w:t>
      </w:r>
      <w:r>
        <w:rPr>
          <w:spacing w:val="16"/>
        </w:rPr>
        <w:t xml:space="preserve"> </w:t>
      </w:r>
      <w:r>
        <w:rPr>
          <w:spacing w:val="16"/>
        </w:rPr>
        <w:t>类)+长股投占比35%,重仓股+长股投占比23%;基本养老保险基金资产负债</w:t>
      </w:r>
      <w:r>
        <w:rPr>
          <w:spacing w:val="3"/>
        </w:rPr>
        <w:t xml:space="preserve"> </w:t>
      </w:r>
      <w:r>
        <w:rPr>
          <w:spacing w:val="9"/>
        </w:rPr>
        <w:t>表未披露长期股权投资，我们2022年末测算交易</w:t>
      </w:r>
      <w:r>
        <w:rPr>
          <w:spacing w:val="8"/>
        </w:rPr>
        <w:t>性金融资产(权益类)占比约</w:t>
      </w:r>
      <w:r>
        <w:t xml:space="preserve"> </w:t>
      </w:r>
      <w:r>
        <w:rPr>
          <w:spacing w:val="-3"/>
        </w:rPr>
        <w:t>19%,重仓股流通市值占比约2%。</w:t>
      </w:r>
      <w:r>
        <w:rPr>
          <w:spacing w:val="53"/>
        </w:rPr>
        <w:t xml:space="preserve"> </w:t>
      </w:r>
      <w:r>
        <w:rPr>
          <w:spacing w:val="-3"/>
        </w:rPr>
        <w:t>一支柱权益实际占比和监管上限对比日本</w:t>
      </w:r>
      <w:r>
        <w:rPr>
          <w:rFonts w:ascii="Times New Roman" w:eastAsia="Times New Roman" w:hAnsi="Times New Roman" w:cs="Times New Roman"/>
          <w:spacing w:val="-3"/>
        </w:rPr>
        <w:t>GPIF</w:t>
      </w:r>
      <w:r>
        <w:rPr>
          <w:rFonts w:ascii="Times New Roman" w:eastAsia="Times New Roman" w:hAnsi="Times New Roman" w:cs="Times New Roman"/>
        </w:rPr>
        <w:t xml:space="preserve">  </w:t>
      </w:r>
      <w:r>
        <w:rPr>
          <w:spacing w:val="-3"/>
        </w:rPr>
        <w:t>和挪威</w:t>
      </w:r>
      <w:r>
        <w:rPr>
          <w:spacing w:val="-19"/>
        </w:rPr>
        <w:t xml:space="preserve"> </w:t>
      </w:r>
      <w:r>
        <w:rPr>
          <w:rFonts w:ascii="Times New Roman" w:eastAsia="Times New Roman" w:hAnsi="Times New Roman" w:cs="Times New Roman"/>
          <w:spacing w:val="-3"/>
        </w:rPr>
        <w:t xml:space="preserve">GPFP </w:t>
      </w:r>
      <w:r>
        <w:rPr>
          <w:spacing w:val="-3"/>
        </w:rPr>
        <w:t>均存在明显差距。企业年金含权益类资产非实际权益资产规模，我</w:t>
      </w:r>
      <w:r>
        <w:t xml:space="preserve"> </w:t>
      </w:r>
      <w:r>
        <w:rPr>
          <w:spacing w:val="2"/>
        </w:rPr>
        <w:t>们采用企业年金中占比约70%的养老金产品测算，2023</w:t>
      </w:r>
      <w:r>
        <w:rPr>
          <w:rFonts w:ascii="SimSun" w:eastAsia="SimSun" w:hAnsi="SimSun" w:cs="SimSun"/>
          <w:spacing w:val="2"/>
        </w:rPr>
        <w:t xml:space="preserve">Q3 </w:t>
      </w:r>
      <w:r>
        <w:rPr>
          <w:spacing w:val="2"/>
        </w:rPr>
        <w:t>末二支柱权益占比约</w:t>
      </w:r>
      <w:r>
        <w:rPr>
          <w:spacing w:val="2"/>
        </w:rPr>
        <w:t xml:space="preserve"> </w:t>
      </w:r>
      <w:r>
        <w:rPr>
          <w:spacing w:val="6"/>
        </w:rPr>
        <w:t>6%,较全球私人养老金权益配置明显偏低。</w:t>
      </w:r>
    </w:p>
    <w:p>
      <w:pPr>
        <w:pStyle w:val="BodyText"/>
        <w:spacing w:before="180" w:line="226" w:lineRule="auto"/>
        <w:ind w:right="88"/>
        <w:rPr>
          <w:sz w:val="18"/>
          <w:szCs w:val="18"/>
        </w:rPr>
      </w:pPr>
      <w:r>
        <w:rPr>
          <w:color w:val="BF0000"/>
          <w:spacing w:val="-8"/>
        </w:rPr>
        <w:t>●</w:t>
      </w:r>
      <w:r>
        <w:rPr>
          <w:color w:val="BF0000"/>
          <w:spacing w:val="-43"/>
        </w:rPr>
        <w:t xml:space="preserve"> </w:t>
      </w:r>
      <w:r>
        <w:rPr>
          <w:b/>
          <w:bCs/>
          <w:color w:val="BF0000"/>
          <w:spacing w:val="-8"/>
        </w:rPr>
        <w:t>风险提示：</w:t>
      </w:r>
      <w:r>
        <w:rPr>
          <w:color w:val="BF0000"/>
          <w:spacing w:val="-8"/>
        </w:rPr>
        <w:t xml:space="preserve"> </w:t>
      </w:r>
      <w:r>
        <w:rPr>
          <w:spacing w:val="-8"/>
        </w:rPr>
        <w:t>养老金入市政策落地不及预期；股市波动对券商和保险盈利带来不</w:t>
      </w:r>
      <w:r>
        <w:t xml:space="preserve"> </w:t>
      </w:r>
      <w:r>
        <w:rPr>
          <w:spacing w:val="27"/>
          <w:sz w:val="18"/>
          <w:szCs w:val="18"/>
        </w:rPr>
        <w:t>确定影响；券商财富管理和资产管理利润增长不及预期。</w:t>
      </w:r>
    </w:p>
    <w:p>
      <w:pPr>
        <w:spacing w:line="226" w:lineRule="auto"/>
        <w:rPr>
          <w:sz w:val="18"/>
          <w:szCs w:val="18"/>
        </w:rPr>
        <w:sectPr>
          <w:footerReference w:type="default" r:id="rId11"/>
          <w:type w:val="nextPage"/>
          <w:pgSz w:w="11910" w:h="16840"/>
          <w:pgMar w:top="9" w:right="679" w:bottom="1150" w:left="0" w:header="0" w:footer="862" w:gutter="0"/>
          <w:pgNumType w:start="4"/>
          <w:cols w:num="2" w:space="708" w:equalWidth="0">
            <w:col w:w="3801" w:space="100"/>
            <w:col w:w="7331" w:space="0"/>
          </w:cols>
          <w:titlePg w:val="0"/>
        </w:sectPr>
      </w:pPr>
    </w:p>
    <w:p>
      <w:pPr>
        <w:pStyle w:val="BodyText"/>
        <w:spacing w:before="153"/>
        <w:ind w:left="190"/>
        <w:rPr>
          <w:sz w:val="58"/>
          <w:szCs w:val="58"/>
        </w:rPr>
      </w:pPr>
      <w:r>
        <w:rPr>
          <w:position w:val="-17"/>
          <w:sz w:val="58"/>
          <w:szCs w:val="58"/>
        </w:rPr>
        <w:drawing>
          <wp:inline distT="0" distB="0" distL="0" distR="0">
            <wp:extent cx="577801" cy="48890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b/>
          <w:bCs/>
          <w:spacing w:val="50"/>
          <w:sz w:val="58"/>
          <w:szCs w:val="58"/>
        </w:rPr>
        <w:t>开源证券</w:t>
      </w:r>
    </w:p>
    <w:p>
      <w:pPr>
        <w:pStyle w:val="BodyText"/>
        <w:spacing w:before="66" w:line="229" w:lineRule="auto"/>
        <w:ind w:left="9172"/>
        <w:rPr>
          <w:sz w:val="19"/>
          <w:szCs w:val="19"/>
        </w:rPr>
      </w:pPr>
      <w:r>
        <w:rPr>
          <w:b/>
          <w:bCs/>
          <w:spacing w:val="9"/>
          <w:sz w:val="19"/>
          <w:szCs w:val="19"/>
        </w:rPr>
        <w:t>行业深度报告</w:t>
      </w:r>
    </w:p>
    <w:p>
      <w:pPr>
        <w:spacing w:line="252" w:lineRule="auto"/>
        <w:rPr>
          <w:rFonts w:ascii="Arial"/>
          <w:sz w:val="21"/>
        </w:rPr>
      </w:pPr>
    </w:p>
    <w:p>
      <w:pPr>
        <w:spacing w:line="253" w:lineRule="auto"/>
        <w:rPr>
          <w:rFonts w:ascii="Arial"/>
          <w:sz w:val="21"/>
        </w:rPr>
      </w:pPr>
    </w:p>
    <w:sdt>
      <w:sdtPr>
        <w:rPr>
          <w:rFonts w:ascii="KaiTi" w:eastAsia="KaiTi" w:hAnsi="KaiTi" w:cs="KaiTi"/>
          <w:sz w:val="26"/>
          <w:szCs w:val="26"/>
        </w:rPr>
        <w:id w:val="1842240618"/>
        <w:docPartObj>
          <w:docPartGallery w:val="Table of Contents"/>
          <w:docPartUnique/>
        </w:docPartObj>
      </w:sdtPr>
      <w:sdtEndPr>
        <w:rPr>
          <w:rFonts w:ascii="Times New Roman" w:eastAsia="Times New Roman" w:hAnsi="Times New Roman" w:cs="Times New Roman"/>
          <w:sz w:val="19"/>
          <w:szCs w:val="19"/>
        </w:rPr>
      </w:sdtEndPr>
      <w:sdtContent>
        <w:p>
          <w:pPr>
            <w:pStyle w:val="BodyText"/>
            <w:spacing w:before="85" w:line="227" w:lineRule="auto"/>
            <w:ind w:left="4853"/>
            <w:rPr>
              <w:sz w:val="26"/>
              <w:szCs w:val="26"/>
            </w:rPr>
          </w:pPr>
          <w:r>
            <w:rPr>
              <w:b/>
              <w:bCs/>
              <w:color w:val="000080"/>
              <w:spacing w:val="-37"/>
              <w:sz w:val="26"/>
              <w:szCs w:val="26"/>
            </w:rPr>
            <w:t>目</w:t>
          </w:r>
          <w:r>
            <w:rPr>
              <w:color w:val="000080"/>
              <w:spacing w:val="1"/>
              <w:sz w:val="26"/>
              <w:szCs w:val="26"/>
            </w:rPr>
            <w:t xml:space="preserve">   </w:t>
          </w:r>
          <w:r>
            <w:rPr>
              <w:b/>
              <w:bCs/>
              <w:color w:val="000080"/>
              <w:spacing w:val="-37"/>
              <w:sz w:val="26"/>
              <w:szCs w:val="26"/>
            </w:rPr>
            <w:t>录</w:t>
          </w:r>
        </w:p>
        <w:p>
          <w:pPr>
            <w:pStyle w:val="BodyText"/>
            <w:tabs>
              <w:tab w:val="right" w:leader="dot" w:pos="10395"/>
            </w:tabs>
            <w:spacing w:before="172" w:line="227" w:lineRule="auto"/>
            <w:rPr>
              <w:rFonts w:ascii="Times New Roman" w:eastAsia="Times New Roman" w:hAnsi="Times New Roman" w:cs="Times New Roman"/>
              <w:sz w:val="19"/>
              <w:szCs w:val="19"/>
            </w:rPr>
          </w:pPr>
          <w:r>
            <w:rPr>
              <w:rFonts w:ascii="Times New Roman" w:eastAsia="Times New Roman" w:hAnsi="Times New Roman" w:cs="Times New Roman"/>
              <w:spacing w:val="-18"/>
              <w:sz w:val="19"/>
              <w:szCs w:val="19"/>
            </w:rPr>
            <w:t>1</w:t>
          </w:r>
          <w:r>
            <w:rPr>
              <w:rFonts w:ascii="Times New Roman" w:eastAsia="Times New Roman" w:hAnsi="Times New Roman" w:cs="Times New Roman"/>
              <w:spacing w:val="-27"/>
              <w:sz w:val="19"/>
              <w:szCs w:val="19"/>
            </w:rPr>
            <w:t xml:space="preserve"> </w:t>
          </w:r>
          <w:r>
            <w:rPr>
              <w:rFonts w:ascii="SimSun" w:eastAsia="SimSun" w:hAnsi="SimSun" w:cs="SimSun"/>
              <w:spacing w:val="-18"/>
              <w:sz w:val="19"/>
              <w:szCs w:val="19"/>
            </w:rPr>
            <w:t>、</w:t>
          </w:r>
          <w:r>
            <w:rPr>
              <w:rFonts w:ascii="SimSun" w:eastAsia="SimSun" w:hAnsi="SimSun" w:cs="SimSun"/>
              <w:spacing w:val="33"/>
              <w:sz w:val="19"/>
              <w:szCs w:val="19"/>
            </w:rPr>
            <w:t xml:space="preserve"> </w:t>
          </w:r>
          <w:r>
            <w:rPr>
              <w:spacing w:val="-18"/>
              <w:sz w:val="19"/>
              <w:szCs w:val="19"/>
            </w:rPr>
            <w:t>前</w:t>
          </w:r>
          <w:r>
            <w:rPr>
              <w:spacing w:val="-33"/>
              <w:sz w:val="19"/>
              <w:szCs w:val="19"/>
            </w:rPr>
            <w:t xml:space="preserve"> </w:t>
          </w:r>
          <w:r>
            <w:rPr>
              <w:spacing w:val="-18"/>
              <w:sz w:val="19"/>
              <w:szCs w:val="19"/>
            </w:rPr>
            <w:t>言</w:t>
          </w:r>
          <w:r>
            <w:rPr>
              <w:spacing w:val="-80"/>
              <w:sz w:val="19"/>
              <w:szCs w:val="19"/>
            </w:rPr>
            <w:t xml:space="preserve"> </w:t>
          </w:r>
          <w:r>
            <w:rPr>
              <w:sz w:val="19"/>
              <w:szCs w:val="19"/>
            </w:rPr>
            <w:tab/>
          </w:r>
          <w:hyperlink w:anchor="bookmark1" w:history="1">
            <w:r>
              <w:rPr>
                <w:rFonts w:ascii="Times New Roman" w:eastAsia="Times New Roman" w:hAnsi="Times New Roman" w:cs="Times New Roman"/>
                <w:spacing w:val="2"/>
                <w:sz w:val="19"/>
                <w:szCs w:val="19"/>
              </w:rPr>
              <w:t>5</w:t>
            </w:r>
          </w:hyperlink>
        </w:p>
        <w:p>
          <w:pPr>
            <w:pStyle w:val="BodyText"/>
            <w:tabs>
              <w:tab w:val="right" w:leader="dot" w:pos="10375"/>
            </w:tabs>
            <w:spacing w:before="79" w:line="220" w:lineRule="auto"/>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2</w:t>
          </w:r>
          <w:r>
            <w:rPr>
              <w:rFonts w:ascii="Times New Roman" w:eastAsia="Times New Roman" w:hAnsi="Times New Roman" w:cs="Times New Roman"/>
              <w:spacing w:val="-13"/>
              <w:sz w:val="19"/>
              <w:szCs w:val="19"/>
            </w:rPr>
            <w:t xml:space="preserve"> </w:t>
          </w:r>
          <w:r>
            <w:rPr>
              <w:rFonts w:ascii="SimSun" w:eastAsia="SimSun" w:hAnsi="SimSun" w:cs="SimSun"/>
              <w:spacing w:val="8"/>
              <w:sz w:val="19"/>
              <w:szCs w:val="19"/>
            </w:rPr>
            <w:t>、</w:t>
          </w:r>
          <w:r>
            <w:rPr>
              <w:rFonts w:ascii="SimSun" w:eastAsia="SimSun" w:hAnsi="SimSun" w:cs="SimSun"/>
              <w:spacing w:val="45"/>
              <w:sz w:val="19"/>
              <w:szCs w:val="19"/>
            </w:rPr>
            <w:t xml:space="preserve"> </w:t>
          </w:r>
          <w:r>
            <w:rPr>
              <w:spacing w:val="8"/>
              <w:sz w:val="19"/>
              <w:szCs w:val="19"/>
            </w:rPr>
            <w:t>养老金委托管理和权益比例待提升，中长期资金入市可期</w:t>
          </w:r>
          <w:r>
            <w:rPr>
              <w:spacing w:val="-82"/>
              <w:sz w:val="19"/>
              <w:szCs w:val="19"/>
            </w:rPr>
            <w:t xml:space="preserve"> </w:t>
          </w:r>
          <w:r>
            <w:rPr>
              <w:sz w:val="19"/>
              <w:szCs w:val="19"/>
            </w:rPr>
            <w:tab/>
          </w:r>
          <w:hyperlink w:anchor="bookmark2" w:history="1">
            <w:r>
              <w:rPr>
                <w:rFonts w:ascii="Times New Roman" w:eastAsia="Times New Roman" w:hAnsi="Times New Roman" w:cs="Times New Roman"/>
                <w:sz w:val="19"/>
                <w:szCs w:val="19"/>
              </w:rPr>
              <w:t>6</w:t>
            </w:r>
          </w:hyperlink>
        </w:p>
        <w:p>
          <w:pPr>
            <w:pStyle w:val="BodyText"/>
            <w:tabs>
              <w:tab w:val="right" w:leader="dot" w:pos="10385"/>
            </w:tabs>
            <w:spacing w:before="84" w:line="222"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12"/>
              <w:sz w:val="19"/>
              <w:szCs w:val="19"/>
            </w:rPr>
            <w:t>2.1</w:t>
          </w:r>
          <w:r>
            <w:rPr>
              <w:rFonts w:ascii="Times New Roman" w:eastAsia="Times New Roman" w:hAnsi="Times New Roman" w:cs="Times New Roman"/>
              <w:spacing w:val="-20"/>
              <w:sz w:val="19"/>
              <w:szCs w:val="19"/>
            </w:rPr>
            <w:t xml:space="preserve"> </w:t>
          </w:r>
          <w:r>
            <w:rPr>
              <w:rFonts w:ascii="SimSun" w:eastAsia="SimSun" w:hAnsi="SimSun" w:cs="SimSun"/>
              <w:spacing w:val="12"/>
              <w:sz w:val="19"/>
              <w:szCs w:val="19"/>
            </w:rPr>
            <w:t>、</w:t>
          </w:r>
          <w:r>
            <w:rPr>
              <w:rFonts w:ascii="Times New Roman" w:eastAsia="Times New Roman" w:hAnsi="Times New Roman" w:cs="Times New Roman"/>
              <w:spacing w:val="12"/>
              <w:sz w:val="19"/>
              <w:szCs w:val="19"/>
            </w:rPr>
            <w:t xml:space="preserve">2022    </w:t>
          </w:r>
          <w:r>
            <w:rPr>
              <w:spacing w:val="12"/>
              <w:sz w:val="19"/>
              <w:szCs w:val="19"/>
            </w:rPr>
            <w:t>年一二支柱养老金占比超90%,基本养老保险委托投资规模低</w:t>
          </w:r>
          <w:r>
            <w:rPr>
              <w:spacing w:val="-72"/>
              <w:sz w:val="19"/>
              <w:szCs w:val="19"/>
            </w:rPr>
            <w:t xml:space="preserve"> </w:t>
          </w:r>
          <w:r>
            <w:rPr>
              <w:sz w:val="19"/>
              <w:szCs w:val="19"/>
            </w:rPr>
            <w:tab/>
          </w:r>
          <w:r>
            <w:rPr>
              <w:spacing w:val="-63"/>
              <w:sz w:val="19"/>
              <w:szCs w:val="19"/>
            </w:rPr>
            <w:t xml:space="preserve"> </w:t>
          </w:r>
          <w:hyperlink w:anchor="bookmark3" w:history="1">
            <w:r>
              <w:rPr>
                <w:rFonts w:ascii="Times New Roman" w:eastAsia="Times New Roman" w:hAnsi="Times New Roman" w:cs="Times New Roman"/>
                <w:sz w:val="19"/>
                <w:szCs w:val="19"/>
              </w:rPr>
              <w:t>6</w:t>
            </w:r>
          </w:hyperlink>
        </w:p>
        <w:p>
          <w:pPr>
            <w:pStyle w:val="BodyText"/>
            <w:tabs>
              <w:tab w:val="right" w:leader="dot" w:pos="10386"/>
            </w:tabs>
            <w:spacing w:before="81"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10"/>
              <w:sz w:val="19"/>
              <w:szCs w:val="19"/>
            </w:rPr>
            <w:t>2.2</w:t>
          </w:r>
          <w:r>
            <w:rPr>
              <w:rFonts w:ascii="Times New Roman" w:eastAsia="Times New Roman" w:hAnsi="Times New Roman" w:cs="Times New Roman"/>
              <w:spacing w:val="-27"/>
              <w:sz w:val="19"/>
              <w:szCs w:val="19"/>
            </w:rPr>
            <w:t xml:space="preserve"> </w:t>
          </w:r>
          <w:r>
            <w:rPr>
              <w:rFonts w:ascii="SimSun" w:eastAsia="SimSun" w:hAnsi="SimSun" w:cs="SimSun"/>
              <w:spacing w:val="10"/>
              <w:sz w:val="19"/>
              <w:szCs w:val="19"/>
            </w:rPr>
            <w:t>、</w:t>
          </w:r>
          <w:r>
            <w:rPr>
              <w:rFonts w:ascii="SimSun" w:eastAsia="SimSun" w:hAnsi="SimSun" w:cs="SimSun"/>
              <w:spacing w:val="62"/>
              <w:sz w:val="19"/>
              <w:szCs w:val="19"/>
            </w:rPr>
            <w:t xml:space="preserve"> </w:t>
          </w:r>
          <w:r>
            <w:rPr>
              <w:spacing w:val="10"/>
              <w:sz w:val="19"/>
              <w:szCs w:val="19"/>
            </w:rPr>
            <w:t>养老金第一支柱：实际委托规模待提高</w:t>
          </w:r>
          <w:r>
            <w:rPr>
              <w:spacing w:val="9"/>
              <w:sz w:val="19"/>
              <w:szCs w:val="19"/>
            </w:rPr>
            <w:t>，权益比例仍有提升空间</w:t>
          </w:r>
          <w:r>
            <w:rPr>
              <w:sz w:val="19"/>
              <w:szCs w:val="19"/>
            </w:rPr>
            <w:tab/>
          </w:r>
          <w:r>
            <w:rPr>
              <w:spacing w:val="-23"/>
              <w:sz w:val="19"/>
              <w:szCs w:val="19"/>
            </w:rPr>
            <w:t xml:space="preserve"> </w:t>
          </w:r>
          <w:hyperlink w:anchor="bookmark4" w:history="1">
            <w:r>
              <w:rPr>
                <w:rFonts w:ascii="Times New Roman" w:eastAsia="Times New Roman" w:hAnsi="Times New Roman" w:cs="Times New Roman"/>
                <w:sz w:val="19"/>
                <w:szCs w:val="19"/>
              </w:rPr>
              <w:t>7</w:t>
            </w:r>
          </w:hyperlink>
        </w:p>
        <w:p>
          <w:pPr>
            <w:pStyle w:val="BodyText"/>
            <w:tabs>
              <w:tab w:val="right" w:leader="dot" w:pos="10376"/>
            </w:tabs>
            <w:spacing w:before="84" w:line="222"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14"/>
              <w:sz w:val="19"/>
              <w:szCs w:val="19"/>
            </w:rPr>
            <w:t>2.3</w:t>
          </w:r>
          <w:r>
            <w:rPr>
              <w:rFonts w:ascii="Times New Roman" w:eastAsia="Times New Roman" w:hAnsi="Times New Roman" w:cs="Times New Roman"/>
              <w:spacing w:val="-27"/>
              <w:sz w:val="19"/>
              <w:szCs w:val="19"/>
            </w:rPr>
            <w:t xml:space="preserve"> </w:t>
          </w:r>
          <w:r>
            <w:rPr>
              <w:rFonts w:ascii="SimSun" w:eastAsia="SimSun" w:hAnsi="SimSun" w:cs="SimSun"/>
              <w:spacing w:val="14"/>
              <w:sz w:val="19"/>
              <w:szCs w:val="19"/>
            </w:rPr>
            <w:t>、</w:t>
          </w:r>
          <w:r>
            <w:rPr>
              <w:rFonts w:ascii="SimSun" w:eastAsia="SimSun" w:hAnsi="SimSun" w:cs="SimSun"/>
              <w:spacing w:val="52"/>
              <w:sz w:val="19"/>
              <w:szCs w:val="19"/>
            </w:rPr>
            <w:t xml:space="preserve"> </w:t>
          </w:r>
          <w:r>
            <w:rPr>
              <w:spacing w:val="14"/>
              <w:sz w:val="19"/>
              <w:szCs w:val="19"/>
            </w:rPr>
            <w:t>养老金第二支柱：实际权益比例低于10%,委托和考核机</w:t>
          </w:r>
          <w:r>
            <w:rPr>
              <w:spacing w:val="13"/>
              <w:sz w:val="19"/>
              <w:szCs w:val="19"/>
            </w:rPr>
            <w:t>制待完善</w:t>
          </w:r>
          <w:r>
            <w:rPr>
              <w:spacing w:val="-74"/>
              <w:sz w:val="19"/>
              <w:szCs w:val="19"/>
            </w:rPr>
            <w:t xml:space="preserve"> </w:t>
          </w:r>
          <w:r>
            <w:rPr>
              <w:sz w:val="19"/>
              <w:szCs w:val="19"/>
            </w:rPr>
            <w:tab/>
          </w:r>
          <w:hyperlink w:anchor="bookmark5" w:history="1">
            <w:r>
              <w:rPr>
                <w:rFonts w:ascii="Times New Roman" w:eastAsia="Times New Roman" w:hAnsi="Times New Roman" w:cs="Times New Roman"/>
                <w:spacing w:val="-6"/>
                <w:sz w:val="19"/>
                <w:szCs w:val="19"/>
              </w:rPr>
              <w:t>12</w:t>
            </w:r>
          </w:hyperlink>
        </w:p>
        <w:p>
          <w:pPr>
            <w:pStyle w:val="BodyText"/>
            <w:tabs>
              <w:tab w:val="right" w:leader="dot" w:pos="10376"/>
            </w:tabs>
            <w:spacing w:before="61"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2.4</w:t>
          </w:r>
          <w:r>
            <w:rPr>
              <w:rFonts w:ascii="Times New Roman" w:eastAsia="Times New Roman" w:hAnsi="Times New Roman" w:cs="Times New Roman"/>
              <w:spacing w:val="-26"/>
              <w:sz w:val="19"/>
              <w:szCs w:val="19"/>
            </w:rPr>
            <w:t xml:space="preserve"> </w:t>
          </w:r>
          <w:r>
            <w:rPr>
              <w:rFonts w:ascii="SimSun" w:eastAsia="SimSun" w:hAnsi="SimSun" w:cs="SimSun"/>
              <w:spacing w:val="8"/>
              <w:sz w:val="19"/>
              <w:szCs w:val="19"/>
            </w:rPr>
            <w:t>、</w:t>
          </w:r>
          <w:r>
            <w:rPr>
              <w:rFonts w:ascii="SimSun" w:eastAsia="SimSun" w:hAnsi="SimSun" w:cs="SimSun"/>
              <w:spacing w:val="62"/>
              <w:sz w:val="19"/>
              <w:szCs w:val="19"/>
            </w:rPr>
            <w:t xml:space="preserve"> </w:t>
          </w:r>
          <w:r>
            <w:rPr>
              <w:spacing w:val="8"/>
              <w:sz w:val="19"/>
              <w:szCs w:val="19"/>
            </w:rPr>
            <w:t>养老金第三支柱：账户+产品制合计约万亿规模，资产入市潜力较大</w:t>
          </w:r>
          <w:r>
            <w:rPr>
              <w:spacing w:val="-69"/>
              <w:sz w:val="19"/>
              <w:szCs w:val="19"/>
            </w:rPr>
            <w:t xml:space="preserve"> </w:t>
          </w:r>
          <w:r>
            <w:rPr>
              <w:sz w:val="19"/>
              <w:szCs w:val="19"/>
            </w:rPr>
            <w:tab/>
          </w:r>
          <w:hyperlink w:anchor="bookmark6" w:history="1">
            <w:r>
              <w:rPr>
                <w:rFonts w:ascii="Times New Roman" w:eastAsia="Times New Roman" w:hAnsi="Times New Roman" w:cs="Times New Roman"/>
                <w:spacing w:val="-4"/>
                <w:sz w:val="19"/>
                <w:szCs w:val="19"/>
              </w:rPr>
              <w:t>14</w:t>
            </w:r>
          </w:hyperlink>
        </w:p>
        <w:p>
          <w:pPr>
            <w:pStyle w:val="BodyText"/>
            <w:tabs>
              <w:tab w:val="right" w:leader="dot" w:pos="10366"/>
            </w:tabs>
            <w:spacing w:before="106" w:line="223" w:lineRule="auto"/>
            <w:rPr>
              <w:rFonts w:ascii="Times New Roman" w:eastAsia="Times New Roman" w:hAnsi="Times New Roman" w:cs="Times New Roman"/>
              <w:sz w:val="19"/>
              <w:szCs w:val="19"/>
            </w:rPr>
          </w:pPr>
          <w:r>
            <w:rPr>
              <w:rFonts w:ascii="Times New Roman" w:eastAsia="Times New Roman" w:hAnsi="Times New Roman" w:cs="Times New Roman"/>
              <w:spacing w:val="9"/>
              <w:sz w:val="19"/>
              <w:szCs w:val="19"/>
            </w:rPr>
            <w:t>3</w:t>
          </w:r>
          <w:r>
            <w:rPr>
              <w:rFonts w:ascii="Times New Roman" w:eastAsia="Times New Roman" w:hAnsi="Times New Roman" w:cs="Times New Roman"/>
              <w:spacing w:val="-19"/>
              <w:sz w:val="19"/>
              <w:szCs w:val="19"/>
            </w:rPr>
            <w:t xml:space="preserve"> </w:t>
          </w:r>
          <w:r>
            <w:rPr>
              <w:rFonts w:ascii="SimSun" w:eastAsia="SimSun" w:hAnsi="SimSun" w:cs="SimSun"/>
              <w:spacing w:val="9"/>
              <w:sz w:val="19"/>
              <w:szCs w:val="19"/>
            </w:rPr>
            <w:t xml:space="preserve">、 </w:t>
          </w:r>
          <w:r>
            <w:rPr>
              <w:spacing w:val="9"/>
              <w:sz w:val="19"/>
              <w:szCs w:val="19"/>
            </w:rPr>
            <w:t>从全球养老资产看委托管理模式和资产配置结构</w:t>
          </w:r>
          <w:r>
            <w:rPr>
              <w:spacing w:val="-81"/>
              <w:sz w:val="19"/>
              <w:szCs w:val="19"/>
            </w:rPr>
            <w:t xml:space="preserve"> </w:t>
          </w:r>
          <w:r>
            <w:rPr>
              <w:sz w:val="19"/>
              <w:szCs w:val="19"/>
            </w:rPr>
            <w:tab/>
          </w:r>
          <w:r>
            <w:rPr>
              <w:spacing w:val="-13"/>
              <w:sz w:val="19"/>
              <w:szCs w:val="19"/>
            </w:rPr>
            <w:t xml:space="preserve"> </w:t>
          </w:r>
          <w:hyperlink w:anchor="bookmark7" w:history="1">
            <w:r>
              <w:rPr>
                <w:rFonts w:ascii="Times New Roman" w:eastAsia="Times New Roman" w:hAnsi="Times New Roman" w:cs="Times New Roman"/>
                <w:spacing w:val="-6"/>
                <w:sz w:val="19"/>
                <w:szCs w:val="19"/>
              </w:rPr>
              <w:t>15</w:t>
            </w:r>
          </w:hyperlink>
        </w:p>
        <w:p>
          <w:pPr>
            <w:pStyle w:val="BodyText"/>
            <w:tabs>
              <w:tab w:val="right" w:leader="dot" w:pos="10396"/>
            </w:tabs>
            <w:spacing w:before="88"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10"/>
              <w:sz w:val="19"/>
              <w:szCs w:val="19"/>
            </w:rPr>
            <w:t>3.1</w:t>
          </w:r>
          <w:r>
            <w:rPr>
              <w:rFonts w:ascii="Times New Roman" w:eastAsia="Times New Roman" w:hAnsi="Times New Roman" w:cs="Times New Roman"/>
              <w:spacing w:val="-27"/>
              <w:sz w:val="19"/>
              <w:szCs w:val="19"/>
            </w:rPr>
            <w:t xml:space="preserve"> </w:t>
          </w:r>
          <w:r>
            <w:rPr>
              <w:rFonts w:ascii="SimSun" w:eastAsia="SimSun" w:hAnsi="SimSun" w:cs="SimSun"/>
              <w:spacing w:val="10"/>
              <w:sz w:val="19"/>
              <w:szCs w:val="19"/>
            </w:rPr>
            <w:t>、</w:t>
          </w:r>
          <w:r>
            <w:rPr>
              <w:rFonts w:ascii="SimSun" w:eastAsia="SimSun" w:hAnsi="SimSun" w:cs="SimSun"/>
              <w:spacing w:val="76"/>
              <w:sz w:val="19"/>
              <w:szCs w:val="19"/>
            </w:rPr>
            <w:t xml:space="preserve"> </w:t>
          </w:r>
          <w:r>
            <w:rPr>
              <w:spacing w:val="10"/>
              <w:sz w:val="19"/>
              <w:szCs w:val="19"/>
            </w:rPr>
            <w:t>日本</w:t>
          </w:r>
          <w:r>
            <w:rPr>
              <w:spacing w:val="10"/>
              <w:sz w:val="19"/>
              <w:szCs w:val="19"/>
            </w:rPr>
            <w:t xml:space="preserve"> </w:t>
          </w:r>
          <w:r>
            <w:rPr>
              <w:rFonts w:ascii="Times New Roman" w:eastAsia="Times New Roman" w:hAnsi="Times New Roman" w:cs="Times New Roman"/>
              <w:sz w:val="19"/>
              <w:szCs w:val="19"/>
            </w:rPr>
            <w:t>GPIF</w:t>
          </w:r>
          <w:r>
            <w:rPr>
              <w:spacing w:val="10"/>
              <w:sz w:val="19"/>
              <w:szCs w:val="19"/>
            </w:rPr>
            <w:t>:被动管理+委托投资为主，权益资</w:t>
          </w:r>
          <w:r>
            <w:rPr>
              <w:spacing w:val="9"/>
              <w:sz w:val="19"/>
              <w:szCs w:val="19"/>
            </w:rPr>
            <w:t>产占比中枢</w:t>
          </w:r>
          <w:r>
            <w:rPr>
              <w:spacing w:val="38"/>
              <w:sz w:val="19"/>
              <w:szCs w:val="19"/>
            </w:rPr>
            <w:t xml:space="preserve"> </w:t>
          </w:r>
          <w:r>
            <w:rPr>
              <w:spacing w:val="9"/>
              <w:sz w:val="19"/>
              <w:szCs w:val="19"/>
            </w:rPr>
            <w:t>50%</w:t>
          </w:r>
          <w:r>
            <w:rPr>
              <w:spacing w:val="-72"/>
              <w:sz w:val="19"/>
              <w:szCs w:val="19"/>
            </w:rPr>
            <w:t xml:space="preserve"> </w:t>
          </w:r>
          <w:r>
            <w:rPr>
              <w:sz w:val="19"/>
              <w:szCs w:val="19"/>
            </w:rPr>
            <w:tab/>
          </w:r>
          <w:hyperlink w:anchor="bookmark8" w:history="1">
            <w:r>
              <w:rPr>
                <w:rFonts w:ascii="Times New Roman" w:eastAsia="Times New Roman" w:hAnsi="Times New Roman" w:cs="Times New Roman"/>
                <w:spacing w:val="-6"/>
                <w:sz w:val="19"/>
                <w:szCs w:val="19"/>
              </w:rPr>
              <w:t>15</w:t>
            </w:r>
          </w:hyperlink>
        </w:p>
        <w:p>
          <w:pPr>
            <w:pStyle w:val="BodyText"/>
            <w:tabs>
              <w:tab w:val="right" w:leader="dot" w:pos="10386"/>
            </w:tabs>
            <w:spacing w:before="84" w:line="220" w:lineRule="auto"/>
            <w:ind w:left="400"/>
            <w:rPr>
              <w:rFonts w:ascii="Times New Roman" w:eastAsia="Times New Roman" w:hAnsi="Times New Roman" w:cs="Times New Roman"/>
              <w:sz w:val="19"/>
              <w:szCs w:val="19"/>
            </w:rPr>
          </w:pPr>
          <w:r>
            <w:rPr>
              <w:rFonts w:ascii="Times New Roman" w:eastAsia="Times New Roman" w:hAnsi="Times New Roman" w:cs="Times New Roman"/>
              <w:color w:val="0069D3"/>
              <w:spacing w:val="8"/>
              <w:sz w:val="19"/>
              <w:szCs w:val="19"/>
            </w:rPr>
            <w:t>3.2</w:t>
          </w:r>
          <w:r>
            <w:rPr>
              <w:rFonts w:ascii="Times New Roman" w:eastAsia="Times New Roman" w:hAnsi="Times New Roman" w:cs="Times New Roman"/>
              <w:color w:val="0069D3"/>
              <w:spacing w:val="-24"/>
              <w:sz w:val="19"/>
              <w:szCs w:val="19"/>
            </w:rPr>
            <w:t xml:space="preserve"> </w:t>
          </w:r>
          <w:r>
            <w:rPr>
              <w:rFonts w:ascii="SimSun" w:eastAsia="SimSun" w:hAnsi="SimSun" w:cs="SimSun"/>
              <w:color w:val="0069D3"/>
              <w:spacing w:val="8"/>
              <w:sz w:val="19"/>
              <w:szCs w:val="19"/>
            </w:rPr>
            <w:t>、</w:t>
          </w:r>
          <w:r>
            <w:rPr>
              <w:rFonts w:ascii="SimSun" w:eastAsia="SimSun" w:hAnsi="SimSun" w:cs="SimSun"/>
              <w:color w:val="0069D3"/>
              <w:spacing w:val="46"/>
              <w:sz w:val="19"/>
              <w:szCs w:val="19"/>
            </w:rPr>
            <w:t xml:space="preserve"> </w:t>
          </w:r>
          <w:r>
            <w:rPr>
              <w:color w:val="0069D3"/>
              <w:spacing w:val="8"/>
              <w:sz w:val="19"/>
              <w:szCs w:val="19"/>
            </w:rPr>
            <w:t>挪威</w:t>
          </w:r>
          <w:r>
            <w:rPr>
              <w:color w:val="0069D3"/>
              <w:spacing w:val="8"/>
              <w:sz w:val="19"/>
              <w:szCs w:val="19"/>
            </w:rPr>
            <w:t xml:space="preserve"> </w:t>
          </w:r>
          <w:r>
            <w:rPr>
              <w:rFonts w:ascii="Times New Roman" w:eastAsia="Times New Roman" w:hAnsi="Times New Roman" w:cs="Times New Roman"/>
              <w:color w:val="0069D3"/>
              <w:sz w:val="19"/>
              <w:szCs w:val="19"/>
            </w:rPr>
            <w:t>GPFG</w:t>
          </w:r>
          <w:r>
            <w:rPr>
              <w:rFonts w:ascii="Times New Roman" w:eastAsia="Times New Roman" w:hAnsi="Times New Roman" w:cs="Times New Roman"/>
              <w:color w:val="0069D3"/>
              <w:spacing w:val="8"/>
              <w:sz w:val="19"/>
              <w:szCs w:val="19"/>
            </w:rPr>
            <w:t xml:space="preserve"> </w:t>
          </w:r>
          <w:r>
            <w:rPr>
              <w:color w:val="0069D3"/>
              <w:spacing w:val="8"/>
              <w:sz w:val="19"/>
              <w:szCs w:val="19"/>
            </w:rPr>
            <w:t>:偏好中小私营资管机构，关注新兴市场和小盘股票</w:t>
          </w:r>
          <w:r>
            <w:rPr>
              <w:color w:val="0069D3"/>
              <w:spacing w:val="-80"/>
              <w:sz w:val="19"/>
              <w:szCs w:val="19"/>
            </w:rPr>
            <w:t xml:space="preserve"> </w:t>
          </w:r>
          <w:r>
            <w:rPr>
              <w:sz w:val="19"/>
              <w:szCs w:val="19"/>
            </w:rPr>
            <w:tab/>
          </w:r>
          <w:hyperlink w:anchor="bookmark9" w:history="1">
            <w:r>
              <w:rPr>
                <w:rFonts w:ascii="Times New Roman" w:eastAsia="Times New Roman" w:hAnsi="Times New Roman" w:cs="Times New Roman"/>
                <w:color w:val="0069D3"/>
                <w:spacing w:val="-4"/>
                <w:sz w:val="19"/>
                <w:szCs w:val="19"/>
              </w:rPr>
              <w:t>19</w:t>
            </w:r>
          </w:hyperlink>
        </w:p>
        <w:p>
          <w:pPr>
            <w:pStyle w:val="BodyText"/>
            <w:tabs>
              <w:tab w:val="right" w:leader="dot" w:pos="10375"/>
            </w:tabs>
            <w:spacing w:before="83"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13"/>
              <w:sz w:val="19"/>
              <w:szCs w:val="19"/>
            </w:rPr>
            <w:t>3.3</w:t>
          </w:r>
          <w:r>
            <w:rPr>
              <w:rFonts w:ascii="Times New Roman" w:eastAsia="Times New Roman" w:hAnsi="Times New Roman" w:cs="Times New Roman"/>
              <w:spacing w:val="-27"/>
              <w:sz w:val="19"/>
              <w:szCs w:val="19"/>
            </w:rPr>
            <w:t xml:space="preserve"> </w:t>
          </w:r>
          <w:r>
            <w:rPr>
              <w:rFonts w:ascii="SimSun" w:eastAsia="SimSun" w:hAnsi="SimSun" w:cs="SimSun"/>
              <w:spacing w:val="13"/>
              <w:sz w:val="19"/>
              <w:szCs w:val="19"/>
            </w:rPr>
            <w:t>、</w:t>
          </w:r>
          <w:r>
            <w:rPr>
              <w:rFonts w:ascii="SimSun" w:eastAsia="SimSun" w:hAnsi="SimSun" w:cs="SimSun"/>
              <w:spacing w:val="66"/>
              <w:sz w:val="19"/>
              <w:szCs w:val="19"/>
            </w:rPr>
            <w:t xml:space="preserve"> </w:t>
          </w:r>
          <w:r>
            <w:rPr>
              <w:spacing w:val="13"/>
              <w:sz w:val="19"/>
              <w:szCs w:val="19"/>
            </w:rPr>
            <w:t>美国401(</w:t>
          </w:r>
          <w:r>
            <w:rPr>
              <w:rFonts w:ascii="Times New Roman" w:eastAsia="Times New Roman" w:hAnsi="Times New Roman" w:cs="Times New Roman"/>
              <w:spacing w:val="13"/>
              <w:sz w:val="19"/>
              <w:szCs w:val="19"/>
            </w:rPr>
            <w:t>K</w:t>
          </w:r>
          <w:r>
            <w:rPr>
              <w:rFonts w:ascii="Times New Roman" w:eastAsia="Times New Roman" w:hAnsi="Times New Roman" w:cs="Times New Roman"/>
              <w:spacing w:val="-13"/>
              <w:sz w:val="19"/>
              <w:szCs w:val="19"/>
            </w:rPr>
            <w:t xml:space="preserve"> </w:t>
          </w:r>
          <w:r>
            <w:rPr>
              <w:spacing w:val="13"/>
              <w:sz w:val="19"/>
              <w:szCs w:val="19"/>
            </w:rPr>
            <w:t>):高度市场化运作，共同基金为主要</w:t>
          </w:r>
          <w:r>
            <w:rPr>
              <w:spacing w:val="12"/>
              <w:sz w:val="19"/>
              <w:szCs w:val="19"/>
            </w:rPr>
            <w:t>产品形态</w:t>
          </w:r>
          <w:r>
            <w:rPr>
              <w:spacing w:val="-79"/>
              <w:sz w:val="19"/>
              <w:szCs w:val="19"/>
            </w:rPr>
            <w:t xml:space="preserve"> </w:t>
          </w:r>
          <w:r>
            <w:rPr>
              <w:sz w:val="19"/>
              <w:szCs w:val="19"/>
            </w:rPr>
            <w:tab/>
          </w:r>
          <w:r>
            <w:rPr>
              <w:spacing w:val="-43"/>
              <w:sz w:val="19"/>
              <w:szCs w:val="19"/>
            </w:rPr>
            <w:t xml:space="preserve"> </w:t>
          </w:r>
          <w:hyperlink w:anchor="bookmark10" w:history="1">
            <w:r>
              <w:rPr>
                <w:rFonts w:ascii="Times New Roman" w:eastAsia="Times New Roman" w:hAnsi="Times New Roman" w:cs="Times New Roman"/>
                <w:spacing w:val="-1"/>
                <w:sz w:val="19"/>
                <w:szCs w:val="19"/>
              </w:rPr>
              <w:t>23</w:t>
            </w:r>
          </w:hyperlink>
        </w:p>
        <w:p>
          <w:pPr>
            <w:pStyle w:val="BodyText"/>
            <w:tabs>
              <w:tab w:val="right" w:leader="dot" w:pos="10375"/>
            </w:tabs>
            <w:spacing w:before="84"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3.4</w:t>
          </w:r>
          <w:r>
            <w:rPr>
              <w:rFonts w:ascii="Times New Roman" w:eastAsia="Times New Roman" w:hAnsi="Times New Roman" w:cs="Times New Roman"/>
              <w:spacing w:val="-23"/>
              <w:sz w:val="19"/>
              <w:szCs w:val="19"/>
            </w:rPr>
            <w:t xml:space="preserve"> </w:t>
          </w:r>
          <w:r>
            <w:rPr>
              <w:rFonts w:ascii="SimSun" w:eastAsia="SimSun" w:hAnsi="SimSun" w:cs="SimSun"/>
              <w:spacing w:val="1"/>
              <w:sz w:val="19"/>
              <w:szCs w:val="19"/>
            </w:rPr>
            <w:t>、</w:t>
          </w:r>
          <w:r>
            <w:rPr>
              <w:rFonts w:ascii="SimSun" w:eastAsia="SimSun" w:hAnsi="SimSun" w:cs="SimSun"/>
              <w:spacing w:val="66"/>
              <w:sz w:val="19"/>
              <w:szCs w:val="19"/>
            </w:rPr>
            <w:t xml:space="preserve"> </w:t>
          </w:r>
          <w:r>
            <w:rPr>
              <w:spacing w:val="1"/>
              <w:sz w:val="19"/>
              <w:szCs w:val="19"/>
            </w:rPr>
            <w:t>英国</w:t>
          </w:r>
          <w:r>
            <w:rPr>
              <w:spacing w:val="1"/>
              <w:sz w:val="19"/>
              <w:szCs w:val="19"/>
            </w:rPr>
            <w:t xml:space="preserve"> </w:t>
          </w:r>
          <w:r>
            <w:rPr>
              <w:rFonts w:ascii="Times New Roman" w:eastAsia="Times New Roman" w:hAnsi="Times New Roman" w:cs="Times New Roman"/>
              <w:sz w:val="19"/>
              <w:szCs w:val="19"/>
            </w:rPr>
            <w:t>NEST</w:t>
          </w:r>
          <w:r>
            <w:rPr>
              <w:rFonts w:ascii="Times New Roman" w:eastAsia="Times New Roman" w:hAnsi="Times New Roman" w:cs="Times New Roman"/>
              <w:spacing w:val="1"/>
              <w:sz w:val="19"/>
              <w:szCs w:val="19"/>
            </w:rPr>
            <w:t xml:space="preserve"> </w:t>
          </w:r>
          <w:r>
            <w:rPr>
              <w:spacing w:val="1"/>
              <w:sz w:val="19"/>
              <w:szCs w:val="19"/>
            </w:rPr>
            <w:t>:龙头资管机构为主，“产品+委外”模式权益配置高</w:t>
          </w:r>
          <w:r>
            <w:rPr>
              <w:spacing w:val="-89"/>
              <w:sz w:val="19"/>
              <w:szCs w:val="19"/>
            </w:rPr>
            <w:t xml:space="preserve"> </w:t>
          </w:r>
          <w:r>
            <w:rPr>
              <w:sz w:val="19"/>
              <w:szCs w:val="19"/>
            </w:rPr>
            <w:tab/>
          </w:r>
          <w:hyperlink w:anchor="bookmark11" w:history="1">
            <w:r>
              <w:rPr>
                <w:rFonts w:ascii="Times New Roman" w:eastAsia="Times New Roman" w:hAnsi="Times New Roman" w:cs="Times New Roman"/>
                <w:spacing w:val="-3"/>
                <w:sz w:val="19"/>
                <w:szCs w:val="19"/>
              </w:rPr>
              <w:t>25</w:t>
            </w:r>
          </w:hyperlink>
        </w:p>
        <w:p>
          <w:pPr>
            <w:pStyle w:val="BodyText"/>
            <w:tabs>
              <w:tab w:val="right" w:leader="dot" w:pos="10365"/>
            </w:tabs>
            <w:spacing w:before="76" w:line="223"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3.5</w:t>
          </w:r>
          <w:r>
            <w:rPr>
              <w:rFonts w:ascii="Times New Roman" w:eastAsia="Times New Roman" w:hAnsi="Times New Roman" w:cs="Times New Roman"/>
              <w:spacing w:val="-10"/>
              <w:sz w:val="19"/>
              <w:szCs w:val="19"/>
            </w:rPr>
            <w:t xml:space="preserve"> </w:t>
          </w:r>
          <w:r>
            <w:rPr>
              <w:rFonts w:ascii="SimSun" w:eastAsia="SimSun" w:hAnsi="SimSun" w:cs="SimSun"/>
              <w:spacing w:val="8"/>
              <w:sz w:val="19"/>
              <w:szCs w:val="19"/>
            </w:rPr>
            <w:t>、</w:t>
          </w:r>
          <w:r>
            <w:rPr>
              <w:rFonts w:ascii="SimSun" w:eastAsia="SimSun" w:hAnsi="SimSun" w:cs="SimSun"/>
              <w:spacing w:val="46"/>
              <w:sz w:val="19"/>
              <w:szCs w:val="19"/>
            </w:rPr>
            <w:t xml:space="preserve"> </w:t>
          </w:r>
          <w:r>
            <w:rPr>
              <w:spacing w:val="8"/>
              <w:sz w:val="19"/>
              <w:szCs w:val="19"/>
            </w:rPr>
            <w:t>结论：我国养老金委托管理和权益配置规模仍有较大提升空间</w:t>
          </w:r>
          <w:r>
            <w:rPr>
              <w:sz w:val="19"/>
              <w:szCs w:val="19"/>
            </w:rPr>
            <w:tab/>
          </w:r>
          <w:hyperlink w:anchor="bookmark12" w:history="1">
            <w:r>
              <w:rPr>
                <w:rFonts w:ascii="Times New Roman" w:eastAsia="Times New Roman" w:hAnsi="Times New Roman" w:cs="Times New Roman"/>
                <w:spacing w:val="4"/>
                <w:sz w:val="19"/>
                <w:szCs w:val="19"/>
              </w:rPr>
              <w:t>27</w:t>
            </w:r>
          </w:hyperlink>
        </w:p>
        <w:p>
          <w:pPr>
            <w:pStyle w:val="BodyText"/>
            <w:tabs>
              <w:tab w:val="right" w:leader="dot" w:pos="10375"/>
            </w:tabs>
            <w:spacing w:before="98" w:line="220" w:lineRule="auto"/>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4</w:t>
          </w:r>
          <w:r>
            <w:rPr>
              <w:rFonts w:ascii="Times New Roman" w:eastAsia="Times New Roman" w:hAnsi="Times New Roman" w:cs="Times New Roman"/>
              <w:spacing w:val="-27"/>
              <w:sz w:val="19"/>
              <w:szCs w:val="19"/>
            </w:rPr>
            <w:t xml:space="preserve"> </w:t>
          </w:r>
          <w:r>
            <w:rPr>
              <w:rFonts w:ascii="SimSun" w:eastAsia="SimSun" w:hAnsi="SimSun" w:cs="SimSun"/>
              <w:spacing w:val="8"/>
              <w:sz w:val="19"/>
              <w:szCs w:val="19"/>
            </w:rPr>
            <w:t>、</w:t>
          </w:r>
          <w:r>
            <w:rPr>
              <w:rFonts w:ascii="SimSun" w:eastAsia="SimSun" w:hAnsi="SimSun" w:cs="SimSun"/>
              <w:spacing w:val="43"/>
              <w:sz w:val="19"/>
              <w:szCs w:val="19"/>
            </w:rPr>
            <w:t xml:space="preserve"> </w:t>
          </w:r>
          <w:r>
            <w:rPr>
              <w:spacing w:val="8"/>
              <w:sz w:val="19"/>
              <w:szCs w:val="19"/>
            </w:rPr>
            <w:t>养老金入市正当时，投资端改革促进投融资动</w:t>
          </w:r>
          <w:r>
            <w:rPr>
              <w:spacing w:val="7"/>
              <w:sz w:val="19"/>
              <w:szCs w:val="19"/>
            </w:rPr>
            <w:t>态平衡</w:t>
          </w:r>
          <w:r>
            <w:rPr>
              <w:spacing w:val="-67"/>
              <w:sz w:val="19"/>
              <w:szCs w:val="19"/>
            </w:rPr>
            <w:t xml:space="preserve"> </w:t>
          </w:r>
          <w:r>
            <w:rPr>
              <w:sz w:val="19"/>
              <w:szCs w:val="19"/>
            </w:rPr>
            <w:tab/>
          </w:r>
          <w:r>
            <w:rPr>
              <w:spacing w:val="-53"/>
              <w:sz w:val="19"/>
              <w:szCs w:val="19"/>
            </w:rPr>
            <w:t xml:space="preserve"> </w:t>
          </w:r>
          <w:hyperlink w:anchor="bookmark13" w:history="1">
            <w:r>
              <w:rPr>
                <w:rFonts w:ascii="Times New Roman" w:eastAsia="Times New Roman" w:hAnsi="Times New Roman" w:cs="Times New Roman"/>
                <w:spacing w:val="-1"/>
                <w:sz w:val="19"/>
                <w:szCs w:val="19"/>
              </w:rPr>
              <w:t>29</w:t>
            </w:r>
          </w:hyperlink>
        </w:p>
        <w:p>
          <w:pPr>
            <w:pStyle w:val="BodyText"/>
            <w:tabs>
              <w:tab w:val="right" w:leader="dot" w:pos="10385"/>
            </w:tabs>
            <w:spacing w:before="83"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4.1</w:t>
          </w:r>
          <w:r>
            <w:rPr>
              <w:rFonts w:ascii="Times New Roman" w:eastAsia="Times New Roman" w:hAnsi="Times New Roman" w:cs="Times New Roman"/>
              <w:spacing w:val="-12"/>
              <w:sz w:val="19"/>
              <w:szCs w:val="19"/>
            </w:rPr>
            <w:t xml:space="preserve"> </w:t>
          </w:r>
          <w:r>
            <w:rPr>
              <w:rFonts w:ascii="SimSun" w:eastAsia="SimSun" w:hAnsi="SimSun" w:cs="SimSun"/>
              <w:spacing w:val="8"/>
              <w:sz w:val="19"/>
              <w:szCs w:val="19"/>
            </w:rPr>
            <w:t>、</w:t>
          </w:r>
          <w:r>
            <w:rPr>
              <w:rFonts w:ascii="SimSun" w:eastAsia="SimSun" w:hAnsi="SimSun" w:cs="SimSun"/>
              <w:spacing w:val="50"/>
              <w:sz w:val="19"/>
              <w:szCs w:val="19"/>
            </w:rPr>
            <w:t xml:space="preserve"> </w:t>
          </w:r>
          <w:r>
            <w:rPr>
              <w:spacing w:val="8"/>
              <w:sz w:val="19"/>
              <w:szCs w:val="19"/>
            </w:rPr>
            <w:t>必然性：人口老龄化带来负债端压力，利率下行驱使投资端入市</w:t>
          </w:r>
          <w:r>
            <w:rPr>
              <w:spacing w:val="-81"/>
              <w:sz w:val="19"/>
              <w:szCs w:val="19"/>
            </w:rPr>
            <w:t xml:space="preserve"> </w:t>
          </w:r>
          <w:r>
            <w:rPr>
              <w:sz w:val="19"/>
              <w:szCs w:val="19"/>
            </w:rPr>
            <w:tab/>
          </w:r>
          <w:hyperlink w:anchor="bookmark14" w:history="1">
            <w:r>
              <w:rPr>
                <w:rFonts w:ascii="Times New Roman" w:eastAsia="Times New Roman" w:hAnsi="Times New Roman" w:cs="Times New Roman"/>
                <w:spacing w:val="4"/>
                <w:sz w:val="19"/>
                <w:szCs w:val="19"/>
              </w:rPr>
              <w:t>29</w:t>
            </w:r>
          </w:hyperlink>
        </w:p>
        <w:p>
          <w:pPr>
            <w:pStyle w:val="BodyText"/>
            <w:tabs>
              <w:tab w:val="right" w:leader="dot" w:pos="10401"/>
            </w:tabs>
            <w:spacing w:before="87" w:line="224"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7"/>
              <w:sz w:val="19"/>
              <w:szCs w:val="19"/>
            </w:rPr>
            <w:t>4.2</w:t>
          </w:r>
          <w:r>
            <w:rPr>
              <w:rFonts w:ascii="Times New Roman" w:eastAsia="Times New Roman" w:hAnsi="Times New Roman" w:cs="Times New Roman"/>
              <w:spacing w:val="-22"/>
              <w:sz w:val="19"/>
              <w:szCs w:val="19"/>
            </w:rPr>
            <w:t xml:space="preserve"> </w:t>
          </w:r>
          <w:r>
            <w:rPr>
              <w:rFonts w:ascii="SimSun" w:eastAsia="SimSun" w:hAnsi="SimSun" w:cs="SimSun"/>
              <w:spacing w:val="7"/>
              <w:sz w:val="19"/>
              <w:szCs w:val="19"/>
            </w:rPr>
            <w:t>、</w:t>
          </w:r>
          <w:r>
            <w:rPr>
              <w:rFonts w:ascii="SimSun" w:eastAsia="SimSun" w:hAnsi="SimSun" w:cs="SimSun"/>
              <w:spacing w:val="81"/>
              <w:sz w:val="19"/>
              <w:szCs w:val="19"/>
            </w:rPr>
            <w:t xml:space="preserve"> </w:t>
          </w:r>
          <w:r>
            <w:rPr>
              <w:spacing w:val="7"/>
              <w:sz w:val="19"/>
              <w:szCs w:val="19"/>
            </w:rPr>
            <w:t>可行性：全球养老金入市与资本市场发展形成良性循环</w:t>
          </w:r>
          <w:r>
            <w:rPr>
              <w:sz w:val="19"/>
              <w:szCs w:val="19"/>
            </w:rPr>
            <w:tab/>
          </w:r>
          <w:r>
            <w:rPr>
              <w:spacing w:val="-13"/>
              <w:sz w:val="19"/>
              <w:szCs w:val="19"/>
            </w:rPr>
            <w:t xml:space="preserve"> </w:t>
          </w:r>
          <w:hyperlink w:anchor="bookmark15" w:history="1">
            <w:r>
              <w:rPr>
                <w:rFonts w:ascii="Times New Roman" w:eastAsia="Times New Roman" w:hAnsi="Times New Roman" w:cs="Times New Roman"/>
                <w:spacing w:val="-2"/>
                <w:sz w:val="19"/>
                <w:szCs w:val="19"/>
              </w:rPr>
              <w:t>31</w:t>
            </w:r>
          </w:hyperlink>
        </w:p>
        <w:p>
          <w:pPr>
            <w:pStyle w:val="BodyText"/>
            <w:tabs>
              <w:tab w:val="right" w:leader="dot" w:pos="10391"/>
            </w:tabs>
            <w:spacing w:before="76" w:line="220" w:lineRule="auto"/>
            <w:ind w:left="400"/>
            <w:rPr>
              <w:rFonts w:ascii="Times New Roman" w:eastAsia="Times New Roman" w:hAnsi="Times New Roman" w:cs="Times New Roman"/>
              <w:sz w:val="19"/>
              <w:szCs w:val="19"/>
            </w:rPr>
          </w:pPr>
          <w:r>
            <w:rPr>
              <w:rFonts w:ascii="Times New Roman" w:eastAsia="Times New Roman" w:hAnsi="Times New Roman" w:cs="Times New Roman"/>
              <w:spacing w:val="8"/>
              <w:sz w:val="19"/>
              <w:szCs w:val="19"/>
            </w:rPr>
            <w:t>4.3</w:t>
          </w:r>
          <w:r>
            <w:rPr>
              <w:rFonts w:ascii="Times New Roman" w:eastAsia="Times New Roman" w:hAnsi="Times New Roman" w:cs="Times New Roman"/>
              <w:spacing w:val="-13"/>
              <w:sz w:val="19"/>
              <w:szCs w:val="19"/>
            </w:rPr>
            <w:t xml:space="preserve"> </w:t>
          </w:r>
          <w:r>
            <w:rPr>
              <w:rFonts w:ascii="SimSun" w:eastAsia="SimSun" w:hAnsi="SimSun" w:cs="SimSun"/>
              <w:spacing w:val="8"/>
              <w:sz w:val="19"/>
              <w:szCs w:val="19"/>
            </w:rPr>
            <w:t>、</w:t>
          </w:r>
          <w:r>
            <w:rPr>
              <w:rFonts w:ascii="SimSun" w:eastAsia="SimSun" w:hAnsi="SimSun" w:cs="SimSun"/>
              <w:spacing w:val="50"/>
              <w:sz w:val="19"/>
              <w:szCs w:val="19"/>
            </w:rPr>
            <w:t xml:space="preserve"> </w:t>
          </w:r>
          <w:r>
            <w:rPr>
              <w:spacing w:val="8"/>
              <w:sz w:val="19"/>
              <w:szCs w:val="19"/>
            </w:rPr>
            <w:t>政策方向：关注投资端改革行动方案，投融资动态平衡为主基调</w:t>
          </w:r>
          <w:r>
            <w:rPr>
              <w:spacing w:val="-80"/>
              <w:sz w:val="19"/>
              <w:szCs w:val="19"/>
            </w:rPr>
            <w:t xml:space="preserve"> </w:t>
          </w:r>
          <w:r>
            <w:rPr>
              <w:sz w:val="19"/>
              <w:szCs w:val="19"/>
            </w:rPr>
            <w:tab/>
          </w:r>
          <w:hyperlink w:anchor="bookmark16" w:history="1">
            <w:r>
              <w:rPr>
                <w:rFonts w:ascii="Times New Roman" w:eastAsia="Times New Roman" w:hAnsi="Times New Roman" w:cs="Times New Roman"/>
                <w:spacing w:val="7"/>
                <w:sz w:val="19"/>
                <w:szCs w:val="19"/>
              </w:rPr>
              <w:t>33</w:t>
            </w:r>
          </w:hyperlink>
        </w:p>
        <w:p>
          <w:pPr>
            <w:pStyle w:val="BodyText"/>
            <w:tabs>
              <w:tab w:val="right" w:leader="dot" w:pos="10351"/>
            </w:tabs>
            <w:spacing w:before="80" w:line="226" w:lineRule="auto"/>
            <w:rPr>
              <w:rFonts w:ascii="Times New Roman" w:eastAsia="Times New Roman" w:hAnsi="Times New Roman" w:cs="Times New Roman"/>
              <w:sz w:val="19"/>
              <w:szCs w:val="19"/>
            </w:rPr>
          </w:pPr>
          <w:r>
            <w:rPr>
              <w:rFonts w:ascii="Times New Roman" w:eastAsia="Times New Roman" w:hAnsi="Times New Roman" w:cs="Times New Roman"/>
              <w:color w:val="004F9F"/>
              <w:spacing w:val="3"/>
              <w:sz w:val="19"/>
              <w:szCs w:val="19"/>
            </w:rPr>
            <w:t>5</w:t>
          </w:r>
          <w:r>
            <w:rPr>
              <w:rFonts w:ascii="Times New Roman" w:eastAsia="Times New Roman" w:hAnsi="Times New Roman" w:cs="Times New Roman"/>
              <w:color w:val="004F9F"/>
              <w:spacing w:val="-26"/>
              <w:sz w:val="19"/>
              <w:szCs w:val="19"/>
            </w:rPr>
            <w:t xml:space="preserve"> </w:t>
          </w:r>
          <w:r>
            <w:rPr>
              <w:rFonts w:ascii="SimSun" w:eastAsia="SimSun" w:hAnsi="SimSun" w:cs="SimSun"/>
              <w:color w:val="004F9F"/>
              <w:spacing w:val="3"/>
              <w:sz w:val="19"/>
              <w:szCs w:val="19"/>
            </w:rPr>
            <w:t>、</w:t>
          </w:r>
          <w:r>
            <w:rPr>
              <w:rFonts w:ascii="SimSun" w:eastAsia="SimSun" w:hAnsi="SimSun" w:cs="SimSun"/>
              <w:color w:val="004F9F"/>
              <w:spacing w:val="39"/>
              <w:sz w:val="19"/>
              <w:szCs w:val="19"/>
            </w:rPr>
            <w:t xml:space="preserve"> </w:t>
          </w:r>
          <w:r>
            <w:rPr>
              <w:color w:val="004F9F"/>
              <w:spacing w:val="3"/>
              <w:sz w:val="19"/>
              <w:szCs w:val="19"/>
            </w:rPr>
            <w:t>投资建议</w:t>
          </w:r>
          <w:r>
            <w:rPr>
              <w:color w:val="004F9F"/>
              <w:spacing w:val="-65"/>
              <w:sz w:val="19"/>
              <w:szCs w:val="19"/>
            </w:rPr>
            <w:t xml:space="preserve"> </w:t>
          </w:r>
          <w:r>
            <w:rPr>
              <w:sz w:val="19"/>
              <w:szCs w:val="19"/>
            </w:rPr>
            <w:tab/>
          </w:r>
          <w:hyperlink w:anchor="bookmark17" w:history="1">
            <w:r>
              <w:rPr>
                <w:rFonts w:ascii="Times New Roman" w:eastAsia="Times New Roman" w:hAnsi="Times New Roman" w:cs="Times New Roman"/>
                <w:color w:val="004F9F"/>
                <w:spacing w:val="2"/>
                <w:sz w:val="19"/>
                <w:szCs w:val="19"/>
              </w:rPr>
              <w:t>34</w:t>
            </w:r>
          </w:hyperlink>
        </w:p>
        <w:p>
          <w:pPr>
            <w:pStyle w:val="BodyText"/>
            <w:tabs>
              <w:tab w:val="right" w:leader="dot" w:pos="10371"/>
            </w:tabs>
            <w:spacing w:before="92" w:line="230" w:lineRule="auto"/>
            <w:rPr>
              <w:rFonts w:ascii="Times New Roman" w:eastAsia="Times New Roman" w:hAnsi="Times New Roman" w:cs="Times New Roman"/>
              <w:sz w:val="19"/>
              <w:szCs w:val="19"/>
            </w:rPr>
          </w:pPr>
          <w:r>
            <w:rPr>
              <w:rFonts w:ascii="Times New Roman" w:eastAsia="Times New Roman" w:hAnsi="Times New Roman" w:cs="Times New Roman"/>
              <w:spacing w:val="5"/>
              <w:sz w:val="19"/>
              <w:szCs w:val="19"/>
            </w:rPr>
            <w:t>6</w:t>
          </w:r>
          <w:r>
            <w:rPr>
              <w:rFonts w:ascii="Times New Roman" w:eastAsia="Times New Roman" w:hAnsi="Times New Roman" w:cs="Times New Roman"/>
              <w:spacing w:val="-27"/>
              <w:sz w:val="19"/>
              <w:szCs w:val="19"/>
            </w:rPr>
            <w:t xml:space="preserve"> </w:t>
          </w:r>
          <w:r>
            <w:rPr>
              <w:rFonts w:ascii="SimSun" w:eastAsia="SimSun" w:hAnsi="SimSun" w:cs="SimSun"/>
              <w:spacing w:val="5"/>
              <w:sz w:val="19"/>
              <w:szCs w:val="19"/>
            </w:rPr>
            <w:t>、</w:t>
          </w:r>
          <w:r>
            <w:rPr>
              <w:rFonts w:ascii="SimSun" w:eastAsia="SimSun" w:hAnsi="SimSun" w:cs="SimSun"/>
              <w:spacing w:val="28"/>
              <w:w w:val="101"/>
              <w:sz w:val="19"/>
              <w:szCs w:val="19"/>
            </w:rPr>
            <w:t xml:space="preserve"> </w:t>
          </w:r>
          <w:r>
            <w:rPr>
              <w:spacing w:val="5"/>
              <w:sz w:val="19"/>
              <w:szCs w:val="19"/>
            </w:rPr>
            <w:t>风险提示</w:t>
          </w:r>
          <w:r>
            <w:rPr>
              <w:spacing w:val="-76"/>
              <w:sz w:val="19"/>
              <w:szCs w:val="19"/>
            </w:rPr>
            <w:t xml:space="preserve"> </w:t>
          </w:r>
          <w:r>
            <w:rPr>
              <w:sz w:val="19"/>
              <w:szCs w:val="19"/>
            </w:rPr>
            <w:tab/>
          </w:r>
          <w:r>
            <w:rPr>
              <w:spacing w:val="-53"/>
              <w:sz w:val="19"/>
              <w:szCs w:val="19"/>
            </w:rPr>
            <w:t xml:space="preserve"> </w:t>
          </w:r>
          <w:hyperlink w:anchor="bookmark18" w:history="1">
            <w:r>
              <w:rPr>
                <w:rFonts w:ascii="Times New Roman" w:eastAsia="Times New Roman" w:hAnsi="Times New Roman" w:cs="Times New Roman"/>
                <w:spacing w:val="-2"/>
                <w:sz w:val="19"/>
                <w:szCs w:val="19"/>
              </w:rPr>
              <w:t>35</w:t>
            </w:r>
          </w:hyperlink>
        </w:p>
      </w:sdtContent>
    </w:sdt>
    <w:p>
      <w:pPr>
        <w:spacing w:line="430" w:lineRule="auto"/>
        <w:rPr>
          <w:rFonts w:ascii="Arial"/>
          <w:sz w:val="21"/>
        </w:rPr>
      </w:pPr>
    </w:p>
    <w:sdt>
      <w:sdtPr>
        <w:rPr>
          <w:rFonts w:ascii="KaiTi" w:eastAsia="KaiTi" w:hAnsi="KaiTi" w:cs="KaiTi"/>
          <w:sz w:val="26"/>
          <w:szCs w:val="26"/>
        </w:rPr>
        <w:id w:val="1011628214"/>
        <w:docPartObj>
          <w:docPartGallery w:val="Table of Contents"/>
          <w:docPartUnique/>
        </w:docPartObj>
      </w:sdtPr>
      <w:sdtEndPr>
        <w:rPr>
          <w:rFonts w:ascii="Times New Roman" w:eastAsia="Times New Roman" w:hAnsi="Times New Roman" w:cs="Times New Roman"/>
          <w:sz w:val="19"/>
          <w:szCs w:val="19"/>
        </w:rPr>
      </w:sdtEndPr>
      <w:sdtContent>
        <w:p>
          <w:pPr>
            <w:pStyle w:val="BodyText"/>
            <w:spacing w:before="85" w:line="227" w:lineRule="auto"/>
            <w:ind w:left="4673"/>
            <w:rPr>
              <w:sz w:val="26"/>
              <w:szCs w:val="26"/>
            </w:rPr>
          </w:pPr>
          <w:r>
            <w:rPr>
              <w:b/>
              <w:bCs/>
              <w:color w:val="000080"/>
              <w:spacing w:val="17"/>
              <w:sz w:val="26"/>
              <w:szCs w:val="26"/>
            </w:rPr>
            <w:t>图表目录</w:t>
          </w:r>
        </w:p>
        <w:p>
          <w:pPr>
            <w:pStyle w:val="BodyText"/>
            <w:tabs>
              <w:tab w:val="right" w:leader="dot" w:pos="10385"/>
            </w:tabs>
            <w:spacing w:before="195" w:line="220" w:lineRule="auto"/>
            <w:rPr>
              <w:rFonts w:ascii="Times New Roman" w:eastAsia="Times New Roman" w:hAnsi="Times New Roman" w:cs="Times New Roman"/>
              <w:sz w:val="19"/>
              <w:szCs w:val="19"/>
            </w:rPr>
          </w:pPr>
          <w:r>
            <w:rPr>
              <w:spacing w:val="6"/>
              <w:sz w:val="19"/>
              <w:szCs w:val="19"/>
            </w:rPr>
            <w:t>图</w:t>
          </w:r>
          <w:r>
            <w:rPr>
              <w:spacing w:val="6"/>
              <w:sz w:val="19"/>
              <w:szCs w:val="19"/>
            </w:rPr>
            <w:t xml:space="preserve"> </w:t>
          </w:r>
          <w:r>
            <w:rPr>
              <w:spacing w:val="6"/>
              <w:sz w:val="19"/>
              <w:szCs w:val="19"/>
            </w:rPr>
            <w:t>1</w:t>
          </w:r>
          <w:r>
            <w:rPr>
              <w:spacing w:val="6"/>
              <w:sz w:val="19"/>
              <w:szCs w:val="19"/>
            </w:rPr>
            <w:t xml:space="preserve"> </w:t>
          </w:r>
          <w:r>
            <w:rPr>
              <w:spacing w:val="6"/>
              <w:sz w:val="19"/>
              <w:szCs w:val="19"/>
            </w:rPr>
            <w:t>:</w:t>
          </w:r>
          <w:r>
            <w:rPr>
              <w:spacing w:val="76"/>
              <w:sz w:val="19"/>
              <w:szCs w:val="19"/>
            </w:rPr>
            <w:t xml:space="preserve"> </w:t>
          </w:r>
          <w:r>
            <w:rPr>
              <w:spacing w:val="6"/>
              <w:sz w:val="19"/>
              <w:szCs w:val="19"/>
            </w:rPr>
            <w:t>我国建立养老金三支柱体系，养老资金是主要的长期</w:t>
          </w:r>
          <w:r>
            <w:rPr>
              <w:spacing w:val="5"/>
              <w:sz w:val="19"/>
              <w:szCs w:val="19"/>
            </w:rPr>
            <w:t>资金</w:t>
          </w:r>
          <w:r>
            <w:rPr>
              <w:spacing w:val="-75"/>
              <w:sz w:val="19"/>
              <w:szCs w:val="19"/>
            </w:rPr>
            <w:t xml:space="preserve"> </w:t>
          </w:r>
          <w:r>
            <w:rPr>
              <w:sz w:val="19"/>
              <w:szCs w:val="19"/>
            </w:rPr>
            <w:tab/>
          </w:r>
          <w:r>
            <w:rPr>
              <w:spacing w:val="-23"/>
              <w:sz w:val="19"/>
              <w:szCs w:val="19"/>
            </w:rPr>
            <w:t xml:space="preserve"> </w:t>
          </w:r>
          <w:hyperlink w:anchor="bookmark19" w:history="1">
            <w:r>
              <w:rPr>
                <w:rFonts w:ascii="Times New Roman" w:eastAsia="Times New Roman" w:hAnsi="Times New Roman" w:cs="Times New Roman"/>
                <w:sz w:val="19"/>
                <w:szCs w:val="19"/>
              </w:rPr>
              <w:t>6</w:t>
            </w:r>
          </w:hyperlink>
        </w:p>
        <w:p>
          <w:pPr>
            <w:pStyle w:val="BodyText"/>
            <w:tabs>
              <w:tab w:val="right" w:leader="dot" w:pos="10295"/>
            </w:tabs>
            <w:spacing w:before="44" w:line="220" w:lineRule="auto"/>
            <w:rPr>
              <w:rFonts w:ascii="Times New Roman" w:eastAsia="Times New Roman" w:hAnsi="Times New Roman" w:cs="Times New Roman"/>
              <w:sz w:val="19"/>
              <w:szCs w:val="19"/>
            </w:rPr>
          </w:pPr>
          <w:r>
            <w:rPr>
              <w:spacing w:val="11"/>
              <w:sz w:val="19"/>
              <w:szCs w:val="19"/>
            </w:rPr>
            <w:t>图</w:t>
          </w:r>
          <w:r>
            <w:rPr>
              <w:spacing w:val="-18"/>
              <w:sz w:val="19"/>
              <w:szCs w:val="19"/>
            </w:rPr>
            <w:t xml:space="preserve"> </w:t>
          </w:r>
          <w:r>
            <w:rPr>
              <w:spacing w:val="11"/>
              <w:sz w:val="19"/>
              <w:szCs w:val="19"/>
            </w:rPr>
            <w:t>2</w:t>
          </w:r>
          <w:r>
            <w:rPr>
              <w:spacing w:val="11"/>
              <w:sz w:val="19"/>
              <w:szCs w:val="19"/>
            </w:rPr>
            <w:t xml:space="preserve"> </w:t>
          </w:r>
          <w:r>
            <w:rPr>
              <w:spacing w:val="11"/>
              <w:sz w:val="19"/>
              <w:szCs w:val="19"/>
            </w:rPr>
            <w:t>:</w:t>
          </w:r>
          <w:r>
            <w:rPr>
              <w:spacing w:val="-36"/>
              <w:sz w:val="19"/>
              <w:szCs w:val="19"/>
            </w:rPr>
            <w:t xml:space="preserve"> </w:t>
          </w:r>
          <w:r>
            <w:rPr>
              <w:spacing w:val="11"/>
              <w:sz w:val="19"/>
              <w:szCs w:val="19"/>
            </w:rPr>
            <w:t>2</w:t>
          </w:r>
          <w:r>
            <w:rPr>
              <w:spacing w:val="-35"/>
              <w:sz w:val="19"/>
              <w:szCs w:val="19"/>
            </w:rPr>
            <w:t xml:space="preserve"> </w:t>
          </w:r>
          <w:r>
            <w:rPr>
              <w:spacing w:val="11"/>
              <w:sz w:val="19"/>
              <w:szCs w:val="19"/>
            </w:rPr>
            <w:t>0</w:t>
          </w:r>
          <w:r>
            <w:rPr>
              <w:spacing w:val="-36"/>
              <w:sz w:val="19"/>
              <w:szCs w:val="19"/>
            </w:rPr>
            <w:t xml:space="preserve"> </w:t>
          </w:r>
          <w:r>
            <w:rPr>
              <w:spacing w:val="11"/>
              <w:sz w:val="19"/>
              <w:szCs w:val="19"/>
            </w:rPr>
            <w:t>2</w:t>
          </w:r>
          <w:r>
            <w:rPr>
              <w:spacing w:val="-35"/>
              <w:sz w:val="19"/>
              <w:szCs w:val="19"/>
            </w:rPr>
            <w:t xml:space="preserve"> </w:t>
          </w:r>
          <w:r>
            <w:rPr>
              <w:spacing w:val="11"/>
              <w:sz w:val="19"/>
              <w:szCs w:val="19"/>
            </w:rPr>
            <w:t>2年我国社保基金+基本养老保险约10万亿，职业和企业年金约5万亿</w:t>
          </w:r>
          <w:r>
            <w:rPr>
              <w:spacing w:val="-75"/>
              <w:sz w:val="19"/>
              <w:szCs w:val="19"/>
            </w:rPr>
            <w:t xml:space="preserve"> </w:t>
          </w:r>
          <w:r>
            <w:rPr>
              <w:sz w:val="19"/>
              <w:szCs w:val="19"/>
            </w:rPr>
            <w:tab/>
          </w:r>
          <w:r>
            <w:rPr>
              <w:spacing w:val="-33"/>
              <w:sz w:val="19"/>
              <w:szCs w:val="19"/>
            </w:rPr>
            <w:t xml:space="preserve"> </w:t>
          </w:r>
          <w:hyperlink w:anchor="bookmark2" w:history="1">
            <w:r>
              <w:rPr>
                <w:rFonts w:ascii="Times New Roman" w:eastAsia="Times New Roman" w:hAnsi="Times New Roman" w:cs="Times New Roman"/>
                <w:sz w:val="19"/>
                <w:szCs w:val="19"/>
              </w:rPr>
              <w:t>6</w:t>
            </w:r>
          </w:hyperlink>
        </w:p>
        <w:p>
          <w:pPr>
            <w:pStyle w:val="BodyText"/>
            <w:tabs>
              <w:tab w:val="right" w:leader="dot" w:pos="10288"/>
            </w:tabs>
            <w:spacing w:before="84" w:line="220" w:lineRule="auto"/>
            <w:rPr>
              <w:rFonts w:ascii="Times New Roman" w:eastAsia="Times New Roman" w:hAnsi="Times New Roman" w:cs="Times New Roman"/>
              <w:sz w:val="19"/>
              <w:szCs w:val="19"/>
            </w:rPr>
          </w:pPr>
          <w:r>
            <w:rPr>
              <w:spacing w:val="20"/>
              <w:sz w:val="19"/>
              <w:szCs w:val="19"/>
            </w:rPr>
            <w:t>图</w:t>
          </w:r>
          <w:r>
            <w:rPr>
              <w:spacing w:val="85"/>
              <w:sz w:val="19"/>
              <w:szCs w:val="19"/>
            </w:rPr>
            <w:t xml:space="preserve"> </w:t>
          </w:r>
          <w:r>
            <w:rPr>
              <w:spacing w:val="20"/>
              <w:sz w:val="19"/>
              <w:szCs w:val="19"/>
            </w:rPr>
            <w:t>3:2022年基本养老保险7万亿元，同比+10%</w:t>
          </w:r>
          <w:r>
            <w:rPr>
              <w:spacing w:val="-71"/>
              <w:sz w:val="19"/>
              <w:szCs w:val="19"/>
            </w:rPr>
            <w:t xml:space="preserve"> </w:t>
          </w:r>
          <w:r>
            <w:rPr>
              <w:sz w:val="19"/>
              <w:szCs w:val="19"/>
            </w:rPr>
            <w:tab/>
          </w:r>
          <w:hyperlink w:anchor="bookmark20" w:history="1">
            <w:r>
              <w:rPr>
                <w:rFonts w:ascii="Times New Roman" w:eastAsia="Times New Roman" w:hAnsi="Times New Roman" w:cs="Times New Roman"/>
                <w:spacing w:val="2"/>
                <w:sz w:val="19"/>
                <w:szCs w:val="19"/>
              </w:rPr>
              <w:t>7</w:t>
            </w:r>
          </w:hyperlink>
        </w:p>
        <w:p>
          <w:pPr>
            <w:pStyle w:val="BodyText"/>
            <w:tabs>
              <w:tab w:val="right" w:leader="dot" w:pos="10288"/>
            </w:tabs>
            <w:spacing w:before="103" w:line="220" w:lineRule="auto"/>
            <w:rPr>
              <w:rFonts w:ascii="Times New Roman" w:eastAsia="Times New Roman" w:hAnsi="Times New Roman" w:cs="Times New Roman"/>
              <w:sz w:val="19"/>
              <w:szCs w:val="19"/>
            </w:rPr>
          </w:pPr>
          <w:r>
            <w:rPr>
              <w:spacing w:val="17"/>
              <w:sz w:val="19"/>
              <w:szCs w:val="19"/>
            </w:rPr>
            <w:t>图4:</w:t>
          </w:r>
          <w:r>
            <w:rPr>
              <w:spacing w:val="67"/>
              <w:sz w:val="19"/>
              <w:szCs w:val="19"/>
            </w:rPr>
            <w:t xml:space="preserve"> </w:t>
          </w:r>
          <w:r>
            <w:rPr>
              <w:spacing w:val="17"/>
              <w:sz w:val="19"/>
              <w:szCs w:val="19"/>
            </w:rPr>
            <w:t>2023</w:t>
          </w:r>
          <w:r>
            <w:rPr>
              <w:spacing w:val="-55"/>
              <w:sz w:val="19"/>
              <w:szCs w:val="19"/>
            </w:rPr>
            <w:t xml:space="preserve"> </w:t>
          </w:r>
          <w:r>
            <w:rPr>
              <w:spacing w:val="17"/>
              <w:sz w:val="19"/>
              <w:szCs w:val="19"/>
            </w:rPr>
            <w:t>年基本养老保险参保10.66亿人</w:t>
          </w:r>
          <w:r>
            <w:rPr>
              <w:spacing w:val="16"/>
              <w:sz w:val="19"/>
              <w:szCs w:val="19"/>
            </w:rPr>
            <w:t>，覆盖率76%</w:t>
          </w:r>
          <w:r>
            <w:rPr>
              <w:spacing w:val="-71"/>
              <w:sz w:val="19"/>
              <w:szCs w:val="19"/>
            </w:rPr>
            <w:t xml:space="preserve"> </w:t>
          </w:r>
          <w:r>
            <w:rPr>
              <w:sz w:val="19"/>
              <w:szCs w:val="19"/>
            </w:rPr>
            <w:tab/>
          </w:r>
          <w:hyperlink w:anchor="bookmark4" w:history="1">
            <w:r>
              <w:rPr>
                <w:rFonts w:ascii="Times New Roman" w:eastAsia="Times New Roman" w:hAnsi="Times New Roman" w:cs="Times New Roman"/>
                <w:sz w:val="19"/>
                <w:szCs w:val="19"/>
              </w:rPr>
              <w:t>7</w:t>
            </w:r>
          </w:hyperlink>
        </w:p>
        <w:p>
          <w:pPr>
            <w:pStyle w:val="BodyText"/>
            <w:tabs>
              <w:tab w:val="right" w:leader="dot" w:pos="10383"/>
            </w:tabs>
            <w:spacing w:before="99" w:line="224" w:lineRule="auto"/>
            <w:rPr>
              <w:rFonts w:ascii="Times New Roman" w:eastAsia="Times New Roman" w:hAnsi="Times New Roman" w:cs="Times New Roman"/>
              <w:sz w:val="19"/>
              <w:szCs w:val="19"/>
            </w:rPr>
          </w:pPr>
          <w:r>
            <w:rPr>
              <w:spacing w:val="10"/>
              <w:sz w:val="19"/>
              <w:szCs w:val="19"/>
            </w:rPr>
            <w:t>图5:</w:t>
          </w:r>
          <w:r>
            <w:rPr>
              <w:spacing w:val="70"/>
              <w:sz w:val="19"/>
              <w:szCs w:val="19"/>
            </w:rPr>
            <w:t xml:space="preserve"> </w:t>
          </w:r>
          <w:r>
            <w:rPr>
              <w:spacing w:val="10"/>
              <w:sz w:val="19"/>
              <w:szCs w:val="19"/>
            </w:rPr>
            <w:t>2022年城镇职工/城乡居民基本养老保险支出/收入占比</w:t>
          </w:r>
          <w:r>
            <w:rPr>
              <w:spacing w:val="10"/>
              <w:sz w:val="19"/>
              <w:szCs w:val="19"/>
            </w:rPr>
            <w:t xml:space="preserve"> </w:t>
          </w:r>
          <w:r>
            <w:rPr>
              <w:spacing w:val="10"/>
              <w:sz w:val="19"/>
              <w:szCs w:val="19"/>
            </w:rPr>
            <w:t>93%/72%</w:t>
          </w:r>
          <w:r>
            <w:rPr>
              <w:spacing w:val="-71"/>
              <w:sz w:val="19"/>
              <w:szCs w:val="19"/>
            </w:rPr>
            <w:t xml:space="preserve"> </w:t>
          </w:r>
          <w:r>
            <w:rPr>
              <w:sz w:val="19"/>
              <w:szCs w:val="19"/>
            </w:rPr>
            <w:tab/>
          </w:r>
          <w:r>
            <w:rPr>
              <w:spacing w:val="-33"/>
              <w:sz w:val="19"/>
              <w:szCs w:val="19"/>
            </w:rPr>
            <w:t xml:space="preserve"> </w:t>
          </w:r>
          <w:hyperlink w:anchor="bookmark21" w:history="1">
            <w:r>
              <w:rPr>
                <w:rFonts w:ascii="Times New Roman" w:eastAsia="Times New Roman" w:hAnsi="Times New Roman" w:cs="Times New Roman"/>
                <w:sz w:val="19"/>
                <w:szCs w:val="19"/>
              </w:rPr>
              <w:t>8</w:t>
            </w:r>
          </w:hyperlink>
        </w:p>
        <w:p>
          <w:pPr>
            <w:pStyle w:val="BodyText"/>
            <w:tabs>
              <w:tab w:val="right" w:leader="dot" w:pos="10393"/>
            </w:tabs>
            <w:spacing w:before="89" w:line="224" w:lineRule="auto"/>
            <w:rPr>
              <w:rFonts w:ascii="Times New Roman" w:eastAsia="Times New Roman" w:hAnsi="Times New Roman" w:cs="Times New Roman"/>
              <w:sz w:val="19"/>
              <w:szCs w:val="19"/>
            </w:rPr>
          </w:pPr>
          <w:r>
            <w:rPr>
              <w:spacing w:val="9"/>
              <w:sz w:val="19"/>
              <w:szCs w:val="19"/>
            </w:rPr>
            <w:t>图</w:t>
          </w:r>
          <w:r>
            <w:rPr>
              <w:spacing w:val="-30"/>
              <w:sz w:val="19"/>
              <w:szCs w:val="19"/>
            </w:rPr>
            <w:t xml:space="preserve"> </w:t>
          </w:r>
          <w:r>
            <w:rPr>
              <w:spacing w:val="9"/>
              <w:sz w:val="19"/>
              <w:szCs w:val="19"/>
            </w:rPr>
            <w:t>6</w:t>
          </w:r>
          <w:r>
            <w:rPr>
              <w:spacing w:val="9"/>
              <w:sz w:val="19"/>
              <w:szCs w:val="19"/>
            </w:rPr>
            <w:t xml:space="preserve"> </w:t>
          </w:r>
          <w:r>
            <w:rPr>
              <w:spacing w:val="9"/>
              <w:sz w:val="19"/>
              <w:szCs w:val="19"/>
            </w:rPr>
            <w:t>:</w:t>
          </w:r>
          <w:r>
            <w:rPr>
              <w:spacing w:val="78"/>
              <w:sz w:val="19"/>
              <w:szCs w:val="19"/>
            </w:rPr>
            <w:t xml:space="preserve"> </w:t>
          </w:r>
          <w:r>
            <w:rPr>
              <w:spacing w:val="9"/>
              <w:sz w:val="19"/>
              <w:szCs w:val="19"/>
            </w:rPr>
            <w:t>征缴保费和财政补贴是基本养老保</w:t>
          </w:r>
          <w:r>
            <w:rPr>
              <w:spacing w:val="8"/>
              <w:sz w:val="19"/>
              <w:szCs w:val="19"/>
            </w:rPr>
            <w:t>险收入主要来源</w:t>
          </w:r>
          <w:r>
            <w:rPr>
              <w:sz w:val="19"/>
              <w:szCs w:val="19"/>
            </w:rPr>
            <w:tab/>
          </w:r>
          <w:r>
            <w:rPr>
              <w:spacing w:val="-13"/>
              <w:sz w:val="19"/>
              <w:szCs w:val="19"/>
            </w:rPr>
            <w:t xml:space="preserve"> </w:t>
          </w:r>
          <w:hyperlink w:anchor="bookmark22" w:history="1">
            <w:r>
              <w:rPr>
                <w:rFonts w:ascii="Times New Roman" w:eastAsia="Times New Roman" w:hAnsi="Times New Roman" w:cs="Times New Roman"/>
                <w:sz w:val="19"/>
                <w:szCs w:val="19"/>
              </w:rPr>
              <w:t>8</w:t>
            </w:r>
          </w:hyperlink>
        </w:p>
        <w:p>
          <w:pPr>
            <w:pStyle w:val="BodyText"/>
            <w:tabs>
              <w:tab w:val="right" w:leader="dot" w:pos="10323"/>
            </w:tabs>
            <w:spacing w:before="70" w:line="224" w:lineRule="auto"/>
            <w:rPr>
              <w:rFonts w:ascii="Times New Roman" w:eastAsia="Times New Roman" w:hAnsi="Times New Roman" w:cs="Times New Roman"/>
              <w:sz w:val="19"/>
              <w:szCs w:val="19"/>
            </w:rPr>
          </w:pPr>
          <w:r>
            <w:rPr>
              <w:spacing w:val="19"/>
              <w:sz w:val="19"/>
              <w:szCs w:val="19"/>
            </w:rPr>
            <w:t>图7:</w:t>
          </w:r>
          <w:r>
            <w:rPr>
              <w:spacing w:val="76"/>
              <w:sz w:val="19"/>
              <w:szCs w:val="19"/>
            </w:rPr>
            <w:t xml:space="preserve"> </w:t>
          </w:r>
          <w:r>
            <w:rPr>
              <w:spacing w:val="19"/>
              <w:sz w:val="19"/>
              <w:szCs w:val="19"/>
            </w:rPr>
            <w:t>2022年基本养老保险基金中委托投资</w:t>
          </w:r>
          <w:r>
            <w:rPr>
              <w:spacing w:val="18"/>
              <w:sz w:val="19"/>
              <w:szCs w:val="19"/>
            </w:rPr>
            <w:t>占比61%</w:t>
          </w:r>
          <w:r>
            <w:rPr>
              <w:spacing w:val="-81"/>
              <w:sz w:val="19"/>
              <w:szCs w:val="19"/>
            </w:rPr>
            <w:t xml:space="preserve"> </w:t>
          </w:r>
          <w:r>
            <w:rPr>
              <w:sz w:val="19"/>
              <w:szCs w:val="19"/>
            </w:rPr>
            <w:tab/>
          </w:r>
          <w:hyperlink w:anchor="bookmark23" w:history="1">
            <w:r>
              <w:rPr>
                <w:rFonts w:ascii="Times New Roman" w:eastAsia="Times New Roman" w:hAnsi="Times New Roman" w:cs="Times New Roman"/>
                <w:sz w:val="19"/>
                <w:szCs w:val="19"/>
              </w:rPr>
              <w:t>8</w:t>
            </w:r>
          </w:hyperlink>
        </w:p>
        <w:p>
          <w:pPr>
            <w:pStyle w:val="BodyText"/>
            <w:tabs>
              <w:tab w:val="right" w:leader="dot" w:pos="10393"/>
            </w:tabs>
            <w:spacing w:before="78" w:line="224" w:lineRule="auto"/>
            <w:rPr>
              <w:rFonts w:ascii="Times New Roman" w:eastAsia="Times New Roman" w:hAnsi="Times New Roman" w:cs="Times New Roman"/>
              <w:sz w:val="19"/>
              <w:szCs w:val="19"/>
            </w:rPr>
          </w:pPr>
          <w:r>
            <w:rPr>
              <w:spacing w:val="17"/>
              <w:sz w:val="19"/>
              <w:szCs w:val="19"/>
            </w:rPr>
            <w:t>图8:</w:t>
          </w:r>
          <w:r>
            <w:rPr>
              <w:spacing w:val="80"/>
              <w:sz w:val="19"/>
              <w:szCs w:val="19"/>
            </w:rPr>
            <w:t xml:space="preserve"> </w:t>
          </w:r>
          <w:r>
            <w:rPr>
              <w:spacing w:val="17"/>
              <w:sz w:val="19"/>
              <w:szCs w:val="19"/>
            </w:rPr>
            <w:t>2022年基本养老保险委托</w:t>
          </w:r>
          <w:r>
            <w:rPr>
              <w:spacing w:val="17"/>
              <w:sz w:val="19"/>
              <w:szCs w:val="19"/>
            </w:rPr>
            <w:t xml:space="preserve"> </w:t>
          </w:r>
          <w:r>
            <w:rPr>
              <w:rFonts w:ascii="Times New Roman" w:eastAsia="Times New Roman" w:hAnsi="Times New Roman" w:cs="Times New Roman"/>
              <w:sz w:val="19"/>
              <w:szCs w:val="19"/>
            </w:rPr>
            <w:t>AUM</w:t>
          </w:r>
          <w:r>
            <w:rPr>
              <w:rFonts w:ascii="Times New Roman" w:eastAsia="Times New Roman" w:hAnsi="Times New Roman" w:cs="Times New Roman"/>
              <w:spacing w:val="31"/>
              <w:w w:val="101"/>
              <w:sz w:val="19"/>
              <w:szCs w:val="19"/>
            </w:rPr>
            <w:t xml:space="preserve"> </w:t>
          </w:r>
          <w:r>
            <w:rPr>
              <w:spacing w:val="17"/>
              <w:sz w:val="19"/>
              <w:szCs w:val="19"/>
            </w:rPr>
            <w:t>占总结余14%</w:t>
          </w:r>
          <w:r>
            <w:rPr>
              <w:sz w:val="19"/>
              <w:szCs w:val="19"/>
            </w:rPr>
            <w:tab/>
          </w:r>
          <w:hyperlink w:anchor="bookmark24" w:history="1">
            <w:r>
              <w:rPr>
                <w:rFonts w:ascii="Times New Roman" w:eastAsia="Times New Roman" w:hAnsi="Times New Roman" w:cs="Times New Roman"/>
                <w:sz w:val="19"/>
                <w:szCs w:val="19"/>
              </w:rPr>
              <w:t>8</w:t>
            </w:r>
          </w:hyperlink>
        </w:p>
        <w:p>
          <w:pPr>
            <w:pStyle w:val="BodyText"/>
            <w:tabs>
              <w:tab w:val="right" w:leader="dot" w:pos="10356"/>
            </w:tabs>
            <w:spacing w:before="76" w:line="220" w:lineRule="auto"/>
            <w:rPr>
              <w:rFonts w:ascii="Times New Roman" w:eastAsia="Times New Roman" w:hAnsi="Times New Roman" w:cs="Times New Roman"/>
              <w:sz w:val="19"/>
              <w:szCs w:val="19"/>
            </w:rPr>
          </w:pPr>
          <w:r>
            <w:rPr>
              <w:spacing w:val="10"/>
              <w:sz w:val="19"/>
              <w:szCs w:val="19"/>
            </w:rPr>
            <w:t>图</w:t>
          </w:r>
          <w:r>
            <w:rPr>
              <w:spacing w:val="-37"/>
              <w:sz w:val="19"/>
              <w:szCs w:val="19"/>
            </w:rPr>
            <w:t xml:space="preserve"> </w:t>
          </w:r>
          <w:r>
            <w:rPr>
              <w:spacing w:val="10"/>
              <w:sz w:val="19"/>
              <w:szCs w:val="19"/>
            </w:rPr>
            <w:t>9</w:t>
          </w:r>
          <w:r>
            <w:rPr>
              <w:spacing w:val="10"/>
              <w:sz w:val="19"/>
              <w:szCs w:val="19"/>
            </w:rPr>
            <w:t xml:space="preserve"> </w:t>
          </w:r>
          <w:r>
            <w:rPr>
              <w:spacing w:val="10"/>
              <w:sz w:val="19"/>
              <w:szCs w:val="19"/>
            </w:rPr>
            <w:t>:</w:t>
          </w:r>
          <w:r>
            <w:rPr>
              <w:spacing w:val="72"/>
              <w:sz w:val="19"/>
              <w:szCs w:val="19"/>
            </w:rPr>
            <w:t xml:space="preserve"> </w:t>
          </w:r>
          <w:r>
            <w:rPr>
              <w:spacing w:val="10"/>
              <w:sz w:val="19"/>
              <w:szCs w:val="19"/>
            </w:rPr>
            <w:t>社保基金投资管理办法优化，主要包括扩大投资范围&amp;优化投资集中度&amp;调整管理托管费率和信披制度</w:t>
          </w:r>
          <w:r>
            <w:rPr>
              <w:spacing w:val="-66"/>
              <w:sz w:val="19"/>
              <w:szCs w:val="19"/>
            </w:rPr>
            <w:t xml:space="preserve"> </w:t>
          </w:r>
          <w:r>
            <w:rPr>
              <w:sz w:val="19"/>
              <w:szCs w:val="19"/>
            </w:rPr>
            <w:tab/>
          </w:r>
          <w:r>
            <w:rPr>
              <w:spacing w:val="-33"/>
              <w:sz w:val="19"/>
              <w:szCs w:val="19"/>
            </w:rPr>
            <w:t xml:space="preserve"> </w:t>
          </w:r>
          <w:hyperlink w:anchor="bookmark25" w:history="1">
            <w:r>
              <w:rPr>
                <w:rFonts w:ascii="Times New Roman" w:eastAsia="Times New Roman" w:hAnsi="Times New Roman" w:cs="Times New Roman"/>
                <w:spacing w:val="-6"/>
                <w:sz w:val="19"/>
                <w:szCs w:val="19"/>
              </w:rPr>
              <w:t>10</w:t>
            </w:r>
          </w:hyperlink>
        </w:p>
        <w:p>
          <w:pPr>
            <w:pStyle w:val="BodyText"/>
            <w:tabs>
              <w:tab w:val="right" w:leader="dot" w:pos="10406"/>
            </w:tabs>
            <w:spacing w:before="93" w:line="220" w:lineRule="auto"/>
            <w:rPr>
              <w:rFonts w:ascii="Times New Roman" w:eastAsia="Times New Roman" w:hAnsi="Times New Roman" w:cs="Times New Roman"/>
              <w:sz w:val="19"/>
              <w:szCs w:val="19"/>
            </w:rPr>
          </w:pPr>
          <w:r>
            <w:rPr>
              <w:spacing w:val="7"/>
              <w:sz w:val="19"/>
              <w:szCs w:val="19"/>
            </w:rPr>
            <w:t>图</w:t>
          </w:r>
          <w:r>
            <w:rPr>
              <w:spacing w:val="-31"/>
              <w:sz w:val="19"/>
              <w:szCs w:val="19"/>
            </w:rPr>
            <w:t xml:space="preserve"> </w:t>
          </w:r>
          <w:r>
            <w:rPr>
              <w:spacing w:val="7"/>
              <w:sz w:val="19"/>
              <w:szCs w:val="19"/>
            </w:rPr>
            <w:t>1</w:t>
          </w:r>
          <w:r>
            <w:rPr>
              <w:spacing w:val="-42"/>
              <w:sz w:val="19"/>
              <w:szCs w:val="19"/>
            </w:rPr>
            <w:t xml:space="preserve"> </w:t>
          </w:r>
          <w:r>
            <w:rPr>
              <w:spacing w:val="7"/>
              <w:sz w:val="19"/>
              <w:szCs w:val="19"/>
            </w:rPr>
            <w:t>0</w:t>
          </w:r>
          <w:r>
            <w:rPr>
              <w:spacing w:val="-16"/>
              <w:sz w:val="19"/>
              <w:szCs w:val="19"/>
            </w:rPr>
            <w:t xml:space="preserve"> </w:t>
          </w:r>
          <w:r>
            <w:rPr>
              <w:spacing w:val="7"/>
              <w:sz w:val="19"/>
              <w:szCs w:val="19"/>
            </w:rPr>
            <w:t>:</w:t>
          </w:r>
          <w:r>
            <w:rPr>
              <w:spacing w:val="-43"/>
              <w:sz w:val="19"/>
              <w:szCs w:val="19"/>
            </w:rPr>
            <w:t xml:space="preserve"> </w:t>
          </w:r>
          <w:r>
            <w:rPr>
              <w:spacing w:val="7"/>
              <w:sz w:val="19"/>
              <w:szCs w:val="19"/>
            </w:rPr>
            <w:t>2</w:t>
          </w:r>
          <w:r>
            <w:rPr>
              <w:spacing w:val="-42"/>
              <w:sz w:val="19"/>
              <w:szCs w:val="19"/>
            </w:rPr>
            <w:t xml:space="preserve"> </w:t>
          </w:r>
          <w:r>
            <w:rPr>
              <w:spacing w:val="7"/>
              <w:sz w:val="19"/>
              <w:szCs w:val="19"/>
            </w:rPr>
            <w:t>0</w:t>
          </w:r>
          <w:r>
            <w:rPr>
              <w:spacing w:val="-42"/>
              <w:sz w:val="19"/>
              <w:szCs w:val="19"/>
            </w:rPr>
            <w:t xml:space="preserve"> </w:t>
          </w:r>
          <w:r>
            <w:rPr>
              <w:spacing w:val="7"/>
              <w:sz w:val="19"/>
              <w:szCs w:val="19"/>
            </w:rPr>
            <w:t>2</w:t>
          </w:r>
          <w:r>
            <w:rPr>
              <w:spacing w:val="-43"/>
              <w:sz w:val="19"/>
              <w:szCs w:val="19"/>
            </w:rPr>
            <w:t xml:space="preserve"> </w:t>
          </w:r>
          <w:r>
            <w:rPr>
              <w:spacing w:val="7"/>
              <w:sz w:val="19"/>
              <w:szCs w:val="19"/>
            </w:rPr>
            <w:t>2年全国社保基金2.9万亿元，</w:t>
          </w:r>
          <w:r>
            <w:rPr>
              <w:spacing w:val="6"/>
              <w:sz w:val="19"/>
              <w:szCs w:val="19"/>
            </w:rPr>
            <w:t>同比-5%</w:t>
          </w:r>
          <w:r>
            <w:rPr>
              <w:spacing w:val="-71"/>
              <w:sz w:val="19"/>
              <w:szCs w:val="19"/>
            </w:rPr>
            <w:t xml:space="preserve"> </w:t>
          </w:r>
          <w:r>
            <w:rPr>
              <w:sz w:val="19"/>
              <w:szCs w:val="19"/>
            </w:rPr>
            <w:tab/>
          </w:r>
          <w:r>
            <w:rPr>
              <w:spacing w:val="-43"/>
              <w:sz w:val="19"/>
              <w:szCs w:val="19"/>
            </w:rPr>
            <w:t xml:space="preserve"> </w:t>
          </w:r>
          <w:hyperlink w:anchor="bookmark26" w:history="1">
            <w:r>
              <w:rPr>
                <w:rFonts w:ascii="Times New Roman" w:eastAsia="Times New Roman" w:hAnsi="Times New Roman" w:cs="Times New Roman"/>
                <w:spacing w:val="-6"/>
                <w:sz w:val="19"/>
                <w:szCs w:val="19"/>
              </w:rPr>
              <w:t>11</w:t>
            </w:r>
          </w:hyperlink>
        </w:p>
        <w:p>
          <w:pPr>
            <w:pStyle w:val="BodyText"/>
            <w:tabs>
              <w:tab w:val="right" w:leader="dot" w:pos="10406"/>
            </w:tabs>
            <w:spacing w:before="89" w:line="224" w:lineRule="auto"/>
            <w:rPr>
              <w:rFonts w:ascii="Times New Roman" w:eastAsia="Times New Roman" w:hAnsi="Times New Roman" w:cs="Times New Roman"/>
              <w:sz w:val="19"/>
              <w:szCs w:val="19"/>
            </w:rPr>
          </w:pPr>
          <w:r>
            <w:rPr>
              <w:spacing w:val="5"/>
              <w:sz w:val="19"/>
              <w:szCs w:val="19"/>
            </w:rPr>
            <w:t>图</w:t>
          </w:r>
          <w:r>
            <w:rPr>
              <w:spacing w:val="-17"/>
              <w:sz w:val="19"/>
              <w:szCs w:val="19"/>
            </w:rPr>
            <w:t xml:space="preserve"> </w:t>
          </w:r>
          <w:r>
            <w:rPr>
              <w:spacing w:val="5"/>
              <w:sz w:val="19"/>
              <w:szCs w:val="19"/>
            </w:rPr>
            <w:t>1</w:t>
          </w:r>
          <w:r>
            <w:rPr>
              <w:spacing w:val="-26"/>
              <w:sz w:val="19"/>
              <w:szCs w:val="19"/>
            </w:rPr>
            <w:t xml:space="preserve"> </w:t>
          </w:r>
          <w:r>
            <w:rPr>
              <w:spacing w:val="5"/>
              <w:sz w:val="19"/>
              <w:szCs w:val="19"/>
            </w:rPr>
            <w:t>1</w:t>
          </w:r>
          <w:r>
            <w:rPr>
              <w:spacing w:val="5"/>
              <w:sz w:val="19"/>
              <w:szCs w:val="19"/>
            </w:rPr>
            <w:t xml:space="preserve"> </w:t>
          </w:r>
          <w:r>
            <w:rPr>
              <w:spacing w:val="5"/>
              <w:sz w:val="19"/>
              <w:szCs w:val="19"/>
            </w:rPr>
            <w:t>:</w:t>
          </w:r>
          <w:r>
            <w:rPr>
              <w:spacing w:val="53"/>
              <w:sz w:val="19"/>
              <w:szCs w:val="19"/>
            </w:rPr>
            <w:t xml:space="preserve"> </w:t>
          </w:r>
          <w:r>
            <w:rPr>
              <w:spacing w:val="5"/>
              <w:sz w:val="19"/>
              <w:szCs w:val="19"/>
            </w:rPr>
            <w:t>全国社保基金成立以来年均收益率7.66%</w:t>
          </w:r>
          <w:r>
            <w:rPr>
              <w:spacing w:val="-71"/>
              <w:sz w:val="19"/>
              <w:szCs w:val="19"/>
            </w:rPr>
            <w:t xml:space="preserve"> </w:t>
          </w:r>
          <w:r>
            <w:rPr>
              <w:sz w:val="19"/>
              <w:szCs w:val="19"/>
            </w:rPr>
            <w:tab/>
          </w:r>
          <w:r>
            <w:rPr>
              <w:spacing w:val="-63"/>
              <w:sz w:val="19"/>
              <w:szCs w:val="19"/>
            </w:rPr>
            <w:t xml:space="preserve"> </w:t>
          </w:r>
          <w:hyperlink w:anchor="bookmark27" w:history="1">
            <w:r>
              <w:rPr>
                <w:rFonts w:ascii="Times New Roman" w:eastAsia="Times New Roman" w:hAnsi="Times New Roman" w:cs="Times New Roman"/>
                <w:spacing w:val="-6"/>
                <w:sz w:val="19"/>
                <w:szCs w:val="19"/>
              </w:rPr>
              <w:t>11</w:t>
            </w:r>
          </w:hyperlink>
        </w:p>
        <w:p>
          <w:pPr>
            <w:pStyle w:val="BodyText"/>
            <w:tabs>
              <w:tab w:val="right" w:leader="dot" w:pos="10396"/>
            </w:tabs>
            <w:spacing w:before="77" w:line="223" w:lineRule="auto"/>
            <w:rPr>
              <w:rFonts w:ascii="Times New Roman" w:eastAsia="Times New Roman" w:hAnsi="Times New Roman" w:cs="Times New Roman"/>
              <w:sz w:val="19"/>
              <w:szCs w:val="19"/>
            </w:rPr>
            <w:sectPr>
              <w:footerReference w:type="default" r:id="rId13"/>
              <w:pgSz w:w="11910" w:h="16840"/>
              <w:pgMar w:top="156" w:right="660" w:bottom="1129" w:left="699" w:header="0" w:footer="860" w:gutter="0"/>
              <w:pgNumType w:start="5"/>
              <w:cols w:space="708"/>
            </w:sectPr>
          </w:pPr>
          <w:r>
            <w:rPr>
              <w:spacing w:val="3"/>
              <w:sz w:val="19"/>
              <w:szCs w:val="19"/>
            </w:rPr>
            <w:t>图</w:t>
          </w:r>
          <w:r>
            <w:rPr>
              <w:spacing w:val="-22"/>
              <w:sz w:val="19"/>
              <w:szCs w:val="19"/>
            </w:rPr>
            <w:t xml:space="preserve"> </w:t>
          </w:r>
          <w:r>
            <w:rPr>
              <w:spacing w:val="3"/>
              <w:sz w:val="19"/>
              <w:szCs w:val="19"/>
            </w:rPr>
            <w:t>1</w:t>
          </w:r>
          <w:r>
            <w:rPr>
              <w:spacing w:val="-39"/>
              <w:sz w:val="19"/>
              <w:szCs w:val="19"/>
            </w:rPr>
            <w:t xml:space="preserve"> </w:t>
          </w:r>
          <w:r>
            <w:rPr>
              <w:spacing w:val="3"/>
              <w:sz w:val="19"/>
              <w:szCs w:val="19"/>
            </w:rPr>
            <w:t>2</w:t>
          </w:r>
          <w:r>
            <w:rPr>
              <w:spacing w:val="3"/>
              <w:sz w:val="19"/>
              <w:szCs w:val="19"/>
            </w:rPr>
            <w:t xml:space="preserve"> </w:t>
          </w:r>
          <w:r>
            <w:rPr>
              <w:spacing w:val="3"/>
              <w:sz w:val="19"/>
              <w:szCs w:val="19"/>
            </w:rPr>
            <w:t>:</w:t>
          </w:r>
          <w:r>
            <w:rPr>
              <w:spacing w:val="60"/>
              <w:sz w:val="19"/>
              <w:szCs w:val="19"/>
            </w:rPr>
            <w:t xml:space="preserve"> </w:t>
          </w:r>
          <w:r>
            <w:rPr>
              <w:spacing w:val="3"/>
              <w:sz w:val="19"/>
              <w:szCs w:val="19"/>
            </w:rPr>
            <w:t>全国社保基金委托管理规模占比快速提升</w:t>
          </w:r>
          <w:r>
            <w:rPr>
              <w:spacing w:val="-79"/>
              <w:sz w:val="19"/>
              <w:szCs w:val="19"/>
            </w:rPr>
            <w:t xml:space="preserve"> </w:t>
          </w:r>
          <w:r>
            <w:rPr>
              <w:sz w:val="19"/>
              <w:szCs w:val="19"/>
            </w:rPr>
            <w:tab/>
          </w:r>
          <w:hyperlink w:anchor="bookmark28" w:history="1">
            <w:r>
              <w:rPr>
                <w:rFonts w:ascii="Times New Roman" w:eastAsia="Times New Roman" w:hAnsi="Times New Roman" w:cs="Times New Roman"/>
                <w:spacing w:val="-6"/>
                <w:sz w:val="19"/>
                <w:szCs w:val="19"/>
              </w:rPr>
              <w:t>11</w:t>
            </w:r>
          </w:hyperlink>
        </w:p>
      </w:sdtContent>
    </w:sdt>
    <w:sdt>
      <w:sdtPr>
        <w:rPr>
          <w:rFonts w:ascii="KaiTi" w:eastAsia="KaiTi" w:hAnsi="KaiTi" w:cs="KaiTi"/>
          <w:sz w:val="26"/>
          <w:szCs w:val="26"/>
        </w:rPr>
        <w:id w:val="1898694950"/>
        <w:docPartObj>
          <w:docPartGallery w:val="Table of Contents"/>
          <w:docPartUnique/>
        </w:docPartObj>
      </w:sdtPr>
      <w:sdtEndPr>
        <w:rPr>
          <w:rFonts w:ascii="Times New Roman" w:eastAsia="Times New Roman" w:hAnsi="Times New Roman" w:cs="Times New Roman"/>
          <w:sz w:val="19"/>
          <w:szCs w:val="19"/>
        </w:rPr>
      </w:sdtEndPr>
      <w:sdtContent>
        <w:p>
          <w:pPr>
            <w:pStyle w:val="BodyText"/>
            <w:tabs>
              <w:tab w:val="right" w:leader="dot" w:pos="10426"/>
            </w:tabs>
            <w:spacing w:before="88" w:line="220" w:lineRule="auto"/>
            <w:rPr>
              <w:rFonts w:ascii="Times New Roman" w:eastAsia="Times New Roman" w:hAnsi="Times New Roman" w:cs="Times New Roman"/>
              <w:sz w:val="19"/>
              <w:szCs w:val="19"/>
            </w:rPr>
          </w:pPr>
          <w:r>
            <w:rPr>
              <w:spacing w:val="6"/>
              <w:sz w:val="19"/>
              <w:szCs w:val="19"/>
            </w:rPr>
            <w:t>图</w:t>
          </w:r>
          <w:r>
            <w:rPr>
              <w:spacing w:val="-25"/>
              <w:sz w:val="19"/>
              <w:szCs w:val="19"/>
            </w:rPr>
            <w:t xml:space="preserve"> </w:t>
          </w:r>
          <w:r>
            <w:rPr>
              <w:spacing w:val="6"/>
              <w:sz w:val="19"/>
              <w:szCs w:val="19"/>
            </w:rPr>
            <w:t>1</w:t>
          </w:r>
          <w:r>
            <w:rPr>
              <w:spacing w:val="-35"/>
              <w:sz w:val="19"/>
              <w:szCs w:val="19"/>
            </w:rPr>
            <w:t xml:space="preserve"> </w:t>
          </w:r>
          <w:r>
            <w:rPr>
              <w:spacing w:val="6"/>
              <w:sz w:val="19"/>
              <w:szCs w:val="19"/>
            </w:rPr>
            <w:t>3</w:t>
          </w:r>
          <w:r>
            <w:rPr>
              <w:spacing w:val="6"/>
              <w:sz w:val="19"/>
              <w:szCs w:val="19"/>
            </w:rPr>
            <w:t xml:space="preserve"> </w:t>
          </w:r>
          <w:r>
            <w:rPr>
              <w:spacing w:val="6"/>
              <w:sz w:val="19"/>
              <w:szCs w:val="19"/>
            </w:rPr>
            <w:t>:</w:t>
          </w:r>
          <w:r>
            <w:rPr>
              <w:spacing w:val="52"/>
              <w:sz w:val="19"/>
              <w:szCs w:val="19"/>
            </w:rPr>
            <w:t xml:space="preserve"> </w:t>
          </w:r>
          <w:r>
            <w:rPr>
              <w:spacing w:val="6"/>
              <w:sz w:val="19"/>
              <w:szCs w:val="19"/>
            </w:rPr>
            <w:t>全国社保基金以境内资产为主，2022</w:t>
          </w:r>
          <w:r>
            <w:rPr>
              <w:spacing w:val="5"/>
              <w:sz w:val="19"/>
              <w:szCs w:val="19"/>
            </w:rPr>
            <w:t>占比</w:t>
          </w:r>
          <w:r>
            <w:rPr>
              <w:spacing w:val="5"/>
              <w:sz w:val="19"/>
              <w:szCs w:val="19"/>
            </w:rPr>
            <w:t xml:space="preserve"> </w:t>
          </w:r>
          <w:r>
            <w:rPr>
              <w:spacing w:val="5"/>
              <w:sz w:val="19"/>
              <w:szCs w:val="19"/>
            </w:rPr>
            <w:t>90%</w:t>
          </w:r>
          <w:r>
            <w:rPr>
              <w:spacing w:val="-71"/>
              <w:sz w:val="19"/>
              <w:szCs w:val="19"/>
            </w:rPr>
            <w:t xml:space="preserve"> </w:t>
          </w:r>
          <w:r>
            <w:rPr>
              <w:sz w:val="19"/>
              <w:szCs w:val="19"/>
            </w:rPr>
            <w:tab/>
          </w:r>
          <w:hyperlink w:anchor="bookmark29" w:history="1">
            <w:r>
              <w:rPr>
                <w:rFonts w:ascii="Times New Roman" w:eastAsia="Times New Roman" w:hAnsi="Times New Roman" w:cs="Times New Roman"/>
                <w:spacing w:val="-4"/>
                <w:sz w:val="19"/>
                <w:szCs w:val="19"/>
              </w:rPr>
              <w:t>11</w:t>
            </w:r>
          </w:hyperlink>
        </w:p>
        <w:p>
          <w:pPr>
            <w:pStyle w:val="BodyText"/>
            <w:tabs>
              <w:tab w:val="right" w:leader="dot" w:pos="10366"/>
            </w:tabs>
            <w:spacing w:before="53" w:line="220" w:lineRule="auto"/>
            <w:rPr>
              <w:rFonts w:ascii="Times New Roman" w:eastAsia="Times New Roman" w:hAnsi="Times New Roman" w:cs="Times New Roman"/>
              <w:sz w:val="19"/>
              <w:szCs w:val="19"/>
            </w:rPr>
          </w:pPr>
          <w:r>
            <w:rPr>
              <w:spacing w:val="7"/>
              <w:sz w:val="19"/>
              <w:szCs w:val="19"/>
            </w:rPr>
            <w:t>图</w:t>
          </w:r>
          <w:r>
            <w:rPr>
              <w:spacing w:val="-27"/>
              <w:sz w:val="19"/>
              <w:szCs w:val="19"/>
            </w:rPr>
            <w:t xml:space="preserve"> </w:t>
          </w:r>
          <w:r>
            <w:rPr>
              <w:spacing w:val="7"/>
              <w:sz w:val="19"/>
              <w:szCs w:val="19"/>
            </w:rPr>
            <w:t>1</w:t>
          </w:r>
          <w:r>
            <w:rPr>
              <w:spacing w:val="-47"/>
              <w:sz w:val="19"/>
              <w:szCs w:val="19"/>
            </w:rPr>
            <w:t xml:space="preserve"> </w:t>
          </w:r>
          <w:r>
            <w:rPr>
              <w:spacing w:val="7"/>
              <w:sz w:val="19"/>
              <w:szCs w:val="19"/>
            </w:rPr>
            <w:t>4</w:t>
          </w:r>
          <w:r>
            <w:rPr>
              <w:spacing w:val="-17"/>
              <w:sz w:val="19"/>
              <w:szCs w:val="19"/>
            </w:rPr>
            <w:t xml:space="preserve"> </w:t>
          </w:r>
          <w:r>
            <w:rPr>
              <w:spacing w:val="7"/>
              <w:sz w:val="19"/>
              <w:szCs w:val="19"/>
            </w:rPr>
            <w:t>:</w:t>
          </w:r>
          <w:r>
            <w:rPr>
              <w:spacing w:val="-44"/>
              <w:sz w:val="19"/>
              <w:szCs w:val="19"/>
            </w:rPr>
            <w:t xml:space="preserve"> </w:t>
          </w:r>
          <w:r>
            <w:rPr>
              <w:spacing w:val="7"/>
              <w:sz w:val="19"/>
              <w:szCs w:val="19"/>
            </w:rPr>
            <w:t>2</w:t>
          </w:r>
          <w:r>
            <w:rPr>
              <w:spacing w:val="-44"/>
              <w:sz w:val="19"/>
              <w:szCs w:val="19"/>
            </w:rPr>
            <w:t xml:space="preserve"> </w:t>
          </w:r>
          <w:r>
            <w:rPr>
              <w:spacing w:val="7"/>
              <w:sz w:val="19"/>
              <w:szCs w:val="19"/>
            </w:rPr>
            <w:t>0</w:t>
          </w:r>
          <w:r>
            <w:rPr>
              <w:spacing w:val="-44"/>
              <w:sz w:val="19"/>
              <w:szCs w:val="19"/>
            </w:rPr>
            <w:t xml:space="preserve"> </w:t>
          </w:r>
          <w:r>
            <w:rPr>
              <w:spacing w:val="7"/>
              <w:sz w:val="19"/>
              <w:szCs w:val="19"/>
            </w:rPr>
            <w:t>2</w:t>
          </w:r>
          <w:r>
            <w:rPr>
              <w:spacing w:val="-44"/>
              <w:sz w:val="19"/>
              <w:szCs w:val="19"/>
            </w:rPr>
            <w:t xml:space="preserve"> </w:t>
          </w:r>
          <w:r>
            <w:rPr>
              <w:spacing w:val="7"/>
              <w:sz w:val="19"/>
              <w:szCs w:val="19"/>
            </w:rPr>
            <w:t>2</w:t>
          </w:r>
          <w:r>
            <w:rPr>
              <w:spacing w:val="-56"/>
              <w:sz w:val="19"/>
              <w:szCs w:val="19"/>
            </w:rPr>
            <w:t xml:space="preserve"> </w:t>
          </w:r>
          <w:r>
            <w:rPr>
              <w:spacing w:val="7"/>
              <w:sz w:val="19"/>
              <w:szCs w:val="19"/>
            </w:rPr>
            <w:t>年全国职业年金2.11万亿元，同比+18%</w:t>
          </w:r>
          <w:r>
            <w:rPr>
              <w:spacing w:val="-71"/>
              <w:sz w:val="19"/>
              <w:szCs w:val="19"/>
            </w:rPr>
            <w:t xml:space="preserve"> </w:t>
          </w:r>
          <w:r>
            <w:rPr>
              <w:sz w:val="19"/>
              <w:szCs w:val="19"/>
            </w:rPr>
            <w:tab/>
          </w:r>
          <w:hyperlink w:anchor="bookmark30" w:history="1">
            <w:r>
              <w:rPr>
                <w:rFonts w:ascii="Times New Roman" w:eastAsia="Times New Roman" w:hAnsi="Times New Roman" w:cs="Times New Roman"/>
                <w:spacing w:val="-4"/>
                <w:sz w:val="19"/>
                <w:szCs w:val="19"/>
              </w:rPr>
              <w:t>12</w:t>
            </w:r>
          </w:hyperlink>
        </w:p>
        <w:p>
          <w:pPr>
            <w:pStyle w:val="BodyText"/>
            <w:tabs>
              <w:tab w:val="right" w:leader="dot" w:pos="10366"/>
            </w:tabs>
            <w:spacing w:before="104" w:line="220" w:lineRule="auto"/>
            <w:rPr>
              <w:rFonts w:ascii="Times New Roman" w:eastAsia="Times New Roman" w:hAnsi="Times New Roman" w:cs="Times New Roman"/>
              <w:sz w:val="19"/>
              <w:szCs w:val="19"/>
            </w:rPr>
          </w:pPr>
          <w:r>
            <w:rPr>
              <w:spacing w:val="9"/>
              <w:sz w:val="19"/>
              <w:szCs w:val="19"/>
            </w:rPr>
            <w:t>图15:</w:t>
          </w:r>
          <w:r>
            <w:rPr>
              <w:spacing w:val="61"/>
              <w:sz w:val="19"/>
              <w:szCs w:val="19"/>
            </w:rPr>
            <w:t xml:space="preserve"> </w:t>
          </w:r>
          <w:r>
            <w:rPr>
              <w:spacing w:val="9"/>
              <w:sz w:val="19"/>
              <w:szCs w:val="19"/>
            </w:rPr>
            <w:t>2022</w:t>
          </w:r>
          <w:r>
            <w:rPr>
              <w:spacing w:val="-56"/>
              <w:sz w:val="19"/>
              <w:szCs w:val="19"/>
            </w:rPr>
            <w:t xml:space="preserve"> </w:t>
          </w:r>
          <w:r>
            <w:rPr>
              <w:spacing w:val="9"/>
              <w:sz w:val="19"/>
              <w:szCs w:val="19"/>
            </w:rPr>
            <w:t>年全国企业年金</w:t>
          </w:r>
          <w:r>
            <w:rPr>
              <w:spacing w:val="9"/>
              <w:sz w:val="19"/>
              <w:szCs w:val="19"/>
            </w:rPr>
            <w:t xml:space="preserve"> </w:t>
          </w:r>
          <w:r>
            <w:rPr>
              <w:spacing w:val="9"/>
              <w:sz w:val="19"/>
              <w:szCs w:val="19"/>
            </w:rPr>
            <w:t>2.87</w:t>
          </w:r>
          <w:r>
            <w:rPr>
              <w:spacing w:val="8"/>
              <w:sz w:val="19"/>
              <w:szCs w:val="19"/>
            </w:rPr>
            <w:t xml:space="preserve"> </w:t>
          </w:r>
          <w:r>
            <w:rPr>
              <w:spacing w:val="8"/>
              <w:sz w:val="19"/>
              <w:szCs w:val="19"/>
            </w:rPr>
            <w:t>万亿元，同比+9%</w:t>
          </w:r>
          <w:r>
            <w:rPr>
              <w:spacing w:val="-71"/>
              <w:sz w:val="19"/>
              <w:szCs w:val="19"/>
            </w:rPr>
            <w:t xml:space="preserve"> </w:t>
          </w:r>
          <w:r>
            <w:rPr>
              <w:sz w:val="19"/>
              <w:szCs w:val="19"/>
            </w:rPr>
            <w:tab/>
          </w:r>
          <w:r>
            <w:rPr>
              <w:spacing w:val="-43"/>
              <w:sz w:val="19"/>
              <w:szCs w:val="19"/>
            </w:rPr>
            <w:t xml:space="preserve"> </w:t>
          </w:r>
          <w:hyperlink w:anchor="bookmark31" w:history="1">
            <w:r>
              <w:rPr>
                <w:rFonts w:ascii="Times New Roman" w:eastAsia="Times New Roman" w:hAnsi="Times New Roman" w:cs="Times New Roman"/>
                <w:spacing w:val="-6"/>
                <w:sz w:val="19"/>
                <w:szCs w:val="19"/>
              </w:rPr>
              <w:t>12</w:t>
            </w:r>
          </w:hyperlink>
        </w:p>
        <w:p>
          <w:pPr>
            <w:pStyle w:val="BodyText"/>
            <w:tabs>
              <w:tab w:val="right" w:leader="dot" w:pos="10386"/>
            </w:tabs>
            <w:spacing w:before="96" w:line="223" w:lineRule="auto"/>
            <w:rPr>
              <w:rFonts w:ascii="Times New Roman" w:eastAsia="Times New Roman" w:hAnsi="Times New Roman" w:cs="Times New Roman"/>
              <w:sz w:val="19"/>
              <w:szCs w:val="19"/>
            </w:rPr>
          </w:pPr>
          <w:r>
            <w:rPr>
              <w:spacing w:val="-1"/>
              <w:sz w:val="19"/>
              <w:szCs w:val="19"/>
            </w:rPr>
            <w:t>图</w:t>
          </w:r>
          <w:r>
            <w:rPr>
              <w:spacing w:val="-30"/>
              <w:sz w:val="19"/>
              <w:szCs w:val="19"/>
            </w:rPr>
            <w:t xml:space="preserve"> </w:t>
          </w:r>
          <w:r>
            <w:rPr>
              <w:spacing w:val="-1"/>
              <w:sz w:val="19"/>
              <w:szCs w:val="19"/>
            </w:rPr>
            <w:t>1</w:t>
          </w:r>
          <w:r>
            <w:rPr>
              <w:spacing w:val="-40"/>
              <w:sz w:val="19"/>
              <w:szCs w:val="19"/>
            </w:rPr>
            <w:t xml:space="preserve"> </w:t>
          </w:r>
          <w:r>
            <w:rPr>
              <w:spacing w:val="-1"/>
              <w:sz w:val="19"/>
              <w:szCs w:val="19"/>
            </w:rPr>
            <w:t>6</w:t>
          </w:r>
          <w:r>
            <w:rPr>
              <w:spacing w:val="-1"/>
              <w:sz w:val="19"/>
              <w:szCs w:val="19"/>
            </w:rPr>
            <w:t xml:space="preserve"> </w:t>
          </w:r>
          <w:r>
            <w:rPr>
              <w:spacing w:val="-1"/>
              <w:sz w:val="19"/>
              <w:szCs w:val="19"/>
            </w:rPr>
            <w:t>:</w:t>
          </w:r>
          <w:r>
            <w:rPr>
              <w:spacing w:val="-41"/>
              <w:sz w:val="19"/>
              <w:szCs w:val="19"/>
            </w:rPr>
            <w:t xml:space="preserve"> </w:t>
          </w:r>
          <w:r>
            <w:rPr>
              <w:spacing w:val="-1"/>
              <w:sz w:val="19"/>
              <w:szCs w:val="19"/>
            </w:rPr>
            <w:t>2</w:t>
          </w:r>
          <w:r>
            <w:rPr>
              <w:spacing w:val="-41"/>
              <w:sz w:val="19"/>
              <w:szCs w:val="19"/>
            </w:rPr>
            <w:t xml:space="preserve"> </w:t>
          </w:r>
          <w:r>
            <w:rPr>
              <w:spacing w:val="-1"/>
              <w:sz w:val="19"/>
              <w:szCs w:val="19"/>
            </w:rPr>
            <w:t>0</w:t>
          </w:r>
          <w:r>
            <w:rPr>
              <w:spacing w:val="-41"/>
              <w:sz w:val="19"/>
              <w:szCs w:val="19"/>
            </w:rPr>
            <w:t xml:space="preserve"> </w:t>
          </w:r>
          <w:r>
            <w:rPr>
              <w:spacing w:val="-1"/>
              <w:sz w:val="19"/>
              <w:szCs w:val="19"/>
            </w:rPr>
            <w:t>2</w:t>
          </w:r>
          <w:r>
            <w:rPr>
              <w:spacing w:val="-41"/>
              <w:sz w:val="19"/>
              <w:szCs w:val="19"/>
            </w:rPr>
            <w:t xml:space="preserve"> </w:t>
          </w:r>
          <w:r>
            <w:rPr>
              <w:spacing w:val="-1"/>
              <w:sz w:val="19"/>
              <w:szCs w:val="19"/>
            </w:rPr>
            <w:t>2</w:t>
          </w:r>
          <w:r>
            <w:rPr>
              <w:spacing w:val="-57"/>
              <w:sz w:val="19"/>
              <w:szCs w:val="19"/>
            </w:rPr>
            <w:t xml:space="preserve"> </w:t>
          </w:r>
          <w:r>
            <w:rPr>
              <w:spacing w:val="-1"/>
              <w:sz w:val="19"/>
              <w:szCs w:val="19"/>
            </w:rPr>
            <w:t>年企业年金“含权益类”组合资产</w:t>
          </w:r>
          <w:r>
            <w:rPr>
              <w:spacing w:val="-2"/>
              <w:sz w:val="19"/>
              <w:szCs w:val="19"/>
            </w:rPr>
            <w:t>占比88%</w:t>
          </w:r>
          <w:r>
            <w:rPr>
              <w:sz w:val="19"/>
              <w:szCs w:val="19"/>
            </w:rPr>
            <w:tab/>
          </w:r>
          <w:hyperlink w:anchor="bookmark32" w:history="1">
            <w:r>
              <w:rPr>
                <w:rFonts w:ascii="Times New Roman" w:eastAsia="Times New Roman" w:hAnsi="Times New Roman" w:cs="Times New Roman"/>
                <w:spacing w:val="-4"/>
                <w:sz w:val="19"/>
                <w:szCs w:val="19"/>
              </w:rPr>
              <w:t>13</w:t>
            </w:r>
          </w:hyperlink>
        </w:p>
        <w:p>
          <w:pPr>
            <w:pStyle w:val="BodyText"/>
            <w:tabs>
              <w:tab w:val="right" w:leader="dot" w:pos="10376"/>
            </w:tabs>
            <w:spacing w:before="101" w:line="223" w:lineRule="auto"/>
            <w:rPr>
              <w:rFonts w:ascii="Times New Roman" w:eastAsia="Times New Roman" w:hAnsi="Times New Roman" w:cs="Times New Roman"/>
              <w:sz w:val="19"/>
              <w:szCs w:val="19"/>
            </w:rPr>
          </w:pPr>
          <w:r>
            <w:rPr>
              <w:spacing w:val="15"/>
              <w:sz w:val="19"/>
              <w:szCs w:val="19"/>
            </w:rPr>
            <w:t>图17:</w:t>
          </w:r>
          <w:r>
            <w:rPr>
              <w:spacing w:val="85"/>
              <w:sz w:val="19"/>
              <w:szCs w:val="19"/>
            </w:rPr>
            <w:t xml:space="preserve"> </w:t>
          </w:r>
          <w:r>
            <w:rPr>
              <w:spacing w:val="15"/>
              <w:sz w:val="19"/>
              <w:szCs w:val="19"/>
            </w:rPr>
            <w:t>2022年企业年金中养老金权益类资产占比</w:t>
          </w:r>
          <w:r>
            <w:rPr>
              <w:spacing w:val="15"/>
              <w:sz w:val="19"/>
              <w:szCs w:val="19"/>
            </w:rPr>
            <w:t xml:space="preserve"> </w:t>
          </w:r>
          <w:r>
            <w:rPr>
              <w:spacing w:val="15"/>
              <w:sz w:val="19"/>
              <w:szCs w:val="19"/>
            </w:rPr>
            <w:t>6%</w:t>
          </w:r>
          <w:r>
            <w:rPr>
              <w:sz w:val="19"/>
              <w:szCs w:val="19"/>
            </w:rPr>
            <w:tab/>
          </w:r>
          <w:hyperlink w:anchor="bookmark33" w:history="1">
            <w:r>
              <w:rPr>
                <w:rFonts w:ascii="Times New Roman" w:eastAsia="Times New Roman" w:hAnsi="Times New Roman" w:cs="Times New Roman"/>
                <w:spacing w:val="-4"/>
                <w:sz w:val="19"/>
                <w:szCs w:val="19"/>
              </w:rPr>
              <w:t>13</w:t>
            </w:r>
          </w:hyperlink>
        </w:p>
        <w:p>
          <w:pPr>
            <w:pStyle w:val="BodyText"/>
            <w:tabs>
              <w:tab w:val="right" w:leader="dot" w:pos="10366"/>
            </w:tabs>
            <w:spacing w:before="67" w:line="220" w:lineRule="auto"/>
            <w:rPr>
              <w:rFonts w:ascii="Times New Roman" w:eastAsia="Times New Roman" w:hAnsi="Times New Roman" w:cs="Times New Roman"/>
              <w:sz w:val="19"/>
              <w:szCs w:val="19"/>
            </w:rPr>
          </w:pPr>
          <w:r>
            <w:rPr>
              <w:spacing w:val="5"/>
              <w:sz w:val="19"/>
              <w:szCs w:val="19"/>
            </w:rPr>
            <w:t>图</w:t>
          </w:r>
          <w:r>
            <w:rPr>
              <w:spacing w:val="-15"/>
              <w:sz w:val="19"/>
              <w:szCs w:val="19"/>
            </w:rPr>
            <w:t xml:space="preserve"> </w:t>
          </w:r>
          <w:r>
            <w:rPr>
              <w:spacing w:val="5"/>
              <w:sz w:val="19"/>
              <w:szCs w:val="19"/>
            </w:rPr>
            <w:t>1</w:t>
          </w:r>
          <w:r>
            <w:rPr>
              <w:spacing w:val="-35"/>
              <w:sz w:val="19"/>
              <w:szCs w:val="19"/>
            </w:rPr>
            <w:t xml:space="preserve"> </w:t>
          </w:r>
          <w:r>
            <w:rPr>
              <w:spacing w:val="5"/>
              <w:sz w:val="19"/>
              <w:szCs w:val="19"/>
            </w:rPr>
            <w:t>8</w:t>
          </w:r>
          <w:r>
            <w:rPr>
              <w:spacing w:val="5"/>
              <w:sz w:val="19"/>
              <w:szCs w:val="19"/>
            </w:rPr>
            <w:t xml:space="preserve"> </w:t>
          </w:r>
          <w:r>
            <w:rPr>
              <w:spacing w:val="5"/>
              <w:sz w:val="19"/>
              <w:szCs w:val="19"/>
            </w:rPr>
            <w:t>:</w:t>
          </w:r>
          <w:r>
            <w:rPr>
              <w:spacing w:val="55"/>
              <w:sz w:val="19"/>
              <w:szCs w:val="19"/>
            </w:rPr>
            <w:t xml:space="preserve"> </w:t>
          </w:r>
          <w:r>
            <w:rPr>
              <w:spacing w:val="5"/>
              <w:sz w:val="19"/>
              <w:szCs w:val="19"/>
            </w:rPr>
            <w:t>对比全国社保基金，企业年金年化投资收益率中枢较低</w:t>
          </w:r>
          <w:r>
            <w:rPr>
              <w:spacing w:val="-81"/>
              <w:sz w:val="19"/>
              <w:szCs w:val="19"/>
            </w:rPr>
            <w:t xml:space="preserve"> </w:t>
          </w:r>
          <w:r>
            <w:rPr>
              <w:sz w:val="19"/>
              <w:szCs w:val="19"/>
            </w:rPr>
            <w:tab/>
          </w:r>
          <w:r>
            <w:rPr>
              <w:spacing w:val="-13"/>
              <w:sz w:val="19"/>
              <w:szCs w:val="19"/>
            </w:rPr>
            <w:t xml:space="preserve"> </w:t>
          </w:r>
          <w:hyperlink w:anchor="bookmark34" w:history="1">
            <w:r>
              <w:rPr>
                <w:rFonts w:ascii="Times New Roman" w:eastAsia="Times New Roman" w:hAnsi="Times New Roman" w:cs="Times New Roman"/>
                <w:spacing w:val="-6"/>
                <w:sz w:val="19"/>
                <w:szCs w:val="19"/>
              </w:rPr>
              <w:t>14</w:t>
            </w:r>
          </w:hyperlink>
        </w:p>
        <w:p>
          <w:pPr>
            <w:pStyle w:val="BodyText"/>
            <w:tabs>
              <w:tab w:val="right" w:leader="dot" w:pos="10366"/>
            </w:tabs>
            <w:spacing w:before="54" w:line="220" w:lineRule="auto"/>
            <w:rPr>
              <w:rFonts w:ascii="Times New Roman" w:eastAsia="Times New Roman" w:hAnsi="Times New Roman" w:cs="Times New Roman"/>
              <w:sz w:val="19"/>
              <w:szCs w:val="19"/>
            </w:rPr>
          </w:pPr>
          <w:r>
            <w:rPr>
              <w:spacing w:val="11"/>
              <w:sz w:val="19"/>
              <w:szCs w:val="19"/>
            </w:rPr>
            <w:t>图19:</w:t>
          </w:r>
          <w:r>
            <w:rPr>
              <w:spacing w:val="11"/>
              <w:sz w:val="19"/>
              <w:szCs w:val="19"/>
            </w:rPr>
            <w:t xml:space="preserve">  </w:t>
          </w:r>
          <w:r>
            <w:rPr>
              <w:spacing w:val="11"/>
              <w:sz w:val="19"/>
              <w:szCs w:val="19"/>
            </w:rPr>
            <w:t>日本国民和厚生年金构成一支柱，二支柱种类较多，三支柱有</w:t>
          </w:r>
          <w:r>
            <w:rPr>
              <w:rFonts w:ascii="Times New Roman" w:eastAsia="Times New Roman" w:hAnsi="Times New Roman" w:cs="Times New Roman"/>
              <w:sz w:val="19"/>
              <w:szCs w:val="19"/>
            </w:rPr>
            <w:t>NISA</w:t>
          </w:r>
          <w:r>
            <w:rPr>
              <w:rFonts w:ascii="Times New Roman" w:eastAsia="Times New Roman" w:hAnsi="Times New Roman" w:cs="Times New Roman"/>
              <w:spacing w:val="11"/>
              <w:sz w:val="19"/>
              <w:szCs w:val="19"/>
            </w:rPr>
            <w:t xml:space="preserve"> </w:t>
          </w:r>
          <w:r>
            <w:rPr>
              <w:rFonts w:ascii="SimSun" w:eastAsia="SimSun" w:hAnsi="SimSun" w:cs="SimSun"/>
              <w:spacing w:val="11"/>
              <w:sz w:val="19"/>
              <w:szCs w:val="19"/>
            </w:rPr>
            <w:t>、</w:t>
          </w:r>
          <w:r>
            <w:rPr>
              <w:rFonts w:ascii="Times New Roman" w:eastAsia="Times New Roman" w:hAnsi="Times New Roman" w:cs="Times New Roman"/>
              <w:sz w:val="19"/>
              <w:szCs w:val="19"/>
            </w:rPr>
            <w:t>iDeCo</w:t>
          </w:r>
          <w:r>
            <w:rPr>
              <w:rFonts w:ascii="Times New Roman" w:eastAsia="Times New Roman" w:hAnsi="Times New Roman" w:cs="Times New Roman"/>
              <w:spacing w:val="33"/>
              <w:sz w:val="19"/>
              <w:szCs w:val="19"/>
            </w:rPr>
            <w:t xml:space="preserve"> </w:t>
          </w:r>
          <w:r>
            <w:rPr>
              <w:spacing w:val="11"/>
              <w:sz w:val="19"/>
              <w:szCs w:val="19"/>
            </w:rPr>
            <w:t>和国民</w:t>
          </w:r>
          <w:r>
            <w:rPr>
              <w:spacing w:val="10"/>
              <w:sz w:val="19"/>
              <w:szCs w:val="19"/>
            </w:rPr>
            <w:t>年金基金为主</w:t>
          </w:r>
          <w:r>
            <w:rPr>
              <w:spacing w:val="-77"/>
              <w:sz w:val="19"/>
              <w:szCs w:val="19"/>
            </w:rPr>
            <w:t xml:space="preserve"> </w:t>
          </w:r>
          <w:r>
            <w:rPr>
              <w:sz w:val="19"/>
              <w:szCs w:val="19"/>
            </w:rPr>
            <w:tab/>
          </w:r>
          <w:hyperlink w:anchor="bookmark35" w:history="1">
            <w:r>
              <w:rPr>
                <w:rFonts w:ascii="Times New Roman" w:eastAsia="Times New Roman" w:hAnsi="Times New Roman" w:cs="Times New Roman"/>
                <w:spacing w:val="-3"/>
                <w:sz w:val="19"/>
                <w:szCs w:val="19"/>
              </w:rPr>
              <w:t>15</w:t>
            </w:r>
          </w:hyperlink>
        </w:p>
        <w:p>
          <w:pPr>
            <w:pStyle w:val="BodyText"/>
            <w:tabs>
              <w:tab w:val="right" w:leader="dot" w:pos="10356"/>
            </w:tabs>
            <w:spacing w:before="114" w:line="220" w:lineRule="auto"/>
            <w:rPr>
              <w:rFonts w:ascii="Times New Roman" w:eastAsia="Times New Roman" w:hAnsi="Times New Roman" w:cs="Times New Roman"/>
              <w:sz w:val="19"/>
              <w:szCs w:val="19"/>
            </w:rPr>
          </w:pPr>
          <w:r>
            <w:rPr>
              <w:spacing w:val="15"/>
              <w:sz w:val="19"/>
              <w:szCs w:val="19"/>
            </w:rPr>
            <w:t>图20:</w:t>
          </w:r>
          <w:r>
            <w:rPr>
              <w:spacing w:val="63"/>
              <w:sz w:val="19"/>
              <w:szCs w:val="19"/>
            </w:rPr>
            <w:t xml:space="preserve"> </w:t>
          </w:r>
          <w:r>
            <w:rPr>
              <w:spacing w:val="15"/>
              <w:sz w:val="19"/>
              <w:szCs w:val="19"/>
            </w:rPr>
            <w:t>2022年</w:t>
          </w:r>
          <w:r>
            <w:rPr>
              <w:spacing w:val="15"/>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37"/>
              <w:w w:val="101"/>
              <w:sz w:val="19"/>
              <w:szCs w:val="19"/>
            </w:rPr>
            <w:t xml:space="preserve"> </w:t>
          </w:r>
          <w:r>
            <w:rPr>
              <w:spacing w:val="15"/>
              <w:sz w:val="19"/>
              <w:szCs w:val="19"/>
            </w:rPr>
            <w:t>受托资管规模</w:t>
          </w:r>
          <w:r>
            <w:rPr>
              <w:spacing w:val="36"/>
              <w:sz w:val="19"/>
              <w:szCs w:val="19"/>
            </w:rPr>
            <w:t xml:space="preserve"> </w:t>
          </w:r>
          <w:r>
            <w:rPr>
              <w:spacing w:val="15"/>
              <w:sz w:val="19"/>
              <w:szCs w:val="19"/>
            </w:rPr>
            <w:t>200万亿日元</w:t>
          </w:r>
          <w:r>
            <w:rPr>
              <w:spacing w:val="14"/>
              <w:sz w:val="19"/>
              <w:szCs w:val="19"/>
            </w:rPr>
            <w:t>，2013-2022复合增速5%</w:t>
          </w:r>
          <w:r>
            <w:rPr>
              <w:spacing w:val="-71"/>
              <w:sz w:val="19"/>
              <w:szCs w:val="19"/>
            </w:rPr>
            <w:t xml:space="preserve"> </w:t>
          </w:r>
          <w:r>
            <w:rPr>
              <w:sz w:val="19"/>
              <w:szCs w:val="19"/>
            </w:rPr>
            <w:tab/>
          </w:r>
          <w:hyperlink w:anchor="bookmark36" w:history="1">
            <w:r>
              <w:rPr>
                <w:rFonts w:ascii="Times New Roman" w:eastAsia="Times New Roman" w:hAnsi="Times New Roman" w:cs="Times New Roman"/>
                <w:spacing w:val="-4"/>
                <w:sz w:val="19"/>
                <w:szCs w:val="19"/>
              </w:rPr>
              <w:t>15</w:t>
            </w:r>
          </w:hyperlink>
        </w:p>
        <w:p>
          <w:pPr>
            <w:pStyle w:val="BodyText"/>
            <w:tabs>
              <w:tab w:val="right" w:leader="dot" w:pos="10296"/>
            </w:tabs>
            <w:spacing w:before="93" w:line="220" w:lineRule="auto"/>
            <w:rPr>
              <w:rFonts w:ascii="Times New Roman" w:eastAsia="Times New Roman" w:hAnsi="Times New Roman" w:cs="Times New Roman"/>
              <w:sz w:val="19"/>
              <w:szCs w:val="19"/>
            </w:rPr>
          </w:pPr>
          <w:r>
            <w:rPr>
              <w:spacing w:val="5"/>
              <w:sz w:val="19"/>
              <w:szCs w:val="19"/>
            </w:rPr>
            <w:t>图</w:t>
          </w:r>
          <w:r>
            <w:rPr>
              <w:spacing w:val="-16"/>
              <w:sz w:val="19"/>
              <w:szCs w:val="19"/>
            </w:rPr>
            <w:t xml:space="preserve"> </w:t>
          </w:r>
          <w:r>
            <w:rPr>
              <w:spacing w:val="5"/>
              <w:sz w:val="19"/>
              <w:szCs w:val="19"/>
            </w:rPr>
            <w:t>2</w:t>
          </w:r>
          <w:r>
            <w:rPr>
              <w:spacing w:val="-20"/>
              <w:sz w:val="19"/>
              <w:szCs w:val="19"/>
            </w:rPr>
            <w:t xml:space="preserve"> </w:t>
          </w:r>
          <w:r>
            <w:rPr>
              <w:spacing w:val="5"/>
              <w:sz w:val="19"/>
              <w:szCs w:val="19"/>
            </w:rPr>
            <w:t>1</w:t>
          </w:r>
          <w:r>
            <w:rPr>
              <w:spacing w:val="5"/>
              <w:sz w:val="19"/>
              <w:szCs w:val="19"/>
            </w:rPr>
            <w:t xml:space="preserve"> </w:t>
          </w:r>
          <w:r>
            <w:rPr>
              <w:spacing w:val="5"/>
              <w:sz w:val="19"/>
              <w:szCs w:val="19"/>
            </w:rPr>
            <w:t>:</w:t>
          </w:r>
          <w:r>
            <w:rPr>
              <w:spacing w:val="58"/>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47"/>
              <w:w w:val="101"/>
              <w:sz w:val="19"/>
              <w:szCs w:val="19"/>
            </w:rPr>
            <w:t xml:space="preserve"> </w:t>
          </w:r>
          <w:r>
            <w:rPr>
              <w:spacing w:val="5"/>
              <w:sz w:val="19"/>
              <w:szCs w:val="19"/>
            </w:rPr>
            <w:t>负责管理和投资厚生劳动省托的储备资产，包括国民年金和厚生年金</w:t>
          </w:r>
          <w:r>
            <w:rPr>
              <w:spacing w:val="-85"/>
              <w:sz w:val="19"/>
              <w:szCs w:val="19"/>
            </w:rPr>
            <w:t xml:space="preserve"> </w:t>
          </w:r>
          <w:r>
            <w:rPr>
              <w:sz w:val="19"/>
              <w:szCs w:val="19"/>
            </w:rPr>
            <w:tab/>
          </w:r>
          <w:r>
            <w:rPr>
              <w:spacing w:val="-63"/>
              <w:sz w:val="19"/>
              <w:szCs w:val="19"/>
            </w:rPr>
            <w:t xml:space="preserve"> </w:t>
          </w:r>
          <w:hyperlink w:anchor="bookmark37" w:history="1">
            <w:r>
              <w:rPr>
                <w:rFonts w:ascii="Times New Roman" w:eastAsia="Times New Roman" w:hAnsi="Times New Roman" w:cs="Times New Roman"/>
                <w:spacing w:val="-6"/>
                <w:sz w:val="19"/>
                <w:szCs w:val="19"/>
              </w:rPr>
              <w:t>16</w:t>
            </w:r>
          </w:hyperlink>
        </w:p>
      </w:sdtContent>
    </w:sdt>
    <w:p>
      <w:pPr>
        <w:spacing w:line="220" w:lineRule="auto"/>
        <w:rPr>
          <w:rFonts w:ascii="Times New Roman" w:eastAsia="Times New Roman" w:hAnsi="Times New Roman" w:cs="Times New Roman"/>
          <w:sz w:val="19"/>
          <w:szCs w:val="19"/>
        </w:rPr>
        <w:sectPr>
          <w:footerReference w:type="default" r:id="rId14"/>
          <w:type w:val="nextPage"/>
          <w:pgSz w:w="11910" w:h="16840"/>
          <w:pgMar w:top="156" w:right="660" w:bottom="1129" w:left="699" w:header="0" w:footer="860" w:gutter="0"/>
          <w:pgNumType w:start="6"/>
          <w:cols w:space="708"/>
          <w:titlePg w:val="0"/>
        </w:sectPr>
      </w:pPr>
    </w:p>
    <w:p>
      <w:pPr>
        <w:pStyle w:val="BodyText"/>
        <w:spacing w:before="154" w:line="238" w:lineRule="auto"/>
        <w:ind w:left="210"/>
        <w:rPr>
          <w:sz w:val="59"/>
          <w:szCs w:val="59"/>
        </w:rPr>
      </w:pPr>
      <w:r>
        <w:rPr>
          <w:position w:val="-18"/>
          <w:sz w:val="59"/>
          <w:szCs w:val="59"/>
        </w:rPr>
        <w:drawing>
          <wp:inline distT="0" distB="0" distL="0" distR="0">
            <wp:extent cx="571449" cy="48890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5"/>
                    <a:stretch>
                      <a:fillRect/>
                    </a:stretch>
                  </pic:blipFill>
                  <pic:spPr>
                    <a:xfrm>
                      <a:off x="0" y="0"/>
                      <a:ext cx="571449" cy="488901"/>
                    </a:xfrm>
                    <a:prstGeom prst="rect">
                      <a:avLst/>
                    </a:prstGeom>
                  </pic:spPr>
                </pic:pic>
              </a:graphicData>
            </a:graphic>
          </wp:inline>
        </w:drawing>
      </w:r>
      <w:r>
        <w:rPr>
          <w:b/>
          <w:bCs/>
          <w:spacing w:val="45"/>
          <w:sz w:val="59"/>
          <w:szCs w:val="59"/>
        </w:rPr>
        <w:t>开源证券</w:t>
      </w:r>
    </w:p>
    <w:p>
      <w:pPr>
        <w:pStyle w:val="BodyText"/>
        <w:spacing w:before="26" w:line="229" w:lineRule="auto"/>
        <w:ind w:left="9162"/>
        <w:rPr>
          <w:sz w:val="19"/>
          <w:szCs w:val="19"/>
        </w:rPr>
      </w:pPr>
      <w:r>
        <w:rPr>
          <w:b/>
          <w:bCs/>
          <w:spacing w:val="9"/>
          <w:sz w:val="19"/>
          <w:szCs w:val="19"/>
        </w:rPr>
        <w:t>行业深度报告</w:t>
      </w:r>
    </w:p>
    <w:sdt>
      <w:sdtPr>
        <w:rPr>
          <w:rFonts w:ascii="SimSun" w:eastAsia="SimSun" w:hAnsi="SimSun" w:cs="SimSun"/>
          <w:sz w:val="19"/>
          <w:szCs w:val="19"/>
        </w:rPr>
        <w:id w:val="651360059"/>
        <w:docPartObj>
          <w:docPartGallery w:val="Table of Contents"/>
          <w:docPartUnique/>
        </w:docPartObj>
      </w:sdtPr>
      <w:sdtEndPr>
        <w:rPr>
          <w:rFonts w:ascii="Times New Roman" w:eastAsia="Times New Roman" w:hAnsi="Times New Roman" w:cs="Times New Roman"/>
          <w:sz w:val="19"/>
          <w:szCs w:val="19"/>
        </w:rPr>
      </w:sdtEndPr>
      <w:sdtContent>
        <w:p>
          <w:pPr>
            <w:tabs>
              <w:tab w:val="right" w:leader="dot" w:pos="10356"/>
            </w:tabs>
            <w:spacing w:before="156" w:line="219" w:lineRule="auto"/>
            <w:rPr>
              <w:rFonts w:ascii="Times New Roman" w:eastAsia="Times New Roman" w:hAnsi="Times New Roman" w:cs="Times New Roman"/>
              <w:sz w:val="19"/>
              <w:szCs w:val="19"/>
            </w:rPr>
          </w:pPr>
          <w:r>
            <w:rPr>
              <w:rFonts w:ascii="SimSun" w:eastAsia="SimSun" w:hAnsi="SimSun" w:cs="SimSun"/>
              <w:spacing w:val="13"/>
              <w:sz w:val="19"/>
              <w:szCs w:val="19"/>
            </w:rPr>
            <w:t>图22:</w:t>
          </w:r>
          <w:r>
            <w:rPr>
              <w:rFonts w:ascii="SimSun" w:eastAsia="SimSun" w:hAnsi="SimSun" w:cs="SimSun"/>
              <w:spacing w:val="99"/>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13"/>
              <w:sz w:val="19"/>
              <w:szCs w:val="19"/>
            </w:rPr>
            <w:t xml:space="preserve">  </w:t>
          </w:r>
          <w:r>
            <w:rPr>
              <w:rFonts w:ascii="SimSun" w:eastAsia="SimSun" w:hAnsi="SimSun" w:cs="SimSun"/>
              <w:spacing w:val="13"/>
              <w:sz w:val="19"/>
              <w:szCs w:val="19"/>
            </w:rPr>
            <w:t>以委托管理模式为主，2022年93%的资金由外部委托人管理</w:t>
          </w:r>
          <w:r>
            <w:rPr>
              <w:rFonts w:ascii="SimSun" w:eastAsia="SimSun" w:hAnsi="SimSun" w:cs="SimSun"/>
              <w:spacing w:val="-72"/>
              <w:sz w:val="19"/>
              <w:szCs w:val="19"/>
            </w:rPr>
            <w:t xml:space="preserve"> </w:t>
          </w:r>
          <w:r>
            <w:rPr>
              <w:rFonts w:ascii="SimSun" w:eastAsia="SimSun" w:hAnsi="SimSun" w:cs="SimSun"/>
              <w:sz w:val="19"/>
              <w:szCs w:val="19"/>
            </w:rPr>
            <w:tab/>
          </w:r>
          <w:hyperlink w:anchor="bookmark38" w:history="1">
            <w:r>
              <w:rPr>
                <w:rFonts w:ascii="Times New Roman" w:eastAsia="Times New Roman" w:hAnsi="Times New Roman" w:cs="Times New Roman"/>
                <w:spacing w:val="-4"/>
                <w:sz w:val="19"/>
                <w:szCs w:val="19"/>
              </w:rPr>
              <w:t>16</w:t>
            </w:r>
          </w:hyperlink>
        </w:p>
        <w:p>
          <w:pPr>
            <w:tabs>
              <w:tab w:val="right" w:leader="dot" w:pos="10356"/>
            </w:tabs>
            <w:spacing w:before="94" w:line="219" w:lineRule="auto"/>
            <w:rPr>
              <w:rFonts w:ascii="Times New Roman" w:eastAsia="Times New Roman" w:hAnsi="Times New Roman" w:cs="Times New Roman"/>
              <w:sz w:val="19"/>
              <w:szCs w:val="19"/>
            </w:rPr>
          </w:pPr>
          <w:r>
            <w:rPr>
              <w:rFonts w:ascii="SimSun" w:eastAsia="SimSun" w:hAnsi="SimSun" w:cs="SimSun"/>
              <w:spacing w:val="17"/>
              <w:sz w:val="19"/>
              <w:szCs w:val="19"/>
            </w:rPr>
            <w:t>图23:</w:t>
          </w:r>
          <w:r>
            <w:rPr>
              <w:rFonts w:ascii="SimSun" w:eastAsia="SimSun" w:hAnsi="SimSun" w:cs="SimSun"/>
              <w:spacing w:val="86"/>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38"/>
              <w:sz w:val="19"/>
              <w:szCs w:val="19"/>
            </w:rPr>
            <w:t xml:space="preserve"> </w:t>
          </w:r>
          <w:r>
            <w:rPr>
              <w:rFonts w:ascii="SimSun" w:eastAsia="SimSun" w:hAnsi="SimSun" w:cs="SimSun"/>
              <w:spacing w:val="17"/>
              <w:sz w:val="19"/>
              <w:szCs w:val="19"/>
            </w:rPr>
            <w:t>委托管理人和基金数量波动式上升，2</w:t>
          </w:r>
          <w:r>
            <w:rPr>
              <w:rFonts w:ascii="SimSun" w:eastAsia="SimSun" w:hAnsi="SimSun" w:cs="SimSun"/>
              <w:spacing w:val="16"/>
              <w:sz w:val="19"/>
              <w:szCs w:val="19"/>
            </w:rPr>
            <w:t>022年分别38家和154支</w:t>
          </w:r>
          <w:r>
            <w:rPr>
              <w:rFonts w:ascii="SimSun" w:eastAsia="SimSun" w:hAnsi="SimSun" w:cs="SimSun"/>
              <w:spacing w:val="-76"/>
              <w:sz w:val="19"/>
              <w:szCs w:val="19"/>
            </w:rPr>
            <w:t xml:space="preserve"> </w:t>
          </w:r>
          <w:r>
            <w:rPr>
              <w:rFonts w:ascii="SimSun" w:eastAsia="SimSun" w:hAnsi="SimSun" w:cs="SimSun"/>
              <w:sz w:val="19"/>
              <w:szCs w:val="19"/>
            </w:rPr>
            <w:tab/>
          </w:r>
          <w:hyperlink w:anchor="bookmark39" w:history="1">
            <w:r>
              <w:rPr>
                <w:rFonts w:ascii="Times New Roman" w:eastAsia="Times New Roman" w:hAnsi="Times New Roman" w:cs="Times New Roman"/>
                <w:spacing w:val="-6"/>
                <w:sz w:val="19"/>
                <w:szCs w:val="19"/>
              </w:rPr>
              <w:t>17</w:t>
            </w:r>
          </w:hyperlink>
        </w:p>
        <w:p>
          <w:pPr>
            <w:tabs>
              <w:tab w:val="right" w:leader="dot" w:pos="10376"/>
            </w:tabs>
            <w:spacing w:before="92" w:line="216" w:lineRule="auto"/>
            <w:rPr>
              <w:rFonts w:ascii="Times New Roman" w:eastAsia="Times New Roman" w:hAnsi="Times New Roman" w:cs="Times New Roman"/>
              <w:sz w:val="19"/>
              <w:szCs w:val="19"/>
            </w:rPr>
          </w:pPr>
          <w:r>
            <w:rPr>
              <w:rFonts w:ascii="SimSun" w:eastAsia="SimSun" w:hAnsi="SimSun" w:cs="SimSun"/>
              <w:spacing w:val="21"/>
              <w:sz w:val="19"/>
              <w:szCs w:val="19"/>
            </w:rPr>
            <w:t>图24:2013-2022年</w:t>
          </w:r>
          <w:r>
            <w:rPr>
              <w:rFonts w:ascii="SimSun" w:eastAsia="SimSun" w:hAnsi="SimSun" w:cs="SimSun"/>
              <w:sz w:val="19"/>
              <w:szCs w:val="19"/>
            </w:rPr>
            <w:t>GP</w:t>
          </w:r>
          <w:r>
            <w:rPr>
              <w:rFonts w:ascii="SimSun" w:eastAsia="SimSun" w:hAnsi="SimSun" w:cs="SimSun"/>
              <w:spacing w:val="-27"/>
              <w:sz w:val="19"/>
              <w:szCs w:val="19"/>
            </w:rPr>
            <w:t xml:space="preserve"> </w:t>
          </w:r>
          <w:r>
            <w:rPr>
              <w:rFonts w:ascii="SimSun" w:eastAsia="SimSun" w:hAnsi="SimSun" w:cs="SimSun"/>
              <w:sz w:val="19"/>
              <w:szCs w:val="19"/>
            </w:rPr>
            <w:t>IF</w:t>
          </w:r>
          <w:r>
            <w:rPr>
              <w:rFonts w:ascii="SimSun" w:eastAsia="SimSun" w:hAnsi="SimSun" w:cs="SimSun"/>
              <w:spacing w:val="21"/>
              <w:sz w:val="19"/>
              <w:szCs w:val="19"/>
            </w:rPr>
            <w:t>加权年化收益率5.52%,权益资产带来收益率弹性</w:t>
          </w:r>
          <w:r>
            <w:rPr>
              <w:rFonts w:ascii="SimSun" w:eastAsia="SimSun" w:hAnsi="SimSun" w:cs="SimSun"/>
              <w:spacing w:val="-72"/>
              <w:sz w:val="19"/>
              <w:szCs w:val="19"/>
            </w:rPr>
            <w:t xml:space="preserve"> </w:t>
          </w:r>
          <w:r>
            <w:rPr>
              <w:rFonts w:ascii="SimSun" w:eastAsia="SimSun" w:hAnsi="SimSun" w:cs="SimSun"/>
              <w:sz w:val="19"/>
              <w:szCs w:val="19"/>
            </w:rPr>
            <w:tab/>
          </w:r>
          <w:r>
            <w:rPr>
              <w:rFonts w:ascii="SimSun" w:eastAsia="SimSun" w:hAnsi="SimSun" w:cs="SimSun"/>
              <w:spacing w:val="-63"/>
              <w:sz w:val="19"/>
              <w:szCs w:val="19"/>
            </w:rPr>
            <w:t xml:space="preserve"> </w:t>
          </w:r>
          <w:hyperlink w:anchor="bookmark40" w:history="1">
            <w:r>
              <w:rPr>
                <w:rFonts w:ascii="Times New Roman" w:eastAsia="Times New Roman" w:hAnsi="Times New Roman" w:cs="Times New Roman"/>
                <w:spacing w:val="-6"/>
                <w:sz w:val="19"/>
                <w:szCs w:val="19"/>
              </w:rPr>
              <w:t>17</w:t>
            </w:r>
          </w:hyperlink>
        </w:p>
        <w:p>
          <w:pPr>
            <w:tabs>
              <w:tab w:val="right" w:leader="dot" w:pos="10356"/>
            </w:tabs>
            <w:spacing w:before="100" w:line="219" w:lineRule="auto"/>
            <w:rPr>
              <w:rFonts w:ascii="Times New Roman" w:eastAsia="Times New Roman" w:hAnsi="Times New Roman" w:cs="Times New Roman"/>
              <w:sz w:val="19"/>
              <w:szCs w:val="19"/>
            </w:rPr>
          </w:pPr>
          <w:r>
            <w:rPr>
              <w:rFonts w:ascii="SimSun" w:eastAsia="SimSun" w:hAnsi="SimSun" w:cs="SimSun"/>
              <w:spacing w:val="9"/>
              <w:sz w:val="19"/>
              <w:szCs w:val="19"/>
            </w:rPr>
            <w:t>图</w:t>
          </w:r>
          <w:r>
            <w:rPr>
              <w:rFonts w:ascii="SimSun" w:eastAsia="SimSun" w:hAnsi="SimSun" w:cs="SimSun"/>
              <w:spacing w:val="-39"/>
              <w:sz w:val="19"/>
              <w:szCs w:val="19"/>
            </w:rPr>
            <w:t xml:space="preserve"> </w:t>
          </w:r>
          <w:r>
            <w:rPr>
              <w:rFonts w:ascii="SimSun" w:eastAsia="SimSun" w:hAnsi="SimSun" w:cs="SimSun"/>
              <w:spacing w:val="9"/>
              <w:sz w:val="19"/>
              <w:szCs w:val="19"/>
            </w:rPr>
            <w:t>2</w:t>
          </w:r>
          <w:r>
            <w:rPr>
              <w:rFonts w:ascii="SimSun" w:eastAsia="SimSun" w:hAnsi="SimSun" w:cs="SimSun"/>
              <w:spacing w:val="-37"/>
              <w:sz w:val="19"/>
              <w:szCs w:val="19"/>
            </w:rPr>
            <w:t xml:space="preserve"> </w:t>
          </w:r>
          <w:r>
            <w:rPr>
              <w:rFonts w:ascii="SimSun" w:eastAsia="SimSun" w:hAnsi="SimSun" w:cs="SimSun"/>
              <w:spacing w:val="9"/>
              <w:sz w:val="19"/>
              <w:szCs w:val="19"/>
            </w:rPr>
            <w:t>5</w:t>
          </w:r>
          <w:r>
            <w:rPr>
              <w:rFonts w:ascii="SimSun" w:eastAsia="SimSun" w:hAnsi="SimSun" w:cs="SimSun"/>
              <w:spacing w:val="-13"/>
              <w:sz w:val="19"/>
              <w:szCs w:val="19"/>
            </w:rPr>
            <w:t xml:space="preserve"> </w:t>
          </w:r>
          <w:r>
            <w:rPr>
              <w:rFonts w:ascii="SimSun" w:eastAsia="SimSun" w:hAnsi="SimSun" w:cs="SimSun"/>
              <w:spacing w:val="9"/>
              <w:sz w:val="19"/>
              <w:szCs w:val="19"/>
            </w:rPr>
            <w:t>:</w:t>
          </w:r>
          <w:r>
            <w:rPr>
              <w:rFonts w:ascii="SimSun" w:eastAsia="SimSun" w:hAnsi="SimSun" w:cs="SimSun"/>
              <w:spacing w:val="57"/>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17"/>
              <w:w w:val="101"/>
              <w:sz w:val="19"/>
              <w:szCs w:val="19"/>
            </w:rPr>
            <w:t xml:space="preserve"> </w:t>
          </w:r>
          <w:r>
            <w:rPr>
              <w:rFonts w:ascii="SimSun" w:eastAsia="SimSun" w:hAnsi="SimSun" w:cs="SimSun"/>
              <w:spacing w:val="9"/>
              <w:sz w:val="19"/>
              <w:szCs w:val="19"/>
            </w:rPr>
            <w:t>聘任委托管理人经过3轮审查，考察要素较为</w:t>
          </w:r>
          <w:r>
            <w:rPr>
              <w:rFonts w:ascii="SimSun" w:eastAsia="SimSun" w:hAnsi="SimSun" w:cs="SimSun"/>
              <w:spacing w:val="8"/>
              <w:sz w:val="19"/>
              <w:szCs w:val="19"/>
            </w:rPr>
            <w:t>全面</w:t>
          </w:r>
          <w:r>
            <w:rPr>
              <w:rFonts w:ascii="SimSun" w:eastAsia="SimSun" w:hAnsi="SimSun" w:cs="SimSun"/>
              <w:spacing w:val="-73"/>
              <w:sz w:val="19"/>
              <w:szCs w:val="19"/>
            </w:rPr>
            <w:t xml:space="preserve"> </w:t>
          </w:r>
          <w:r>
            <w:rPr>
              <w:rFonts w:ascii="SimSun" w:eastAsia="SimSun" w:hAnsi="SimSun" w:cs="SimSun"/>
              <w:sz w:val="19"/>
              <w:szCs w:val="19"/>
            </w:rPr>
            <w:tab/>
          </w:r>
          <w:hyperlink w:anchor="bookmark41" w:history="1">
            <w:r>
              <w:rPr>
                <w:rFonts w:ascii="Times New Roman" w:eastAsia="Times New Roman" w:hAnsi="Times New Roman" w:cs="Times New Roman"/>
                <w:spacing w:val="-3"/>
                <w:sz w:val="19"/>
                <w:szCs w:val="19"/>
              </w:rPr>
              <w:t>18</w:t>
            </w:r>
          </w:hyperlink>
        </w:p>
        <w:p>
          <w:pPr>
            <w:tabs>
              <w:tab w:val="right" w:leader="dot" w:pos="10376"/>
            </w:tabs>
            <w:spacing w:before="74" w:line="219" w:lineRule="auto"/>
            <w:rPr>
              <w:rFonts w:ascii="Times New Roman" w:eastAsia="Times New Roman" w:hAnsi="Times New Roman" w:cs="Times New Roman"/>
              <w:sz w:val="19"/>
              <w:szCs w:val="19"/>
            </w:rPr>
          </w:pPr>
          <w:r>
            <w:rPr>
              <w:rFonts w:ascii="SimSun" w:eastAsia="SimSun" w:hAnsi="SimSun" w:cs="SimSun"/>
              <w:spacing w:val="1"/>
              <w:sz w:val="19"/>
              <w:szCs w:val="19"/>
            </w:rPr>
            <w:t>图</w:t>
          </w:r>
          <w:r>
            <w:rPr>
              <w:rFonts w:ascii="SimSun" w:eastAsia="SimSun" w:hAnsi="SimSun" w:cs="SimSun"/>
              <w:spacing w:val="-21"/>
              <w:sz w:val="19"/>
              <w:szCs w:val="19"/>
            </w:rPr>
            <w:t xml:space="preserve"> </w:t>
          </w:r>
          <w:r>
            <w:rPr>
              <w:rFonts w:ascii="SimSun" w:eastAsia="SimSun" w:hAnsi="SimSun" w:cs="SimSun"/>
              <w:spacing w:val="1"/>
              <w:sz w:val="19"/>
              <w:szCs w:val="19"/>
            </w:rPr>
            <w:t>2</w:t>
          </w:r>
          <w:r>
            <w:rPr>
              <w:rFonts w:ascii="SimSun" w:eastAsia="SimSun" w:hAnsi="SimSun" w:cs="SimSun"/>
              <w:spacing w:val="-40"/>
              <w:sz w:val="19"/>
              <w:szCs w:val="19"/>
            </w:rPr>
            <w:t xml:space="preserve"> </w:t>
          </w:r>
          <w:r>
            <w:rPr>
              <w:rFonts w:ascii="SimSun" w:eastAsia="SimSun" w:hAnsi="SimSun" w:cs="SimSun"/>
              <w:spacing w:val="1"/>
              <w:sz w:val="19"/>
              <w:szCs w:val="19"/>
            </w:rPr>
            <w:t>6 :</w:t>
          </w:r>
          <w:r>
            <w:rPr>
              <w:rFonts w:ascii="SimSun" w:eastAsia="SimSun" w:hAnsi="SimSun" w:cs="SimSun"/>
              <w:spacing w:val="-39"/>
              <w:sz w:val="19"/>
              <w:szCs w:val="19"/>
            </w:rPr>
            <w:t xml:space="preserve"> </w:t>
          </w:r>
          <w:r>
            <w:rPr>
              <w:rFonts w:ascii="SimSun" w:eastAsia="SimSun" w:hAnsi="SimSun" w:cs="SimSun"/>
              <w:spacing w:val="1"/>
              <w:sz w:val="19"/>
              <w:szCs w:val="19"/>
            </w:rPr>
            <w:t>2</w:t>
          </w:r>
          <w:r>
            <w:rPr>
              <w:rFonts w:ascii="SimSun" w:eastAsia="SimSun" w:hAnsi="SimSun" w:cs="SimSun"/>
              <w:spacing w:val="-40"/>
              <w:sz w:val="19"/>
              <w:szCs w:val="19"/>
            </w:rPr>
            <w:t xml:space="preserve"> </w:t>
          </w:r>
          <w:r>
            <w:rPr>
              <w:rFonts w:ascii="SimSun" w:eastAsia="SimSun" w:hAnsi="SimSun" w:cs="SimSun"/>
              <w:spacing w:val="1"/>
              <w:sz w:val="19"/>
              <w:szCs w:val="19"/>
            </w:rPr>
            <w:t>0</w:t>
          </w:r>
          <w:r>
            <w:rPr>
              <w:rFonts w:ascii="SimSun" w:eastAsia="SimSun" w:hAnsi="SimSun" w:cs="SimSun"/>
              <w:spacing w:val="-40"/>
              <w:sz w:val="19"/>
              <w:szCs w:val="19"/>
            </w:rPr>
            <w:t xml:space="preserve"> </w:t>
          </w:r>
          <w:r>
            <w:rPr>
              <w:rFonts w:ascii="SimSun" w:eastAsia="SimSun" w:hAnsi="SimSun" w:cs="SimSun"/>
              <w:spacing w:val="1"/>
              <w:sz w:val="19"/>
              <w:szCs w:val="19"/>
            </w:rPr>
            <w:t>2</w:t>
          </w:r>
          <w:r>
            <w:rPr>
              <w:rFonts w:ascii="SimSun" w:eastAsia="SimSun" w:hAnsi="SimSun" w:cs="SimSun"/>
              <w:spacing w:val="-39"/>
              <w:sz w:val="19"/>
              <w:szCs w:val="19"/>
            </w:rPr>
            <w:t xml:space="preserve"> </w:t>
          </w:r>
          <w:r>
            <w:rPr>
              <w:rFonts w:ascii="SimSun" w:eastAsia="SimSun" w:hAnsi="SimSun" w:cs="SimSun"/>
              <w:spacing w:val="1"/>
              <w:sz w:val="19"/>
              <w:szCs w:val="19"/>
            </w:rPr>
            <w:t>2</w:t>
          </w:r>
          <w:r>
            <w:rPr>
              <w:rFonts w:ascii="SimSun" w:eastAsia="SimSun" w:hAnsi="SimSun" w:cs="SimSun"/>
              <w:spacing w:val="-56"/>
              <w:sz w:val="19"/>
              <w:szCs w:val="19"/>
            </w:rPr>
            <w:t xml:space="preserve"> </w:t>
          </w:r>
          <w:r>
            <w:rPr>
              <w:rFonts w:ascii="SimSun" w:eastAsia="SimSun" w:hAnsi="SimSun" w:cs="SimSun"/>
              <w:spacing w:val="1"/>
              <w:sz w:val="19"/>
              <w:szCs w:val="19"/>
            </w:rPr>
            <w:t>年</w:t>
          </w:r>
          <w:r>
            <w:rPr>
              <w:rFonts w:ascii="SimSun" w:eastAsia="SimSun" w:hAnsi="SimSun" w:cs="SimSun"/>
              <w:spacing w:val="-35"/>
              <w:sz w:val="19"/>
              <w:szCs w:val="19"/>
            </w:rPr>
            <w:t xml:space="preserve"> </w:t>
          </w:r>
          <w:r>
            <w:rPr>
              <w:rFonts w:ascii="SimSun" w:eastAsia="SimSun" w:hAnsi="SimSun" w:cs="SimSun"/>
              <w:sz w:val="19"/>
              <w:szCs w:val="19"/>
            </w:rPr>
            <w:t>G</w:t>
          </w:r>
          <w:r>
            <w:rPr>
              <w:rFonts w:ascii="SimSun" w:eastAsia="SimSun" w:hAnsi="SimSun" w:cs="SimSun"/>
              <w:spacing w:val="-35"/>
              <w:sz w:val="19"/>
              <w:szCs w:val="19"/>
            </w:rPr>
            <w:t xml:space="preserve"> </w:t>
          </w:r>
          <w:r>
            <w:rPr>
              <w:rFonts w:ascii="SimSun" w:eastAsia="SimSun" w:hAnsi="SimSun" w:cs="SimSun"/>
              <w:sz w:val="19"/>
              <w:szCs w:val="19"/>
            </w:rPr>
            <w:t>P</w:t>
          </w:r>
          <w:r>
            <w:rPr>
              <w:rFonts w:ascii="SimSun" w:eastAsia="SimSun" w:hAnsi="SimSun" w:cs="SimSun"/>
              <w:spacing w:val="-35"/>
              <w:sz w:val="19"/>
              <w:szCs w:val="19"/>
            </w:rPr>
            <w:t xml:space="preserve"> </w:t>
          </w:r>
          <w:r>
            <w:rPr>
              <w:rFonts w:ascii="SimSun" w:eastAsia="SimSun" w:hAnsi="SimSun" w:cs="SimSun"/>
              <w:sz w:val="19"/>
              <w:szCs w:val="19"/>
            </w:rPr>
            <w:t>F</w:t>
          </w:r>
          <w:r>
            <w:rPr>
              <w:rFonts w:ascii="SimSun" w:eastAsia="SimSun" w:hAnsi="SimSun" w:cs="SimSun"/>
              <w:spacing w:val="-35"/>
              <w:sz w:val="19"/>
              <w:szCs w:val="19"/>
            </w:rPr>
            <w:t xml:space="preserve"> </w:t>
          </w:r>
          <w:r>
            <w:rPr>
              <w:rFonts w:ascii="SimSun" w:eastAsia="SimSun" w:hAnsi="SimSun" w:cs="SimSun"/>
              <w:sz w:val="19"/>
              <w:szCs w:val="19"/>
            </w:rPr>
            <w:t>G</w:t>
          </w:r>
          <w:r>
            <w:rPr>
              <w:rFonts w:ascii="SimSun" w:eastAsia="SimSun" w:hAnsi="SimSun" w:cs="SimSun"/>
              <w:spacing w:val="1"/>
              <w:sz w:val="19"/>
              <w:szCs w:val="19"/>
            </w:rPr>
            <w:t>养老金12.4万亿挪威克朗</w:t>
          </w:r>
          <w:r>
            <w:rPr>
              <w:rFonts w:ascii="SimSun" w:eastAsia="SimSun" w:hAnsi="SimSun" w:cs="SimSun"/>
              <w:sz w:val="19"/>
              <w:szCs w:val="19"/>
            </w:rPr>
            <w:tab/>
          </w:r>
          <w:r>
            <w:rPr>
              <w:rFonts w:ascii="SimSun" w:eastAsia="SimSun" w:hAnsi="SimSun" w:cs="SimSun"/>
              <w:spacing w:val="-23"/>
              <w:sz w:val="19"/>
              <w:szCs w:val="19"/>
            </w:rPr>
            <w:t xml:space="preserve"> </w:t>
          </w:r>
          <w:hyperlink w:anchor="bookmark42" w:history="1">
            <w:r>
              <w:rPr>
                <w:rFonts w:ascii="Times New Roman" w:eastAsia="Times New Roman" w:hAnsi="Times New Roman" w:cs="Times New Roman"/>
                <w:spacing w:val="-6"/>
                <w:sz w:val="19"/>
                <w:szCs w:val="19"/>
              </w:rPr>
              <w:t>19</w:t>
            </w:r>
          </w:hyperlink>
        </w:p>
        <w:p>
          <w:pPr>
            <w:tabs>
              <w:tab w:val="right" w:leader="dot" w:pos="10356"/>
            </w:tabs>
            <w:spacing w:before="75" w:line="219" w:lineRule="auto"/>
            <w:rPr>
              <w:rFonts w:ascii="Times New Roman" w:eastAsia="Times New Roman" w:hAnsi="Times New Roman" w:cs="Times New Roman"/>
              <w:sz w:val="19"/>
              <w:szCs w:val="19"/>
            </w:rPr>
          </w:pPr>
          <w:r>
            <w:rPr>
              <w:rFonts w:ascii="SimSun" w:eastAsia="SimSun" w:hAnsi="SimSun" w:cs="SimSun"/>
              <w:spacing w:val="5"/>
              <w:sz w:val="19"/>
              <w:szCs w:val="19"/>
            </w:rPr>
            <w:t>图</w:t>
          </w:r>
          <w:r>
            <w:rPr>
              <w:rFonts w:ascii="SimSun" w:eastAsia="SimSun" w:hAnsi="SimSun" w:cs="SimSun"/>
              <w:spacing w:val="-38"/>
              <w:sz w:val="19"/>
              <w:szCs w:val="19"/>
            </w:rPr>
            <w:t xml:space="preserve"> </w:t>
          </w:r>
          <w:r>
            <w:rPr>
              <w:rFonts w:ascii="SimSun" w:eastAsia="SimSun" w:hAnsi="SimSun" w:cs="SimSun"/>
              <w:spacing w:val="5"/>
              <w:sz w:val="19"/>
              <w:szCs w:val="19"/>
            </w:rPr>
            <w:t>2</w:t>
          </w:r>
          <w:r>
            <w:rPr>
              <w:rFonts w:ascii="SimSun" w:eastAsia="SimSun" w:hAnsi="SimSun" w:cs="SimSun"/>
              <w:spacing w:val="-38"/>
              <w:sz w:val="19"/>
              <w:szCs w:val="19"/>
            </w:rPr>
            <w:t xml:space="preserve"> </w:t>
          </w:r>
          <w:r>
            <w:rPr>
              <w:rFonts w:ascii="SimSun" w:eastAsia="SimSun" w:hAnsi="SimSun" w:cs="SimSun"/>
              <w:spacing w:val="5"/>
              <w:sz w:val="19"/>
              <w:szCs w:val="19"/>
            </w:rPr>
            <w:t>7</w:t>
          </w:r>
          <w:r>
            <w:rPr>
              <w:rFonts w:ascii="SimSun" w:eastAsia="SimSun" w:hAnsi="SimSun" w:cs="SimSun"/>
              <w:spacing w:val="-15"/>
              <w:sz w:val="19"/>
              <w:szCs w:val="19"/>
            </w:rPr>
            <w:t xml:space="preserve"> </w:t>
          </w:r>
          <w:r>
            <w:rPr>
              <w:rFonts w:ascii="SimSun" w:eastAsia="SimSun" w:hAnsi="SimSun" w:cs="SimSun"/>
              <w:spacing w:val="5"/>
              <w:sz w:val="19"/>
              <w:szCs w:val="19"/>
            </w:rPr>
            <w:t>:</w:t>
          </w:r>
          <w:r>
            <w:rPr>
              <w:rFonts w:ascii="SimSun" w:eastAsia="SimSun" w:hAnsi="SimSun" w:cs="SimSun"/>
              <w:spacing w:val="-40"/>
              <w:sz w:val="19"/>
              <w:szCs w:val="19"/>
            </w:rPr>
            <w:t xml:space="preserve"> </w:t>
          </w:r>
          <w:r>
            <w:rPr>
              <w:rFonts w:ascii="SimSun" w:eastAsia="SimSun" w:hAnsi="SimSun" w:cs="SimSun"/>
              <w:spacing w:val="5"/>
              <w:sz w:val="19"/>
              <w:szCs w:val="19"/>
            </w:rPr>
            <w:t>2</w:t>
          </w:r>
          <w:r>
            <w:rPr>
              <w:rFonts w:ascii="SimSun" w:eastAsia="SimSun" w:hAnsi="SimSun" w:cs="SimSun"/>
              <w:spacing w:val="-42"/>
              <w:sz w:val="19"/>
              <w:szCs w:val="19"/>
            </w:rPr>
            <w:t xml:space="preserve"> </w:t>
          </w:r>
          <w:r>
            <w:rPr>
              <w:rFonts w:ascii="SimSun" w:eastAsia="SimSun" w:hAnsi="SimSun" w:cs="SimSun"/>
              <w:spacing w:val="5"/>
              <w:sz w:val="19"/>
              <w:szCs w:val="19"/>
            </w:rPr>
            <w:t>0</w:t>
          </w:r>
          <w:r>
            <w:rPr>
              <w:rFonts w:ascii="SimSun" w:eastAsia="SimSun" w:hAnsi="SimSun" w:cs="SimSun"/>
              <w:spacing w:val="-40"/>
              <w:sz w:val="19"/>
              <w:szCs w:val="19"/>
            </w:rPr>
            <w:t xml:space="preserve"> </w:t>
          </w:r>
          <w:r>
            <w:rPr>
              <w:rFonts w:ascii="SimSun" w:eastAsia="SimSun" w:hAnsi="SimSun" w:cs="SimSun"/>
              <w:spacing w:val="5"/>
              <w:sz w:val="19"/>
              <w:szCs w:val="19"/>
            </w:rPr>
            <w:t>2</w:t>
          </w:r>
          <w:r>
            <w:rPr>
              <w:rFonts w:ascii="SimSun" w:eastAsia="SimSun" w:hAnsi="SimSun" w:cs="SimSun"/>
              <w:spacing w:val="-41"/>
              <w:sz w:val="19"/>
              <w:szCs w:val="19"/>
            </w:rPr>
            <w:t xml:space="preserve"> </w:t>
          </w:r>
          <w:r>
            <w:rPr>
              <w:rFonts w:ascii="SimSun" w:eastAsia="SimSun" w:hAnsi="SimSun" w:cs="SimSun"/>
              <w:spacing w:val="5"/>
              <w:sz w:val="19"/>
              <w:szCs w:val="19"/>
            </w:rPr>
            <w:t>2</w:t>
          </w:r>
          <w:r>
            <w:rPr>
              <w:rFonts w:ascii="SimSun" w:eastAsia="SimSun" w:hAnsi="SimSun" w:cs="SimSun"/>
              <w:spacing w:val="-57"/>
              <w:sz w:val="19"/>
              <w:szCs w:val="19"/>
            </w:rPr>
            <w:t xml:space="preserve"> </w:t>
          </w:r>
          <w:r>
            <w:rPr>
              <w:rFonts w:ascii="SimSun" w:eastAsia="SimSun" w:hAnsi="SimSun" w:cs="SimSun"/>
              <w:spacing w:val="5"/>
              <w:sz w:val="19"/>
              <w:szCs w:val="19"/>
            </w:rPr>
            <w:t>年</w:t>
          </w:r>
          <w:r>
            <w:rPr>
              <w:rFonts w:ascii="SimSun" w:eastAsia="SimSun" w:hAnsi="SimSun" w:cs="SimSun"/>
              <w:spacing w:val="-34"/>
              <w:sz w:val="19"/>
              <w:szCs w:val="19"/>
            </w:rPr>
            <w:t xml:space="preserve"> </w:t>
          </w:r>
          <w:r>
            <w:rPr>
              <w:rFonts w:ascii="SimSun" w:eastAsia="SimSun" w:hAnsi="SimSun" w:cs="SimSun"/>
              <w:sz w:val="19"/>
              <w:szCs w:val="19"/>
            </w:rPr>
            <w:t>G</w:t>
          </w:r>
          <w:r>
            <w:rPr>
              <w:rFonts w:ascii="SimSun" w:eastAsia="SimSun" w:hAnsi="SimSun" w:cs="SimSun"/>
              <w:spacing w:val="-35"/>
              <w:sz w:val="19"/>
              <w:szCs w:val="19"/>
            </w:rPr>
            <w:t xml:space="preserve"> </w:t>
          </w:r>
          <w:r>
            <w:rPr>
              <w:rFonts w:ascii="SimSun" w:eastAsia="SimSun" w:hAnsi="SimSun" w:cs="SimSun"/>
              <w:sz w:val="19"/>
              <w:szCs w:val="19"/>
            </w:rPr>
            <w:t>P</w:t>
          </w:r>
          <w:r>
            <w:rPr>
              <w:rFonts w:ascii="SimSun" w:eastAsia="SimSun" w:hAnsi="SimSun" w:cs="SimSun"/>
              <w:spacing w:val="-35"/>
              <w:sz w:val="19"/>
              <w:szCs w:val="19"/>
            </w:rPr>
            <w:t xml:space="preserve"> </w:t>
          </w:r>
          <w:r>
            <w:rPr>
              <w:rFonts w:ascii="SimSun" w:eastAsia="SimSun" w:hAnsi="SimSun" w:cs="SimSun"/>
              <w:sz w:val="19"/>
              <w:szCs w:val="19"/>
            </w:rPr>
            <w:t>F</w:t>
          </w:r>
          <w:r>
            <w:rPr>
              <w:rFonts w:ascii="SimSun" w:eastAsia="SimSun" w:hAnsi="SimSun" w:cs="SimSun"/>
              <w:spacing w:val="-35"/>
              <w:sz w:val="19"/>
              <w:szCs w:val="19"/>
            </w:rPr>
            <w:t xml:space="preserve"> </w:t>
          </w:r>
          <w:r>
            <w:rPr>
              <w:rFonts w:ascii="SimSun" w:eastAsia="SimSun" w:hAnsi="SimSun" w:cs="SimSun"/>
              <w:sz w:val="19"/>
              <w:szCs w:val="19"/>
            </w:rPr>
            <w:t>G</w:t>
          </w:r>
          <w:r>
            <w:rPr>
              <w:rFonts w:ascii="SimSun" w:eastAsia="SimSun" w:hAnsi="SimSun" w:cs="SimSun"/>
              <w:spacing w:val="5"/>
              <w:sz w:val="19"/>
              <w:szCs w:val="19"/>
            </w:rPr>
            <w:t>养老金70%投资于权益资产</w:t>
          </w:r>
          <w:r>
            <w:rPr>
              <w:rFonts w:ascii="SimSun" w:eastAsia="SimSun" w:hAnsi="SimSun" w:cs="SimSun"/>
              <w:spacing w:val="-76"/>
              <w:sz w:val="19"/>
              <w:szCs w:val="19"/>
            </w:rPr>
            <w:t xml:space="preserve"> </w:t>
          </w:r>
          <w:r>
            <w:rPr>
              <w:rFonts w:ascii="SimSun" w:eastAsia="SimSun" w:hAnsi="SimSun" w:cs="SimSun"/>
              <w:sz w:val="19"/>
              <w:szCs w:val="19"/>
            </w:rPr>
            <w:tab/>
          </w:r>
          <w:r>
            <w:rPr>
              <w:rFonts w:ascii="SimSun" w:eastAsia="SimSun" w:hAnsi="SimSun" w:cs="SimSun"/>
              <w:spacing w:val="-13"/>
              <w:sz w:val="19"/>
              <w:szCs w:val="19"/>
            </w:rPr>
            <w:t xml:space="preserve"> </w:t>
          </w:r>
          <w:hyperlink w:anchor="bookmark43" w:history="1">
            <w:r>
              <w:rPr>
                <w:rFonts w:ascii="Times New Roman" w:eastAsia="Times New Roman" w:hAnsi="Times New Roman" w:cs="Times New Roman"/>
                <w:spacing w:val="-6"/>
                <w:sz w:val="19"/>
                <w:szCs w:val="19"/>
              </w:rPr>
              <w:t>19</w:t>
            </w:r>
          </w:hyperlink>
        </w:p>
        <w:p>
          <w:pPr>
            <w:tabs>
              <w:tab w:val="right" w:leader="dot" w:pos="10355"/>
            </w:tabs>
            <w:spacing w:before="104" w:line="219" w:lineRule="auto"/>
            <w:rPr>
              <w:rFonts w:ascii="Times New Roman" w:eastAsia="Times New Roman" w:hAnsi="Times New Roman" w:cs="Times New Roman"/>
              <w:sz w:val="19"/>
              <w:szCs w:val="19"/>
            </w:rPr>
          </w:pPr>
          <w:r>
            <w:rPr>
              <w:rFonts w:ascii="SimSun" w:eastAsia="SimSun" w:hAnsi="SimSun" w:cs="SimSun"/>
              <w:spacing w:val="11"/>
              <w:sz w:val="19"/>
              <w:szCs w:val="19"/>
            </w:rPr>
            <w:t>图</w:t>
          </w:r>
          <w:r>
            <w:rPr>
              <w:rFonts w:ascii="SimSun" w:eastAsia="SimSun" w:hAnsi="SimSun" w:cs="SimSun"/>
              <w:spacing w:val="-39"/>
              <w:sz w:val="19"/>
              <w:szCs w:val="19"/>
            </w:rPr>
            <w:t xml:space="preserve"> </w:t>
          </w:r>
          <w:r>
            <w:rPr>
              <w:rFonts w:ascii="SimSun" w:eastAsia="SimSun" w:hAnsi="SimSun" w:cs="SimSun"/>
              <w:spacing w:val="11"/>
              <w:sz w:val="19"/>
              <w:szCs w:val="19"/>
            </w:rPr>
            <w:t>2</w:t>
          </w:r>
          <w:r>
            <w:rPr>
              <w:rFonts w:ascii="SimSun" w:eastAsia="SimSun" w:hAnsi="SimSun" w:cs="SimSun"/>
              <w:spacing w:val="-41"/>
              <w:sz w:val="19"/>
              <w:szCs w:val="19"/>
            </w:rPr>
            <w:t xml:space="preserve"> </w:t>
          </w:r>
          <w:r>
            <w:rPr>
              <w:rFonts w:ascii="SimSun" w:eastAsia="SimSun" w:hAnsi="SimSun" w:cs="SimSun"/>
              <w:spacing w:val="11"/>
              <w:sz w:val="19"/>
              <w:szCs w:val="19"/>
            </w:rPr>
            <w:t>8</w:t>
          </w:r>
          <w:r>
            <w:rPr>
              <w:rFonts w:ascii="SimSun" w:eastAsia="SimSun" w:hAnsi="SimSun" w:cs="SimSun"/>
              <w:spacing w:val="-13"/>
              <w:sz w:val="19"/>
              <w:szCs w:val="19"/>
            </w:rPr>
            <w:t xml:space="preserve"> </w:t>
          </w:r>
          <w:r>
            <w:rPr>
              <w:rFonts w:ascii="SimSun" w:eastAsia="SimSun" w:hAnsi="SimSun" w:cs="SimSun"/>
              <w:spacing w:val="11"/>
              <w:sz w:val="19"/>
              <w:szCs w:val="19"/>
            </w:rPr>
            <w:t>:</w:t>
          </w:r>
          <w:r>
            <w:rPr>
              <w:rFonts w:ascii="SimSun" w:eastAsia="SimSun" w:hAnsi="SimSun" w:cs="SimSun"/>
              <w:spacing w:val="47"/>
              <w:sz w:val="19"/>
              <w:szCs w:val="19"/>
            </w:rPr>
            <w:t xml:space="preserve"> </w:t>
          </w:r>
          <w:r>
            <w:rPr>
              <w:rFonts w:ascii="SimSun" w:eastAsia="SimSun" w:hAnsi="SimSun" w:cs="SimSun"/>
              <w:spacing w:val="11"/>
              <w:sz w:val="19"/>
              <w:szCs w:val="19"/>
            </w:rPr>
            <w:t xml:space="preserve">挪威 </w:t>
          </w:r>
          <w:r>
            <w:rPr>
              <w:rFonts w:ascii="Times New Roman" w:eastAsia="Times New Roman" w:hAnsi="Times New Roman" w:cs="Times New Roman"/>
              <w:sz w:val="19"/>
              <w:szCs w:val="19"/>
            </w:rPr>
            <w:t>GPFG</w:t>
          </w:r>
          <w:r>
            <w:rPr>
              <w:rFonts w:ascii="Times New Roman" w:eastAsia="Times New Roman" w:hAnsi="Times New Roman" w:cs="Times New Roman"/>
              <w:spacing w:val="24"/>
              <w:sz w:val="19"/>
              <w:szCs w:val="19"/>
            </w:rPr>
            <w:t xml:space="preserve"> </w:t>
          </w:r>
          <w:r>
            <w:rPr>
              <w:rFonts w:ascii="SimSun" w:eastAsia="SimSun" w:hAnsi="SimSun" w:cs="SimSun"/>
              <w:spacing w:val="11"/>
              <w:sz w:val="19"/>
              <w:szCs w:val="19"/>
            </w:rPr>
            <w:t>委托管理人从1998年4位增加到2022年100</w:t>
          </w:r>
          <w:r>
            <w:rPr>
              <w:rFonts w:ascii="SimSun" w:eastAsia="SimSun" w:hAnsi="SimSun" w:cs="SimSun"/>
              <w:spacing w:val="48"/>
              <w:sz w:val="19"/>
              <w:szCs w:val="19"/>
            </w:rPr>
            <w:t xml:space="preserve"> </w:t>
          </w:r>
          <w:r>
            <w:rPr>
              <w:rFonts w:ascii="SimSun" w:eastAsia="SimSun" w:hAnsi="SimSun" w:cs="SimSun"/>
              <w:spacing w:val="11"/>
              <w:sz w:val="19"/>
              <w:szCs w:val="19"/>
            </w:rPr>
            <w:t>位</w:t>
          </w:r>
          <w:r>
            <w:rPr>
              <w:rFonts w:ascii="SimSun" w:eastAsia="SimSun" w:hAnsi="SimSun" w:cs="SimSun"/>
              <w:spacing w:val="-73"/>
              <w:sz w:val="19"/>
              <w:szCs w:val="19"/>
            </w:rPr>
            <w:t xml:space="preserve"> </w:t>
          </w:r>
          <w:r>
            <w:rPr>
              <w:rFonts w:ascii="SimSun" w:eastAsia="SimSun" w:hAnsi="SimSun" w:cs="SimSun"/>
              <w:sz w:val="19"/>
              <w:szCs w:val="19"/>
            </w:rPr>
            <w:tab/>
          </w:r>
          <w:r>
            <w:rPr>
              <w:rFonts w:ascii="SimSun" w:eastAsia="SimSun" w:hAnsi="SimSun" w:cs="SimSun"/>
              <w:spacing w:val="-53"/>
              <w:sz w:val="19"/>
              <w:szCs w:val="19"/>
            </w:rPr>
            <w:t xml:space="preserve"> </w:t>
          </w:r>
          <w:hyperlink w:anchor="bookmark44" w:history="1">
            <w:r>
              <w:rPr>
                <w:rFonts w:ascii="Times New Roman" w:eastAsia="Times New Roman" w:hAnsi="Times New Roman" w:cs="Times New Roman"/>
                <w:spacing w:val="-1"/>
                <w:sz w:val="19"/>
                <w:szCs w:val="19"/>
              </w:rPr>
              <w:t>20</w:t>
            </w:r>
          </w:hyperlink>
        </w:p>
        <w:p>
          <w:pPr>
            <w:tabs>
              <w:tab w:val="right" w:leader="dot" w:pos="10365"/>
            </w:tabs>
            <w:spacing w:before="105" w:line="219" w:lineRule="auto"/>
            <w:rPr>
              <w:rFonts w:ascii="Times New Roman" w:eastAsia="Times New Roman" w:hAnsi="Times New Roman" w:cs="Times New Roman"/>
              <w:sz w:val="19"/>
              <w:szCs w:val="19"/>
            </w:rPr>
          </w:pPr>
          <w:r>
            <w:rPr>
              <w:rFonts w:ascii="SimSun" w:eastAsia="SimSun" w:hAnsi="SimSun" w:cs="SimSun"/>
              <w:spacing w:val="6"/>
              <w:sz w:val="19"/>
              <w:szCs w:val="19"/>
            </w:rPr>
            <w:t>图</w:t>
          </w:r>
          <w:r>
            <w:rPr>
              <w:rFonts w:ascii="SimSun" w:eastAsia="SimSun" w:hAnsi="SimSun" w:cs="SimSun"/>
              <w:spacing w:val="-36"/>
              <w:sz w:val="19"/>
              <w:szCs w:val="19"/>
            </w:rPr>
            <w:t xml:space="preserve"> </w:t>
          </w:r>
          <w:r>
            <w:rPr>
              <w:rFonts w:ascii="SimSun" w:eastAsia="SimSun" w:hAnsi="SimSun" w:cs="SimSun"/>
              <w:spacing w:val="6"/>
              <w:sz w:val="19"/>
              <w:szCs w:val="19"/>
            </w:rPr>
            <w:t>2</w:t>
          </w:r>
          <w:r>
            <w:rPr>
              <w:rFonts w:ascii="SimSun" w:eastAsia="SimSun" w:hAnsi="SimSun" w:cs="SimSun"/>
              <w:spacing w:val="-38"/>
              <w:sz w:val="19"/>
              <w:szCs w:val="19"/>
            </w:rPr>
            <w:t xml:space="preserve"> </w:t>
          </w:r>
          <w:r>
            <w:rPr>
              <w:rFonts w:ascii="SimSun" w:eastAsia="SimSun" w:hAnsi="SimSun" w:cs="SimSun"/>
              <w:spacing w:val="6"/>
              <w:sz w:val="19"/>
              <w:szCs w:val="19"/>
            </w:rPr>
            <w:t>9 :</w:t>
          </w:r>
          <w:r>
            <w:rPr>
              <w:rFonts w:ascii="SimSun" w:eastAsia="SimSun" w:hAnsi="SimSun" w:cs="SimSun"/>
              <w:spacing w:val="49"/>
              <w:sz w:val="19"/>
              <w:szCs w:val="19"/>
            </w:rPr>
            <w:t xml:space="preserve"> </w:t>
          </w:r>
          <w:r>
            <w:rPr>
              <w:rFonts w:ascii="Times New Roman" w:eastAsia="Times New Roman" w:hAnsi="Times New Roman" w:cs="Times New Roman"/>
              <w:sz w:val="19"/>
              <w:szCs w:val="19"/>
            </w:rPr>
            <w:t>NBIM</w:t>
          </w:r>
          <w:r>
            <w:rPr>
              <w:rFonts w:ascii="Times New Roman" w:eastAsia="Times New Roman" w:hAnsi="Times New Roman" w:cs="Times New Roman"/>
              <w:spacing w:val="24"/>
              <w:w w:val="101"/>
              <w:sz w:val="19"/>
              <w:szCs w:val="19"/>
            </w:rPr>
            <w:t xml:space="preserve"> </w:t>
          </w:r>
          <w:r>
            <w:rPr>
              <w:rFonts w:ascii="SimSun" w:eastAsia="SimSun" w:hAnsi="SimSun" w:cs="SimSun"/>
              <w:spacing w:val="6"/>
              <w:sz w:val="19"/>
              <w:szCs w:val="19"/>
            </w:rPr>
            <w:t>平均每年中止</w:t>
          </w:r>
          <w:r>
            <w:rPr>
              <w:rFonts w:ascii="SimSun" w:eastAsia="SimSun" w:hAnsi="SimSun" w:cs="SimSun"/>
              <w:spacing w:val="42"/>
              <w:sz w:val="19"/>
              <w:szCs w:val="19"/>
            </w:rPr>
            <w:t xml:space="preserve"> </w:t>
          </w:r>
          <w:r>
            <w:rPr>
              <w:rFonts w:ascii="SimSun" w:eastAsia="SimSun" w:hAnsi="SimSun" w:cs="SimSun"/>
              <w:spacing w:val="6"/>
              <w:sz w:val="19"/>
              <w:szCs w:val="19"/>
            </w:rPr>
            <w:t>11项委托管理人合作项目，主因战略调整和缺乏对管理人</w:t>
          </w:r>
          <w:r>
            <w:rPr>
              <w:rFonts w:ascii="SimSun" w:eastAsia="SimSun" w:hAnsi="SimSun" w:cs="SimSun"/>
              <w:spacing w:val="5"/>
              <w:sz w:val="19"/>
              <w:szCs w:val="19"/>
            </w:rPr>
            <w:t>投资回报信任</w:t>
          </w:r>
          <w:r>
            <w:rPr>
              <w:rFonts w:ascii="SimSun" w:eastAsia="SimSun" w:hAnsi="SimSun" w:cs="SimSun"/>
              <w:spacing w:val="-74"/>
              <w:sz w:val="19"/>
              <w:szCs w:val="19"/>
            </w:rPr>
            <w:t xml:space="preserve"> </w:t>
          </w:r>
          <w:r>
            <w:rPr>
              <w:rFonts w:ascii="SimSun" w:eastAsia="SimSun" w:hAnsi="SimSun" w:cs="SimSun"/>
              <w:sz w:val="19"/>
              <w:szCs w:val="19"/>
            </w:rPr>
            <w:tab/>
          </w:r>
          <w:r>
            <w:rPr>
              <w:rFonts w:ascii="SimSun" w:eastAsia="SimSun" w:hAnsi="SimSun" w:cs="SimSun"/>
              <w:spacing w:val="-63"/>
              <w:sz w:val="19"/>
              <w:szCs w:val="19"/>
            </w:rPr>
            <w:t xml:space="preserve"> </w:t>
          </w:r>
          <w:hyperlink w:anchor="bookmark45" w:history="1">
            <w:r>
              <w:rPr>
                <w:rFonts w:ascii="Times New Roman" w:eastAsia="Times New Roman" w:hAnsi="Times New Roman" w:cs="Times New Roman"/>
                <w:spacing w:val="-1"/>
                <w:sz w:val="19"/>
                <w:szCs w:val="19"/>
              </w:rPr>
              <w:t>20</w:t>
            </w:r>
          </w:hyperlink>
        </w:p>
        <w:p>
          <w:pPr>
            <w:tabs>
              <w:tab w:val="right" w:leader="dot" w:pos="10395"/>
            </w:tabs>
            <w:spacing w:before="85" w:line="219" w:lineRule="auto"/>
            <w:rPr>
              <w:rFonts w:ascii="Times New Roman" w:eastAsia="Times New Roman" w:hAnsi="Times New Roman" w:cs="Times New Roman"/>
              <w:sz w:val="19"/>
              <w:szCs w:val="19"/>
            </w:rPr>
          </w:pPr>
          <w:r>
            <w:rPr>
              <w:rFonts w:ascii="SimSun" w:eastAsia="SimSun" w:hAnsi="SimSun" w:cs="SimSun"/>
              <w:color w:val="0064C8"/>
              <w:spacing w:val="7"/>
              <w:sz w:val="19"/>
              <w:szCs w:val="19"/>
            </w:rPr>
            <w:t>图</w:t>
          </w:r>
          <w:r>
            <w:rPr>
              <w:rFonts w:ascii="SimSun" w:eastAsia="SimSun" w:hAnsi="SimSun" w:cs="SimSun"/>
              <w:color w:val="0064C8"/>
              <w:spacing w:val="-30"/>
              <w:sz w:val="19"/>
              <w:szCs w:val="19"/>
            </w:rPr>
            <w:t xml:space="preserve"> </w:t>
          </w:r>
          <w:r>
            <w:rPr>
              <w:rFonts w:ascii="SimSun" w:eastAsia="SimSun" w:hAnsi="SimSun" w:cs="SimSun"/>
              <w:color w:val="0064C8"/>
              <w:spacing w:val="7"/>
              <w:sz w:val="19"/>
              <w:szCs w:val="19"/>
            </w:rPr>
            <w:t>3</w:t>
          </w:r>
          <w:r>
            <w:rPr>
              <w:rFonts w:ascii="SimSun" w:eastAsia="SimSun" w:hAnsi="SimSun" w:cs="SimSun"/>
              <w:color w:val="0064C8"/>
              <w:spacing w:val="-32"/>
              <w:sz w:val="19"/>
              <w:szCs w:val="19"/>
            </w:rPr>
            <w:t xml:space="preserve"> </w:t>
          </w:r>
          <w:r>
            <w:rPr>
              <w:rFonts w:ascii="SimSun" w:eastAsia="SimSun" w:hAnsi="SimSun" w:cs="SimSun"/>
              <w:color w:val="0064C8"/>
              <w:spacing w:val="7"/>
              <w:sz w:val="19"/>
              <w:szCs w:val="19"/>
            </w:rPr>
            <w:t>0 :</w:t>
          </w:r>
          <w:r>
            <w:rPr>
              <w:rFonts w:ascii="SimSun" w:eastAsia="SimSun" w:hAnsi="SimSun" w:cs="SimSun"/>
              <w:color w:val="0064C8"/>
              <w:spacing w:val="54"/>
              <w:sz w:val="19"/>
              <w:szCs w:val="19"/>
            </w:rPr>
            <w:t xml:space="preserve"> </w:t>
          </w:r>
          <w:r>
            <w:rPr>
              <w:rFonts w:ascii="SimSun" w:eastAsia="SimSun" w:hAnsi="SimSun" w:cs="SimSun"/>
              <w:color w:val="0064C8"/>
              <w:spacing w:val="7"/>
              <w:sz w:val="19"/>
              <w:szCs w:val="19"/>
            </w:rPr>
            <w:t>管理人数量按投资方向分类看，管理人从特定的欧美区域投资逐步转向为新兴市</w:t>
          </w:r>
          <w:r>
            <w:rPr>
              <w:rFonts w:ascii="SimSun" w:eastAsia="SimSun" w:hAnsi="SimSun" w:cs="SimSun"/>
              <w:color w:val="0064C8"/>
              <w:spacing w:val="6"/>
              <w:sz w:val="19"/>
              <w:szCs w:val="19"/>
            </w:rPr>
            <w:t>场和小盘股方向</w:t>
          </w:r>
          <w:r>
            <w:rPr>
              <w:rFonts w:ascii="SimSun" w:eastAsia="SimSun" w:hAnsi="SimSun" w:cs="SimSun"/>
              <w:color w:val="0064C8"/>
              <w:spacing w:val="-85"/>
              <w:sz w:val="19"/>
              <w:szCs w:val="19"/>
            </w:rPr>
            <w:t xml:space="preserve"> </w:t>
          </w:r>
          <w:r>
            <w:rPr>
              <w:rFonts w:ascii="SimSun" w:eastAsia="SimSun" w:hAnsi="SimSun" w:cs="SimSun"/>
              <w:sz w:val="19"/>
              <w:szCs w:val="19"/>
            </w:rPr>
            <w:tab/>
          </w:r>
          <w:hyperlink w:anchor="bookmark46" w:history="1">
            <w:r>
              <w:rPr>
                <w:rFonts w:ascii="Times New Roman" w:eastAsia="Times New Roman" w:hAnsi="Times New Roman" w:cs="Times New Roman"/>
                <w:color w:val="0064C8"/>
                <w:spacing w:val="3"/>
                <w:sz w:val="19"/>
                <w:szCs w:val="19"/>
              </w:rPr>
              <w:t>21</w:t>
            </w:r>
          </w:hyperlink>
        </w:p>
        <w:p>
          <w:pPr>
            <w:tabs>
              <w:tab w:val="right" w:leader="dot" w:pos="10385"/>
            </w:tabs>
            <w:spacing w:before="54" w:line="219" w:lineRule="auto"/>
            <w:rPr>
              <w:rFonts w:ascii="Times New Roman" w:eastAsia="Times New Roman" w:hAnsi="Times New Roman" w:cs="Times New Roman"/>
              <w:sz w:val="19"/>
              <w:szCs w:val="19"/>
            </w:rPr>
          </w:pPr>
          <w:r>
            <w:rPr>
              <w:rFonts w:ascii="SimSun" w:eastAsia="SimSun" w:hAnsi="SimSun" w:cs="SimSun"/>
              <w:spacing w:val="11"/>
              <w:sz w:val="19"/>
              <w:szCs w:val="19"/>
            </w:rPr>
            <w:t>图31:</w:t>
          </w:r>
          <w:r>
            <w:rPr>
              <w:rFonts w:ascii="SimSun" w:eastAsia="SimSun" w:hAnsi="SimSun" w:cs="SimSun"/>
              <w:spacing w:val="96"/>
              <w:sz w:val="19"/>
              <w:szCs w:val="19"/>
            </w:rPr>
            <w:t xml:space="preserve"> </w:t>
          </w:r>
          <w:r>
            <w:rPr>
              <w:rFonts w:ascii="SimSun" w:eastAsia="SimSun" w:hAnsi="SimSun" w:cs="SimSun"/>
              <w:spacing w:val="11"/>
              <w:sz w:val="19"/>
              <w:szCs w:val="19"/>
            </w:rPr>
            <w:t>管理人规模按投资方向分类看，管理规模从特定区域和行业转向新兴市场和小盘股方向</w:t>
          </w:r>
          <w:r>
            <w:rPr>
              <w:rFonts w:ascii="SimSun" w:eastAsia="SimSun" w:hAnsi="SimSun" w:cs="SimSun"/>
              <w:spacing w:val="-84"/>
              <w:sz w:val="19"/>
              <w:szCs w:val="19"/>
            </w:rPr>
            <w:t xml:space="preserve"> </w:t>
          </w:r>
          <w:r>
            <w:rPr>
              <w:rFonts w:ascii="SimSun" w:eastAsia="SimSun" w:hAnsi="SimSun" w:cs="SimSun"/>
              <w:sz w:val="19"/>
              <w:szCs w:val="19"/>
            </w:rPr>
            <w:tab/>
          </w:r>
          <w:hyperlink w:anchor="bookmark47" w:history="1">
            <w:r>
              <w:rPr>
                <w:rFonts w:ascii="Times New Roman" w:eastAsia="Times New Roman" w:hAnsi="Times New Roman" w:cs="Times New Roman"/>
                <w:spacing w:val="3"/>
                <w:sz w:val="19"/>
                <w:szCs w:val="19"/>
              </w:rPr>
              <w:t>21</w:t>
            </w:r>
          </w:hyperlink>
        </w:p>
        <w:p>
          <w:pPr>
            <w:tabs>
              <w:tab w:val="right" w:leader="dot" w:pos="10385"/>
            </w:tabs>
            <w:spacing w:before="85" w:line="219" w:lineRule="auto"/>
            <w:rPr>
              <w:rFonts w:ascii="Times New Roman" w:eastAsia="Times New Roman" w:hAnsi="Times New Roman" w:cs="Times New Roman"/>
              <w:sz w:val="19"/>
              <w:szCs w:val="19"/>
            </w:rPr>
          </w:pPr>
          <w:r>
            <w:rPr>
              <w:rFonts w:ascii="SimSun" w:eastAsia="SimSun" w:hAnsi="SimSun" w:cs="SimSun"/>
              <w:spacing w:val="8"/>
              <w:sz w:val="19"/>
              <w:szCs w:val="19"/>
            </w:rPr>
            <w:t>图 32:  管理人数量按管理人类型分，私营资产管</w:t>
          </w:r>
          <w:r>
            <w:rPr>
              <w:rFonts w:ascii="SimSun" w:eastAsia="SimSun" w:hAnsi="SimSun" w:cs="SimSun"/>
              <w:spacing w:val="7"/>
              <w:sz w:val="19"/>
              <w:szCs w:val="19"/>
            </w:rPr>
            <w:t>理公司为主而保险、银行相对较少</w:t>
          </w:r>
          <w:r>
            <w:rPr>
              <w:rFonts w:ascii="SimSun" w:eastAsia="SimSun" w:hAnsi="SimSun" w:cs="SimSun"/>
              <w:spacing w:val="-81"/>
              <w:sz w:val="19"/>
              <w:szCs w:val="19"/>
            </w:rPr>
            <w:t xml:space="preserve"> </w:t>
          </w:r>
          <w:r>
            <w:rPr>
              <w:rFonts w:ascii="SimSun" w:eastAsia="SimSun" w:hAnsi="SimSun" w:cs="SimSun"/>
              <w:sz w:val="19"/>
              <w:szCs w:val="19"/>
            </w:rPr>
            <w:tab/>
          </w:r>
          <w:hyperlink w:anchor="bookmark48" w:history="1">
            <w:r>
              <w:rPr>
                <w:rFonts w:ascii="Times New Roman" w:eastAsia="Times New Roman" w:hAnsi="Times New Roman" w:cs="Times New Roman"/>
                <w:spacing w:val="9"/>
                <w:sz w:val="19"/>
                <w:szCs w:val="19"/>
              </w:rPr>
              <w:t>21</w:t>
            </w:r>
          </w:hyperlink>
        </w:p>
        <w:p>
          <w:pPr>
            <w:tabs>
              <w:tab w:val="right" w:leader="dot" w:pos="10385"/>
            </w:tabs>
            <w:spacing w:before="104" w:line="219" w:lineRule="auto"/>
            <w:rPr>
              <w:rFonts w:ascii="Times New Roman" w:eastAsia="Times New Roman" w:hAnsi="Times New Roman" w:cs="Times New Roman"/>
              <w:sz w:val="19"/>
              <w:szCs w:val="19"/>
            </w:rPr>
          </w:pPr>
          <w:r>
            <w:rPr>
              <w:rFonts w:ascii="SimSun" w:eastAsia="SimSun" w:hAnsi="SimSun" w:cs="SimSun"/>
              <w:spacing w:val="11"/>
              <w:sz w:val="19"/>
              <w:szCs w:val="19"/>
            </w:rPr>
            <w:t>图33:</w:t>
          </w:r>
          <w:r>
            <w:rPr>
              <w:rFonts w:ascii="SimSun" w:eastAsia="SimSun" w:hAnsi="SimSun" w:cs="SimSun"/>
              <w:spacing w:val="88"/>
              <w:sz w:val="19"/>
              <w:szCs w:val="19"/>
            </w:rPr>
            <w:t xml:space="preserve"> </w:t>
          </w:r>
          <w:r>
            <w:rPr>
              <w:rFonts w:ascii="SimSun" w:eastAsia="SimSun" w:hAnsi="SimSun" w:cs="SimSun"/>
              <w:spacing w:val="11"/>
              <w:sz w:val="19"/>
              <w:szCs w:val="19"/>
            </w:rPr>
            <w:t>管理规模按管理人类型分，私营资产管理公司掌握更多委托资产</w:t>
          </w:r>
          <w:r>
            <w:rPr>
              <w:rFonts w:ascii="SimSun" w:eastAsia="SimSun" w:hAnsi="SimSun" w:cs="SimSun"/>
              <w:spacing w:val="-76"/>
              <w:sz w:val="19"/>
              <w:szCs w:val="19"/>
            </w:rPr>
            <w:t xml:space="preserve"> </w:t>
          </w:r>
          <w:r>
            <w:rPr>
              <w:rFonts w:ascii="SimSun" w:eastAsia="SimSun" w:hAnsi="SimSun" w:cs="SimSun"/>
              <w:sz w:val="19"/>
              <w:szCs w:val="19"/>
            </w:rPr>
            <w:tab/>
          </w:r>
          <w:r>
            <w:rPr>
              <w:rFonts w:ascii="SimSun" w:eastAsia="SimSun" w:hAnsi="SimSun" w:cs="SimSun"/>
              <w:spacing w:val="-23"/>
              <w:sz w:val="19"/>
              <w:szCs w:val="19"/>
            </w:rPr>
            <w:t xml:space="preserve"> </w:t>
          </w:r>
          <w:hyperlink w:anchor="bookmark49" w:history="1">
            <w:r>
              <w:rPr>
                <w:rFonts w:ascii="Times New Roman" w:eastAsia="Times New Roman" w:hAnsi="Times New Roman" w:cs="Times New Roman"/>
                <w:spacing w:val="-1"/>
                <w:sz w:val="19"/>
                <w:szCs w:val="19"/>
              </w:rPr>
              <w:t>21</w:t>
            </w:r>
          </w:hyperlink>
        </w:p>
        <w:p>
          <w:pPr>
            <w:tabs>
              <w:tab w:val="right" w:leader="dot" w:pos="10375"/>
            </w:tabs>
            <w:spacing w:before="95" w:line="219" w:lineRule="auto"/>
            <w:rPr>
              <w:rFonts w:ascii="Times New Roman" w:eastAsia="Times New Roman" w:hAnsi="Times New Roman" w:cs="Times New Roman"/>
              <w:sz w:val="19"/>
              <w:szCs w:val="19"/>
            </w:rPr>
          </w:pPr>
          <w:r>
            <w:rPr>
              <w:rFonts w:ascii="SimSun" w:eastAsia="SimSun" w:hAnsi="SimSun" w:cs="SimSun"/>
              <w:spacing w:val="5"/>
              <w:sz w:val="19"/>
              <w:szCs w:val="19"/>
            </w:rPr>
            <w:t>图</w:t>
          </w:r>
          <w:r>
            <w:rPr>
              <w:rFonts w:ascii="SimSun" w:eastAsia="SimSun" w:hAnsi="SimSun" w:cs="SimSun"/>
              <w:spacing w:val="-23"/>
              <w:sz w:val="19"/>
              <w:szCs w:val="19"/>
            </w:rPr>
            <w:t xml:space="preserve"> </w:t>
          </w:r>
          <w:r>
            <w:rPr>
              <w:rFonts w:ascii="SimSun" w:eastAsia="SimSun" w:hAnsi="SimSun" w:cs="SimSun"/>
              <w:spacing w:val="5"/>
              <w:sz w:val="19"/>
              <w:szCs w:val="19"/>
            </w:rPr>
            <w:t>3</w:t>
          </w:r>
          <w:r>
            <w:rPr>
              <w:rFonts w:ascii="SimSun" w:eastAsia="SimSun" w:hAnsi="SimSun" w:cs="SimSun"/>
              <w:spacing w:val="-42"/>
              <w:sz w:val="19"/>
              <w:szCs w:val="19"/>
            </w:rPr>
            <w:t xml:space="preserve"> </w:t>
          </w:r>
          <w:r>
            <w:rPr>
              <w:rFonts w:ascii="SimSun" w:eastAsia="SimSun" w:hAnsi="SimSun" w:cs="SimSun"/>
              <w:spacing w:val="5"/>
              <w:sz w:val="19"/>
              <w:szCs w:val="19"/>
            </w:rPr>
            <w:t>4 :</w:t>
          </w:r>
          <w:r>
            <w:rPr>
              <w:rFonts w:ascii="SimSun" w:eastAsia="SimSun" w:hAnsi="SimSun" w:cs="SimSun"/>
              <w:spacing w:val="57"/>
              <w:sz w:val="19"/>
              <w:szCs w:val="19"/>
            </w:rPr>
            <w:t xml:space="preserve"> </w:t>
          </w:r>
          <w:r>
            <w:rPr>
              <w:rFonts w:ascii="SimSun" w:eastAsia="SimSun" w:hAnsi="SimSun" w:cs="SimSun"/>
              <w:spacing w:val="5"/>
              <w:sz w:val="19"/>
              <w:szCs w:val="19"/>
            </w:rPr>
            <w:t>管理人数量按管理人规模分类，小型规模管理人占比逐步提高</w:t>
          </w:r>
          <w:r>
            <w:rPr>
              <w:rFonts w:ascii="SimSun" w:eastAsia="SimSun" w:hAnsi="SimSun" w:cs="SimSun"/>
              <w:spacing w:val="-73"/>
              <w:sz w:val="19"/>
              <w:szCs w:val="19"/>
            </w:rPr>
            <w:t xml:space="preserve"> </w:t>
          </w:r>
          <w:r>
            <w:rPr>
              <w:rFonts w:ascii="SimSun" w:eastAsia="SimSun" w:hAnsi="SimSun" w:cs="SimSun"/>
              <w:sz w:val="19"/>
              <w:szCs w:val="19"/>
            </w:rPr>
            <w:tab/>
          </w:r>
          <w:r>
            <w:rPr>
              <w:rFonts w:ascii="SimSun" w:eastAsia="SimSun" w:hAnsi="SimSun" w:cs="SimSun"/>
              <w:spacing w:val="-33"/>
              <w:sz w:val="19"/>
              <w:szCs w:val="19"/>
            </w:rPr>
            <w:t xml:space="preserve"> </w:t>
          </w:r>
          <w:hyperlink w:anchor="bookmark50" w:history="1">
            <w:r>
              <w:rPr>
                <w:rFonts w:ascii="Times New Roman" w:eastAsia="Times New Roman" w:hAnsi="Times New Roman" w:cs="Times New Roman"/>
                <w:spacing w:val="-1"/>
                <w:sz w:val="19"/>
                <w:szCs w:val="19"/>
              </w:rPr>
              <w:t>22</w:t>
            </w:r>
          </w:hyperlink>
        </w:p>
        <w:p>
          <w:pPr>
            <w:tabs>
              <w:tab w:val="right" w:leader="dot" w:pos="10385"/>
            </w:tabs>
            <w:spacing w:before="95" w:line="219" w:lineRule="auto"/>
            <w:rPr>
              <w:rFonts w:ascii="Times New Roman" w:eastAsia="Times New Roman" w:hAnsi="Times New Roman" w:cs="Times New Roman"/>
              <w:sz w:val="19"/>
              <w:szCs w:val="19"/>
            </w:rPr>
          </w:pPr>
          <w:r>
            <w:rPr>
              <w:rFonts w:ascii="SimSun" w:eastAsia="SimSun" w:hAnsi="SimSun" w:cs="SimSun"/>
              <w:spacing w:val="7"/>
              <w:sz w:val="19"/>
              <w:szCs w:val="19"/>
            </w:rPr>
            <w:t>图</w:t>
          </w:r>
          <w:r>
            <w:rPr>
              <w:rFonts w:ascii="SimSun" w:eastAsia="SimSun" w:hAnsi="SimSun" w:cs="SimSun"/>
              <w:spacing w:val="-32"/>
              <w:sz w:val="19"/>
              <w:szCs w:val="19"/>
            </w:rPr>
            <w:t xml:space="preserve"> </w:t>
          </w:r>
          <w:r>
            <w:rPr>
              <w:rFonts w:ascii="SimSun" w:eastAsia="SimSun" w:hAnsi="SimSun" w:cs="SimSun"/>
              <w:spacing w:val="7"/>
              <w:sz w:val="19"/>
              <w:szCs w:val="19"/>
            </w:rPr>
            <w:t>3</w:t>
          </w:r>
          <w:r>
            <w:rPr>
              <w:rFonts w:ascii="SimSun" w:eastAsia="SimSun" w:hAnsi="SimSun" w:cs="SimSun"/>
              <w:spacing w:val="-32"/>
              <w:sz w:val="19"/>
              <w:szCs w:val="19"/>
            </w:rPr>
            <w:t xml:space="preserve"> </w:t>
          </w:r>
          <w:r>
            <w:rPr>
              <w:rFonts w:ascii="SimSun" w:eastAsia="SimSun" w:hAnsi="SimSun" w:cs="SimSun"/>
              <w:spacing w:val="7"/>
              <w:sz w:val="19"/>
              <w:szCs w:val="19"/>
            </w:rPr>
            <w:t>5 :</w:t>
          </w:r>
          <w:r>
            <w:rPr>
              <w:rFonts w:ascii="SimSun" w:eastAsia="SimSun" w:hAnsi="SimSun" w:cs="SimSun"/>
              <w:spacing w:val="51"/>
              <w:sz w:val="19"/>
              <w:szCs w:val="19"/>
            </w:rPr>
            <w:t xml:space="preserve"> </w:t>
          </w:r>
          <w:r>
            <w:rPr>
              <w:rFonts w:ascii="SimSun" w:eastAsia="SimSun" w:hAnsi="SimSun" w:cs="SimSun"/>
              <w:spacing w:val="7"/>
              <w:sz w:val="19"/>
              <w:szCs w:val="19"/>
            </w:rPr>
            <w:t>委托管理规模按管理人自身体量来看，小型外部管理人受托</w:t>
          </w:r>
          <w:r>
            <w:rPr>
              <w:rFonts w:ascii="SimSun" w:eastAsia="SimSun" w:hAnsi="SimSun" w:cs="SimSun"/>
              <w:spacing w:val="6"/>
              <w:sz w:val="19"/>
              <w:szCs w:val="19"/>
            </w:rPr>
            <w:t>更多资产，市场集中度较低</w:t>
          </w:r>
          <w:r>
            <w:rPr>
              <w:rFonts w:ascii="SimSun" w:eastAsia="SimSun" w:hAnsi="SimSun" w:cs="SimSun"/>
              <w:spacing w:val="-77"/>
              <w:sz w:val="19"/>
              <w:szCs w:val="19"/>
            </w:rPr>
            <w:t xml:space="preserve"> </w:t>
          </w:r>
          <w:r>
            <w:rPr>
              <w:rFonts w:ascii="SimSun" w:eastAsia="SimSun" w:hAnsi="SimSun" w:cs="SimSun"/>
              <w:sz w:val="19"/>
              <w:szCs w:val="19"/>
            </w:rPr>
            <w:tab/>
          </w:r>
          <w:hyperlink w:anchor="bookmark51" w:history="1">
            <w:r>
              <w:rPr>
                <w:rFonts w:ascii="Times New Roman" w:eastAsia="Times New Roman" w:hAnsi="Times New Roman" w:cs="Times New Roman"/>
                <w:spacing w:val="3"/>
                <w:sz w:val="19"/>
                <w:szCs w:val="19"/>
              </w:rPr>
              <w:t>22</w:t>
            </w:r>
          </w:hyperlink>
        </w:p>
        <w:p>
          <w:pPr>
            <w:tabs>
              <w:tab w:val="right" w:leader="dot" w:pos="10375"/>
            </w:tabs>
            <w:spacing w:before="74" w:line="219" w:lineRule="auto"/>
            <w:rPr>
              <w:rFonts w:ascii="Times New Roman" w:eastAsia="Times New Roman" w:hAnsi="Times New Roman" w:cs="Times New Roman"/>
              <w:sz w:val="19"/>
              <w:szCs w:val="19"/>
            </w:rPr>
          </w:pPr>
          <w:r>
            <w:rPr>
              <w:rFonts w:ascii="SimSun" w:eastAsia="SimSun" w:hAnsi="SimSun" w:cs="SimSun"/>
              <w:spacing w:val="6"/>
              <w:sz w:val="19"/>
              <w:szCs w:val="19"/>
            </w:rPr>
            <w:t>图</w:t>
          </w:r>
          <w:r>
            <w:rPr>
              <w:rFonts w:ascii="SimSun" w:eastAsia="SimSun" w:hAnsi="SimSun" w:cs="SimSun"/>
              <w:spacing w:val="-30"/>
              <w:sz w:val="19"/>
              <w:szCs w:val="19"/>
            </w:rPr>
            <w:t xml:space="preserve"> </w:t>
          </w:r>
          <w:r>
            <w:rPr>
              <w:rFonts w:ascii="SimSun" w:eastAsia="SimSun" w:hAnsi="SimSun" w:cs="SimSun"/>
              <w:spacing w:val="6"/>
              <w:sz w:val="19"/>
              <w:szCs w:val="19"/>
            </w:rPr>
            <w:t>3</w:t>
          </w:r>
          <w:r>
            <w:rPr>
              <w:rFonts w:ascii="SimSun" w:eastAsia="SimSun" w:hAnsi="SimSun" w:cs="SimSun"/>
              <w:spacing w:val="-40"/>
              <w:sz w:val="19"/>
              <w:szCs w:val="19"/>
            </w:rPr>
            <w:t xml:space="preserve"> </w:t>
          </w:r>
          <w:r>
            <w:rPr>
              <w:rFonts w:ascii="SimSun" w:eastAsia="SimSun" w:hAnsi="SimSun" w:cs="SimSun"/>
              <w:spacing w:val="6"/>
              <w:sz w:val="19"/>
              <w:szCs w:val="19"/>
            </w:rPr>
            <w:t>6 :</w:t>
          </w:r>
          <w:r>
            <w:rPr>
              <w:rFonts w:ascii="SimSun" w:eastAsia="SimSun" w:hAnsi="SimSun" w:cs="SimSun"/>
              <w:spacing w:val="57"/>
              <w:sz w:val="19"/>
              <w:szCs w:val="19"/>
            </w:rPr>
            <w:t xml:space="preserve"> </w:t>
          </w:r>
          <w:r>
            <w:rPr>
              <w:rFonts w:ascii="SimSun" w:eastAsia="SimSun" w:hAnsi="SimSun" w:cs="SimSun"/>
              <w:spacing w:val="6"/>
              <w:sz w:val="19"/>
              <w:szCs w:val="19"/>
            </w:rPr>
            <w:t>股东背景为私营的资产管理人平均相对回报率更高，贡献更多超额收益</w:t>
          </w:r>
          <w:r>
            <w:rPr>
              <w:rFonts w:ascii="SimSun" w:eastAsia="SimSun" w:hAnsi="SimSun" w:cs="SimSun"/>
              <w:spacing w:val="-74"/>
              <w:sz w:val="19"/>
              <w:szCs w:val="19"/>
            </w:rPr>
            <w:t xml:space="preserve"> </w:t>
          </w:r>
          <w:r>
            <w:rPr>
              <w:rFonts w:ascii="SimSun" w:eastAsia="SimSun" w:hAnsi="SimSun" w:cs="SimSun"/>
              <w:sz w:val="19"/>
              <w:szCs w:val="19"/>
            </w:rPr>
            <w:tab/>
          </w:r>
          <w:hyperlink w:anchor="bookmark52" w:history="1">
            <w:r>
              <w:rPr>
                <w:rFonts w:ascii="Times New Roman" w:eastAsia="Times New Roman" w:hAnsi="Times New Roman" w:cs="Times New Roman"/>
                <w:spacing w:val="4"/>
                <w:sz w:val="19"/>
                <w:szCs w:val="19"/>
              </w:rPr>
              <w:t>22</w:t>
            </w:r>
          </w:hyperlink>
        </w:p>
        <w:p>
          <w:pPr>
            <w:tabs>
              <w:tab w:val="right" w:leader="dot" w:pos="10375"/>
            </w:tabs>
            <w:spacing w:before="85" w:line="219" w:lineRule="auto"/>
            <w:rPr>
              <w:rFonts w:ascii="Times New Roman" w:eastAsia="Times New Roman" w:hAnsi="Times New Roman" w:cs="Times New Roman"/>
              <w:sz w:val="19"/>
              <w:szCs w:val="19"/>
            </w:rPr>
          </w:pPr>
          <w:r>
            <w:rPr>
              <w:rFonts w:ascii="SimSun" w:eastAsia="SimSun" w:hAnsi="SimSun" w:cs="SimSun"/>
              <w:spacing w:val="6"/>
              <w:sz w:val="19"/>
              <w:szCs w:val="19"/>
            </w:rPr>
            <w:t>图</w:t>
          </w:r>
          <w:r>
            <w:rPr>
              <w:rFonts w:ascii="SimSun" w:eastAsia="SimSun" w:hAnsi="SimSun" w:cs="SimSun"/>
              <w:spacing w:val="-24"/>
              <w:sz w:val="19"/>
              <w:szCs w:val="19"/>
            </w:rPr>
            <w:t xml:space="preserve"> </w:t>
          </w:r>
          <w:r>
            <w:rPr>
              <w:rFonts w:ascii="SimSun" w:eastAsia="SimSun" w:hAnsi="SimSun" w:cs="SimSun"/>
              <w:spacing w:val="6"/>
              <w:sz w:val="19"/>
              <w:szCs w:val="19"/>
            </w:rPr>
            <w:t>3</w:t>
          </w:r>
          <w:r>
            <w:rPr>
              <w:rFonts w:ascii="SimSun" w:eastAsia="SimSun" w:hAnsi="SimSun" w:cs="SimSun"/>
              <w:spacing w:val="-34"/>
              <w:sz w:val="19"/>
              <w:szCs w:val="19"/>
            </w:rPr>
            <w:t xml:space="preserve"> </w:t>
          </w:r>
          <w:r>
            <w:rPr>
              <w:rFonts w:ascii="SimSun" w:eastAsia="SimSun" w:hAnsi="SimSun" w:cs="SimSun"/>
              <w:spacing w:val="6"/>
              <w:sz w:val="19"/>
              <w:szCs w:val="19"/>
            </w:rPr>
            <w:t>7 :</w:t>
          </w:r>
          <w:r>
            <w:rPr>
              <w:rFonts w:ascii="SimSun" w:eastAsia="SimSun" w:hAnsi="SimSun" w:cs="SimSun"/>
              <w:spacing w:val="50"/>
              <w:sz w:val="19"/>
              <w:szCs w:val="19"/>
            </w:rPr>
            <w:t xml:space="preserve"> </w:t>
          </w:r>
          <w:r>
            <w:rPr>
              <w:rFonts w:ascii="SimSun" w:eastAsia="SimSun" w:hAnsi="SimSun" w:cs="SimSun"/>
              <w:spacing w:val="6"/>
              <w:sz w:val="19"/>
              <w:szCs w:val="19"/>
            </w:rPr>
            <w:t>资产管理规模中等的委托管理人相对回报率更高，超额收益贡献更多</w:t>
          </w:r>
          <w:r>
            <w:rPr>
              <w:rFonts w:ascii="SimSun" w:eastAsia="SimSun" w:hAnsi="SimSun" w:cs="SimSun"/>
              <w:spacing w:val="-83"/>
              <w:sz w:val="19"/>
              <w:szCs w:val="19"/>
            </w:rPr>
            <w:t xml:space="preserve"> </w:t>
          </w:r>
          <w:r>
            <w:rPr>
              <w:rFonts w:ascii="SimSun" w:eastAsia="SimSun" w:hAnsi="SimSun" w:cs="SimSun"/>
              <w:sz w:val="19"/>
              <w:szCs w:val="19"/>
            </w:rPr>
            <w:tab/>
          </w:r>
          <w:hyperlink w:anchor="bookmark53" w:history="1">
            <w:r>
              <w:rPr>
                <w:rFonts w:ascii="Times New Roman" w:eastAsia="Times New Roman" w:hAnsi="Times New Roman" w:cs="Times New Roman"/>
                <w:spacing w:val="9"/>
                <w:sz w:val="19"/>
                <w:szCs w:val="19"/>
              </w:rPr>
              <w:t>22</w:t>
            </w:r>
          </w:hyperlink>
        </w:p>
        <w:p>
          <w:pPr>
            <w:tabs>
              <w:tab w:val="right" w:leader="dot" w:pos="10385"/>
            </w:tabs>
            <w:spacing w:before="94" w:line="219" w:lineRule="auto"/>
            <w:rPr>
              <w:rFonts w:ascii="Times New Roman" w:eastAsia="Times New Roman" w:hAnsi="Times New Roman" w:cs="Times New Roman"/>
              <w:sz w:val="19"/>
              <w:szCs w:val="19"/>
            </w:rPr>
          </w:pPr>
          <w:r>
            <w:rPr>
              <w:rFonts w:ascii="SimSun" w:eastAsia="SimSun" w:hAnsi="SimSun" w:cs="SimSun"/>
              <w:spacing w:val="12"/>
              <w:sz w:val="19"/>
              <w:szCs w:val="19"/>
            </w:rPr>
            <w:t>图38:</w:t>
          </w:r>
          <w:r>
            <w:rPr>
              <w:rFonts w:ascii="SimSun" w:eastAsia="SimSun" w:hAnsi="SimSun" w:cs="SimSun"/>
              <w:spacing w:val="61"/>
              <w:sz w:val="19"/>
              <w:szCs w:val="19"/>
            </w:rPr>
            <w:t xml:space="preserve"> </w:t>
          </w:r>
          <w:r>
            <w:rPr>
              <w:rFonts w:ascii="SimSun" w:eastAsia="SimSun" w:hAnsi="SimSun" w:cs="SimSun"/>
              <w:spacing w:val="12"/>
              <w:sz w:val="19"/>
              <w:szCs w:val="19"/>
            </w:rPr>
            <w:t>委托管理人创造的超额回报明显覆盖支付的管理费用，且新兴市场投资</w:t>
          </w:r>
          <w:r>
            <w:rPr>
              <w:rFonts w:ascii="SimSun" w:eastAsia="SimSun" w:hAnsi="SimSun" w:cs="SimSun"/>
              <w:spacing w:val="11"/>
              <w:sz w:val="19"/>
              <w:szCs w:val="19"/>
            </w:rPr>
            <w:t>较多超额回报</w:t>
          </w:r>
          <w:r>
            <w:rPr>
              <w:rFonts w:ascii="SimSun" w:eastAsia="SimSun" w:hAnsi="SimSun" w:cs="SimSun"/>
              <w:spacing w:val="-73"/>
              <w:sz w:val="19"/>
              <w:szCs w:val="19"/>
            </w:rPr>
            <w:t xml:space="preserve"> </w:t>
          </w:r>
          <w:r>
            <w:rPr>
              <w:rFonts w:ascii="SimSun" w:eastAsia="SimSun" w:hAnsi="SimSun" w:cs="SimSun"/>
              <w:sz w:val="19"/>
              <w:szCs w:val="19"/>
            </w:rPr>
            <w:tab/>
          </w:r>
          <w:hyperlink w:anchor="bookmark54" w:history="1">
            <w:r>
              <w:rPr>
                <w:rFonts w:ascii="Times New Roman" w:eastAsia="Times New Roman" w:hAnsi="Times New Roman" w:cs="Times New Roman"/>
                <w:spacing w:val="3"/>
                <w:sz w:val="19"/>
                <w:szCs w:val="19"/>
              </w:rPr>
              <w:t>23</w:t>
            </w:r>
          </w:hyperlink>
        </w:p>
        <w:p>
          <w:pPr>
            <w:tabs>
              <w:tab w:val="right" w:leader="dot" w:pos="10385"/>
            </w:tabs>
            <w:spacing w:before="92" w:line="216" w:lineRule="auto"/>
            <w:rPr>
              <w:rFonts w:ascii="Times New Roman" w:eastAsia="Times New Roman" w:hAnsi="Times New Roman" w:cs="Times New Roman"/>
              <w:sz w:val="19"/>
              <w:szCs w:val="19"/>
            </w:rPr>
          </w:pPr>
          <w:r>
            <w:rPr>
              <w:rFonts w:ascii="SimSun" w:eastAsia="SimSun" w:hAnsi="SimSun" w:cs="SimSun"/>
              <w:spacing w:val="10"/>
              <w:sz w:val="19"/>
              <w:szCs w:val="19"/>
            </w:rPr>
            <w:t>图</w:t>
          </w:r>
          <w:r>
            <w:rPr>
              <w:rFonts w:ascii="SimSun" w:eastAsia="SimSun" w:hAnsi="SimSun" w:cs="SimSun"/>
              <w:spacing w:val="-37"/>
              <w:sz w:val="19"/>
              <w:szCs w:val="19"/>
            </w:rPr>
            <w:t xml:space="preserve"> </w:t>
          </w:r>
          <w:r>
            <w:rPr>
              <w:rFonts w:ascii="SimSun" w:eastAsia="SimSun" w:hAnsi="SimSun" w:cs="SimSun"/>
              <w:spacing w:val="10"/>
              <w:sz w:val="19"/>
              <w:szCs w:val="19"/>
            </w:rPr>
            <w:t>3</w:t>
          </w:r>
          <w:r>
            <w:rPr>
              <w:rFonts w:ascii="SimSun" w:eastAsia="SimSun" w:hAnsi="SimSun" w:cs="SimSun"/>
              <w:spacing w:val="-41"/>
              <w:sz w:val="19"/>
              <w:szCs w:val="19"/>
            </w:rPr>
            <w:t xml:space="preserve"> </w:t>
          </w:r>
          <w:r>
            <w:rPr>
              <w:rFonts w:ascii="SimSun" w:eastAsia="SimSun" w:hAnsi="SimSun" w:cs="SimSun"/>
              <w:spacing w:val="10"/>
              <w:sz w:val="19"/>
              <w:szCs w:val="19"/>
            </w:rPr>
            <w:t>9</w:t>
          </w:r>
          <w:r>
            <w:rPr>
              <w:rFonts w:ascii="SimSun" w:eastAsia="SimSun" w:hAnsi="SimSun" w:cs="SimSun"/>
              <w:spacing w:val="-12"/>
              <w:sz w:val="19"/>
              <w:szCs w:val="19"/>
            </w:rPr>
            <w:t xml:space="preserve"> </w:t>
          </w:r>
          <w:r>
            <w:rPr>
              <w:rFonts w:ascii="SimSun" w:eastAsia="SimSun" w:hAnsi="SimSun" w:cs="SimSun"/>
              <w:spacing w:val="10"/>
              <w:sz w:val="19"/>
              <w:szCs w:val="19"/>
            </w:rPr>
            <w:t>:</w:t>
          </w:r>
          <w:r>
            <w:rPr>
              <w:rFonts w:ascii="SimSun" w:eastAsia="SimSun" w:hAnsi="SimSun" w:cs="SimSun"/>
              <w:spacing w:val="56"/>
              <w:sz w:val="19"/>
              <w:szCs w:val="19"/>
            </w:rPr>
            <w:t xml:space="preserve"> </w:t>
          </w:r>
          <w:r>
            <w:rPr>
              <w:rFonts w:ascii="SimSun" w:eastAsia="SimSun" w:hAnsi="SimSun" w:cs="SimSun"/>
              <w:spacing w:val="10"/>
              <w:sz w:val="19"/>
              <w:szCs w:val="19"/>
            </w:rPr>
            <w:t>委托管理人的基本管理费率约为0.2%,</w:t>
          </w:r>
          <w:r>
            <w:rPr>
              <w:rFonts w:ascii="Times New Roman" w:eastAsia="Times New Roman" w:hAnsi="Times New Roman" w:cs="Times New Roman"/>
              <w:sz w:val="19"/>
              <w:szCs w:val="19"/>
            </w:rPr>
            <w:t>NBIM</w:t>
          </w:r>
          <w:r>
            <w:rPr>
              <w:rFonts w:ascii="Times New Roman" w:eastAsia="Times New Roman" w:hAnsi="Times New Roman" w:cs="Times New Roman"/>
              <w:spacing w:val="10"/>
              <w:sz w:val="19"/>
              <w:szCs w:val="19"/>
            </w:rPr>
            <w:t xml:space="preserve">  </w:t>
          </w:r>
          <w:r>
            <w:rPr>
              <w:rFonts w:ascii="SimSun" w:eastAsia="SimSun" w:hAnsi="SimSun" w:cs="SimSun"/>
              <w:spacing w:val="10"/>
              <w:sz w:val="19"/>
              <w:szCs w:val="19"/>
            </w:rPr>
            <w:t>向管理人支付高激</w:t>
          </w:r>
          <w:r>
            <w:rPr>
              <w:rFonts w:ascii="SimSun" w:eastAsia="SimSun" w:hAnsi="SimSun" w:cs="SimSun"/>
              <w:spacing w:val="9"/>
              <w:sz w:val="19"/>
              <w:szCs w:val="19"/>
            </w:rPr>
            <w:t>励的超额管理费</w:t>
          </w:r>
          <w:r>
            <w:rPr>
              <w:rFonts w:ascii="SimSun" w:eastAsia="SimSun" w:hAnsi="SimSun" w:cs="SimSun"/>
              <w:spacing w:val="-87"/>
              <w:sz w:val="19"/>
              <w:szCs w:val="19"/>
            </w:rPr>
            <w:t xml:space="preserve"> </w:t>
          </w:r>
          <w:r>
            <w:rPr>
              <w:rFonts w:ascii="SimSun" w:eastAsia="SimSun" w:hAnsi="SimSun" w:cs="SimSun"/>
              <w:sz w:val="19"/>
              <w:szCs w:val="19"/>
            </w:rPr>
            <w:tab/>
          </w:r>
          <w:hyperlink w:anchor="bookmark55" w:history="1">
            <w:r>
              <w:rPr>
                <w:rFonts w:ascii="Times New Roman" w:eastAsia="Times New Roman" w:hAnsi="Times New Roman" w:cs="Times New Roman"/>
                <w:spacing w:val="3"/>
                <w:sz w:val="19"/>
                <w:szCs w:val="19"/>
              </w:rPr>
              <w:t>23</w:t>
            </w:r>
          </w:hyperlink>
        </w:p>
        <w:p>
          <w:pPr>
            <w:tabs>
              <w:tab w:val="right" w:leader="dot" w:pos="10375"/>
            </w:tabs>
            <w:spacing w:before="79" w:line="219" w:lineRule="auto"/>
            <w:rPr>
              <w:rFonts w:ascii="Times New Roman" w:eastAsia="Times New Roman" w:hAnsi="Times New Roman" w:cs="Times New Roman"/>
              <w:sz w:val="19"/>
              <w:szCs w:val="19"/>
            </w:rPr>
          </w:pPr>
          <w:r>
            <w:rPr>
              <w:rFonts w:ascii="SimSun" w:eastAsia="SimSun" w:hAnsi="SimSun" w:cs="SimSun"/>
              <w:spacing w:val="12"/>
              <w:sz w:val="19"/>
              <w:szCs w:val="19"/>
            </w:rPr>
            <w:t>图</w:t>
          </w:r>
          <w:r>
            <w:rPr>
              <w:rFonts w:ascii="SimSun" w:eastAsia="SimSun" w:hAnsi="SimSun" w:cs="SimSun"/>
              <w:spacing w:val="-19"/>
              <w:sz w:val="19"/>
              <w:szCs w:val="19"/>
            </w:rPr>
            <w:t xml:space="preserve"> </w:t>
          </w:r>
          <w:r>
            <w:rPr>
              <w:rFonts w:ascii="SimSun" w:eastAsia="SimSun" w:hAnsi="SimSun" w:cs="SimSun"/>
              <w:spacing w:val="12"/>
              <w:sz w:val="19"/>
              <w:szCs w:val="19"/>
            </w:rPr>
            <w:t>4</w:t>
          </w:r>
          <w:r>
            <w:rPr>
              <w:rFonts w:ascii="SimSun" w:eastAsia="SimSun" w:hAnsi="SimSun" w:cs="SimSun"/>
              <w:spacing w:val="-34"/>
              <w:sz w:val="19"/>
              <w:szCs w:val="19"/>
            </w:rPr>
            <w:t xml:space="preserve"> </w:t>
          </w:r>
          <w:r>
            <w:rPr>
              <w:rFonts w:ascii="SimSun" w:eastAsia="SimSun" w:hAnsi="SimSun" w:cs="SimSun"/>
              <w:spacing w:val="12"/>
              <w:sz w:val="19"/>
              <w:szCs w:val="19"/>
            </w:rPr>
            <w:t>0 :</w:t>
          </w:r>
          <w:r>
            <w:rPr>
              <w:rFonts w:ascii="SimSun" w:eastAsia="SimSun" w:hAnsi="SimSun" w:cs="SimSun"/>
              <w:spacing w:val="51"/>
              <w:sz w:val="19"/>
              <w:szCs w:val="19"/>
            </w:rPr>
            <w:t xml:space="preserve"> </w:t>
          </w:r>
          <w:r>
            <w:rPr>
              <w:rFonts w:ascii="SimSun" w:eastAsia="SimSun" w:hAnsi="SimSun" w:cs="SimSun"/>
              <w:spacing w:val="12"/>
              <w:sz w:val="19"/>
              <w:szCs w:val="19"/>
            </w:rPr>
            <w:t>美国401(</w:t>
          </w:r>
          <w:r>
            <w:rPr>
              <w:rFonts w:ascii="Times New Roman" w:eastAsia="Times New Roman" w:hAnsi="Times New Roman" w:cs="Times New Roman"/>
              <w:spacing w:val="12"/>
              <w:sz w:val="19"/>
              <w:szCs w:val="19"/>
            </w:rPr>
            <w:t>K</w:t>
          </w:r>
          <w:r>
            <w:rPr>
              <w:rFonts w:ascii="SimSun" w:eastAsia="SimSun" w:hAnsi="SimSun" w:cs="SimSun"/>
              <w:spacing w:val="12"/>
              <w:sz w:val="19"/>
              <w:szCs w:val="19"/>
            </w:rPr>
            <w:t>)由记录管理者和投资管理者分别提供记录和投资服务</w:t>
          </w:r>
          <w:r>
            <w:rPr>
              <w:rFonts w:ascii="SimSun" w:eastAsia="SimSun" w:hAnsi="SimSun" w:cs="SimSun"/>
              <w:spacing w:val="-74"/>
              <w:sz w:val="19"/>
              <w:szCs w:val="19"/>
            </w:rPr>
            <w:t xml:space="preserve"> </w:t>
          </w:r>
          <w:r>
            <w:rPr>
              <w:rFonts w:ascii="SimSun" w:eastAsia="SimSun" w:hAnsi="SimSun" w:cs="SimSun"/>
              <w:sz w:val="19"/>
              <w:szCs w:val="19"/>
            </w:rPr>
            <w:tab/>
          </w:r>
          <w:hyperlink w:anchor="bookmark56" w:history="1">
            <w:r>
              <w:rPr>
                <w:rFonts w:ascii="Times New Roman" w:eastAsia="Times New Roman" w:hAnsi="Times New Roman" w:cs="Times New Roman"/>
                <w:spacing w:val="3"/>
                <w:sz w:val="19"/>
                <w:szCs w:val="19"/>
              </w:rPr>
              <w:t>23</w:t>
            </w:r>
          </w:hyperlink>
        </w:p>
        <w:p>
          <w:pPr>
            <w:tabs>
              <w:tab w:val="right" w:leader="dot" w:pos="10375"/>
            </w:tabs>
            <w:spacing w:before="66" w:line="219" w:lineRule="auto"/>
            <w:rPr>
              <w:rFonts w:ascii="Times New Roman" w:eastAsia="Times New Roman" w:hAnsi="Times New Roman" w:cs="Times New Roman"/>
              <w:sz w:val="19"/>
              <w:szCs w:val="19"/>
            </w:rPr>
          </w:pPr>
          <w:r>
            <w:rPr>
              <w:rFonts w:ascii="SimSun" w:eastAsia="SimSun" w:hAnsi="SimSun" w:cs="SimSun"/>
              <w:spacing w:val="22"/>
              <w:sz w:val="19"/>
              <w:szCs w:val="19"/>
            </w:rPr>
            <w:t>图41:</w:t>
          </w:r>
          <w:r>
            <w:rPr>
              <w:rFonts w:ascii="SimSun" w:eastAsia="SimSun" w:hAnsi="SimSun" w:cs="SimSun"/>
              <w:spacing w:val="89"/>
              <w:sz w:val="19"/>
              <w:szCs w:val="19"/>
            </w:rPr>
            <w:t xml:space="preserve"> </w:t>
          </w:r>
          <w:r>
            <w:rPr>
              <w:rFonts w:ascii="SimSun" w:eastAsia="SimSun" w:hAnsi="SimSun" w:cs="SimSun"/>
              <w:spacing w:val="22"/>
              <w:sz w:val="19"/>
              <w:szCs w:val="19"/>
            </w:rPr>
            <w:t>美国401(</w:t>
          </w:r>
          <w:r>
            <w:rPr>
              <w:rFonts w:ascii="Times New Roman" w:eastAsia="Times New Roman" w:hAnsi="Times New Roman" w:cs="Times New Roman"/>
              <w:spacing w:val="22"/>
              <w:sz w:val="19"/>
              <w:szCs w:val="19"/>
            </w:rPr>
            <w:t>K</w:t>
          </w:r>
          <w:r>
            <w:rPr>
              <w:rFonts w:ascii="Times New Roman" w:eastAsia="Times New Roman" w:hAnsi="Times New Roman" w:cs="Times New Roman"/>
              <w:spacing w:val="-3"/>
              <w:sz w:val="19"/>
              <w:szCs w:val="19"/>
            </w:rPr>
            <w:t xml:space="preserve"> </w:t>
          </w:r>
          <w:r>
            <w:rPr>
              <w:rFonts w:ascii="SimSun" w:eastAsia="SimSun" w:hAnsi="SimSun" w:cs="SimSun"/>
              <w:spacing w:val="22"/>
              <w:sz w:val="19"/>
              <w:szCs w:val="19"/>
            </w:rPr>
            <w:t>)账户资产中约60%投资于共同基金</w:t>
          </w:r>
          <w:r>
            <w:rPr>
              <w:rFonts w:ascii="SimSun" w:eastAsia="SimSun" w:hAnsi="SimSun" w:cs="SimSun"/>
              <w:spacing w:val="-73"/>
              <w:sz w:val="19"/>
              <w:szCs w:val="19"/>
            </w:rPr>
            <w:t xml:space="preserve"> </w:t>
          </w:r>
          <w:r>
            <w:rPr>
              <w:rFonts w:ascii="SimSun" w:eastAsia="SimSun" w:hAnsi="SimSun" w:cs="SimSun"/>
              <w:sz w:val="19"/>
              <w:szCs w:val="19"/>
            </w:rPr>
            <w:tab/>
          </w:r>
          <w:hyperlink w:anchor="bookmark57" w:history="1">
            <w:r>
              <w:rPr>
                <w:rFonts w:ascii="Times New Roman" w:eastAsia="Times New Roman" w:hAnsi="Times New Roman" w:cs="Times New Roman"/>
                <w:spacing w:val="-3"/>
                <w:sz w:val="19"/>
                <w:szCs w:val="19"/>
              </w:rPr>
              <w:t>24</w:t>
            </w:r>
          </w:hyperlink>
        </w:p>
        <w:p>
          <w:pPr>
            <w:tabs>
              <w:tab w:val="right" w:leader="dot" w:pos="10375"/>
            </w:tabs>
            <w:spacing w:before="104" w:line="219" w:lineRule="auto"/>
            <w:rPr>
              <w:rFonts w:ascii="Times New Roman" w:eastAsia="Times New Roman" w:hAnsi="Times New Roman" w:cs="Times New Roman"/>
              <w:sz w:val="19"/>
              <w:szCs w:val="19"/>
            </w:rPr>
          </w:pPr>
          <w:r>
            <w:rPr>
              <w:rFonts w:ascii="SimSun" w:eastAsia="SimSun" w:hAnsi="SimSun" w:cs="SimSun"/>
              <w:spacing w:val="19"/>
              <w:sz w:val="19"/>
              <w:szCs w:val="19"/>
            </w:rPr>
            <w:t>图42:</w:t>
          </w:r>
          <w:r>
            <w:rPr>
              <w:rFonts w:ascii="SimSun" w:eastAsia="SimSun" w:hAnsi="SimSun" w:cs="SimSun"/>
              <w:spacing w:val="62"/>
              <w:sz w:val="19"/>
              <w:szCs w:val="19"/>
            </w:rPr>
            <w:t xml:space="preserve"> </w:t>
          </w:r>
          <w:r>
            <w:rPr>
              <w:rFonts w:ascii="SimSun" w:eastAsia="SimSun" w:hAnsi="SimSun" w:cs="SimSun"/>
              <w:spacing w:val="19"/>
              <w:sz w:val="19"/>
              <w:szCs w:val="19"/>
            </w:rPr>
            <w:t>根据美国劳工局统计的401(</w:t>
          </w:r>
          <w:r>
            <w:rPr>
              <w:rFonts w:ascii="Times New Roman" w:eastAsia="Times New Roman" w:hAnsi="Times New Roman" w:cs="Times New Roman"/>
              <w:spacing w:val="19"/>
              <w:sz w:val="19"/>
              <w:szCs w:val="19"/>
            </w:rPr>
            <w:t>K</w:t>
          </w:r>
          <w:r>
            <w:rPr>
              <w:rFonts w:ascii="Times New Roman" w:eastAsia="Times New Roman" w:hAnsi="Times New Roman" w:cs="Times New Roman"/>
              <w:spacing w:val="-13"/>
              <w:sz w:val="19"/>
              <w:szCs w:val="19"/>
            </w:rPr>
            <w:t xml:space="preserve"> </w:t>
          </w:r>
          <w:r>
            <w:rPr>
              <w:rFonts w:ascii="SimSun" w:eastAsia="SimSun" w:hAnsi="SimSun" w:cs="SimSun"/>
              <w:spacing w:val="19"/>
              <w:sz w:val="19"/>
              <w:szCs w:val="19"/>
            </w:rPr>
            <w:t>)表单统计，私人养</w:t>
          </w:r>
          <w:r>
            <w:rPr>
              <w:rFonts w:ascii="SimSun" w:eastAsia="SimSun" w:hAnsi="SimSun" w:cs="SimSun"/>
              <w:spacing w:val="18"/>
              <w:sz w:val="19"/>
              <w:szCs w:val="19"/>
            </w:rPr>
            <w:t>老金运作机构约15000家</w:t>
          </w:r>
          <w:r>
            <w:rPr>
              <w:rFonts w:ascii="SimSun" w:eastAsia="SimSun" w:hAnsi="SimSun" w:cs="SimSun"/>
              <w:spacing w:val="-76"/>
              <w:sz w:val="19"/>
              <w:szCs w:val="19"/>
            </w:rPr>
            <w:t xml:space="preserve"> </w:t>
          </w:r>
          <w:r>
            <w:rPr>
              <w:rFonts w:ascii="SimSun" w:eastAsia="SimSun" w:hAnsi="SimSun" w:cs="SimSun"/>
              <w:sz w:val="19"/>
              <w:szCs w:val="19"/>
            </w:rPr>
            <w:tab/>
          </w:r>
          <w:r>
            <w:rPr>
              <w:rFonts w:ascii="SimSun" w:eastAsia="SimSun" w:hAnsi="SimSun" w:cs="SimSun"/>
              <w:spacing w:val="-23"/>
              <w:sz w:val="19"/>
              <w:szCs w:val="19"/>
            </w:rPr>
            <w:t xml:space="preserve"> </w:t>
          </w:r>
          <w:hyperlink w:anchor="bookmark58" w:history="1">
            <w:r>
              <w:rPr>
                <w:rFonts w:ascii="Times New Roman" w:eastAsia="Times New Roman" w:hAnsi="Times New Roman" w:cs="Times New Roman"/>
                <w:spacing w:val="-1"/>
                <w:sz w:val="19"/>
                <w:szCs w:val="19"/>
              </w:rPr>
              <w:t>24</w:t>
            </w:r>
          </w:hyperlink>
        </w:p>
        <w:p>
          <w:pPr>
            <w:tabs>
              <w:tab w:val="right" w:leader="dot" w:pos="10365"/>
            </w:tabs>
            <w:spacing w:before="76" w:line="219" w:lineRule="auto"/>
            <w:rPr>
              <w:rFonts w:ascii="Times New Roman" w:eastAsia="Times New Roman" w:hAnsi="Times New Roman" w:cs="Times New Roman"/>
              <w:sz w:val="19"/>
              <w:szCs w:val="19"/>
            </w:rPr>
          </w:pPr>
          <w:r>
            <w:rPr>
              <w:rFonts w:ascii="SimSun" w:eastAsia="SimSun" w:hAnsi="SimSun" w:cs="SimSun"/>
              <w:spacing w:val="5"/>
              <w:sz w:val="19"/>
              <w:szCs w:val="19"/>
            </w:rPr>
            <w:t>图</w:t>
          </w:r>
          <w:r>
            <w:rPr>
              <w:rFonts w:ascii="SimSun" w:eastAsia="SimSun" w:hAnsi="SimSun" w:cs="SimSun"/>
              <w:spacing w:val="-32"/>
              <w:sz w:val="19"/>
              <w:szCs w:val="19"/>
            </w:rPr>
            <w:t xml:space="preserve"> </w:t>
          </w:r>
          <w:r>
            <w:rPr>
              <w:rFonts w:ascii="SimSun" w:eastAsia="SimSun" w:hAnsi="SimSun" w:cs="SimSun"/>
              <w:spacing w:val="5"/>
              <w:sz w:val="19"/>
              <w:szCs w:val="19"/>
            </w:rPr>
            <w:t>4</w:t>
          </w:r>
          <w:r>
            <w:rPr>
              <w:rFonts w:ascii="SimSun" w:eastAsia="SimSun" w:hAnsi="SimSun" w:cs="SimSun"/>
              <w:spacing w:val="-27"/>
              <w:sz w:val="19"/>
              <w:szCs w:val="19"/>
            </w:rPr>
            <w:t xml:space="preserve"> </w:t>
          </w:r>
          <w:r>
            <w:rPr>
              <w:rFonts w:ascii="SimSun" w:eastAsia="SimSun" w:hAnsi="SimSun" w:cs="SimSun"/>
              <w:spacing w:val="5"/>
              <w:sz w:val="19"/>
              <w:szCs w:val="19"/>
            </w:rPr>
            <w:t>3 :</w:t>
          </w:r>
          <w:r>
            <w:rPr>
              <w:rFonts w:ascii="SimSun" w:eastAsia="SimSun" w:hAnsi="SimSun" w:cs="SimSun"/>
              <w:spacing w:val="-33"/>
              <w:sz w:val="19"/>
              <w:szCs w:val="19"/>
            </w:rPr>
            <w:t xml:space="preserve"> </w:t>
          </w:r>
          <w:r>
            <w:rPr>
              <w:rFonts w:ascii="SimSun" w:eastAsia="SimSun" w:hAnsi="SimSun" w:cs="SimSun"/>
              <w:spacing w:val="5"/>
              <w:sz w:val="19"/>
              <w:szCs w:val="19"/>
            </w:rPr>
            <w:t>4</w:t>
          </w:r>
          <w:r>
            <w:rPr>
              <w:rFonts w:ascii="SimSun" w:eastAsia="SimSun" w:hAnsi="SimSun" w:cs="SimSun"/>
              <w:spacing w:val="-30"/>
              <w:sz w:val="19"/>
              <w:szCs w:val="19"/>
            </w:rPr>
            <w:t xml:space="preserve"> </w:t>
          </w:r>
          <w:r>
            <w:rPr>
              <w:rFonts w:ascii="SimSun" w:eastAsia="SimSun" w:hAnsi="SimSun" w:cs="SimSun"/>
              <w:spacing w:val="5"/>
              <w:sz w:val="19"/>
              <w:szCs w:val="19"/>
            </w:rPr>
            <w:t>0</w:t>
          </w:r>
          <w:r>
            <w:rPr>
              <w:rFonts w:ascii="SimSun" w:eastAsia="SimSun" w:hAnsi="SimSun" w:cs="SimSun"/>
              <w:spacing w:val="-18"/>
              <w:sz w:val="19"/>
              <w:szCs w:val="19"/>
            </w:rPr>
            <w:t xml:space="preserve"> </w:t>
          </w:r>
          <w:r>
            <w:rPr>
              <w:rFonts w:ascii="SimSun" w:eastAsia="SimSun" w:hAnsi="SimSun" w:cs="SimSun"/>
              <w:spacing w:val="5"/>
              <w:sz w:val="19"/>
              <w:szCs w:val="19"/>
            </w:rPr>
            <w:t>1 (</w:t>
          </w:r>
          <w:r>
            <w:rPr>
              <w:rFonts w:ascii="SimSun" w:eastAsia="SimSun" w:hAnsi="SimSun" w:cs="SimSun"/>
              <w:spacing w:val="-35"/>
              <w:sz w:val="19"/>
              <w:szCs w:val="19"/>
            </w:rPr>
            <w:t xml:space="preserve"> </w:t>
          </w:r>
          <w:r>
            <w:rPr>
              <w:rFonts w:ascii="SimSun" w:eastAsia="SimSun" w:hAnsi="SimSun" w:cs="SimSun"/>
              <w:spacing w:val="5"/>
              <w:sz w:val="19"/>
              <w:szCs w:val="19"/>
            </w:rPr>
            <w:t>K</w:t>
          </w:r>
          <w:r>
            <w:rPr>
              <w:rFonts w:ascii="SimSun" w:eastAsia="SimSun" w:hAnsi="SimSun" w:cs="SimSun"/>
              <w:spacing w:val="-31"/>
              <w:sz w:val="19"/>
              <w:szCs w:val="19"/>
            </w:rPr>
            <w:t xml:space="preserve"> </w:t>
          </w:r>
          <w:r>
            <w:rPr>
              <w:rFonts w:ascii="SimSun" w:eastAsia="SimSun" w:hAnsi="SimSun" w:cs="SimSun"/>
              <w:spacing w:val="5"/>
              <w:sz w:val="19"/>
              <w:szCs w:val="19"/>
            </w:rPr>
            <w:t>)</w:t>
          </w:r>
          <w:r>
            <w:rPr>
              <w:rFonts w:ascii="SimSun" w:eastAsia="SimSun" w:hAnsi="SimSun" w:cs="SimSun"/>
              <w:spacing w:val="-36"/>
              <w:sz w:val="19"/>
              <w:szCs w:val="19"/>
            </w:rPr>
            <w:t xml:space="preserve"> </w:t>
          </w:r>
          <w:r>
            <w:rPr>
              <w:rFonts w:ascii="SimSun" w:eastAsia="SimSun" w:hAnsi="SimSun" w:cs="SimSun"/>
              <w:spacing w:val="5"/>
              <w:sz w:val="19"/>
              <w:szCs w:val="19"/>
            </w:rPr>
            <w:t>合同数量按委托管理人类型分，保险公司/资管公司占比49%/31%</w:t>
          </w:r>
          <w:r>
            <w:rPr>
              <w:rFonts w:ascii="SimSun" w:eastAsia="SimSun" w:hAnsi="SimSun" w:cs="SimSun"/>
              <w:spacing w:val="-69"/>
              <w:sz w:val="19"/>
              <w:szCs w:val="19"/>
            </w:rPr>
            <w:t xml:space="preserve"> </w:t>
          </w:r>
          <w:r>
            <w:rPr>
              <w:rFonts w:ascii="SimSun" w:eastAsia="SimSun" w:hAnsi="SimSun" w:cs="SimSun"/>
              <w:sz w:val="19"/>
              <w:szCs w:val="19"/>
            </w:rPr>
            <w:tab/>
          </w:r>
          <w:r>
            <w:rPr>
              <w:rFonts w:ascii="SimSun" w:eastAsia="SimSun" w:hAnsi="SimSun" w:cs="SimSun"/>
              <w:spacing w:val="-63"/>
              <w:sz w:val="19"/>
              <w:szCs w:val="19"/>
            </w:rPr>
            <w:t xml:space="preserve"> </w:t>
          </w:r>
          <w:hyperlink w:anchor="bookmark59" w:history="1">
            <w:r>
              <w:rPr>
                <w:rFonts w:ascii="Times New Roman" w:eastAsia="Times New Roman" w:hAnsi="Times New Roman" w:cs="Times New Roman"/>
                <w:spacing w:val="-1"/>
                <w:sz w:val="19"/>
                <w:szCs w:val="19"/>
              </w:rPr>
              <w:t>25</w:t>
            </w:r>
          </w:hyperlink>
        </w:p>
        <w:p>
          <w:pPr>
            <w:tabs>
              <w:tab w:val="right" w:leader="dot" w:pos="10365"/>
            </w:tabs>
            <w:spacing w:before="84" w:line="219" w:lineRule="auto"/>
            <w:rPr>
              <w:rFonts w:ascii="Times New Roman" w:eastAsia="Times New Roman" w:hAnsi="Times New Roman" w:cs="Times New Roman"/>
              <w:sz w:val="19"/>
              <w:szCs w:val="19"/>
            </w:rPr>
          </w:pPr>
          <w:r>
            <w:rPr>
              <w:rFonts w:ascii="SimSun" w:eastAsia="SimSun" w:hAnsi="SimSun" w:cs="SimSun"/>
              <w:spacing w:val="5"/>
              <w:sz w:val="19"/>
              <w:szCs w:val="19"/>
            </w:rPr>
            <w:t>图</w:t>
          </w:r>
          <w:r>
            <w:rPr>
              <w:rFonts w:ascii="SimSun" w:eastAsia="SimSun" w:hAnsi="SimSun" w:cs="SimSun"/>
              <w:spacing w:val="-27"/>
              <w:sz w:val="19"/>
              <w:szCs w:val="19"/>
            </w:rPr>
            <w:t xml:space="preserve"> </w:t>
          </w:r>
          <w:r>
            <w:rPr>
              <w:rFonts w:ascii="SimSun" w:eastAsia="SimSun" w:hAnsi="SimSun" w:cs="SimSun"/>
              <w:spacing w:val="5"/>
              <w:sz w:val="19"/>
              <w:szCs w:val="19"/>
            </w:rPr>
            <w:t>4</w:t>
          </w:r>
          <w:r>
            <w:rPr>
              <w:rFonts w:ascii="SimSun" w:eastAsia="SimSun" w:hAnsi="SimSun" w:cs="SimSun"/>
              <w:spacing w:val="-33"/>
              <w:sz w:val="19"/>
              <w:szCs w:val="19"/>
            </w:rPr>
            <w:t xml:space="preserve"> </w:t>
          </w:r>
          <w:r>
            <w:rPr>
              <w:rFonts w:ascii="SimSun" w:eastAsia="SimSun" w:hAnsi="SimSun" w:cs="SimSun"/>
              <w:spacing w:val="5"/>
              <w:sz w:val="19"/>
              <w:szCs w:val="19"/>
            </w:rPr>
            <w:t>4 :</w:t>
          </w:r>
          <w:r>
            <w:rPr>
              <w:rFonts w:ascii="SimSun" w:eastAsia="SimSun" w:hAnsi="SimSun" w:cs="SimSun"/>
              <w:spacing w:val="-32"/>
              <w:sz w:val="19"/>
              <w:szCs w:val="19"/>
            </w:rPr>
            <w:t xml:space="preserve"> </w:t>
          </w:r>
          <w:r>
            <w:rPr>
              <w:rFonts w:ascii="SimSun" w:eastAsia="SimSun" w:hAnsi="SimSun" w:cs="SimSun"/>
              <w:spacing w:val="5"/>
              <w:sz w:val="19"/>
              <w:szCs w:val="19"/>
            </w:rPr>
            <w:t>4</w:t>
          </w:r>
          <w:r>
            <w:rPr>
              <w:rFonts w:ascii="SimSun" w:eastAsia="SimSun" w:hAnsi="SimSun" w:cs="SimSun"/>
              <w:spacing w:val="-30"/>
              <w:sz w:val="19"/>
              <w:szCs w:val="19"/>
            </w:rPr>
            <w:t xml:space="preserve"> </w:t>
          </w:r>
          <w:r>
            <w:rPr>
              <w:rFonts w:ascii="SimSun" w:eastAsia="SimSun" w:hAnsi="SimSun" w:cs="SimSun"/>
              <w:spacing w:val="5"/>
              <w:sz w:val="19"/>
              <w:szCs w:val="19"/>
            </w:rPr>
            <w:t>0</w:t>
          </w:r>
          <w:r>
            <w:rPr>
              <w:rFonts w:ascii="SimSun" w:eastAsia="SimSun" w:hAnsi="SimSun" w:cs="SimSun"/>
              <w:spacing w:val="-18"/>
              <w:sz w:val="19"/>
              <w:szCs w:val="19"/>
            </w:rPr>
            <w:t xml:space="preserve"> </w:t>
          </w:r>
          <w:r>
            <w:rPr>
              <w:rFonts w:ascii="SimSun" w:eastAsia="SimSun" w:hAnsi="SimSun" w:cs="SimSun"/>
              <w:spacing w:val="5"/>
              <w:sz w:val="19"/>
              <w:szCs w:val="19"/>
            </w:rPr>
            <w:t>1 (</w:t>
          </w:r>
          <w:r>
            <w:rPr>
              <w:rFonts w:ascii="SimSun" w:eastAsia="SimSun" w:hAnsi="SimSun" w:cs="SimSun"/>
              <w:spacing w:val="-35"/>
              <w:sz w:val="19"/>
              <w:szCs w:val="19"/>
            </w:rPr>
            <w:t xml:space="preserve"> </w:t>
          </w:r>
          <w:r>
            <w:rPr>
              <w:rFonts w:ascii="SimSun" w:eastAsia="SimSun" w:hAnsi="SimSun" w:cs="SimSun"/>
              <w:spacing w:val="5"/>
              <w:sz w:val="19"/>
              <w:szCs w:val="19"/>
            </w:rPr>
            <w:t>K</w:t>
          </w:r>
          <w:r>
            <w:rPr>
              <w:rFonts w:ascii="SimSun" w:eastAsia="SimSun" w:hAnsi="SimSun" w:cs="SimSun"/>
              <w:spacing w:val="-31"/>
              <w:sz w:val="19"/>
              <w:szCs w:val="19"/>
            </w:rPr>
            <w:t xml:space="preserve"> </w:t>
          </w:r>
          <w:r>
            <w:rPr>
              <w:rFonts w:ascii="SimSun" w:eastAsia="SimSun" w:hAnsi="SimSun" w:cs="SimSun"/>
              <w:spacing w:val="5"/>
              <w:sz w:val="19"/>
              <w:szCs w:val="19"/>
            </w:rPr>
            <w:t>)</w:t>
          </w:r>
          <w:r>
            <w:rPr>
              <w:rFonts w:ascii="SimSun" w:eastAsia="SimSun" w:hAnsi="SimSun" w:cs="SimSun"/>
              <w:spacing w:val="-26"/>
              <w:sz w:val="19"/>
              <w:szCs w:val="19"/>
            </w:rPr>
            <w:t xml:space="preserve"> </w:t>
          </w:r>
          <w:r>
            <w:rPr>
              <w:rFonts w:ascii="SimSun" w:eastAsia="SimSun" w:hAnsi="SimSun" w:cs="SimSun"/>
              <w:spacing w:val="5"/>
              <w:sz w:val="19"/>
              <w:szCs w:val="19"/>
            </w:rPr>
            <w:t>资金规模按委托管理人类型分，资管公司/保险公司分别占比58%/21%</w:t>
          </w:r>
          <w:r>
            <w:rPr>
              <w:rFonts w:ascii="SimSun" w:eastAsia="SimSun" w:hAnsi="SimSun" w:cs="SimSun"/>
              <w:spacing w:val="-69"/>
              <w:sz w:val="19"/>
              <w:szCs w:val="19"/>
            </w:rPr>
            <w:t xml:space="preserve"> </w:t>
          </w:r>
          <w:r>
            <w:rPr>
              <w:rFonts w:ascii="SimSun" w:eastAsia="SimSun" w:hAnsi="SimSun" w:cs="SimSun"/>
              <w:sz w:val="19"/>
              <w:szCs w:val="19"/>
            </w:rPr>
            <w:tab/>
          </w:r>
          <w:hyperlink w:anchor="bookmark60" w:history="1">
            <w:r>
              <w:rPr>
                <w:rFonts w:ascii="Times New Roman" w:eastAsia="Times New Roman" w:hAnsi="Times New Roman" w:cs="Times New Roman"/>
                <w:spacing w:val="4"/>
                <w:sz w:val="19"/>
                <w:szCs w:val="19"/>
              </w:rPr>
              <w:t>25</w:t>
            </w:r>
          </w:hyperlink>
        </w:p>
        <w:p>
          <w:pPr>
            <w:tabs>
              <w:tab w:val="right" w:leader="dot" w:pos="10355"/>
            </w:tabs>
            <w:spacing w:before="102" w:line="216" w:lineRule="auto"/>
            <w:rPr>
              <w:rFonts w:ascii="Times New Roman" w:eastAsia="Times New Roman" w:hAnsi="Times New Roman" w:cs="Times New Roman"/>
              <w:sz w:val="19"/>
              <w:szCs w:val="19"/>
            </w:rPr>
          </w:pPr>
          <w:r>
            <w:rPr>
              <w:rFonts w:ascii="SimSun" w:eastAsia="SimSun" w:hAnsi="SimSun" w:cs="SimSun"/>
              <w:spacing w:val="7"/>
              <w:sz w:val="19"/>
              <w:szCs w:val="19"/>
            </w:rPr>
            <w:t>图</w:t>
          </w:r>
          <w:r>
            <w:rPr>
              <w:rFonts w:ascii="SimSun" w:eastAsia="SimSun" w:hAnsi="SimSun" w:cs="SimSun"/>
              <w:spacing w:val="-25"/>
              <w:sz w:val="19"/>
              <w:szCs w:val="19"/>
            </w:rPr>
            <w:t xml:space="preserve"> </w:t>
          </w:r>
          <w:r>
            <w:rPr>
              <w:rFonts w:ascii="SimSun" w:eastAsia="SimSun" w:hAnsi="SimSun" w:cs="SimSun"/>
              <w:spacing w:val="7"/>
              <w:sz w:val="19"/>
              <w:szCs w:val="19"/>
            </w:rPr>
            <w:t>4</w:t>
          </w:r>
          <w:r>
            <w:rPr>
              <w:rFonts w:ascii="SimSun" w:eastAsia="SimSun" w:hAnsi="SimSun" w:cs="SimSun"/>
              <w:spacing w:val="-39"/>
              <w:sz w:val="19"/>
              <w:szCs w:val="19"/>
            </w:rPr>
            <w:t xml:space="preserve"> </w:t>
          </w:r>
          <w:r>
            <w:rPr>
              <w:rFonts w:ascii="SimSun" w:eastAsia="SimSun" w:hAnsi="SimSun" w:cs="SimSun"/>
              <w:spacing w:val="7"/>
              <w:sz w:val="19"/>
              <w:szCs w:val="19"/>
            </w:rPr>
            <w:t>5</w:t>
          </w:r>
          <w:r>
            <w:rPr>
              <w:rFonts w:ascii="SimSun" w:eastAsia="SimSun" w:hAnsi="SimSun" w:cs="SimSun"/>
              <w:spacing w:val="-15"/>
              <w:sz w:val="19"/>
              <w:szCs w:val="19"/>
            </w:rPr>
            <w:t xml:space="preserve"> </w:t>
          </w:r>
          <w:r>
            <w:rPr>
              <w:rFonts w:ascii="SimSun" w:eastAsia="SimSun" w:hAnsi="SimSun" w:cs="SimSun"/>
              <w:spacing w:val="7"/>
              <w:sz w:val="19"/>
              <w:szCs w:val="19"/>
            </w:rPr>
            <w:t>:</w:t>
          </w:r>
          <w:r>
            <w:rPr>
              <w:rFonts w:ascii="SimSun" w:eastAsia="SimSun" w:hAnsi="SimSun" w:cs="SimSun"/>
              <w:spacing w:val="-41"/>
              <w:sz w:val="19"/>
              <w:szCs w:val="19"/>
            </w:rPr>
            <w:t xml:space="preserve"> </w:t>
          </w:r>
          <w:r>
            <w:rPr>
              <w:rFonts w:ascii="SimSun" w:eastAsia="SimSun" w:hAnsi="SimSun" w:cs="SimSun"/>
              <w:spacing w:val="7"/>
              <w:sz w:val="19"/>
              <w:szCs w:val="19"/>
            </w:rPr>
            <w:t>2</w:t>
          </w:r>
          <w:r>
            <w:rPr>
              <w:rFonts w:ascii="SimSun" w:eastAsia="SimSun" w:hAnsi="SimSun" w:cs="SimSun"/>
              <w:spacing w:val="-41"/>
              <w:sz w:val="19"/>
              <w:szCs w:val="19"/>
            </w:rPr>
            <w:t xml:space="preserve"> </w:t>
          </w:r>
          <w:r>
            <w:rPr>
              <w:rFonts w:ascii="SimSun" w:eastAsia="SimSun" w:hAnsi="SimSun" w:cs="SimSun"/>
              <w:spacing w:val="7"/>
              <w:sz w:val="19"/>
              <w:szCs w:val="19"/>
            </w:rPr>
            <w:t>0</w:t>
          </w:r>
          <w:r>
            <w:rPr>
              <w:rFonts w:ascii="SimSun" w:eastAsia="SimSun" w:hAnsi="SimSun" w:cs="SimSun"/>
              <w:spacing w:val="-41"/>
              <w:sz w:val="19"/>
              <w:szCs w:val="19"/>
            </w:rPr>
            <w:t xml:space="preserve"> </w:t>
          </w:r>
          <w:r>
            <w:rPr>
              <w:rFonts w:ascii="SimSun" w:eastAsia="SimSun" w:hAnsi="SimSun" w:cs="SimSun"/>
              <w:spacing w:val="7"/>
              <w:sz w:val="19"/>
              <w:szCs w:val="19"/>
            </w:rPr>
            <w:t>2</w:t>
          </w:r>
          <w:r>
            <w:rPr>
              <w:rFonts w:ascii="SimSun" w:eastAsia="SimSun" w:hAnsi="SimSun" w:cs="SimSun"/>
              <w:spacing w:val="-40"/>
              <w:sz w:val="19"/>
              <w:szCs w:val="19"/>
            </w:rPr>
            <w:t xml:space="preserve"> </w:t>
          </w:r>
          <w:r>
            <w:rPr>
              <w:rFonts w:ascii="SimSun" w:eastAsia="SimSun" w:hAnsi="SimSun" w:cs="SimSun"/>
              <w:spacing w:val="7"/>
              <w:sz w:val="19"/>
              <w:szCs w:val="19"/>
            </w:rPr>
            <w:t>2年末</w:t>
          </w:r>
          <w:r>
            <w:rPr>
              <w:rFonts w:ascii="Times New Roman" w:eastAsia="Times New Roman" w:hAnsi="Times New Roman" w:cs="Times New Roman"/>
              <w:sz w:val="19"/>
              <w:szCs w:val="19"/>
            </w:rPr>
            <w:t>NEST</w:t>
          </w:r>
          <w:r>
            <w:rPr>
              <w:rFonts w:ascii="Times New Roman" w:eastAsia="Times New Roman" w:hAnsi="Times New Roman" w:cs="Times New Roman"/>
              <w:spacing w:val="35"/>
              <w:w w:val="101"/>
              <w:sz w:val="19"/>
              <w:szCs w:val="19"/>
            </w:rPr>
            <w:t xml:space="preserve"> </w:t>
          </w:r>
          <w:r>
            <w:rPr>
              <w:rFonts w:ascii="SimSun" w:eastAsia="SimSun" w:hAnsi="SimSun" w:cs="SimSun"/>
              <w:spacing w:val="7"/>
              <w:sz w:val="19"/>
              <w:szCs w:val="19"/>
            </w:rPr>
            <w:t>股票配置占比</w:t>
          </w:r>
          <w:r>
            <w:rPr>
              <w:rFonts w:ascii="SimSun" w:eastAsia="SimSun" w:hAnsi="SimSun" w:cs="SimSun"/>
              <w:spacing w:val="43"/>
              <w:sz w:val="19"/>
              <w:szCs w:val="19"/>
            </w:rPr>
            <w:t xml:space="preserve"> </w:t>
          </w:r>
          <w:r>
            <w:rPr>
              <w:rFonts w:ascii="SimSun" w:eastAsia="SimSun" w:hAnsi="SimSun" w:cs="SimSun"/>
              <w:spacing w:val="7"/>
              <w:sz w:val="19"/>
              <w:szCs w:val="19"/>
            </w:rPr>
            <w:t>50%,权益资产配置占比高</w:t>
          </w:r>
          <w:r>
            <w:rPr>
              <w:rFonts w:ascii="SimSun" w:eastAsia="SimSun" w:hAnsi="SimSun" w:cs="SimSun"/>
              <w:spacing w:val="-73"/>
              <w:sz w:val="19"/>
              <w:szCs w:val="19"/>
            </w:rPr>
            <w:t xml:space="preserve"> </w:t>
          </w:r>
          <w:r>
            <w:rPr>
              <w:rFonts w:ascii="SimSun" w:eastAsia="SimSun" w:hAnsi="SimSun" w:cs="SimSun"/>
              <w:sz w:val="19"/>
              <w:szCs w:val="19"/>
            </w:rPr>
            <w:tab/>
          </w:r>
          <w:hyperlink w:anchor="bookmark61" w:history="1">
            <w:r>
              <w:rPr>
                <w:rFonts w:ascii="Times New Roman" w:eastAsia="Times New Roman" w:hAnsi="Times New Roman" w:cs="Times New Roman"/>
                <w:spacing w:val="4"/>
                <w:sz w:val="19"/>
                <w:szCs w:val="19"/>
              </w:rPr>
              <w:t>26</w:t>
            </w:r>
          </w:hyperlink>
        </w:p>
        <w:p>
          <w:pPr>
            <w:tabs>
              <w:tab w:val="right" w:leader="dot" w:pos="10365"/>
            </w:tabs>
            <w:spacing w:before="71" w:line="219" w:lineRule="auto"/>
            <w:rPr>
              <w:rFonts w:ascii="Times New Roman" w:eastAsia="Times New Roman" w:hAnsi="Times New Roman" w:cs="Times New Roman"/>
              <w:sz w:val="19"/>
              <w:szCs w:val="19"/>
            </w:rPr>
          </w:pPr>
          <w:r>
            <w:rPr>
              <w:rFonts w:ascii="SimSun" w:eastAsia="SimSun" w:hAnsi="SimSun" w:cs="SimSun"/>
              <w:spacing w:val="7"/>
              <w:sz w:val="19"/>
              <w:szCs w:val="19"/>
            </w:rPr>
            <w:t>图</w:t>
          </w:r>
          <w:r>
            <w:rPr>
              <w:rFonts w:ascii="SimSun" w:eastAsia="SimSun" w:hAnsi="SimSun" w:cs="SimSun"/>
              <w:spacing w:val="-20"/>
              <w:sz w:val="19"/>
              <w:szCs w:val="19"/>
            </w:rPr>
            <w:t xml:space="preserve"> </w:t>
          </w:r>
          <w:r>
            <w:rPr>
              <w:rFonts w:ascii="SimSun" w:eastAsia="SimSun" w:hAnsi="SimSun" w:cs="SimSun"/>
              <w:spacing w:val="7"/>
              <w:sz w:val="19"/>
              <w:szCs w:val="19"/>
            </w:rPr>
            <w:t>4</w:t>
          </w:r>
          <w:r>
            <w:rPr>
              <w:rFonts w:ascii="SimSun" w:eastAsia="SimSun" w:hAnsi="SimSun" w:cs="SimSun"/>
              <w:spacing w:val="-35"/>
              <w:sz w:val="19"/>
              <w:szCs w:val="19"/>
            </w:rPr>
            <w:t xml:space="preserve"> </w:t>
          </w:r>
          <w:r>
            <w:rPr>
              <w:rFonts w:ascii="SimSun" w:eastAsia="SimSun" w:hAnsi="SimSun" w:cs="SimSun"/>
              <w:spacing w:val="7"/>
              <w:sz w:val="19"/>
              <w:szCs w:val="19"/>
            </w:rPr>
            <w:t>6 :</w:t>
          </w:r>
          <w:r>
            <w:rPr>
              <w:rFonts w:ascii="SimSun" w:eastAsia="SimSun" w:hAnsi="SimSun" w:cs="SimSun"/>
              <w:spacing w:val="52"/>
              <w:sz w:val="19"/>
              <w:szCs w:val="19"/>
            </w:rPr>
            <w:t xml:space="preserve"> </w:t>
          </w:r>
          <w:r>
            <w:rPr>
              <w:rFonts w:ascii="Times New Roman" w:eastAsia="Times New Roman" w:hAnsi="Times New Roman" w:cs="Times New Roman"/>
              <w:sz w:val="19"/>
              <w:szCs w:val="19"/>
            </w:rPr>
            <w:t>OECD</w:t>
          </w:r>
          <w:r>
            <w:rPr>
              <w:rFonts w:ascii="Times New Roman" w:eastAsia="Times New Roman" w:hAnsi="Times New Roman" w:cs="Times New Roman"/>
              <w:spacing w:val="22"/>
              <w:w w:val="101"/>
              <w:sz w:val="19"/>
              <w:szCs w:val="19"/>
            </w:rPr>
            <w:t xml:space="preserve"> </w:t>
          </w:r>
          <w:r>
            <w:rPr>
              <w:rFonts w:ascii="SimSun" w:eastAsia="SimSun" w:hAnsi="SimSun" w:cs="SimSun"/>
              <w:spacing w:val="7"/>
              <w:sz w:val="19"/>
              <w:szCs w:val="19"/>
            </w:rPr>
            <w:t>预测2035年我国老龄化趋势加速</w:t>
          </w:r>
          <w:r>
            <w:rPr>
              <w:rFonts w:ascii="SimSun" w:eastAsia="SimSun" w:hAnsi="SimSun" w:cs="SimSun"/>
              <w:spacing w:val="-73"/>
              <w:sz w:val="19"/>
              <w:szCs w:val="19"/>
            </w:rPr>
            <w:t xml:space="preserve"> </w:t>
          </w:r>
          <w:r>
            <w:rPr>
              <w:rFonts w:ascii="SimSun" w:eastAsia="SimSun" w:hAnsi="SimSun" w:cs="SimSun"/>
              <w:sz w:val="19"/>
              <w:szCs w:val="19"/>
            </w:rPr>
            <w:tab/>
          </w:r>
          <w:r>
            <w:rPr>
              <w:rFonts w:ascii="SimSun" w:eastAsia="SimSun" w:hAnsi="SimSun" w:cs="SimSun"/>
              <w:spacing w:val="-53"/>
              <w:sz w:val="19"/>
              <w:szCs w:val="19"/>
            </w:rPr>
            <w:t xml:space="preserve"> </w:t>
          </w:r>
          <w:hyperlink w:anchor="bookmark62" w:history="1">
            <w:r>
              <w:rPr>
                <w:rFonts w:ascii="Times New Roman" w:eastAsia="Times New Roman" w:hAnsi="Times New Roman" w:cs="Times New Roman"/>
                <w:spacing w:val="-1"/>
                <w:sz w:val="19"/>
                <w:szCs w:val="19"/>
              </w:rPr>
              <w:t>29</w:t>
            </w:r>
          </w:hyperlink>
        </w:p>
        <w:p>
          <w:pPr>
            <w:tabs>
              <w:tab w:val="right" w:leader="dot" w:pos="10365"/>
            </w:tabs>
            <w:spacing w:before="114" w:line="219" w:lineRule="auto"/>
            <w:rPr>
              <w:rFonts w:ascii="Times New Roman" w:eastAsia="Times New Roman" w:hAnsi="Times New Roman" w:cs="Times New Roman"/>
              <w:sz w:val="19"/>
              <w:szCs w:val="19"/>
            </w:rPr>
          </w:pPr>
          <w:r>
            <w:rPr>
              <w:rFonts w:ascii="SimSun" w:eastAsia="SimSun" w:hAnsi="SimSun" w:cs="SimSun"/>
              <w:spacing w:val="3"/>
              <w:sz w:val="19"/>
              <w:szCs w:val="19"/>
            </w:rPr>
            <w:t>图</w:t>
          </w:r>
          <w:r>
            <w:rPr>
              <w:rFonts w:ascii="SimSun" w:eastAsia="SimSun" w:hAnsi="SimSun" w:cs="SimSun"/>
              <w:spacing w:val="-23"/>
              <w:sz w:val="19"/>
              <w:szCs w:val="19"/>
            </w:rPr>
            <w:t xml:space="preserve"> </w:t>
          </w:r>
          <w:r>
            <w:rPr>
              <w:rFonts w:ascii="SimSun" w:eastAsia="SimSun" w:hAnsi="SimSun" w:cs="SimSun"/>
              <w:spacing w:val="3"/>
              <w:sz w:val="19"/>
              <w:szCs w:val="19"/>
            </w:rPr>
            <w:t>4</w:t>
          </w:r>
          <w:r>
            <w:rPr>
              <w:rFonts w:ascii="SimSun" w:eastAsia="SimSun" w:hAnsi="SimSun" w:cs="SimSun"/>
              <w:spacing w:val="-32"/>
              <w:sz w:val="19"/>
              <w:szCs w:val="19"/>
            </w:rPr>
            <w:t xml:space="preserve"> </w:t>
          </w:r>
          <w:r>
            <w:rPr>
              <w:rFonts w:ascii="SimSun" w:eastAsia="SimSun" w:hAnsi="SimSun" w:cs="SimSun"/>
              <w:spacing w:val="3"/>
              <w:sz w:val="19"/>
              <w:szCs w:val="19"/>
            </w:rPr>
            <w:t>7 :</w:t>
          </w:r>
          <w:r>
            <w:rPr>
              <w:rFonts w:ascii="SimSun" w:eastAsia="SimSun" w:hAnsi="SimSun" w:cs="SimSun"/>
              <w:spacing w:val="52"/>
              <w:sz w:val="19"/>
              <w:szCs w:val="19"/>
            </w:rPr>
            <w:t xml:space="preserve"> </w:t>
          </w:r>
          <w:r>
            <w:rPr>
              <w:rFonts w:ascii="SimSun" w:eastAsia="SimSun" w:hAnsi="SimSun" w:cs="SimSun"/>
              <w:spacing w:val="3"/>
              <w:sz w:val="19"/>
              <w:szCs w:val="19"/>
            </w:rPr>
            <w:t>我国老年抚养比逐步接近发达国家水平</w:t>
          </w:r>
          <w:r>
            <w:rPr>
              <w:rFonts w:ascii="SimSun" w:eastAsia="SimSun" w:hAnsi="SimSun" w:cs="SimSun"/>
              <w:spacing w:val="-74"/>
              <w:sz w:val="19"/>
              <w:szCs w:val="19"/>
            </w:rPr>
            <w:t xml:space="preserve"> </w:t>
          </w:r>
          <w:r>
            <w:rPr>
              <w:rFonts w:ascii="SimSun" w:eastAsia="SimSun" w:hAnsi="SimSun" w:cs="SimSun"/>
              <w:sz w:val="19"/>
              <w:szCs w:val="19"/>
            </w:rPr>
            <w:tab/>
          </w:r>
          <w:hyperlink w:anchor="bookmark63" w:history="1">
            <w:r>
              <w:rPr>
                <w:rFonts w:ascii="Times New Roman" w:eastAsia="Times New Roman" w:hAnsi="Times New Roman" w:cs="Times New Roman"/>
                <w:spacing w:val="2"/>
                <w:sz w:val="19"/>
                <w:szCs w:val="19"/>
              </w:rPr>
              <w:t>29</w:t>
            </w:r>
          </w:hyperlink>
        </w:p>
        <w:p>
          <w:pPr>
            <w:tabs>
              <w:tab w:val="right" w:leader="dot" w:pos="10375"/>
            </w:tabs>
            <w:spacing w:before="95" w:line="219" w:lineRule="auto"/>
            <w:rPr>
              <w:rFonts w:ascii="Times New Roman" w:eastAsia="Times New Roman" w:hAnsi="Times New Roman" w:cs="Times New Roman"/>
              <w:sz w:val="19"/>
              <w:szCs w:val="19"/>
            </w:rPr>
          </w:pPr>
          <w:r>
            <w:rPr>
              <w:rFonts w:ascii="SimSun" w:eastAsia="SimSun" w:hAnsi="SimSun" w:cs="SimSun"/>
              <w:spacing w:val="7"/>
              <w:sz w:val="19"/>
              <w:szCs w:val="19"/>
            </w:rPr>
            <w:t>图</w:t>
          </w:r>
          <w:r>
            <w:rPr>
              <w:rFonts w:ascii="SimSun" w:eastAsia="SimSun" w:hAnsi="SimSun" w:cs="SimSun"/>
              <w:spacing w:val="-19"/>
              <w:sz w:val="19"/>
              <w:szCs w:val="19"/>
            </w:rPr>
            <w:t xml:space="preserve"> </w:t>
          </w:r>
          <w:r>
            <w:rPr>
              <w:rFonts w:ascii="SimSun" w:eastAsia="SimSun" w:hAnsi="SimSun" w:cs="SimSun"/>
              <w:spacing w:val="7"/>
              <w:sz w:val="19"/>
              <w:szCs w:val="19"/>
            </w:rPr>
            <w:t>4</w:t>
          </w:r>
          <w:r>
            <w:rPr>
              <w:rFonts w:ascii="SimSun" w:eastAsia="SimSun" w:hAnsi="SimSun" w:cs="SimSun"/>
              <w:spacing w:val="-23"/>
              <w:sz w:val="19"/>
              <w:szCs w:val="19"/>
            </w:rPr>
            <w:t xml:space="preserve"> </w:t>
          </w:r>
          <w:r>
            <w:rPr>
              <w:rFonts w:ascii="SimSun" w:eastAsia="SimSun" w:hAnsi="SimSun" w:cs="SimSun"/>
              <w:spacing w:val="7"/>
              <w:sz w:val="19"/>
              <w:szCs w:val="19"/>
            </w:rPr>
            <w:t>8 :</w:t>
          </w:r>
          <w:r>
            <w:rPr>
              <w:rFonts w:ascii="SimSun" w:eastAsia="SimSun" w:hAnsi="SimSun" w:cs="SimSun"/>
              <w:spacing w:val="-22"/>
              <w:sz w:val="19"/>
              <w:szCs w:val="19"/>
            </w:rPr>
            <w:t xml:space="preserve"> </w:t>
          </w:r>
          <w:r>
            <w:rPr>
              <w:rFonts w:ascii="SimSun" w:eastAsia="SimSun" w:hAnsi="SimSun" w:cs="SimSun"/>
              <w:spacing w:val="7"/>
              <w:sz w:val="19"/>
              <w:szCs w:val="19"/>
            </w:rPr>
            <w:t>6</w:t>
          </w:r>
          <w:r>
            <w:rPr>
              <w:rFonts w:ascii="SimSun" w:eastAsia="SimSun" w:hAnsi="SimSun" w:cs="SimSun"/>
              <w:spacing w:val="-22"/>
              <w:sz w:val="19"/>
              <w:szCs w:val="19"/>
            </w:rPr>
            <w:t xml:space="preserve"> </w:t>
          </w:r>
          <w:r>
            <w:rPr>
              <w:rFonts w:ascii="SimSun" w:eastAsia="SimSun" w:hAnsi="SimSun" w:cs="SimSun"/>
              <w:spacing w:val="7"/>
              <w:sz w:val="19"/>
              <w:szCs w:val="19"/>
            </w:rPr>
            <w:t>0年代婴儿潮造成2025-2035年人口老龄化加速</w:t>
          </w:r>
          <w:r>
            <w:rPr>
              <w:rFonts w:ascii="SimSun" w:eastAsia="SimSun" w:hAnsi="SimSun" w:cs="SimSun"/>
              <w:spacing w:val="-82"/>
              <w:sz w:val="19"/>
              <w:szCs w:val="19"/>
            </w:rPr>
            <w:t xml:space="preserve"> </w:t>
          </w:r>
          <w:r>
            <w:rPr>
              <w:rFonts w:ascii="SimSun" w:eastAsia="SimSun" w:hAnsi="SimSun" w:cs="SimSun"/>
              <w:sz w:val="19"/>
              <w:szCs w:val="19"/>
            </w:rPr>
            <w:tab/>
          </w:r>
          <w:hyperlink w:anchor="bookmark64" w:history="1">
            <w:r>
              <w:rPr>
                <w:rFonts w:ascii="Times New Roman" w:eastAsia="Times New Roman" w:hAnsi="Times New Roman" w:cs="Times New Roman"/>
                <w:spacing w:val="3"/>
                <w:sz w:val="19"/>
                <w:szCs w:val="19"/>
              </w:rPr>
              <w:t>29</w:t>
            </w:r>
          </w:hyperlink>
        </w:p>
        <w:p>
          <w:pPr>
            <w:tabs>
              <w:tab w:val="right" w:leader="dot" w:pos="10385"/>
            </w:tabs>
            <w:spacing w:before="64" w:line="219" w:lineRule="auto"/>
            <w:rPr>
              <w:rFonts w:ascii="Times New Roman" w:eastAsia="Times New Roman" w:hAnsi="Times New Roman" w:cs="Times New Roman"/>
              <w:sz w:val="19"/>
              <w:szCs w:val="19"/>
            </w:rPr>
          </w:pPr>
          <w:r>
            <w:rPr>
              <w:rFonts w:ascii="SimSun" w:eastAsia="SimSun" w:hAnsi="SimSun" w:cs="SimSun"/>
              <w:spacing w:val="12"/>
              <w:sz w:val="19"/>
              <w:szCs w:val="19"/>
            </w:rPr>
            <w:t>图49:</w:t>
          </w:r>
          <w:r>
            <w:rPr>
              <w:rFonts w:ascii="SimSun" w:eastAsia="SimSun" w:hAnsi="SimSun" w:cs="SimSun"/>
              <w:spacing w:val="6"/>
              <w:sz w:val="19"/>
              <w:szCs w:val="19"/>
            </w:rPr>
            <w:t xml:space="preserve">  </w:t>
          </w:r>
          <w:r>
            <w:rPr>
              <w:rFonts w:ascii="SimSun" w:eastAsia="SimSun" w:hAnsi="SimSun" w:cs="SimSun"/>
              <w:spacing w:val="12"/>
              <w:sz w:val="19"/>
              <w:szCs w:val="19"/>
            </w:rPr>
            <w:t>当前中国老年人规模较大</w:t>
          </w:r>
          <w:r>
            <w:rPr>
              <w:rFonts w:ascii="SimSun" w:eastAsia="SimSun" w:hAnsi="SimSun" w:cs="SimSun"/>
              <w:spacing w:val="-74"/>
              <w:sz w:val="19"/>
              <w:szCs w:val="19"/>
            </w:rPr>
            <w:t xml:space="preserve"> </w:t>
          </w:r>
          <w:r>
            <w:rPr>
              <w:rFonts w:ascii="SimSun" w:eastAsia="SimSun" w:hAnsi="SimSun" w:cs="SimSun"/>
              <w:sz w:val="19"/>
              <w:szCs w:val="19"/>
            </w:rPr>
            <w:tab/>
          </w:r>
          <w:r>
            <w:rPr>
              <w:rFonts w:ascii="SimSun" w:eastAsia="SimSun" w:hAnsi="SimSun" w:cs="SimSun"/>
              <w:spacing w:val="-63"/>
              <w:sz w:val="19"/>
              <w:szCs w:val="19"/>
            </w:rPr>
            <w:t xml:space="preserve"> </w:t>
          </w:r>
          <w:hyperlink w:anchor="bookmark65" w:history="1">
            <w:r>
              <w:rPr>
                <w:rFonts w:ascii="Times New Roman" w:eastAsia="Times New Roman" w:hAnsi="Times New Roman" w:cs="Times New Roman"/>
                <w:spacing w:val="-1"/>
                <w:sz w:val="19"/>
                <w:szCs w:val="19"/>
              </w:rPr>
              <w:t>29</w:t>
            </w:r>
          </w:hyperlink>
        </w:p>
        <w:p>
          <w:pPr>
            <w:tabs>
              <w:tab w:val="right" w:leader="dot" w:pos="10361"/>
            </w:tabs>
            <w:spacing w:before="95" w:line="219" w:lineRule="auto"/>
            <w:rPr>
              <w:rFonts w:ascii="Times New Roman" w:eastAsia="Times New Roman" w:hAnsi="Times New Roman" w:cs="Times New Roman"/>
              <w:sz w:val="19"/>
              <w:szCs w:val="19"/>
            </w:rPr>
          </w:pPr>
          <w:r>
            <w:rPr>
              <w:rFonts w:ascii="SimSun" w:eastAsia="SimSun" w:hAnsi="SimSun" w:cs="SimSun"/>
              <w:spacing w:val="11"/>
              <w:sz w:val="19"/>
              <w:szCs w:val="19"/>
            </w:rPr>
            <w:t>图50:</w:t>
          </w:r>
          <w:r>
            <w:rPr>
              <w:rFonts w:ascii="SimSun" w:eastAsia="SimSun" w:hAnsi="SimSun" w:cs="SimSun"/>
              <w:sz w:val="19"/>
              <w:szCs w:val="19"/>
            </w:rPr>
            <w:t xml:space="preserve">  </w:t>
          </w:r>
          <w:r>
            <w:rPr>
              <w:rFonts w:ascii="SimSun" w:eastAsia="SimSun" w:hAnsi="SimSun" w:cs="SimSun"/>
              <w:spacing w:val="11"/>
              <w:sz w:val="19"/>
              <w:szCs w:val="19"/>
            </w:rPr>
            <w:t>全球长端利率持续下行，养老资产配置固收资产难以实现稳定</w:t>
          </w:r>
          <w:r>
            <w:rPr>
              <w:rFonts w:ascii="SimSun" w:eastAsia="SimSun" w:hAnsi="SimSun" w:cs="SimSun"/>
              <w:spacing w:val="10"/>
              <w:sz w:val="19"/>
              <w:szCs w:val="19"/>
            </w:rPr>
            <w:t>高回报</w:t>
          </w:r>
          <w:r>
            <w:rPr>
              <w:rFonts w:ascii="SimSun" w:eastAsia="SimSun" w:hAnsi="SimSun" w:cs="SimSun"/>
              <w:spacing w:val="-73"/>
              <w:sz w:val="19"/>
              <w:szCs w:val="19"/>
            </w:rPr>
            <w:t xml:space="preserve"> </w:t>
          </w:r>
          <w:r>
            <w:rPr>
              <w:rFonts w:ascii="SimSun" w:eastAsia="SimSun" w:hAnsi="SimSun" w:cs="SimSun"/>
              <w:sz w:val="19"/>
              <w:szCs w:val="19"/>
            </w:rPr>
            <w:tab/>
          </w:r>
          <w:hyperlink w:anchor="bookmark66" w:history="1">
            <w:r>
              <w:rPr>
                <w:rFonts w:ascii="Times New Roman" w:eastAsia="Times New Roman" w:hAnsi="Times New Roman" w:cs="Times New Roman"/>
                <w:spacing w:val="7"/>
                <w:sz w:val="19"/>
                <w:szCs w:val="19"/>
              </w:rPr>
              <w:t>30</w:t>
            </w:r>
          </w:hyperlink>
        </w:p>
        <w:p>
          <w:pPr>
            <w:tabs>
              <w:tab w:val="right" w:leader="dot" w:pos="10361"/>
            </w:tabs>
            <w:spacing w:before="63" w:line="219" w:lineRule="auto"/>
            <w:rPr>
              <w:rFonts w:ascii="Times New Roman" w:eastAsia="Times New Roman" w:hAnsi="Times New Roman" w:cs="Times New Roman"/>
              <w:sz w:val="19"/>
              <w:szCs w:val="19"/>
            </w:rPr>
          </w:pPr>
          <w:r>
            <w:rPr>
              <w:rFonts w:ascii="SimSun" w:eastAsia="SimSun" w:hAnsi="SimSun" w:cs="SimSun"/>
              <w:spacing w:val="9"/>
              <w:sz w:val="19"/>
              <w:szCs w:val="19"/>
            </w:rPr>
            <w:t>图</w:t>
          </w:r>
          <w:r>
            <w:rPr>
              <w:rFonts w:ascii="SimSun" w:eastAsia="SimSun" w:hAnsi="SimSun" w:cs="SimSun"/>
              <w:spacing w:val="-35"/>
              <w:sz w:val="19"/>
              <w:szCs w:val="19"/>
            </w:rPr>
            <w:t xml:space="preserve"> </w:t>
          </w:r>
          <w:r>
            <w:rPr>
              <w:rFonts w:ascii="SimSun" w:eastAsia="SimSun" w:hAnsi="SimSun" w:cs="SimSun"/>
              <w:spacing w:val="9"/>
              <w:sz w:val="19"/>
              <w:szCs w:val="19"/>
            </w:rPr>
            <w:t>5</w:t>
          </w:r>
          <w:r>
            <w:rPr>
              <w:rFonts w:ascii="SimSun" w:eastAsia="SimSun" w:hAnsi="SimSun" w:cs="SimSun"/>
              <w:spacing w:val="-24"/>
              <w:sz w:val="19"/>
              <w:szCs w:val="19"/>
            </w:rPr>
            <w:t xml:space="preserve"> </w:t>
          </w:r>
          <w:r>
            <w:rPr>
              <w:rFonts w:ascii="SimSun" w:eastAsia="SimSun" w:hAnsi="SimSun" w:cs="SimSun"/>
              <w:spacing w:val="9"/>
              <w:sz w:val="19"/>
              <w:szCs w:val="19"/>
            </w:rPr>
            <w:t>1 :</w:t>
          </w:r>
          <w:r>
            <w:rPr>
              <w:rFonts w:ascii="SimSun" w:eastAsia="SimSun" w:hAnsi="SimSun" w:cs="SimSun"/>
              <w:spacing w:val="49"/>
              <w:sz w:val="19"/>
              <w:szCs w:val="19"/>
            </w:rPr>
            <w:t xml:space="preserve"> </w:t>
          </w:r>
          <w:r>
            <w:rPr>
              <w:rFonts w:ascii="SimSun" w:eastAsia="SimSun" w:hAnsi="SimSun" w:cs="SimSun"/>
              <w:spacing w:val="9"/>
              <w:sz w:val="19"/>
              <w:szCs w:val="19"/>
            </w:rPr>
            <w:t>根据人口增长趋势测算，我国基本养老保险职退比将从</w:t>
          </w:r>
          <w:r>
            <w:rPr>
              <w:rFonts w:ascii="SimSun" w:eastAsia="SimSun" w:hAnsi="SimSun" w:cs="SimSun"/>
              <w:spacing w:val="35"/>
              <w:sz w:val="19"/>
              <w:szCs w:val="19"/>
            </w:rPr>
            <w:t xml:space="preserve"> </w:t>
          </w:r>
          <w:r>
            <w:rPr>
              <w:rFonts w:ascii="SimSun" w:eastAsia="SimSun" w:hAnsi="SimSun" w:cs="SimSun"/>
              <w:spacing w:val="9"/>
              <w:sz w:val="19"/>
              <w:szCs w:val="19"/>
            </w:rPr>
            <w:t>2021年2</w:t>
          </w:r>
          <w:r>
            <w:rPr>
              <w:rFonts w:ascii="SimSun" w:eastAsia="SimSun" w:hAnsi="SimSun" w:cs="SimSun"/>
              <w:spacing w:val="8"/>
              <w:sz w:val="19"/>
              <w:szCs w:val="19"/>
            </w:rPr>
            <w:t>.65倍下降至2050年1.11倍</w:t>
          </w:r>
          <w:r>
            <w:rPr>
              <w:rFonts w:ascii="SimSun" w:eastAsia="SimSun" w:hAnsi="SimSun" w:cs="SimSun"/>
              <w:spacing w:val="-72"/>
              <w:sz w:val="19"/>
              <w:szCs w:val="19"/>
            </w:rPr>
            <w:t xml:space="preserve"> </w:t>
          </w:r>
          <w:r>
            <w:rPr>
              <w:rFonts w:ascii="SimSun" w:eastAsia="SimSun" w:hAnsi="SimSun" w:cs="SimSun"/>
              <w:sz w:val="19"/>
              <w:szCs w:val="19"/>
            </w:rPr>
            <w:tab/>
          </w:r>
          <w:hyperlink w:anchor="bookmark67" w:history="1">
            <w:r>
              <w:rPr>
                <w:rFonts w:ascii="Times New Roman" w:eastAsia="Times New Roman" w:hAnsi="Times New Roman" w:cs="Times New Roman"/>
                <w:spacing w:val="2"/>
                <w:sz w:val="19"/>
                <w:szCs w:val="19"/>
              </w:rPr>
              <w:t>30</w:t>
            </w:r>
          </w:hyperlink>
        </w:p>
        <w:p>
          <w:pPr>
            <w:tabs>
              <w:tab w:val="right" w:leader="dot" w:pos="10361"/>
            </w:tabs>
            <w:spacing w:before="105" w:line="219" w:lineRule="auto"/>
            <w:rPr>
              <w:rFonts w:ascii="Times New Roman" w:eastAsia="Times New Roman" w:hAnsi="Times New Roman" w:cs="Times New Roman"/>
              <w:sz w:val="19"/>
              <w:szCs w:val="19"/>
            </w:rPr>
          </w:pPr>
          <w:r>
            <w:rPr>
              <w:rFonts w:ascii="SimSun" w:eastAsia="SimSun" w:hAnsi="SimSun" w:cs="SimSun"/>
              <w:spacing w:val="9"/>
              <w:sz w:val="19"/>
              <w:szCs w:val="19"/>
            </w:rPr>
            <w:t>图</w:t>
          </w:r>
          <w:r>
            <w:rPr>
              <w:rFonts w:ascii="SimSun" w:eastAsia="SimSun" w:hAnsi="SimSun" w:cs="SimSun"/>
              <w:spacing w:val="-38"/>
              <w:sz w:val="19"/>
              <w:szCs w:val="19"/>
            </w:rPr>
            <w:t xml:space="preserve"> </w:t>
          </w:r>
          <w:r>
            <w:rPr>
              <w:rFonts w:ascii="SimSun" w:eastAsia="SimSun" w:hAnsi="SimSun" w:cs="SimSun"/>
              <w:spacing w:val="9"/>
              <w:sz w:val="19"/>
              <w:szCs w:val="19"/>
            </w:rPr>
            <w:t>5</w:t>
          </w:r>
          <w:r>
            <w:rPr>
              <w:rFonts w:ascii="SimSun" w:eastAsia="SimSun" w:hAnsi="SimSun" w:cs="SimSun"/>
              <w:spacing w:val="-39"/>
              <w:sz w:val="19"/>
              <w:szCs w:val="19"/>
            </w:rPr>
            <w:t xml:space="preserve"> </w:t>
          </w:r>
          <w:r>
            <w:rPr>
              <w:rFonts w:ascii="SimSun" w:eastAsia="SimSun" w:hAnsi="SimSun" w:cs="SimSun"/>
              <w:spacing w:val="9"/>
              <w:sz w:val="19"/>
              <w:szCs w:val="19"/>
            </w:rPr>
            <w:t>2</w:t>
          </w:r>
          <w:r>
            <w:rPr>
              <w:rFonts w:ascii="SimSun" w:eastAsia="SimSun" w:hAnsi="SimSun" w:cs="SimSun"/>
              <w:spacing w:val="-12"/>
              <w:sz w:val="19"/>
              <w:szCs w:val="19"/>
            </w:rPr>
            <w:t xml:space="preserve"> </w:t>
          </w:r>
          <w:r>
            <w:rPr>
              <w:rFonts w:ascii="SimSun" w:eastAsia="SimSun" w:hAnsi="SimSun" w:cs="SimSun"/>
              <w:spacing w:val="9"/>
              <w:sz w:val="19"/>
              <w:szCs w:val="19"/>
            </w:rPr>
            <w:t>:</w:t>
          </w:r>
          <w:r>
            <w:rPr>
              <w:rFonts w:ascii="SimSun" w:eastAsia="SimSun" w:hAnsi="SimSun" w:cs="SimSun"/>
              <w:spacing w:val="56"/>
              <w:sz w:val="19"/>
              <w:szCs w:val="19"/>
            </w:rPr>
            <w:t xml:space="preserve"> </w:t>
          </w:r>
          <w:r>
            <w:rPr>
              <w:rFonts w:ascii="SimSun" w:eastAsia="SimSun" w:hAnsi="SimSun" w:cs="SimSun"/>
              <w:spacing w:val="9"/>
              <w:sz w:val="19"/>
              <w:szCs w:val="19"/>
            </w:rPr>
            <w:t>根据精算模型假设，考虑人口负增长和老龄化加速，2027年基金收支赤字，2034年累计结余</w:t>
          </w:r>
          <w:r>
            <w:rPr>
              <w:rFonts w:ascii="SimSun" w:eastAsia="SimSun" w:hAnsi="SimSun" w:cs="SimSun"/>
              <w:spacing w:val="8"/>
              <w:sz w:val="19"/>
              <w:szCs w:val="19"/>
            </w:rPr>
            <w:t>耗尽</w:t>
          </w:r>
          <w:r>
            <w:rPr>
              <w:rFonts w:ascii="SimSun" w:eastAsia="SimSun" w:hAnsi="SimSun" w:cs="SimSun"/>
              <w:spacing w:val="-76"/>
              <w:sz w:val="19"/>
              <w:szCs w:val="19"/>
            </w:rPr>
            <w:t xml:space="preserve"> </w:t>
          </w:r>
          <w:r>
            <w:rPr>
              <w:rFonts w:ascii="SimSun" w:eastAsia="SimSun" w:hAnsi="SimSun" w:cs="SimSun"/>
              <w:sz w:val="19"/>
              <w:szCs w:val="19"/>
            </w:rPr>
            <w:tab/>
          </w:r>
          <w:hyperlink w:anchor="bookmark68" w:history="1">
            <w:r>
              <w:rPr>
                <w:rFonts w:ascii="Times New Roman" w:eastAsia="Times New Roman" w:hAnsi="Times New Roman" w:cs="Times New Roman"/>
                <w:spacing w:val="1"/>
                <w:sz w:val="19"/>
                <w:szCs w:val="19"/>
              </w:rPr>
              <w:t>30</w:t>
            </w:r>
          </w:hyperlink>
        </w:p>
        <w:p>
          <w:pPr>
            <w:tabs>
              <w:tab w:val="right" w:leader="dot" w:pos="10411"/>
            </w:tabs>
            <w:spacing w:before="86" w:line="219" w:lineRule="auto"/>
            <w:rPr>
              <w:rFonts w:ascii="Times New Roman" w:eastAsia="Times New Roman" w:hAnsi="Times New Roman" w:cs="Times New Roman"/>
              <w:sz w:val="19"/>
              <w:szCs w:val="19"/>
            </w:rPr>
          </w:pPr>
          <w:r>
            <w:rPr>
              <w:rFonts w:ascii="SimSun" w:eastAsia="SimSun" w:hAnsi="SimSun" w:cs="SimSun"/>
              <w:spacing w:val="12"/>
              <w:sz w:val="19"/>
              <w:szCs w:val="19"/>
            </w:rPr>
            <w:t>图53:</w:t>
          </w:r>
          <w:r>
            <w:rPr>
              <w:rFonts w:ascii="SimSun" w:eastAsia="SimSun" w:hAnsi="SimSun" w:cs="SimSun"/>
              <w:spacing w:val="6"/>
              <w:sz w:val="19"/>
              <w:szCs w:val="19"/>
            </w:rPr>
            <w:t xml:space="preserve">  </w:t>
          </w:r>
          <w:r>
            <w:rPr>
              <w:rFonts w:ascii="SimSun" w:eastAsia="SimSun" w:hAnsi="SimSun" w:cs="SimSun"/>
              <w:spacing w:val="12"/>
              <w:sz w:val="19"/>
              <w:szCs w:val="19"/>
            </w:rPr>
            <w:t>11</w:t>
          </w:r>
          <w:r>
            <w:rPr>
              <w:rFonts w:ascii="SimSun" w:eastAsia="SimSun" w:hAnsi="SimSun" w:cs="SimSun"/>
              <w:spacing w:val="-53"/>
              <w:sz w:val="19"/>
              <w:szCs w:val="19"/>
            </w:rPr>
            <w:t xml:space="preserve"> </w:t>
          </w:r>
          <w:r>
            <w:rPr>
              <w:rFonts w:ascii="SimSun" w:eastAsia="SimSun" w:hAnsi="SimSun" w:cs="SimSun"/>
              <w:spacing w:val="12"/>
              <w:sz w:val="19"/>
              <w:szCs w:val="19"/>
            </w:rPr>
            <w:t>家全球养老基金权益资产占比与长期年化收益率存在正相关关系</w:t>
          </w:r>
          <w:r>
            <w:rPr>
              <w:rFonts w:ascii="SimSun" w:eastAsia="SimSun" w:hAnsi="SimSun" w:cs="SimSun"/>
              <w:sz w:val="19"/>
              <w:szCs w:val="19"/>
            </w:rPr>
            <w:tab/>
          </w:r>
          <w:hyperlink w:anchor="bookmark69" w:history="1">
            <w:r>
              <w:rPr>
                <w:rFonts w:ascii="Times New Roman" w:eastAsia="Times New Roman" w:hAnsi="Times New Roman" w:cs="Times New Roman"/>
                <w:spacing w:val="-2"/>
                <w:sz w:val="19"/>
                <w:szCs w:val="19"/>
              </w:rPr>
              <w:t>31</w:t>
            </w:r>
          </w:hyperlink>
        </w:p>
        <w:p>
          <w:pPr>
            <w:tabs>
              <w:tab w:val="right" w:leader="dot" w:pos="10371"/>
            </w:tabs>
            <w:spacing w:before="94" w:line="219" w:lineRule="auto"/>
            <w:rPr>
              <w:rFonts w:ascii="Times New Roman" w:eastAsia="Times New Roman" w:hAnsi="Times New Roman" w:cs="Times New Roman"/>
              <w:sz w:val="19"/>
              <w:szCs w:val="19"/>
            </w:rPr>
          </w:pPr>
          <w:r>
            <w:rPr>
              <w:rFonts w:ascii="SimSun" w:eastAsia="SimSun" w:hAnsi="SimSun" w:cs="SimSun"/>
              <w:spacing w:val="10"/>
              <w:sz w:val="19"/>
              <w:szCs w:val="19"/>
            </w:rPr>
            <w:t>图</w:t>
          </w:r>
          <w:r>
            <w:rPr>
              <w:rFonts w:ascii="SimSun" w:eastAsia="SimSun" w:hAnsi="SimSun" w:cs="SimSun"/>
              <w:spacing w:val="-26"/>
              <w:sz w:val="19"/>
              <w:szCs w:val="19"/>
            </w:rPr>
            <w:t xml:space="preserve"> </w:t>
          </w:r>
          <w:r>
            <w:rPr>
              <w:rFonts w:ascii="SimSun" w:eastAsia="SimSun" w:hAnsi="SimSun" w:cs="SimSun"/>
              <w:spacing w:val="10"/>
              <w:sz w:val="19"/>
              <w:szCs w:val="19"/>
            </w:rPr>
            <w:t>5</w:t>
          </w:r>
          <w:r>
            <w:rPr>
              <w:rFonts w:ascii="SimSun" w:eastAsia="SimSun" w:hAnsi="SimSun" w:cs="SimSun"/>
              <w:spacing w:val="-42"/>
              <w:sz w:val="19"/>
              <w:szCs w:val="19"/>
            </w:rPr>
            <w:t xml:space="preserve"> </w:t>
          </w:r>
          <w:r>
            <w:rPr>
              <w:rFonts w:ascii="SimSun" w:eastAsia="SimSun" w:hAnsi="SimSun" w:cs="SimSun"/>
              <w:spacing w:val="10"/>
              <w:sz w:val="19"/>
              <w:szCs w:val="19"/>
            </w:rPr>
            <w:t>4</w:t>
          </w:r>
          <w:r>
            <w:rPr>
              <w:rFonts w:ascii="SimSun" w:eastAsia="SimSun" w:hAnsi="SimSun" w:cs="SimSun"/>
              <w:spacing w:val="-13"/>
              <w:sz w:val="19"/>
              <w:szCs w:val="19"/>
            </w:rPr>
            <w:t xml:space="preserve"> </w:t>
          </w:r>
          <w:r>
            <w:rPr>
              <w:rFonts w:ascii="SimSun" w:eastAsia="SimSun" w:hAnsi="SimSun" w:cs="SimSun"/>
              <w:spacing w:val="10"/>
              <w:sz w:val="19"/>
              <w:szCs w:val="19"/>
            </w:rPr>
            <w:t>:</w:t>
          </w:r>
          <w:r>
            <w:rPr>
              <w:rFonts w:ascii="SimSun" w:eastAsia="SimSun" w:hAnsi="SimSun" w:cs="SimSun"/>
              <w:spacing w:val="57"/>
              <w:sz w:val="19"/>
              <w:szCs w:val="19"/>
            </w:rPr>
            <w:t xml:space="preserve"> </w:t>
          </w:r>
          <w:r>
            <w:rPr>
              <w:rFonts w:ascii="Times New Roman" w:eastAsia="Times New Roman" w:hAnsi="Times New Roman" w:cs="Times New Roman"/>
              <w:sz w:val="19"/>
              <w:szCs w:val="19"/>
            </w:rPr>
            <w:t>OECD</w:t>
          </w:r>
          <w:r>
            <w:rPr>
              <w:rFonts w:ascii="Times New Roman" w:eastAsia="Times New Roman" w:hAnsi="Times New Roman" w:cs="Times New Roman"/>
              <w:spacing w:val="32"/>
              <w:w w:val="101"/>
              <w:sz w:val="19"/>
              <w:szCs w:val="19"/>
            </w:rPr>
            <w:t xml:space="preserve"> </w:t>
          </w:r>
          <w:r>
            <w:rPr>
              <w:rFonts w:ascii="SimSun" w:eastAsia="SimSun" w:hAnsi="SimSun" w:cs="SimSun"/>
              <w:spacing w:val="10"/>
              <w:sz w:val="19"/>
              <w:szCs w:val="19"/>
            </w:rPr>
            <w:t>私人养老金配置权益比例逐步提高，2021年达到27%</w:t>
          </w:r>
          <w:r>
            <w:rPr>
              <w:rFonts w:ascii="SimSun" w:eastAsia="SimSun" w:hAnsi="SimSun" w:cs="SimSun"/>
              <w:spacing w:val="-70"/>
              <w:sz w:val="19"/>
              <w:szCs w:val="19"/>
            </w:rPr>
            <w:t xml:space="preserve"> </w:t>
          </w:r>
          <w:r>
            <w:rPr>
              <w:rFonts w:ascii="SimSun" w:eastAsia="SimSun" w:hAnsi="SimSun" w:cs="SimSun"/>
              <w:sz w:val="19"/>
              <w:szCs w:val="19"/>
            </w:rPr>
            <w:tab/>
          </w:r>
          <w:hyperlink w:anchor="bookmark70" w:history="1">
            <w:r>
              <w:rPr>
                <w:rFonts w:ascii="Times New Roman" w:eastAsia="Times New Roman" w:hAnsi="Times New Roman" w:cs="Times New Roman"/>
                <w:spacing w:val="-2"/>
                <w:sz w:val="19"/>
                <w:szCs w:val="19"/>
              </w:rPr>
              <w:t>32</w:t>
            </w:r>
          </w:hyperlink>
        </w:p>
        <w:p>
          <w:pPr>
            <w:tabs>
              <w:tab w:val="right" w:leader="dot" w:pos="10361"/>
            </w:tabs>
            <w:spacing w:before="84" w:line="219" w:lineRule="auto"/>
            <w:rPr>
              <w:rFonts w:ascii="Times New Roman" w:eastAsia="Times New Roman" w:hAnsi="Times New Roman" w:cs="Times New Roman"/>
              <w:sz w:val="19"/>
              <w:szCs w:val="19"/>
            </w:rPr>
          </w:pPr>
          <w:r>
            <w:rPr>
              <w:rFonts w:ascii="SimSun" w:eastAsia="SimSun" w:hAnsi="SimSun" w:cs="SimSun"/>
              <w:spacing w:val="13"/>
              <w:sz w:val="19"/>
              <w:szCs w:val="19"/>
            </w:rPr>
            <w:t>图55:</w:t>
          </w:r>
          <w:r>
            <w:rPr>
              <w:rFonts w:ascii="SimSun" w:eastAsia="SimSun" w:hAnsi="SimSun" w:cs="SimSun"/>
              <w:spacing w:val="8"/>
              <w:sz w:val="19"/>
              <w:szCs w:val="19"/>
            </w:rPr>
            <w:t xml:space="preserve">  </w:t>
          </w:r>
          <w:r>
            <w:rPr>
              <w:rFonts w:ascii="SimSun" w:eastAsia="SimSun" w:hAnsi="SimSun" w:cs="SimSun"/>
              <w:spacing w:val="13"/>
              <w:sz w:val="19"/>
              <w:szCs w:val="19"/>
            </w:rPr>
            <w:t>全球7个样本二支柱养老金提升权益占比和资产市场长期稳定上涨具有一致趋势</w:t>
          </w:r>
          <w:r>
            <w:rPr>
              <w:rFonts w:ascii="SimSun" w:eastAsia="SimSun" w:hAnsi="SimSun" w:cs="SimSun"/>
              <w:spacing w:val="-79"/>
              <w:sz w:val="19"/>
              <w:szCs w:val="19"/>
            </w:rPr>
            <w:t xml:space="preserve"> </w:t>
          </w:r>
          <w:r>
            <w:rPr>
              <w:rFonts w:ascii="SimSun" w:eastAsia="SimSun" w:hAnsi="SimSun" w:cs="SimSun"/>
              <w:sz w:val="19"/>
              <w:szCs w:val="19"/>
            </w:rPr>
            <w:tab/>
          </w:r>
          <w:hyperlink w:anchor="bookmark71" w:history="1">
            <w:r>
              <w:rPr>
                <w:rFonts w:ascii="Times New Roman" w:eastAsia="Times New Roman" w:hAnsi="Times New Roman" w:cs="Times New Roman"/>
                <w:sz w:val="19"/>
                <w:szCs w:val="19"/>
              </w:rPr>
              <w:t>32</w:t>
            </w:r>
          </w:hyperlink>
        </w:p>
        <w:p>
          <w:pPr>
            <w:spacing w:line="371" w:lineRule="auto"/>
            <w:rPr>
              <w:rFonts w:ascii="Arial"/>
              <w:sz w:val="21"/>
            </w:rPr>
          </w:pPr>
        </w:p>
        <w:p>
          <w:pPr>
            <w:tabs>
              <w:tab w:val="right" w:leader="dot" w:pos="10358"/>
            </w:tabs>
            <w:spacing w:before="62" w:line="219" w:lineRule="auto"/>
            <w:rPr>
              <w:rFonts w:ascii="Times New Roman" w:eastAsia="Times New Roman" w:hAnsi="Times New Roman" w:cs="Times New Roman"/>
              <w:sz w:val="19"/>
              <w:szCs w:val="19"/>
            </w:rPr>
            <w:sectPr>
              <w:footerReference w:type="default" r:id="rId16"/>
              <w:pgSz w:w="11910" w:h="16840"/>
              <w:pgMar w:top="156" w:right="660" w:bottom="1129" w:left="689" w:header="0" w:footer="860" w:gutter="0"/>
              <w:pgNumType w:start="7"/>
              <w:cols w:space="708"/>
            </w:sectPr>
          </w:pPr>
          <w:r>
            <w:rPr>
              <w:rFonts w:ascii="SimSun" w:eastAsia="SimSun" w:hAnsi="SimSun" w:cs="SimSun"/>
              <w:spacing w:val="9"/>
              <w:sz w:val="19"/>
              <w:szCs w:val="19"/>
            </w:rPr>
            <w:t>表</w:t>
          </w:r>
          <w:r>
            <w:rPr>
              <w:rFonts w:ascii="SimSun" w:eastAsia="SimSun" w:hAnsi="SimSun" w:cs="SimSun"/>
              <w:spacing w:val="-23"/>
              <w:sz w:val="19"/>
              <w:szCs w:val="19"/>
            </w:rPr>
            <w:t xml:space="preserve"> </w:t>
          </w:r>
          <w:r>
            <w:rPr>
              <w:rFonts w:ascii="SimSun" w:eastAsia="SimSun" w:hAnsi="SimSun" w:cs="SimSun"/>
              <w:spacing w:val="9"/>
              <w:sz w:val="19"/>
              <w:szCs w:val="19"/>
            </w:rPr>
            <w:t>1 :</w:t>
          </w:r>
          <w:r>
            <w:rPr>
              <w:rFonts w:ascii="SimSun" w:eastAsia="SimSun" w:hAnsi="SimSun" w:cs="SimSun"/>
              <w:spacing w:val="-36"/>
              <w:sz w:val="19"/>
              <w:szCs w:val="19"/>
            </w:rPr>
            <w:t xml:space="preserve"> </w:t>
          </w:r>
          <w:r>
            <w:rPr>
              <w:rFonts w:ascii="SimSun" w:eastAsia="SimSun" w:hAnsi="SimSun" w:cs="SimSun"/>
              <w:spacing w:val="9"/>
              <w:sz w:val="19"/>
              <w:szCs w:val="19"/>
            </w:rPr>
            <w:t>2</w:t>
          </w:r>
          <w:r>
            <w:rPr>
              <w:rFonts w:ascii="SimSun" w:eastAsia="SimSun" w:hAnsi="SimSun" w:cs="SimSun"/>
              <w:spacing w:val="-36"/>
              <w:sz w:val="19"/>
              <w:szCs w:val="19"/>
            </w:rPr>
            <w:t xml:space="preserve"> </w:t>
          </w:r>
          <w:r>
            <w:rPr>
              <w:rFonts w:ascii="SimSun" w:eastAsia="SimSun" w:hAnsi="SimSun" w:cs="SimSun"/>
              <w:spacing w:val="9"/>
              <w:sz w:val="19"/>
              <w:szCs w:val="19"/>
            </w:rPr>
            <w:t>0</w:t>
          </w:r>
          <w:r>
            <w:rPr>
              <w:rFonts w:ascii="SimSun" w:eastAsia="SimSun" w:hAnsi="SimSun" w:cs="SimSun"/>
              <w:spacing w:val="-36"/>
              <w:sz w:val="19"/>
              <w:szCs w:val="19"/>
            </w:rPr>
            <w:t xml:space="preserve"> </w:t>
          </w:r>
          <w:r>
            <w:rPr>
              <w:rFonts w:ascii="SimSun" w:eastAsia="SimSun" w:hAnsi="SimSun" w:cs="SimSun"/>
              <w:spacing w:val="9"/>
              <w:sz w:val="19"/>
              <w:szCs w:val="19"/>
            </w:rPr>
            <w:t>2</w:t>
          </w:r>
          <w:r>
            <w:rPr>
              <w:rFonts w:ascii="SimSun" w:eastAsia="SimSun" w:hAnsi="SimSun" w:cs="SimSun"/>
              <w:spacing w:val="-35"/>
              <w:sz w:val="19"/>
              <w:szCs w:val="19"/>
            </w:rPr>
            <w:t xml:space="preserve"> </w:t>
          </w:r>
          <w:r>
            <w:rPr>
              <w:rFonts w:ascii="SimSun" w:eastAsia="SimSun" w:hAnsi="SimSun" w:cs="SimSun"/>
              <w:spacing w:val="9"/>
              <w:sz w:val="19"/>
              <w:szCs w:val="19"/>
            </w:rPr>
            <w:t>2</w:t>
          </w:r>
          <w:r>
            <w:rPr>
              <w:rFonts w:ascii="SimSun" w:eastAsia="SimSun" w:hAnsi="SimSun" w:cs="SimSun"/>
              <w:spacing w:val="-57"/>
              <w:sz w:val="19"/>
              <w:szCs w:val="19"/>
            </w:rPr>
            <w:t xml:space="preserve"> </w:t>
          </w:r>
          <w:r>
            <w:rPr>
              <w:rFonts w:ascii="SimSun" w:eastAsia="SimSun" w:hAnsi="SimSun" w:cs="SimSun"/>
              <w:spacing w:val="9"/>
              <w:sz w:val="19"/>
              <w:szCs w:val="19"/>
            </w:rPr>
            <w:t>年我国养老金三支柱合计规模15万亿元，委</w:t>
          </w:r>
          <w:r>
            <w:rPr>
              <w:rFonts w:ascii="SimSun" w:eastAsia="SimSun" w:hAnsi="SimSun" w:cs="SimSun"/>
              <w:spacing w:val="8"/>
              <w:sz w:val="19"/>
              <w:szCs w:val="19"/>
            </w:rPr>
            <w:t>托管理规模7.9万亿元</w:t>
          </w:r>
          <w:r>
            <w:rPr>
              <w:rFonts w:ascii="SimSun" w:eastAsia="SimSun" w:hAnsi="SimSun" w:cs="SimSun"/>
              <w:spacing w:val="-73"/>
              <w:sz w:val="19"/>
              <w:szCs w:val="19"/>
            </w:rPr>
            <w:t xml:space="preserve"> </w:t>
          </w:r>
          <w:r>
            <w:rPr>
              <w:rFonts w:ascii="SimSun" w:eastAsia="SimSun" w:hAnsi="SimSun" w:cs="SimSun"/>
              <w:sz w:val="19"/>
              <w:szCs w:val="19"/>
            </w:rPr>
            <w:tab/>
          </w:r>
          <w:r>
            <w:rPr>
              <w:rFonts w:ascii="SimSun" w:eastAsia="SimSun" w:hAnsi="SimSun" w:cs="SimSun"/>
              <w:spacing w:val="-13"/>
              <w:sz w:val="19"/>
              <w:szCs w:val="19"/>
            </w:rPr>
            <w:t xml:space="preserve"> </w:t>
          </w:r>
          <w:hyperlink w:anchor="bookmark72" w:history="1">
            <w:r>
              <w:rPr>
                <w:rFonts w:ascii="Times New Roman" w:eastAsia="Times New Roman" w:hAnsi="Times New Roman" w:cs="Times New Roman"/>
                <w:sz w:val="19"/>
                <w:szCs w:val="19"/>
              </w:rPr>
              <w:t>7</w:t>
            </w:r>
          </w:hyperlink>
        </w:p>
      </w:sdtContent>
    </w:sdt>
    <w:sdt>
      <w:sdtPr>
        <w:rPr>
          <w:rFonts w:ascii="SimSun" w:eastAsia="SimSun" w:hAnsi="SimSun" w:cs="SimSun"/>
          <w:sz w:val="19"/>
          <w:szCs w:val="19"/>
        </w:rPr>
        <w:id w:val="1975660243"/>
        <w:docPartObj>
          <w:docPartGallery w:val="Table of Contents"/>
          <w:docPartUnique/>
        </w:docPartObj>
      </w:sdtPr>
      <w:sdtEndPr>
        <w:rPr>
          <w:rFonts w:ascii="Times New Roman" w:eastAsia="Times New Roman" w:hAnsi="Times New Roman" w:cs="Times New Roman"/>
          <w:sz w:val="19"/>
          <w:szCs w:val="19"/>
        </w:rPr>
      </w:sdtEndPr>
      <w:sdtContent>
        <w:p>
          <w:pPr>
            <w:tabs>
              <w:tab w:val="right" w:leader="dot" w:pos="10376"/>
            </w:tabs>
            <w:spacing w:before="114" w:line="219" w:lineRule="auto"/>
            <w:rPr>
              <w:rFonts w:ascii="Times New Roman" w:eastAsia="Times New Roman" w:hAnsi="Times New Roman" w:cs="Times New Roman"/>
              <w:sz w:val="19"/>
              <w:szCs w:val="19"/>
            </w:rPr>
          </w:pPr>
          <w:r>
            <w:rPr>
              <w:rFonts w:ascii="SimSun" w:eastAsia="SimSun" w:hAnsi="SimSun" w:cs="SimSun"/>
              <w:spacing w:val="2"/>
              <w:sz w:val="19"/>
              <w:szCs w:val="19"/>
            </w:rPr>
            <w:t>表</w:t>
          </w:r>
          <w:r>
            <w:rPr>
              <w:rFonts w:ascii="SimSun" w:eastAsia="SimSun" w:hAnsi="SimSun" w:cs="SimSun"/>
              <w:spacing w:val="-28"/>
              <w:sz w:val="19"/>
              <w:szCs w:val="19"/>
            </w:rPr>
            <w:t xml:space="preserve"> </w:t>
          </w:r>
          <w:r>
            <w:rPr>
              <w:rFonts w:ascii="SimSun" w:eastAsia="SimSun" w:hAnsi="SimSun" w:cs="SimSun"/>
              <w:spacing w:val="2"/>
              <w:sz w:val="19"/>
              <w:szCs w:val="19"/>
            </w:rPr>
            <w:t>2 :</w:t>
          </w:r>
          <w:r>
            <w:rPr>
              <w:rFonts w:ascii="SimSun" w:eastAsia="SimSun" w:hAnsi="SimSun" w:cs="SimSun"/>
              <w:spacing w:val="77"/>
              <w:sz w:val="19"/>
              <w:szCs w:val="19"/>
            </w:rPr>
            <w:t xml:space="preserve"> </w:t>
          </w:r>
          <w:r>
            <w:rPr>
              <w:rFonts w:ascii="SimSun" w:eastAsia="SimSun" w:hAnsi="SimSun" w:cs="SimSun"/>
              <w:spacing w:val="2"/>
              <w:sz w:val="19"/>
              <w:szCs w:val="19"/>
            </w:rPr>
            <w:t>基本养老保险在养老保险体系中起到“</w:t>
          </w:r>
          <w:r>
            <w:rPr>
              <w:rFonts w:ascii="SimSun" w:eastAsia="SimSun" w:hAnsi="SimSun" w:cs="SimSun"/>
              <w:spacing w:val="1"/>
              <w:sz w:val="19"/>
              <w:szCs w:val="19"/>
            </w:rPr>
            <w:t>保基本”作用</w:t>
          </w:r>
          <w:r>
            <w:rPr>
              <w:rFonts w:ascii="SimSun" w:eastAsia="SimSun" w:hAnsi="SimSun" w:cs="SimSun"/>
              <w:spacing w:val="-89"/>
              <w:sz w:val="19"/>
              <w:szCs w:val="19"/>
            </w:rPr>
            <w:t xml:space="preserve"> </w:t>
          </w:r>
          <w:r>
            <w:rPr>
              <w:rFonts w:ascii="SimSun" w:eastAsia="SimSun" w:hAnsi="SimSun" w:cs="SimSun"/>
              <w:sz w:val="19"/>
              <w:szCs w:val="19"/>
            </w:rPr>
            <w:tab/>
          </w:r>
          <w:r>
            <w:rPr>
              <w:rFonts w:ascii="SimSun" w:eastAsia="SimSun" w:hAnsi="SimSun" w:cs="SimSun"/>
              <w:spacing w:val="-54"/>
              <w:sz w:val="19"/>
              <w:szCs w:val="19"/>
            </w:rPr>
            <w:t xml:space="preserve"> </w:t>
          </w:r>
          <w:hyperlink w:anchor="bookmark73" w:history="1">
            <w:r>
              <w:rPr>
                <w:rFonts w:ascii="Times New Roman" w:eastAsia="Times New Roman" w:hAnsi="Times New Roman" w:cs="Times New Roman"/>
                <w:sz w:val="19"/>
                <w:szCs w:val="19"/>
              </w:rPr>
              <w:t>7</w:t>
            </w:r>
          </w:hyperlink>
        </w:p>
        <w:p>
          <w:pPr>
            <w:tabs>
              <w:tab w:val="right" w:leader="dot" w:pos="10376"/>
            </w:tabs>
            <w:spacing w:before="84" w:line="219" w:lineRule="auto"/>
            <w:rPr>
              <w:rFonts w:ascii="Times New Roman" w:eastAsia="Times New Roman" w:hAnsi="Times New Roman" w:cs="Times New Roman"/>
              <w:sz w:val="19"/>
              <w:szCs w:val="19"/>
            </w:rPr>
          </w:pPr>
          <w:r>
            <w:rPr>
              <w:rFonts w:ascii="SimSun" w:eastAsia="SimSun" w:hAnsi="SimSun" w:cs="SimSun"/>
              <w:spacing w:val="10"/>
              <w:sz w:val="19"/>
              <w:szCs w:val="19"/>
            </w:rPr>
            <w:t>表</w:t>
          </w:r>
          <w:r>
            <w:rPr>
              <w:rFonts w:ascii="SimSun" w:eastAsia="SimSun" w:hAnsi="SimSun" w:cs="SimSun"/>
              <w:spacing w:val="-6"/>
              <w:sz w:val="19"/>
              <w:szCs w:val="19"/>
            </w:rPr>
            <w:t xml:space="preserve"> </w:t>
          </w:r>
          <w:r>
            <w:rPr>
              <w:rFonts w:ascii="SimSun" w:eastAsia="SimSun" w:hAnsi="SimSun" w:cs="SimSun"/>
              <w:spacing w:val="10"/>
              <w:sz w:val="19"/>
              <w:szCs w:val="19"/>
            </w:rPr>
            <w:t>3 :</w:t>
          </w:r>
          <w:r>
            <w:rPr>
              <w:rFonts w:ascii="SimSun" w:eastAsia="SimSun" w:hAnsi="SimSun" w:cs="SimSun"/>
              <w:spacing w:val="64"/>
              <w:sz w:val="19"/>
              <w:szCs w:val="19"/>
            </w:rPr>
            <w:t xml:space="preserve"> </w:t>
          </w:r>
          <w:r>
            <w:rPr>
              <w:rFonts w:ascii="SimSun" w:eastAsia="SimSun" w:hAnsi="SimSun" w:cs="SimSun"/>
              <w:spacing w:val="10"/>
              <w:sz w:val="19"/>
              <w:szCs w:val="19"/>
            </w:rPr>
            <w:t>全国基本养老保险受托全国社保基金理事会管理资产，由21家资产管理公司参与投资</w:t>
          </w:r>
          <w:r>
            <w:rPr>
              <w:rFonts w:ascii="SimSun" w:eastAsia="SimSun" w:hAnsi="SimSun" w:cs="SimSun"/>
              <w:spacing w:val="-79"/>
              <w:sz w:val="19"/>
              <w:szCs w:val="19"/>
            </w:rPr>
            <w:t xml:space="preserve"> </w:t>
          </w:r>
          <w:r>
            <w:rPr>
              <w:rFonts w:ascii="SimSun" w:eastAsia="SimSun" w:hAnsi="SimSun" w:cs="SimSun"/>
              <w:sz w:val="19"/>
              <w:szCs w:val="19"/>
            </w:rPr>
            <w:tab/>
          </w:r>
          <w:r>
            <w:rPr>
              <w:rFonts w:ascii="SimSun" w:eastAsia="SimSun" w:hAnsi="SimSun" w:cs="SimSun"/>
              <w:spacing w:val="-63"/>
              <w:sz w:val="19"/>
              <w:szCs w:val="19"/>
            </w:rPr>
            <w:t xml:space="preserve"> </w:t>
          </w:r>
          <w:hyperlink w:anchor="bookmark74" w:history="1">
            <w:r>
              <w:rPr>
                <w:rFonts w:ascii="Times New Roman" w:eastAsia="Times New Roman" w:hAnsi="Times New Roman" w:cs="Times New Roman"/>
                <w:sz w:val="19"/>
                <w:szCs w:val="19"/>
              </w:rPr>
              <w:t>9</w:t>
            </w:r>
          </w:hyperlink>
        </w:p>
        <w:p>
          <w:pPr>
            <w:tabs>
              <w:tab w:val="right" w:leader="dot" w:pos="10386"/>
            </w:tabs>
            <w:spacing w:before="95" w:line="219" w:lineRule="auto"/>
            <w:rPr>
              <w:rFonts w:ascii="Times New Roman" w:eastAsia="Times New Roman" w:hAnsi="Times New Roman" w:cs="Times New Roman"/>
              <w:sz w:val="19"/>
              <w:szCs w:val="19"/>
            </w:rPr>
          </w:pPr>
          <w:r>
            <w:rPr>
              <w:rFonts w:ascii="SimSun" w:eastAsia="SimSun" w:hAnsi="SimSun" w:cs="SimSun"/>
              <w:spacing w:val="7"/>
              <w:sz w:val="19"/>
              <w:szCs w:val="19"/>
            </w:rPr>
            <w:t>表</w:t>
          </w:r>
          <w:r>
            <w:rPr>
              <w:rFonts w:ascii="SimSun" w:eastAsia="SimSun" w:hAnsi="SimSun" w:cs="SimSun"/>
              <w:spacing w:val="-1"/>
              <w:sz w:val="19"/>
              <w:szCs w:val="19"/>
            </w:rPr>
            <w:t xml:space="preserve"> </w:t>
          </w:r>
          <w:r>
            <w:rPr>
              <w:rFonts w:ascii="SimSun" w:eastAsia="SimSun" w:hAnsi="SimSun" w:cs="SimSun"/>
              <w:spacing w:val="7"/>
              <w:sz w:val="19"/>
              <w:szCs w:val="19"/>
            </w:rPr>
            <w:t>4 :</w:t>
          </w:r>
          <w:r>
            <w:rPr>
              <w:rFonts w:ascii="SimSun" w:eastAsia="SimSun" w:hAnsi="SimSun" w:cs="SimSun"/>
              <w:spacing w:val="71"/>
              <w:sz w:val="19"/>
              <w:szCs w:val="19"/>
            </w:rPr>
            <w:t xml:space="preserve"> </w:t>
          </w:r>
          <w:r>
            <w:rPr>
              <w:rFonts w:ascii="SimSun" w:eastAsia="SimSun" w:hAnsi="SimSun" w:cs="SimSun"/>
              <w:spacing w:val="7"/>
              <w:sz w:val="19"/>
              <w:szCs w:val="19"/>
            </w:rPr>
            <w:t>社保基金为重要补充来源，采用直接投资和委托投资相结合的方式</w:t>
          </w:r>
          <w:r>
            <w:rPr>
              <w:rFonts w:ascii="SimSun" w:eastAsia="SimSun" w:hAnsi="SimSun" w:cs="SimSun"/>
              <w:spacing w:val="-83"/>
              <w:sz w:val="19"/>
              <w:szCs w:val="19"/>
            </w:rPr>
            <w:t xml:space="preserve"> </w:t>
          </w:r>
          <w:r>
            <w:rPr>
              <w:rFonts w:ascii="SimSun" w:eastAsia="SimSun" w:hAnsi="SimSun" w:cs="SimSun"/>
              <w:sz w:val="19"/>
              <w:szCs w:val="19"/>
            </w:rPr>
            <w:tab/>
          </w:r>
          <w:r>
            <w:rPr>
              <w:rFonts w:ascii="SimSun" w:eastAsia="SimSun" w:hAnsi="SimSun" w:cs="SimSun"/>
              <w:spacing w:val="-63"/>
              <w:sz w:val="19"/>
              <w:szCs w:val="19"/>
            </w:rPr>
            <w:t xml:space="preserve"> </w:t>
          </w:r>
          <w:hyperlink w:anchor="bookmark75" w:history="1">
            <w:r>
              <w:rPr>
                <w:rFonts w:ascii="Times New Roman" w:eastAsia="Times New Roman" w:hAnsi="Times New Roman" w:cs="Times New Roman"/>
                <w:sz w:val="19"/>
                <w:szCs w:val="19"/>
              </w:rPr>
              <w:t>9</w:t>
            </w:r>
          </w:hyperlink>
        </w:p>
        <w:p>
          <w:pPr>
            <w:tabs>
              <w:tab w:val="right" w:leader="dot" w:pos="10416"/>
            </w:tabs>
            <w:spacing w:before="75" w:line="219" w:lineRule="auto"/>
            <w:rPr>
              <w:rFonts w:ascii="Times New Roman" w:eastAsia="Times New Roman" w:hAnsi="Times New Roman" w:cs="Times New Roman"/>
              <w:sz w:val="19"/>
              <w:szCs w:val="19"/>
            </w:rPr>
          </w:pPr>
          <w:r>
            <w:rPr>
              <w:rFonts w:ascii="SimSun" w:eastAsia="SimSun" w:hAnsi="SimSun" w:cs="SimSun"/>
              <w:spacing w:val="10"/>
              <w:sz w:val="19"/>
              <w:szCs w:val="19"/>
            </w:rPr>
            <w:t>表</w:t>
          </w:r>
          <w:r>
            <w:rPr>
              <w:rFonts w:ascii="SimSun" w:eastAsia="SimSun" w:hAnsi="SimSun" w:cs="SimSun"/>
              <w:spacing w:val="-11"/>
              <w:sz w:val="19"/>
              <w:szCs w:val="19"/>
            </w:rPr>
            <w:t xml:space="preserve"> </w:t>
          </w:r>
          <w:r>
            <w:rPr>
              <w:rFonts w:ascii="SimSun" w:eastAsia="SimSun" w:hAnsi="SimSun" w:cs="SimSun"/>
              <w:spacing w:val="10"/>
              <w:sz w:val="19"/>
              <w:szCs w:val="19"/>
            </w:rPr>
            <w:t>5 :</w:t>
          </w:r>
          <w:r>
            <w:rPr>
              <w:rFonts w:ascii="SimSun" w:eastAsia="SimSun" w:hAnsi="SimSun" w:cs="SimSun"/>
              <w:spacing w:val="67"/>
              <w:sz w:val="19"/>
              <w:szCs w:val="19"/>
            </w:rPr>
            <w:t xml:space="preserve"> </w:t>
          </w:r>
          <w:r>
            <w:rPr>
              <w:rFonts w:ascii="SimSun" w:eastAsia="SimSun" w:hAnsi="SimSun" w:cs="SimSun"/>
              <w:spacing w:val="10"/>
              <w:sz w:val="19"/>
              <w:szCs w:val="19"/>
            </w:rPr>
            <w:t>我们测算2022年全国社保基金和基本养老保险权益配置占比较低</w:t>
          </w:r>
          <w:r>
            <w:rPr>
              <w:rFonts w:ascii="SimSun" w:eastAsia="SimSun" w:hAnsi="SimSun" w:cs="SimSun"/>
              <w:spacing w:val="-77"/>
              <w:sz w:val="19"/>
              <w:szCs w:val="19"/>
            </w:rPr>
            <w:t xml:space="preserve"> </w:t>
          </w:r>
          <w:r>
            <w:rPr>
              <w:rFonts w:ascii="SimSun" w:eastAsia="SimSun" w:hAnsi="SimSun" w:cs="SimSun"/>
              <w:sz w:val="19"/>
              <w:szCs w:val="19"/>
            </w:rPr>
            <w:tab/>
          </w:r>
          <w:r>
            <w:rPr>
              <w:rFonts w:ascii="SimSun" w:eastAsia="SimSun" w:hAnsi="SimSun" w:cs="SimSun"/>
              <w:spacing w:val="-23"/>
              <w:sz w:val="19"/>
              <w:szCs w:val="19"/>
            </w:rPr>
            <w:t xml:space="preserve"> </w:t>
          </w:r>
          <w:hyperlink w:anchor="bookmark76" w:history="1">
            <w:r>
              <w:rPr>
                <w:rFonts w:ascii="Times New Roman" w:eastAsia="Times New Roman" w:hAnsi="Times New Roman" w:cs="Times New Roman"/>
                <w:spacing w:val="-6"/>
                <w:sz w:val="19"/>
                <w:szCs w:val="19"/>
              </w:rPr>
              <w:t>11</w:t>
            </w:r>
          </w:hyperlink>
        </w:p>
        <w:p>
          <w:pPr>
            <w:tabs>
              <w:tab w:val="right" w:leader="dot" w:pos="10276"/>
            </w:tabs>
            <w:spacing w:before="95" w:line="219" w:lineRule="auto"/>
            <w:rPr>
              <w:rFonts w:ascii="Times New Roman" w:eastAsia="Times New Roman" w:hAnsi="Times New Roman" w:cs="Times New Roman"/>
              <w:sz w:val="19"/>
              <w:szCs w:val="19"/>
            </w:rPr>
          </w:pPr>
          <w:r>
            <w:rPr>
              <w:rFonts w:ascii="SimSun" w:eastAsia="SimSun" w:hAnsi="SimSun" w:cs="SimSun"/>
              <w:spacing w:val="11"/>
              <w:sz w:val="19"/>
              <w:szCs w:val="19"/>
            </w:rPr>
            <w:t>表 6 :</w:t>
          </w:r>
          <w:r>
            <w:rPr>
              <w:rFonts w:ascii="SimSun" w:eastAsia="SimSun" w:hAnsi="SimSun" w:cs="SimSun"/>
              <w:spacing w:val="94"/>
              <w:sz w:val="19"/>
              <w:szCs w:val="19"/>
            </w:rPr>
            <w:t xml:space="preserve"> </w:t>
          </w:r>
          <w:r>
            <w:rPr>
              <w:rFonts w:ascii="SimSun" w:eastAsia="SimSun" w:hAnsi="SimSun" w:cs="SimSun"/>
              <w:spacing w:val="11"/>
              <w:sz w:val="19"/>
              <w:szCs w:val="19"/>
            </w:rPr>
            <w:t>企业年金可投资于银行存款、股票、基金等产品，权益资产比例上限为40%</w:t>
          </w:r>
          <w:r>
            <w:rPr>
              <w:rFonts w:ascii="SimSun" w:eastAsia="SimSun" w:hAnsi="SimSun" w:cs="SimSun"/>
              <w:sz w:val="19"/>
              <w:szCs w:val="19"/>
            </w:rPr>
            <w:tab/>
          </w:r>
          <w:hyperlink w:anchor="bookmark77" w:history="1">
            <w:r>
              <w:rPr>
                <w:rFonts w:ascii="Times New Roman" w:eastAsia="Times New Roman" w:hAnsi="Times New Roman" w:cs="Times New Roman"/>
                <w:spacing w:val="-4"/>
                <w:sz w:val="19"/>
                <w:szCs w:val="19"/>
              </w:rPr>
              <w:t>13</w:t>
            </w:r>
          </w:hyperlink>
        </w:p>
        <w:p>
          <w:pPr>
            <w:tabs>
              <w:tab w:val="right" w:leader="dot" w:pos="10356"/>
            </w:tabs>
            <w:spacing w:before="67" w:line="212" w:lineRule="auto"/>
            <w:rPr>
              <w:rFonts w:ascii="Times New Roman" w:eastAsia="Times New Roman" w:hAnsi="Times New Roman" w:cs="Times New Roman"/>
              <w:sz w:val="19"/>
              <w:szCs w:val="19"/>
            </w:rPr>
          </w:pPr>
          <w:r>
            <w:rPr>
              <w:rFonts w:ascii="SimSun" w:eastAsia="SimSun" w:hAnsi="SimSun" w:cs="SimSun"/>
              <w:spacing w:val="11"/>
              <w:sz w:val="19"/>
              <w:szCs w:val="19"/>
            </w:rPr>
            <w:t>表</w:t>
          </w:r>
          <w:r>
            <w:rPr>
              <w:rFonts w:ascii="SimSun" w:eastAsia="SimSun" w:hAnsi="SimSun" w:cs="SimSun"/>
              <w:spacing w:val="-27"/>
              <w:sz w:val="19"/>
              <w:szCs w:val="19"/>
            </w:rPr>
            <w:t xml:space="preserve"> </w:t>
          </w:r>
          <w:r>
            <w:rPr>
              <w:rFonts w:ascii="SimSun" w:eastAsia="SimSun" w:hAnsi="SimSun" w:cs="SimSun"/>
              <w:spacing w:val="11"/>
              <w:sz w:val="19"/>
              <w:szCs w:val="19"/>
            </w:rPr>
            <w:t>7</w:t>
          </w:r>
          <w:r>
            <w:rPr>
              <w:rFonts w:ascii="SimSun" w:eastAsia="SimSun" w:hAnsi="SimSun" w:cs="SimSun"/>
              <w:spacing w:val="-12"/>
              <w:sz w:val="19"/>
              <w:szCs w:val="19"/>
            </w:rPr>
            <w:t xml:space="preserve"> </w:t>
          </w:r>
          <w:r>
            <w:rPr>
              <w:rFonts w:ascii="SimSun" w:eastAsia="SimSun" w:hAnsi="SimSun" w:cs="SimSun"/>
              <w:spacing w:val="11"/>
              <w:sz w:val="19"/>
              <w:szCs w:val="19"/>
            </w:rPr>
            <w:t>:</w:t>
          </w:r>
          <w:r>
            <w:rPr>
              <w:rFonts w:ascii="SimSun" w:eastAsia="SimSun" w:hAnsi="SimSun" w:cs="SimSun"/>
              <w:spacing w:val="77"/>
              <w:sz w:val="19"/>
              <w:szCs w:val="19"/>
            </w:rPr>
            <w:t xml:space="preserve"> </w:t>
          </w:r>
          <w:r>
            <w:rPr>
              <w:rFonts w:ascii="SimSun" w:eastAsia="SimSun" w:hAnsi="SimSun" w:cs="SimSun"/>
              <w:spacing w:val="11"/>
              <w:sz w:val="19"/>
              <w:szCs w:val="19"/>
            </w:rPr>
            <w:t>我们测算2023</w:t>
          </w:r>
          <w:r>
            <w:rPr>
              <w:rFonts w:ascii="Times New Roman" w:eastAsia="Times New Roman" w:hAnsi="Times New Roman" w:cs="Times New Roman"/>
              <w:spacing w:val="11"/>
              <w:sz w:val="19"/>
              <w:szCs w:val="19"/>
            </w:rPr>
            <w:t>Q</w:t>
          </w:r>
          <w:r>
            <w:rPr>
              <w:rFonts w:ascii="SimSun" w:eastAsia="SimSun" w:hAnsi="SimSun" w:cs="SimSun"/>
              <w:spacing w:val="11"/>
              <w:sz w:val="19"/>
              <w:szCs w:val="19"/>
            </w:rPr>
            <w:t>3末企业年金中的养老金产品权益类资产规模占比6.3%</w:t>
          </w:r>
          <w:r>
            <w:rPr>
              <w:rFonts w:ascii="SimSun" w:eastAsia="SimSun" w:hAnsi="SimSun" w:cs="SimSun"/>
              <w:spacing w:val="-70"/>
              <w:sz w:val="19"/>
              <w:szCs w:val="19"/>
            </w:rPr>
            <w:t xml:space="preserve"> </w:t>
          </w:r>
          <w:r>
            <w:rPr>
              <w:rFonts w:ascii="SimSun" w:eastAsia="SimSun" w:hAnsi="SimSun" w:cs="SimSun"/>
              <w:sz w:val="19"/>
              <w:szCs w:val="19"/>
            </w:rPr>
            <w:tab/>
          </w:r>
          <w:hyperlink w:anchor="bookmark78" w:history="1">
            <w:r>
              <w:rPr>
                <w:rFonts w:ascii="Times New Roman" w:eastAsia="Times New Roman" w:hAnsi="Times New Roman" w:cs="Times New Roman"/>
                <w:spacing w:val="-4"/>
                <w:sz w:val="19"/>
                <w:szCs w:val="19"/>
              </w:rPr>
              <w:t>13</w:t>
            </w:r>
          </w:hyperlink>
        </w:p>
        <w:p>
          <w:pPr>
            <w:tabs>
              <w:tab w:val="right" w:leader="dot" w:pos="10356"/>
            </w:tabs>
            <w:spacing w:before="110" w:line="219" w:lineRule="auto"/>
            <w:rPr>
              <w:rFonts w:ascii="Times New Roman" w:eastAsia="Times New Roman" w:hAnsi="Times New Roman" w:cs="Times New Roman"/>
              <w:sz w:val="19"/>
              <w:szCs w:val="19"/>
            </w:rPr>
          </w:pPr>
          <w:r>
            <w:rPr>
              <w:rFonts w:ascii="SimSun" w:eastAsia="SimSun" w:hAnsi="SimSun" w:cs="SimSun"/>
              <w:spacing w:val="8"/>
              <w:sz w:val="19"/>
              <w:szCs w:val="19"/>
            </w:rPr>
            <w:t>表</w:t>
          </w:r>
          <w:r>
            <w:rPr>
              <w:rFonts w:ascii="SimSun" w:eastAsia="SimSun" w:hAnsi="SimSun" w:cs="SimSun"/>
              <w:spacing w:val="-33"/>
              <w:sz w:val="19"/>
              <w:szCs w:val="19"/>
            </w:rPr>
            <w:t xml:space="preserve"> </w:t>
          </w:r>
          <w:r>
            <w:rPr>
              <w:rFonts w:ascii="SimSun" w:eastAsia="SimSun" w:hAnsi="SimSun" w:cs="SimSun"/>
              <w:spacing w:val="8"/>
              <w:sz w:val="19"/>
              <w:szCs w:val="19"/>
            </w:rPr>
            <w:t>8 :</w:t>
          </w:r>
          <w:r>
            <w:rPr>
              <w:rFonts w:ascii="SimSun" w:eastAsia="SimSun" w:hAnsi="SimSun" w:cs="SimSun"/>
              <w:spacing w:val="64"/>
              <w:sz w:val="19"/>
              <w:szCs w:val="19"/>
            </w:rPr>
            <w:t xml:space="preserve"> </w:t>
          </w:r>
          <w:r>
            <w:rPr>
              <w:rFonts w:ascii="SimSun" w:eastAsia="SimSun" w:hAnsi="SimSun" w:cs="SimSun"/>
              <w:spacing w:val="8"/>
              <w:sz w:val="19"/>
              <w:szCs w:val="19"/>
            </w:rPr>
            <w:t>银行理财、保险和基金产品纳入个人养老金体系下</w:t>
          </w:r>
          <w:r>
            <w:rPr>
              <w:rFonts w:ascii="SimSun" w:eastAsia="SimSun" w:hAnsi="SimSun" w:cs="SimSun"/>
              <w:spacing w:val="7"/>
              <w:sz w:val="19"/>
              <w:szCs w:val="19"/>
            </w:rPr>
            <w:t>，合计规模约万亿元</w:t>
          </w:r>
          <w:r>
            <w:rPr>
              <w:rFonts w:ascii="SimSun" w:eastAsia="SimSun" w:hAnsi="SimSun" w:cs="SimSun"/>
              <w:spacing w:val="-73"/>
              <w:sz w:val="19"/>
              <w:szCs w:val="19"/>
            </w:rPr>
            <w:t xml:space="preserve"> </w:t>
          </w:r>
          <w:r>
            <w:rPr>
              <w:rFonts w:ascii="SimSun" w:eastAsia="SimSun" w:hAnsi="SimSun" w:cs="SimSun"/>
              <w:sz w:val="19"/>
              <w:szCs w:val="19"/>
            </w:rPr>
            <w:tab/>
          </w:r>
          <w:hyperlink w:anchor="bookmark79" w:history="1">
            <w:r>
              <w:rPr>
                <w:rFonts w:ascii="Times New Roman" w:eastAsia="Times New Roman" w:hAnsi="Times New Roman" w:cs="Times New Roman"/>
                <w:spacing w:val="-4"/>
                <w:sz w:val="19"/>
                <w:szCs w:val="19"/>
              </w:rPr>
              <w:t>14</w:t>
            </w:r>
          </w:hyperlink>
        </w:p>
        <w:p>
          <w:pPr>
            <w:tabs>
              <w:tab w:val="right" w:leader="dot" w:pos="10356"/>
            </w:tabs>
            <w:spacing w:before="65" w:line="219" w:lineRule="auto"/>
            <w:rPr>
              <w:rFonts w:ascii="Times New Roman" w:eastAsia="Times New Roman" w:hAnsi="Times New Roman" w:cs="Times New Roman"/>
              <w:sz w:val="19"/>
              <w:szCs w:val="19"/>
            </w:rPr>
          </w:pPr>
          <w:r>
            <w:rPr>
              <w:rFonts w:ascii="SimSun" w:eastAsia="SimSun" w:hAnsi="SimSun" w:cs="SimSun"/>
              <w:spacing w:val="23"/>
              <w:sz w:val="19"/>
              <w:szCs w:val="19"/>
            </w:rPr>
            <w:t>表9:2006-2009年</w:t>
          </w:r>
          <w:r>
            <w:rPr>
              <w:rFonts w:ascii="SimSun" w:eastAsia="SimSun" w:hAnsi="SimSun" w:cs="SimSun"/>
              <w:sz w:val="19"/>
              <w:szCs w:val="19"/>
            </w:rPr>
            <w:t>GP</w:t>
          </w:r>
          <w:r>
            <w:rPr>
              <w:rFonts w:ascii="SimSun" w:eastAsia="SimSun" w:hAnsi="SimSun" w:cs="SimSun"/>
              <w:spacing w:val="-30"/>
              <w:sz w:val="19"/>
              <w:szCs w:val="19"/>
            </w:rPr>
            <w:t xml:space="preserve"> </w:t>
          </w:r>
          <w:r>
            <w:rPr>
              <w:rFonts w:ascii="SimSun" w:eastAsia="SimSun" w:hAnsi="SimSun" w:cs="SimSun"/>
              <w:sz w:val="19"/>
              <w:szCs w:val="19"/>
            </w:rPr>
            <w:t>IF</w:t>
          </w:r>
          <w:r>
            <w:rPr>
              <w:rFonts w:ascii="SimSun" w:eastAsia="SimSun" w:hAnsi="SimSun" w:cs="SimSun"/>
              <w:spacing w:val="-39"/>
              <w:sz w:val="19"/>
              <w:szCs w:val="19"/>
            </w:rPr>
            <w:t xml:space="preserve"> </w:t>
          </w:r>
          <w:r>
            <w:rPr>
              <w:rFonts w:ascii="SimSun" w:eastAsia="SimSun" w:hAnsi="SimSun" w:cs="SimSun"/>
              <w:spacing w:val="23"/>
              <w:sz w:val="19"/>
              <w:szCs w:val="19"/>
            </w:rPr>
            <w:t>第一期中期目标资产配置结构权益占比约20%</w:t>
          </w:r>
          <w:r>
            <w:rPr>
              <w:rFonts w:ascii="SimSun" w:eastAsia="SimSun" w:hAnsi="SimSun" w:cs="SimSun"/>
              <w:spacing w:val="-69"/>
              <w:sz w:val="19"/>
              <w:szCs w:val="19"/>
            </w:rPr>
            <w:t xml:space="preserve"> </w:t>
          </w:r>
          <w:r>
            <w:rPr>
              <w:rFonts w:ascii="SimSun" w:eastAsia="SimSun" w:hAnsi="SimSun" w:cs="SimSun"/>
              <w:sz w:val="19"/>
              <w:szCs w:val="19"/>
            </w:rPr>
            <w:tab/>
          </w:r>
          <w:hyperlink w:anchor="bookmark80" w:history="1">
            <w:r>
              <w:rPr>
                <w:rFonts w:ascii="Times New Roman" w:eastAsia="Times New Roman" w:hAnsi="Times New Roman" w:cs="Times New Roman"/>
                <w:spacing w:val="-4"/>
                <w:sz w:val="19"/>
                <w:szCs w:val="19"/>
              </w:rPr>
              <w:t>17</w:t>
            </w:r>
          </w:hyperlink>
        </w:p>
        <w:p>
          <w:pPr>
            <w:tabs>
              <w:tab w:val="right" w:leader="dot" w:pos="10336"/>
            </w:tabs>
            <w:spacing w:before="154" w:line="219" w:lineRule="auto"/>
            <w:rPr>
              <w:rFonts w:ascii="Times New Roman" w:eastAsia="Times New Roman" w:hAnsi="Times New Roman" w:cs="Times New Roman"/>
              <w:sz w:val="19"/>
              <w:szCs w:val="19"/>
            </w:rPr>
          </w:pPr>
          <w:r>
            <w:rPr>
              <w:rFonts w:ascii="SimSun" w:eastAsia="SimSun" w:hAnsi="SimSun" w:cs="SimSun"/>
              <w:spacing w:val="18"/>
              <w:sz w:val="19"/>
              <w:szCs w:val="19"/>
            </w:rPr>
            <w:t>表10:</w:t>
          </w:r>
          <w:r>
            <w:rPr>
              <w:rFonts w:ascii="SimSun" w:eastAsia="SimSun" w:hAnsi="SimSun" w:cs="SimSun"/>
              <w:spacing w:val="47"/>
              <w:sz w:val="19"/>
              <w:szCs w:val="19"/>
            </w:rPr>
            <w:t xml:space="preserve"> </w:t>
          </w:r>
          <w:r>
            <w:rPr>
              <w:rFonts w:ascii="SimSun" w:eastAsia="SimSun" w:hAnsi="SimSun" w:cs="SimSun"/>
              <w:spacing w:val="18"/>
              <w:sz w:val="19"/>
              <w:szCs w:val="19"/>
            </w:rPr>
            <w:t>2020-2024年</w:t>
          </w:r>
          <w:r>
            <w:rPr>
              <w:rFonts w:ascii="SimSun" w:eastAsia="SimSun" w:hAnsi="SimSun" w:cs="SimSun"/>
              <w:sz w:val="19"/>
              <w:szCs w:val="19"/>
            </w:rPr>
            <w:t>GP</w:t>
          </w:r>
          <w:r>
            <w:rPr>
              <w:rFonts w:ascii="SimSun" w:eastAsia="SimSun" w:hAnsi="SimSun" w:cs="SimSun"/>
              <w:spacing w:val="-39"/>
              <w:sz w:val="19"/>
              <w:szCs w:val="19"/>
            </w:rPr>
            <w:t xml:space="preserve"> </w:t>
          </w:r>
          <w:r>
            <w:rPr>
              <w:rFonts w:ascii="SimSun" w:eastAsia="SimSun" w:hAnsi="SimSun" w:cs="SimSun"/>
              <w:sz w:val="19"/>
              <w:szCs w:val="19"/>
            </w:rPr>
            <w:t>IF</w:t>
          </w:r>
          <w:r>
            <w:rPr>
              <w:rFonts w:ascii="SimSun" w:eastAsia="SimSun" w:hAnsi="SimSun" w:cs="SimSun"/>
              <w:spacing w:val="18"/>
              <w:sz w:val="19"/>
              <w:szCs w:val="19"/>
            </w:rPr>
            <w:t>第四期中期目标资产配置结构权益占比约50%</w:t>
          </w:r>
          <w:r>
            <w:rPr>
              <w:rFonts w:ascii="SimSun" w:eastAsia="SimSun" w:hAnsi="SimSun" w:cs="SimSun"/>
              <w:spacing w:val="-69"/>
              <w:sz w:val="19"/>
              <w:szCs w:val="19"/>
            </w:rPr>
            <w:t xml:space="preserve"> </w:t>
          </w:r>
          <w:r>
            <w:rPr>
              <w:rFonts w:ascii="SimSun" w:eastAsia="SimSun" w:hAnsi="SimSun" w:cs="SimSun"/>
              <w:sz w:val="19"/>
              <w:szCs w:val="19"/>
            </w:rPr>
            <w:tab/>
          </w:r>
          <w:hyperlink w:anchor="bookmark81" w:history="1">
            <w:r>
              <w:rPr>
                <w:rFonts w:ascii="Times New Roman" w:eastAsia="Times New Roman" w:hAnsi="Times New Roman" w:cs="Times New Roman"/>
                <w:spacing w:val="-4"/>
                <w:sz w:val="19"/>
                <w:szCs w:val="19"/>
              </w:rPr>
              <w:t>17</w:t>
            </w:r>
          </w:hyperlink>
        </w:p>
      </w:sdtContent>
    </w:sdt>
    <w:p>
      <w:pPr>
        <w:spacing w:line="219" w:lineRule="auto"/>
        <w:rPr>
          <w:rFonts w:ascii="Times New Roman" w:eastAsia="Times New Roman" w:hAnsi="Times New Roman" w:cs="Times New Roman"/>
          <w:sz w:val="19"/>
          <w:szCs w:val="19"/>
        </w:rPr>
        <w:sectPr>
          <w:footerReference w:type="default" r:id="rId17"/>
          <w:type w:val="nextPage"/>
          <w:pgSz w:w="11910" w:h="16840"/>
          <w:pgMar w:top="156" w:right="660" w:bottom="1129" w:left="689" w:header="0" w:footer="860" w:gutter="0"/>
          <w:pgNumType w:start="8"/>
          <w:cols w:space="708"/>
          <w:titlePg w:val="0"/>
        </w:sectPr>
      </w:pPr>
    </w:p>
    <w:p>
      <w:pPr>
        <w:spacing w:before="153"/>
        <w:ind w:left="200"/>
        <w:rPr>
          <w:rFonts w:ascii="SimSun" w:eastAsia="SimSun" w:hAnsi="SimSun" w:cs="SimSun"/>
          <w:sz w:val="59"/>
          <w:szCs w:val="59"/>
        </w:rPr>
      </w:pPr>
      <w:r>
        <w:rPr>
          <w:rFonts w:ascii="SimSun" w:eastAsia="SimSun" w:hAnsi="SimSun" w:cs="SimSun"/>
          <w:position w:val="-17"/>
          <w:sz w:val="59"/>
          <w:szCs w:val="59"/>
        </w:rPr>
        <w:drawing>
          <wp:inline distT="0" distB="0" distL="0" distR="0">
            <wp:extent cx="571449" cy="48890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5"/>
                    <a:stretch>
                      <a:fillRect/>
                    </a:stretch>
                  </pic:blipFill>
                  <pic:spPr>
                    <a:xfrm>
                      <a:off x="0" y="0"/>
                      <a:ext cx="571449" cy="488901"/>
                    </a:xfrm>
                    <a:prstGeom prst="rect">
                      <a:avLst/>
                    </a:prstGeom>
                  </pic:spPr>
                </pic:pic>
              </a:graphicData>
            </a:graphic>
          </wp:inline>
        </w:drawing>
      </w:r>
      <w:r>
        <w:rPr>
          <w:rFonts w:ascii="SimSun" w:eastAsia="SimSun" w:hAnsi="SimSun" w:cs="SimSun"/>
          <w:b/>
          <w:bCs/>
          <w:spacing w:val="48"/>
          <w:sz w:val="59"/>
          <w:szCs w:val="59"/>
        </w:rPr>
        <w:t>开源证券</w:t>
      </w:r>
    </w:p>
    <w:p>
      <w:pPr>
        <w:spacing w:before="21" w:line="218" w:lineRule="auto"/>
        <w:ind w:left="9172"/>
        <w:rPr>
          <w:rFonts w:ascii="SimSun" w:eastAsia="SimSun" w:hAnsi="SimSun" w:cs="SimSun"/>
          <w:sz w:val="19"/>
          <w:szCs w:val="19"/>
        </w:rPr>
      </w:pPr>
      <w:r>
        <w:rPr>
          <w:rFonts w:ascii="SimSun" w:eastAsia="SimSun" w:hAnsi="SimSun" w:cs="SimSun"/>
          <w:b/>
          <w:bCs/>
          <w:spacing w:val="7"/>
          <w:sz w:val="19"/>
          <w:szCs w:val="19"/>
        </w:rPr>
        <w:t>行业深度报告</w:t>
      </w:r>
    </w:p>
    <w:sdt>
      <w:sdtPr>
        <w:rPr>
          <w:rFonts w:ascii="KaiTi" w:eastAsia="KaiTi" w:hAnsi="KaiTi" w:cs="KaiTi"/>
          <w:sz w:val="19"/>
          <w:szCs w:val="19"/>
        </w:rPr>
        <w:id w:val="983351735"/>
        <w:docPartObj>
          <w:docPartGallery w:val="Table of Contents"/>
          <w:docPartUnique/>
        </w:docPartObj>
      </w:sdtPr>
      <w:sdtEndPr>
        <w:rPr>
          <w:rFonts w:ascii="Times New Roman" w:eastAsia="Times New Roman" w:hAnsi="Times New Roman" w:cs="Times New Roman"/>
          <w:sz w:val="19"/>
          <w:szCs w:val="19"/>
        </w:rPr>
      </w:sdtEndPr>
      <w:sdtContent>
        <w:p>
          <w:pPr>
            <w:pStyle w:val="BodyText"/>
            <w:tabs>
              <w:tab w:val="right" w:leader="dot" w:pos="10356"/>
            </w:tabs>
            <w:spacing w:before="162" w:line="220" w:lineRule="auto"/>
            <w:rPr>
              <w:rFonts w:ascii="Times New Roman" w:eastAsia="Times New Roman" w:hAnsi="Times New Roman" w:cs="Times New Roman"/>
              <w:sz w:val="19"/>
              <w:szCs w:val="19"/>
            </w:rPr>
          </w:pPr>
          <w:r>
            <w:rPr>
              <w:spacing w:val="12"/>
              <w:sz w:val="19"/>
              <w:szCs w:val="19"/>
            </w:rPr>
            <w:t>表11:</w:t>
          </w:r>
          <w:r>
            <w:rPr>
              <w:spacing w:val="12"/>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47"/>
              <w:w w:val="101"/>
              <w:sz w:val="19"/>
              <w:szCs w:val="19"/>
            </w:rPr>
            <w:t xml:space="preserve"> </w:t>
          </w:r>
          <w:r>
            <w:rPr>
              <w:spacing w:val="12"/>
              <w:sz w:val="19"/>
              <w:szCs w:val="19"/>
            </w:rPr>
            <w:t>委托管理人以具有一定规模的资产管理公司为主，每年要求综合评估，动态调整运营机构</w:t>
          </w:r>
          <w:r>
            <w:rPr>
              <w:spacing w:val="-81"/>
              <w:sz w:val="19"/>
              <w:szCs w:val="19"/>
            </w:rPr>
            <w:t xml:space="preserve"> </w:t>
          </w:r>
          <w:r>
            <w:rPr>
              <w:sz w:val="19"/>
              <w:szCs w:val="19"/>
            </w:rPr>
            <w:tab/>
          </w:r>
          <w:r>
            <w:rPr>
              <w:spacing w:val="-53"/>
              <w:sz w:val="19"/>
              <w:szCs w:val="19"/>
            </w:rPr>
            <w:t xml:space="preserve"> </w:t>
          </w:r>
          <w:hyperlink w:anchor="bookmark82" w:history="1">
            <w:r>
              <w:rPr>
                <w:rFonts w:ascii="Times New Roman" w:eastAsia="Times New Roman" w:hAnsi="Times New Roman" w:cs="Times New Roman"/>
                <w:spacing w:val="-6"/>
                <w:sz w:val="19"/>
                <w:szCs w:val="19"/>
              </w:rPr>
              <w:t>18</w:t>
            </w:r>
          </w:hyperlink>
        </w:p>
        <w:p>
          <w:pPr>
            <w:pStyle w:val="BodyText"/>
            <w:tabs>
              <w:tab w:val="right" w:leader="dot" w:pos="10346"/>
            </w:tabs>
            <w:spacing w:before="93" w:line="220" w:lineRule="auto"/>
            <w:rPr>
              <w:rFonts w:ascii="Times New Roman" w:eastAsia="Times New Roman" w:hAnsi="Times New Roman" w:cs="Times New Roman"/>
              <w:sz w:val="19"/>
              <w:szCs w:val="19"/>
            </w:rPr>
          </w:pPr>
          <w:r>
            <w:rPr>
              <w:spacing w:val="12"/>
              <w:sz w:val="19"/>
              <w:szCs w:val="19"/>
            </w:rPr>
            <w:t>表12:</w:t>
          </w:r>
          <w:r>
            <w:rPr>
              <w:spacing w:val="75"/>
              <w:sz w:val="19"/>
              <w:szCs w:val="19"/>
            </w:rPr>
            <w:t xml:space="preserve"> </w:t>
          </w:r>
          <w:r>
            <w:rPr>
              <w:rFonts w:ascii="Times New Roman" w:eastAsia="Times New Roman" w:hAnsi="Times New Roman" w:cs="Times New Roman"/>
              <w:sz w:val="19"/>
              <w:szCs w:val="19"/>
            </w:rPr>
            <w:t>GPIF</w:t>
          </w:r>
          <w:r>
            <w:rPr>
              <w:rFonts w:ascii="Times New Roman" w:eastAsia="Times New Roman" w:hAnsi="Times New Roman" w:cs="Times New Roman"/>
              <w:spacing w:val="38"/>
              <w:sz w:val="19"/>
              <w:szCs w:val="19"/>
            </w:rPr>
            <w:t xml:space="preserve"> </w:t>
          </w:r>
          <w:r>
            <w:rPr>
              <w:spacing w:val="12"/>
              <w:sz w:val="19"/>
              <w:szCs w:val="19"/>
            </w:rPr>
            <w:t>委托管理人以全球知名资产管理公司为主，规模集中度较高</w:t>
          </w:r>
          <w:r>
            <w:rPr>
              <w:spacing w:val="-89"/>
              <w:sz w:val="19"/>
              <w:szCs w:val="19"/>
            </w:rPr>
            <w:t xml:space="preserve"> </w:t>
          </w:r>
          <w:r>
            <w:rPr>
              <w:sz w:val="19"/>
              <w:szCs w:val="19"/>
            </w:rPr>
            <w:tab/>
          </w:r>
          <w:hyperlink w:anchor="bookmark83" w:history="1">
            <w:r>
              <w:rPr>
                <w:rFonts w:ascii="Times New Roman" w:eastAsia="Times New Roman" w:hAnsi="Times New Roman" w:cs="Times New Roman"/>
                <w:spacing w:val="-4"/>
                <w:sz w:val="19"/>
                <w:szCs w:val="19"/>
              </w:rPr>
              <w:t>19</w:t>
            </w:r>
          </w:hyperlink>
        </w:p>
        <w:p>
          <w:pPr>
            <w:pStyle w:val="BodyText"/>
            <w:tabs>
              <w:tab w:val="right" w:leader="dot" w:pos="10375"/>
            </w:tabs>
            <w:spacing w:before="114" w:line="220" w:lineRule="auto"/>
            <w:rPr>
              <w:rFonts w:ascii="Times New Roman" w:eastAsia="Times New Roman" w:hAnsi="Times New Roman" w:cs="Times New Roman"/>
              <w:sz w:val="19"/>
              <w:szCs w:val="19"/>
            </w:rPr>
          </w:pPr>
          <w:r>
            <w:rPr>
              <w:spacing w:val="14"/>
              <w:sz w:val="19"/>
              <w:szCs w:val="19"/>
            </w:rPr>
            <w:t>表13:</w:t>
          </w:r>
          <w:r>
            <w:rPr>
              <w:spacing w:val="81"/>
              <w:sz w:val="19"/>
              <w:szCs w:val="19"/>
            </w:rPr>
            <w:t xml:space="preserve"> </w:t>
          </w:r>
          <w:r>
            <w:rPr>
              <w:spacing w:val="14"/>
              <w:sz w:val="19"/>
              <w:szCs w:val="19"/>
            </w:rPr>
            <w:t>2022年</w:t>
          </w:r>
          <w:r>
            <w:rPr>
              <w:spacing w:val="-30"/>
              <w:sz w:val="19"/>
              <w:szCs w:val="19"/>
            </w:rPr>
            <w:t xml:space="preserve"> </w:t>
          </w:r>
          <w:r>
            <w:rPr>
              <w:sz w:val="19"/>
              <w:szCs w:val="19"/>
            </w:rPr>
            <w:t>N</w:t>
          </w:r>
          <w:r>
            <w:rPr>
              <w:spacing w:val="-28"/>
              <w:sz w:val="19"/>
              <w:szCs w:val="19"/>
            </w:rPr>
            <w:t xml:space="preserve"> </w:t>
          </w:r>
          <w:r>
            <w:rPr>
              <w:sz w:val="19"/>
              <w:szCs w:val="19"/>
            </w:rPr>
            <w:t>E</w:t>
          </w:r>
          <w:r>
            <w:rPr>
              <w:spacing w:val="-31"/>
              <w:sz w:val="19"/>
              <w:szCs w:val="19"/>
            </w:rPr>
            <w:t xml:space="preserve"> </w:t>
          </w:r>
          <w:r>
            <w:rPr>
              <w:sz w:val="19"/>
              <w:szCs w:val="19"/>
            </w:rPr>
            <w:t>S</w:t>
          </w:r>
          <w:r>
            <w:rPr>
              <w:spacing w:val="-30"/>
              <w:sz w:val="19"/>
              <w:szCs w:val="19"/>
            </w:rPr>
            <w:t xml:space="preserve"> </w:t>
          </w:r>
          <w:r>
            <w:rPr>
              <w:sz w:val="19"/>
              <w:szCs w:val="19"/>
            </w:rPr>
            <w:t>T</w:t>
          </w:r>
          <w:r>
            <w:rPr>
              <w:spacing w:val="14"/>
              <w:sz w:val="19"/>
              <w:szCs w:val="19"/>
            </w:rPr>
            <w:t>98%资产委托于19位外部管理人投资，其中瑞银集团占比</w:t>
          </w:r>
          <w:r>
            <w:rPr>
              <w:spacing w:val="14"/>
              <w:sz w:val="19"/>
              <w:szCs w:val="19"/>
            </w:rPr>
            <w:t xml:space="preserve"> </w:t>
          </w:r>
          <w:r>
            <w:rPr>
              <w:spacing w:val="14"/>
              <w:sz w:val="19"/>
              <w:szCs w:val="19"/>
            </w:rPr>
            <w:t>45.5%</w:t>
          </w:r>
          <w:r>
            <w:rPr>
              <w:spacing w:val="-81"/>
              <w:sz w:val="19"/>
              <w:szCs w:val="19"/>
            </w:rPr>
            <w:t xml:space="preserve"> </w:t>
          </w:r>
          <w:r>
            <w:rPr>
              <w:sz w:val="19"/>
              <w:szCs w:val="19"/>
            </w:rPr>
            <w:tab/>
          </w:r>
          <w:r>
            <w:rPr>
              <w:spacing w:val="-43"/>
              <w:sz w:val="19"/>
              <w:szCs w:val="19"/>
            </w:rPr>
            <w:t xml:space="preserve"> </w:t>
          </w:r>
          <w:hyperlink w:anchor="bookmark84" w:history="1">
            <w:r>
              <w:rPr>
                <w:rFonts w:ascii="Times New Roman" w:eastAsia="Times New Roman" w:hAnsi="Times New Roman" w:cs="Times New Roman"/>
                <w:spacing w:val="-1"/>
                <w:sz w:val="19"/>
                <w:szCs w:val="19"/>
              </w:rPr>
              <w:t>26</w:t>
            </w:r>
          </w:hyperlink>
        </w:p>
        <w:p>
          <w:pPr>
            <w:pStyle w:val="BodyText"/>
            <w:tabs>
              <w:tab w:val="right" w:leader="dot" w:pos="10355"/>
            </w:tabs>
            <w:spacing w:before="55" w:line="222" w:lineRule="auto"/>
            <w:rPr>
              <w:rFonts w:ascii="Times New Roman" w:eastAsia="Times New Roman" w:hAnsi="Times New Roman" w:cs="Times New Roman"/>
              <w:sz w:val="19"/>
              <w:szCs w:val="19"/>
            </w:rPr>
          </w:pPr>
          <w:r>
            <w:rPr>
              <w:spacing w:val="13"/>
              <w:sz w:val="19"/>
              <w:szCs w:val="19"/>
            </w:rPr>
            <w:t>表</w:t>
          </w:r>
          <w:r>
            <w:rPr>
              <w:spacing w:val="-31"/>
              <w:sz w:val="19"/>
              <w:szCs w:val="19"/>
            </w:rPr>
            <w:t xml:space="preserve"> </w:t>
          </w:r>
          <w:r>
            <w:rPr>
              <w:spacing w:val="13"/>
              <w:sz w:val="19"/>
              <w:szCs w:val="19"/>
            </w:rPr>
            <w:t>1</w:t>
          </w:r>
          <w:r>
            <w:rPr>
              <w:spacing w:val="-49"/>
              <w:sz w:val="19"/>
              <w:szCs w:val="19"/>
            </w:rPr>
            <w:t xml:space="preserve"> </w:t>
          </w:r>
          <w:r>
            <w:rPr>
              <w:spacing w:val="13"/>
              <w:sz w:val="19"/>
              <w:szCs w:val="19"/>
            </w:rPr>
            <w:t>4</w:t>
          </w:r>
          <w:r>
            <w:rPr>
              <w:spacing w:val="-18"/>
              <w:sz w:val="19"/>
              <w:szCs w:val="19"/>
            </w:rPr>
            <w:t xml:space="preserve"> </w:t>
          </w:r>
          <w:r>
            <w:rPr>
              <w:spacing w:val="13"/>
              <w:sz w:val="19"/>
              <w:szCs w:val="19"/>
            </w:rPr>
            <w:t>:</w:t>
          </w:r>
          <w:r>
            <w:rPr>
              <w:spacing w:val="-45"/>
              <w:sz w:val="19"/>
              <w:szCs w:val="19"/>
            </w:rPr>
            <w:t xml:space="preserve"> </w:t>
          </w:r>
          <w:r>
            <w:rPr>
              <w:spacing w:val="13"/>
              <w:sz w:val="19"/>
              <w:szCs w:val="19"/>
            </w:rPr>
            <w:t>2</w:t>
          </w:r>
          <w:r>
            <w:rPr>
              <w:spacing w:val="-45"/>
              <w:sz w:val="19"/>
              <w:szCs w:val="19"/>
            </w:rPr>
            <w:t xml:space="preserve"> </w:t>
          </w:r>
          <w:r>
            <w:rPr>
              <w:spacing w:val="13"/>
              <w:sz w:val="19"/>
              <w:szCs w:val="19"/>
            </w:rPr>
            <w:t>0</w:t>
          </w:r>
          <w:r>
            <w:rPr>
              <w:spacing w:val="-44"/>
              <w:sz w:val="19"/>
              <w:szCs w:val="19"/>
            </w:rPr>
            <w:t xml:space="preserve"> </w:t>
          </w:r>
          <w:r>
            <w:rPr>
              <w:spacing w:val="13"/>
              <w:sz w:val="19"/>
              <w:szCs w:val="19"/>
            </w:rPr>
            <w:t>2</w:t>
          </w:r>
          <w:r>
            <w:rPr>
              <w:spacing w:val="-45"/>
              <w:sz w:val="19"/>
              <w:szCs w:val="19"/>
            </w:rPr>
            <w:t xml:space="preserve"> </w:t>
          </w:r>
          <w:r>
            <w:rPr>
              <w:spacing w:val="13"/>
              <w:sz w:val="19"/>
              <w:szCs w:val="19"/>
            </w:rPr>
            <w:t>2年我国基本养老保险委托管理规模占总结余14%,仍有提升空间</w:t>
          </w:r>
          <w:r>
            <w:rPr>
              <w:sz w:val="19"/>
              <w:szCs w:val="19"/>
            </w:rPr>
            <w:tab/>
          </w:r>
          <w:hyperlink w:anchor="bookmark85" w:history="1">
            <w:r>
              <w:rPr>
                <w:rFonts w:ascii="Times New Roman" w:eastAsia="Times New Roman" w:hAnsi="Times New Roman" w:cs="Times New Roman"/>
                <w:spacing w:val="3"/>
                <w:sz w:val="19"/>
                <w:szCs w:val="19"/>
              </w:rPr>
              <w:t>27</w:t>
            </w:r>
          </w:hyperlink>
        </w:p>
        <w:p>
          <w:pPr>
            <w:pStyle w:val="BodyText"/>
            <w:tabs>
              <w:tab w:val="right" w:leader="dot" w:pos="10355"/>
            </w:tabs>
            <w:spacing w:before="85" w:line="224" w:lineRule="auto"/>
            <w:rPr>
              <w:rFonts w:ascii="Times New Roman" w:eastAsia="Times New Roman" w:hAnsi="Times New Roman" w:cs="Times New Roman"/>
              <w:sz w:val="19"/>
              <w:szCs w:val="19"/>
            </w:rPr>
          </w:pPr>
          <w:r>
            <w:rPr>
              <w:spacing w:val="7"/>
              <w:sz w:val="19"/>
              <w:szCs w:val="19"/>
            </w:rPr>
            <w:t>表</w:t>
          </w:r>
          <w:r>
            <w:rPr>
              <w:spacing w:val="-20"/>
              <w:sz w:val="19"/>
              <w:szCs w:val="19"/>
            </w:rPr>
            <w:t xml:space="preserve"> </w:t>
          </w:r>
          <w:r>
            <w:rPr>
              <w:spacing w:val="7"/>
              <w:sz w:val="19"/>
              <w:szCs w:val="19"/>
            </w:rPr>
            <w:t>1</w:t>
          </w:r>
          <w:r>
            <w:rPr>
              <w:spacing w:val="-48"/>
              <w:sz w:val="19"/>
              <w:szCs w:val="19"/>
            </w:rPr>
            <w:t xml:space="preserve"> </w:t>
          </w:r>
          <w:r>
            <w:rPr>
              <w:spacing w:val="7"/>
              <w:sz w:val="19"/>
              <w:szCs w:val="19"/>
            </w:rPr>
            <w:t>5</w:t>
          </w:r>
          <w:r>
            <w:rPr>
              <w:spacing w:val="-18"/>
              <w:sz w:val="19"/>
              <w:szCs w:val="19"/>
            </w:rPr>
            <w:t xml:space="preserve"> </w:t>
          </w:r>
          <w:r>
            <w:rPr>
              <w:spacing w:val="7"/>
              <w:sz w:val="19"/>
              <w:szCs w:val="19"/>
            </w:rPr>
            <w:t>:</w:t>
          </w:r>
          <w:r>
            <w:rPr>
              <w:spacing w:val="-45"/>
              <w:sz w:val="19"/>
              <w:szCs w:val="19"/>
            </w:rPr>
            <w:t xml:space="preserve"> </w:t>
          </w:r>
          <w:r>
            <w:rPr>
              <w:spacing w:val="7"/>
              <w:sz w:val="19"/>
              <w:szCs w:val="19"/>
            </w:rPr>
            <w:t>2</w:t>
          </w:r>
          <w:r>
            <w:rPr>
              <w:spacing w:val="-45"/>
              <w:sz w:val="19"/>
              <w:szCs w:val="19"/>
            </w:rPr>
            <w:t xml:space="preserve"> </w:t>
          </w:r>
          <w:r>
            <w:rPr>
              <w:spacing w:val="7"/>
              <w:sz w:val="19"/>
              <w:szCs w:val="19"/>
            </w:rPr>
            <w:t>0</w:t>
          </w:r>
          <w:r>
            <w:rPr>
              <w:spacing w:val="-45"/>
              <w:sz w:val="19"/>
              <w:szCs w:val="19"/>
            </w:rPr>
            <w:t xml:space="preserve"> </w:t>
          </w:r>
          <w:r>
            <w:rPr>
              <w:spacing w:val="7"/>
              <w:sz w:val="19"/>
              <w:szCs w:val="19"/>
            </w:rPr>
            <w:t>2</w:t>
          </w:r>
          <w:r>
            <w:rPr>
              <w:spacing w:val="-45"/>
              <w:sz w:val="19"/>
              <w:szCs w:val="19"/>
            </w:rPr>
            <w:t xml:space="preserve"> </w:t>
          </w:r>
          <w:r>
            <w:rPr>
              <w:spacing w:val="7"/>
              <w:sz w:val="19"/>
              <w:szCs w:val="19"/>
            </w:rPr>
            <w:t>2年我国社保基金和基本养老保险基金权益配置比重较发达国家社保基金明显偏低</w:t>
          </w:r>
          <w:r>
            <w:rPr>
              <w:spacing w:val="-71"/>
              <w:sz w:val="19"/>
              <w:szCs w:val="19"/>
            </w:rPr>
            <w:t xml:space="preserve"> </w:t>
          </w:r>
          <w:r>
            <w:rPr>
              <w:sz w:val="19"/>
              <w:szCs w:val="19"/>
            </w:rPr>
            <w:tab/>
          </w:r>
          <w:r>
            <w:rPr>
              <w:spacing w:val="-33"/>
              <w:sz w:val="19"/>
              <w:szCs w:val="19"/>
            </w:rPr>
            <w:t xml:space="preserve"> </w:t>
          </w:r>
          <w:hyperlink w:anchor="bookmark86" w:history="1">
            <w:r>
              <w:rPr>
                <w:rFonts w:ascii="Times New Roman" w:eastAsia="Times New Roman" w:hAnsi="Times New Roman" w:cs="Times New Roman"/>
                <w:spacing w:val="-1"/>
                <w:sz w:val="19"/>
                <w:szCs w:val="19"/>
              </w:rPr>
              <w:t>28</w:t>
            </w:r>
          </w:hyperlink>
        </w:p>
        <w:p>
          <w:pPr>
            <w:pStyle w:val="BodyText"/>
            <w:tabs>
              <w:tab w:val="right" w:leader="dot" w:pos="10345"/>
            </w:tabs>
            <w:spacing w:before="138" w:line="223" w:lineRule="auto"/>
            <w:rPr>
              <w:rFonts w:ascii="Times New Roman" w:eastAsia="Times New Roman" w:hAnsi="Times New Roman" w:cs="Times New Roman"/>
              <w:sz w:val="19"/>
              <w:szCs w:val="19"/>
            </w:rPr>
          </w:pPr>
          <w:r>
            <w:rPr>
              <w:spacing w:val="13"/>
              <w:sz w:val="19"/>
              <w:szCs w:val="19"/>
            </w:rPr>
            <w:t>表16:</w:t>
          </w:r>
          <w:r>
            <w:rPr>
              <w:spacing w:val="68"/>
              <w:sz w:val="19"/>
              <w:szCs w:val="19"/>
            </w:rPr>
            <w:t xml:space="preserve"> </w:t>
          </w:r>
          <w:r>
            <w:rPr>
              <w:spacing w:val="13"/>
              <w:sz w:val="19"/>
              <w:szCs w:val="19"/>
            </w:rPr>
            <w:t>我国企业年金权益类资产配置占比较海外模式仍有较大提升空间</w:t>
          </w:r>
          <w:r>
            <w:rPr>
              <w:sz w:val="19"/>
              <w:szCs w:val="19"/>
            </w:rPr>
            <w:tab/>
          </w:r>
          <w:hyperlink w:anchor="bookmark87" w:history="1">
            <w:r>
              <w:rPr>
                <w:rFonts w:ascii="Times New Roman" w:eastAsia="Times New Roman" w:hAnsi="Times New Roman" w:cs="Times New Roman"/>
                <w:spacing w:val="-1"/>
                <w:sz w:val="19"/>
                <w:szCs w:val="19"/>
              </w:rPr>
              <w:t>28</w:t>
            </w:r>
          </w:hyperlink>
        </w:p>
        <w:p>
          <w:pPr>
            <w:pStyle w:val="BodyText"/>
            <w:tabs>
              <w:tab w:val="right" w:leader="dot" w:pos="10391"/>
            </w:tabs>
            <w:spacing w:before="37" w:line="220" w:lineRule="auto"/>
            <w:rPr>
              <w:rFonts w:ascii="Times New Roman" w:eastAsia="Times New Roman" w:hAnsi="Times New Roman" w:cs="Times New Roman"/>
              <w:sz w:val="19"/>
              <w:szCs w:val="19"/>
            </w:rPr>
          </w:pPr>
          <w:r>
            <w:rPr>
              <w:spacing w:val="13"/>
              <w:sz w:val="19"/>
              <w:szCs w:val="19"/>
            </w:rPr>
            <w:t>表17:</w:t>
          </w:r>
          <w:r>
            <w:rPr>
              <w:spacing w:val="92"/>
              <w:sz w:val="19"/>
              <w:szCs w:val="19"/>
            </w:rPr>
            <w:t xml:space="preserve"> </w:t>
          </w:r>
          <w:r>
            <w:rPr>
              <w:spacing w:val="13"/>
              <w:sz w:val="19"/>
              <w:szCs w:val="19"/>
            </w:rPr>
            <w:t>11家全球公共养老基金权益配置占比较高，长期年化收益率较为可观</w:t>
          </w:r>
          <w:r>
            <w:rPr>
              <w:spacing w:val="-73"/>
              <w:sz w:val="19"/>
              <w:szCs w:val="19"/>
            </w:rPr>
            <w:t xml:space="preserve"> </w:t>
          </w:r>
          <w:r>
            <w:rPr>
              <w:sz w:val="19"/>
              <w:szCs w:val="19"/>
            </w:rPr>
            <w:tab/>
          </w:r>
          <w:hyperlink w:anchor="bookmark88" w:history="1">
            <w:r>
              <w:rPr>
                <w:rFonts w:ascii="Times New Roman" w:eastAsia="Times New Roman" w:hAnsi="Times New Roman" w:cs="Times New Roman"/>
                <w:sz w:val="19"/>
                <w:szCs w:val="19"/>
              </w:rPr>
              <w:t>31</w:t>
            </w:r>
          </w:hyperlink>
        </w:p>
        <w:p>
          <w:pPr>
            <w:pStyle w:val="BodyText"/>
            <w:tabs>
              <w:tab w:val="right" w:leader="dot" w:pos="10371"/>
            </w:tabs>
            <w:spacing w:before="74" w:line="220" w:lineRule="auto"/>
            <w:rPr>
              <w:rFonts w:ascii="Times New Roman" w:eastAsia="Times New Roman" w:hAnsi="Times New Roman" w:cs="Times New Roman"/>
              <w:sz w:val="19"/>
              <w:szCs w:val="19"/>
            </w:rPr>
          </w:pPr>
          <w:r>
            <w:rPr>
              <w:spacing w:val="12"/>
              <w:sz w:val="19"/>
              <w:szCs w:val="19"/>
            </w:rPr>
            <w:t>表18:</w:t>
          </w:r>
          <w:r>
            <w:rPr>
              <w:spacing w:val="75"/>
              <w:sz w:val="19"/>
              <w:szCs w:val="19"/>
            </w:rPr>
            <w:t xml:space="preserve"> </w:t>
          </w:r>
          <w:r>
            <w:rPr>
              <w:spacing w:val="12"/>
              <w:sz w:val="19"/>
              <w:szCs w:val="19"/>
            </w:rPr>
            <w:t>证监会正在制定资本市场投资端改革方案，为养老金入市营造有利环境</w:t>
          </w:r>
          <w:r>
            <w:rPr>
              <w:spacing w:val="-71"/>
              <w:sz w:val="19"/>
              <w:szCs w:val="19"/>
            </w:rPr>
            <w:t xml:space="preserve"> </w:t>
          </w:r>
          <w:r>
            <w:rPr>
              <w:sz w:val="19"/>
              <w:szCs w:val="19"/>
            </w:rPr>
            <w:tab/>
          </w:r>
          <w:hyperlink w:anchor="bookmark89" w:history="1">
            <w:r>
              <w:rPr>
                <w:rFonts w:ascii="Times New Roman" w:eastAsia="Times New Roman" w:hAnsi="Times New Roman" w:cs="Times New Roman"/>
                <w:spacing w:val="-2"/>
                <w:sz w:val="19"/>
                <w:szCs w:val="19"/>
              </w:rPr>
              <w:t>33</w:t>
            </w:r>
          </w:hyperlink>
        </w:p>
        <w:p>
          <w:pPr>
            <w:pStyle w:val="BodyText"/>
            <w:tabs>
              <w:tab w:val="right" w:leader="dot" w:pos="10351"/>
            </w:tabs>
            <w:spacing w:before="103" w:line="220" w:lineRule="auto"/>
            <w:rPr>
              <w:rFonts w:ascii="Times New Roman" w:eastAsia="Times New Roman" w:hAnsi="Times New Roman" w:cs="Times New Roman"/>
              <w:sz w:val="19"/>
              <w:szCs w:val="19"/>
            </w:rPr>
          </w:pPr>
          <w:r>
            <w:rPr>
              <w:spacing w:val="14"/>
              <w:sz w:val="19"/>
              <w:szCs w:val="19"/>
            </w:rPr>
            <w:t>表19:</w:t>
          </w:r>
          <w:r>
            <w:rPr>
              <w:spacing w:val="93"/>
              <w:sz w:val="19"/>
              <w:szCs w:val="19"/>
            </w:rPr>
            <w:t xml:space="preserve"> </w:t>
          </w:r>
          <w:r>
            <w:rPr>
              <w:spacing w:val="14"/>
              <w:sz w:val="19"/>
              <w:szCs w:val="19"/>
            </w:rPr>
            <w:t>加强跨部委沟通协同，加大各类养老金引入力度，提高权益投资比例</w:t>
          </w:r>
          <w:r>
            <w:rPr>
              <w:spacing w:val="-85"/>
              <w:sz w:val="19"/>
              <w:szCs w:val="19"/>
            </w:rPr>
            <w:t xml:space="preserve"> </w:t>
          </w:r>
          <w:r>
            <w:rPr>
              <w:sz w:val="19"/>
              <w:szCs w:val="19"/>
            </w:rPr>
            <w:tab/>
          </w:r>
          <w:hyperlink w:anchor="bookmark90" w:history="1">
            <w:r>
              <w:rPr>
                <w:rFonts w:ascii="Times New Roman" w:eastAsia="Times New Roman" w:hAnsi="Times New Roman" w:cs="Times New Roman"/>
                <w:spacing w:val="1"/>
                <w:sz w:val="19"/>
                <w:szCs w:val="19"/>
              </w:rPr>
              <w:t>33</w:t>
            </w:r>
          </w:hyperlink>
        </w:p>
        <w:p>
          <w:pPr>
            <w:pStyle w:val="BodyText"/>
            <w:tabs>
              <w:tab w:val="right" w:leader="dot" w:pos="10361"/>
            </w:tabs>
            <w:spacing w:before="64" w:line="220" w:lineRule="auto"/>
            <w:rPr>
              <w:rFonts w:ascii="Times New Roman" w:eastAsia="Times New Roman" w:hAnsi="Times New Roman" w:cs="Times New Roman"/>
              <w:sz w:val="19"/>
              <w:szCs w:val="19"/>
            </w:rPr>
          </w:pPr>
          <w:r>
            <w:rPr>
              <w:spacing w:val="5"/>
              <w:sz w:val="19"/>
              <w:szCs w:val="19"/>
            </w:rPr>
            <w:t>表</w:t>
          </w:r>
          <w:r>
            <w:rPr>
              <w:spacing w:val="-37"/>
              <w:sz w:val="19"/>
              <w:szCs w:val="19"/>
            </w:rPr>
            <w:t xml:space="preserve"> </w:t>
          </w:r>
          <w:r>
            <w:rPr>
              <w:spacing w:val="5"/>
              <w:sz w:val="19"/>
              <w:szCs w:val="19"/>
            </w:rPr>
            <w:t>2</w:t>
          </w:r>
          <w:r>
            <w:rPr>
              <w:spacing w:val="-42"/>
              <w:sz w:val="19"/>
              <w:szCs w:val="19"/>
            </w:rPr>
            <w:t xml:space="preserve"> </w:t>
          </w:r>
          <w:r>
            <w:rPr>
              <w:spacing w:val="5"/>
              <w:sz w:val="19"/>
              <w:szCs w:val="19"/>
            </w:rPr>
            <w:t>0</w:t>
          </w:r>
          <w:r>
            <w:rPr>
              <w:spacing w:val="-16"/>
              <w:sz w:val="19"/>
              <w:szCs w:val="19"/>
            </w:rPr>
            <w:t xml:space="preserve"> </w:t>
          </w:r>
          <w:r>
            <w:rPr>
              <w:spacing w:val="5"/>
              <w:sz w:val="19"/>
              <w:szCs w:val="19"/>
            </w:rPr>
            <w:t>:</w:t>
          </w:r>
          <w:r>
            <w:rPr>
              <w:spacing w:val="-42"/>
              <w:sz w:val="19"/>
              <w:szCs w:val="19"/>
            </w:rPr>
            <w:t xml:space="preserve"> </w:t>
          </w:r>
          <w:r>
            <w:rPr>
              <w:spacing w:val="5"/>
              <w:sz w:val="19"/>
              <w:szCs w:val="19"/>
            </w:rPr>
            <w:t>2</w:t>
          </w:r>
          <w:r>
            <w:rPr>
              <w:spacing w:val="-42"/>
              <w:sz w:val="19"/>
              <w:szCs w:val="19"/>
            </w:rPr>
            <w:t xml:space="preserve"> </w:t>
          </w:r>
          <w:r>
            <w:rPr>
              <w:spacing w:val="5"/>
              <w:sz w:val="19"/>
              <w:szCs w:val="19"/>
            </w:rPr>
            <w:t>0</w:t>
          </w:r>
          <w:r>
            <w:rPr>
              <w:spacing w:val="-42"/>
              <w:sz w:val="19"/>
              <w:szCs w:val="19"/>
            </w:rPr>
            <w:t xml:space="preserve"> </w:t>
          </w:r>
          <w:r>
            <w:rPr>
              <w:spacing w:val="5"/>
              <w:sz w:val="19"/>
              <w:szCs w:val="19"/>
            </w:rPr>
            <w:t>2</w:t>
          </w:r>
          <w:r>
            <w:rPr>
              <w:spacing w:val="-41"/>
              <w:sz w:val="19"/>
              <w:szCs w:val="19"/>
            </w:rPr>
            <w:t xml:space="preserve"> </w:t>
          </w:r>
          <w:r>
            <w:rPr>
              <w:spacing w:val="5"/>
              <w:sz w:val="19"/>
              <w:szCs w:val="19"/>
            </w:rPr>
            <w:t>3</w:t>
          </w:r>
          <w:r>
            <w:rPr>
              <w:spacing w:val="-40"/>
              <w:sz w:val="19"/>
              <w:szCs w:val="19"/>
            </w:rPr>
            <w:t xml:space="preserve"> </w:t>
          </w:r>
          <w:r>
            <w:rPr>
              <w:spacing w:val="5"/>
              <w:sz w:val="19"/>
              <w:szCs w:val="19"/>
            </w:rPr>
            <w:t>年</w:t>
          </w:r>
          <w:r>
            <w:rPr>
              <w:spacing w:val="-42"/>
              <w:sz w:val="19"/>
              <w:szCs w:val="19"/>
            </w:rPr>
            <w:t xml:space="preserve"> </w:t>
          </w:r>
          <w:r>
            <w:rPr>
              <w:spacing w:val="5"/>
              <w:sz w:val="19"/>
              <w:szCs w:val="19"/>
            </w:rPr>
            <w:t>8</w:t>
          </w:r>
          <w:r>
            <w:rPr>
              <w:spacing w:val="-55"/>
              <w:sz w:val="19"/>
              <w:szCs w:val="19"/>
            </w:rPr>
            <w:t xml:space="preserve"> </w:t>
          </w:r>
          <w:r>
            <w:rPr>
              <w:spacing w:val="5"/>
              <w:sz w:val="19"/>
              <w:szCs w:val="19"/>
            </w:rPr>
            <w:t>月以来监管频繁提及鼓励中长期资金入市，促进投融资动态平衡</w:t>
          </w:r>
          <w:r>
            <w:rPr>
              <w:spacing w:val="-67"/>
              <w:sz w:val="19"/>
              <w:szCs w:val="19"/>
            </w:rPr>
            <w:t xml:space="preserve"> </w:t>
          </w:r>
          <w:r>
            <w:rPr>
              <w:sz w:val="19"/>
              <w:szCs w:val="19"/>
            </w:rPr>
            <w:tab/>
          </w:r>
          <w:hyperlink w:anchor="bookmark91" w:history="1">
            <w:r>
              <w:rPr>
                <w:rFonts w:ascii="Times New Roman" w:eastAsia="Times New Roman" w:hAnsi="Times New Roman" w:cs="Times New Roman"/>
                <w:spacing w:val="1"/>
                <w:sz w:val="19"/>
                <w:szCs w:val="19"/>
              </w:rPr>
              <w:t>33</w:t>
            </w:r>
          </w:hyperlink>
        </w:p>
      </w:sdtContent>
    </w:sdt>
    <w:p>
      <w:pPr>
        <w:spacing w:line="220" w:lineRule="auto"/>
        <w:rPr>
          <w:rFonts w:ascii="Times New Roman" w:eastAsia="Times New Roman" w:hAnsi="Times New Roman" w:cs="Times New Roman"/>
          <w:sz w:val="19"/>
          <w:szCs w:val="19"/>
        </w:rPr>
        <w:sectPr>
          <w:footerReference w:type="default" r:id="rId18"/>
          <w:pgSz w:w="11910" w:h="16840"/>
          <w:pgMar w:top="156" w:right="660" w:bottom="1129" w:left="699" w:header="0" w:footer="856" w:gutter="0"/>
          <w:pgNumType w:start="9"/>
          <w:cols w:space="708"/>
        </w:sectPr>
      </w:pPr>
    </w:p>
    <w:p>
      <w:pPr>
        <w:spacing w:before="153" w:line="226" w:lineRule="auto"/>
        <w:ind w:left="170"/>
        <w:rPr>
          <w:rFonts w:ascii="YouYuan" w:eastAsia="YouYuan" w:hAnsi="YouYuan" w:cs="YouYuan"/>
          <w:sz w:val="60"/>
          <w:szCs w:val="60"/>
        </w:rPr>
      </w:pPr>
      <w:bookmarkStart w:id="0" w:name="bookmark1"/>
      <w:bookmarkEnd w:id="0"/>
      <w:r>
        <w:rPr>
          <w:rFonts w:ascii="YouYuan" w:eastAsia="YouYuan" w:hAnsi="YouYuan" w:cs="YouYuan"/>
          <w:position w:val="-21"/>
          <w:sz w:val="60"/>
          <w:szCs w:val="60"/>
        </w:rPr>
        <w:drawing>
          <wp:inline distT="0" distB="0" distL="0" distR="0">
            <wp:extent cx="577801" cy="488901"/>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40" w:line="229" w:lineRule="auto"/>
        <w:ind w:left="8463"/>
        <w:rPr>
          <w:sz w:val="22"/>
          <w:szCs w:val="22"/>
        </w:rPr>
      </w:pPr>
      <w:r>
        <w:pict>
          <v:rect id="_x0000_s1029" style="width:516.45pt;height:0.55pt;margin-top:12.45pt;margin-left:1.5pt;position:absolute;z-index:251663360" filled="t" fillcolor="black" stroked="f"/>
        </w:pict>
      </w:r>
      <w:r>
        <w:rPr>
          <w:spacing w:val="-11"/>
          <w:sz w:val="22"/>
          <w:szCs w:val="22"/>
        </w:rPr>
        <w:t>行</w:t>
      </w:r>
      <w:r>
        <w:rPr>
          <w:spacing w:val="29"/>
          <w:sz w:val="22"/>
          <w:szCs w:val="22"/>
        </w:rPr>
        <w:t xml:space="preserve"> </w:t>
      </w:r>
      <w:r>
        <w:rPr>
          <w:spacing w:val="-11"/>
          <w:sz w:val="22"/>
          <w:szCs w:val="22"/>
        </w:rPr>
        <w:t>业</w:t>
      </w:r>
      <w:r>
        <w:rPr>
          <w:spacing w:val="24"/>
          <w:sz w:val="22"/>
          <w:szCs w:val="22"/>
        </w:rPr>
        <w:t xml:space="preserve"> </w:t>
      </w:r>
      <w:r>
        <w:rPr>
          <w:spacing w:val="-11"/>
          <w:sz w:val="22"/>
          <w:szCs w:val="22"/>
        </w:rPr>
        <w:t>深</w:t>
      </w:r>
      <w:r>
        <w:rPr>
          <w:spacing w:val="16"/>
          <w:sz w:val="22"/>
          <w:szCs w:val="22"/>
        </w:rPr>
        <w:t xml:space="preserve"> </w:t>
      </w:r>
      <w:r>
        <w:rPr>
          <w:spacing w:val="-11"/>
          <w:sz w:val="22"/>
          <w:szCs w:val="22"/>
        </w:rPr>
        <w:t>度</w:t>
      </w:r>
      <w:r>
        <w:rPr>
          <w:spacing w:val="13"/>
          <w:sz w:val="22"/>
          <w:szCs w:val="22"/>
        </w:rPr>
        <w:t xml:space="preserve"> </w:t>
      </w:r>
      <w:r>
        <w:rPr>
          <w:spacing w:val="-11"/>
          <w:sz w:val="22"/>
          <w:szCs w:val="22"/>
        </w:rPr>
        <w:t>报</w:t>
      </w:r>
      <w:r>
        <w:rPr>
          <w:spacing w:val="12"/>
          <w:sz w:val="22"/>
          <w:szCs w:val="22"/>
        </w:rPr>
        <w:t xml:space="preserve"> </w:t>
      </w:r>
      <w:r>
        <w:rPr>
          <w:spacing w:val="-11"/>
          <w:sz w:val="22"/>
          <w:szCs w:val="22"/>
        </w:rPr>
        <w:t>告</w:t>
      </w:r>
    </w:p>
    <w:p>
      <w:pPr>
        <w:pStyle w:val="BodyText"/>
        <w:spacing w:before="234" w:line="227" w:lineRule="auto"/>
        <w:ind w:left="2804"/>
        <w:outlineLvl w:val="0"/>
        <w:rPr>
          <w:sz w:val="28"/>
          <w:szCs w:val="28"/>
        </w:rPr>
      </w:pPr>
      <w:r>
        <w:rPr>
          <w:b/>
          <w:bCs/>
          <w:color w:val="000080"/>
          <w:spacing w:val="-23"/>
          <w:sz w:val="28"/>
          <w:szCs w:val="28"/>
        </w:rPr>
        <w:t>1、</w:t>
      </w:r>
      <w:r>
        <w:rPr>
          <w:color w:val="000080"/>
          <w:spacing w:val="11"/>
          <w:sz w:val="28"/>
          <w:szCs w:val="28"/>
        </w:rPr>
        <w:t xml:space="preserve"> </w:t>
      </w:r>
      <w:r>
        <w:rPr>
          <w:b/>
          <w:bCs/>
          <w:color w:val="000080"/>
          <w:spacing w:val="-23"/>
          <w:sz w:val="28"/>
          <w:szCs w:val="28"/>
        </w:rPr>
        <w:t>前言</w:t>
      </w:r>
    </w:p>
    <w:p>
      <w:pPr>
        <w:pStyle w:val="BodyText"/>
        <w:spacing w:before="136" w:line="222" w:lineRule="auto"/>
        <w:ind w:left="2803"/>
      </w:pPr>
      <w:r>
        <w:rPr>
          <w:b/>
          <w:bCs/>
          <w:spacing w:val="-2"/>
        </w:rPr>
        <w:t>近期监管强调“促进投融资动态平衡”,投资者改革重点在于加大中长期资金入市。</w:t>
      </w:r>
    </w:p>
    <w:p>
      <w:pPr>
        <w:pStyle w:val="BodyText"/>
        <w:spacing w:before="64" w:line="263" w:lineRule="auto"/>
        <w:ind w:left="2800" w:right="106"/>
        <w:jc w:val="both"/>
      </w:pPr>
      <w:r>
        <w:rPr>
          <w:spacing w:val="4"/>
        </w:rPr>
        <w:t>2023年8月证监会就“活跃资本市场”政策部署明确提及推进养老金入市的投资端</w:t>
      </w:r>
      <w:r>
        <w:rPr>
          <w:spacing w:val="15"/>
        </w:rPr>
        <w:t xml:space="preserve"> </w:t>
      </w:r>
      <w:r>
        <w:rPr>
          <w:spacing w:val="4"/>
        </w:rPr>
        <w:t>改革政策和跨部委协同联动方向，2024年1月证监会新闻</w:t>
      </w:r>
      <w:r>
        <w:rPr>
          <w:spacing w:val="3"/>
        </w:rPr>
        <w:t>发布会、系统工作会议和</w:t>
      </w:r>
      <w:r>
        <w:t xml:space="preserve"> </w:t>
      </w:r>
      <w:r>
        <w:rPr>
          <w:spacing w:val="-7"/>
        </w:rPr>
        <w:t>国常会强调“突出以投资者为本的理念”、“促进投融资动态</w:t>
      </w:r>
      <w:r>
        <w:rPr>
          <w:spacing w:val="-8"/>
        </w:rPr>
        <w:t>平衡”,“研究出台《资</w:t>
      </w:r>
      <w:r>
        <w:t xml:space="preserve"> </w:t>
      </w:r>
      <w:r>
        <w:rPr>
          <w:spacing w:val="-4"/>
        </w:rPr>
        <w:t>本市场投资端改革行动方案》”。根据监管发言，</w:t>
      </w:r>
      <w:r>
        <w:rPr>
          <w:spacing w:val="-5"/>
        </w:rPr>
        <w:t>我们认为资本市场改革目标或从以</w:t>
      </w:r>
      <w:r>
        <w:t xml:space="preserve"> </w:t>
      </w:r>
      <w:r>
        <w:rPr>
          <w:spacing w:val="1"/>
        </w:rPr>
        <w:t>融资功能为主转向为构建投融资两端动态平衡，而投资端改革的重点是加大中长期</w:t>
      </w:r>
      <w:r>
        <w:rPr>
          <w:spacing w:val="11"/>
        </w:rPr>
        <w:t xml:space="preserve"> </w:t>
      </w:r>
      <w:r>
        <w:rPr>
          <w:spacing w:val="-2"/>
        </w:rPr>
        <w:t>资金入市力度，由此促进资本市场与实体经济、居民财富的良性循环。</w:t>
      </w:r>
    </w:p>
    <w:p>
      <w:pPr>
        <w:spacing w:line="326" w:lineRule="auto"/>
        <w:rPr>
          <w:rFonts w:ascii="Arial"/>
          <w:sz w:val="21"/>
        </w:rPr>
      </w:pPr>
    </w:p>
    <w:p>
      <w:pPr>
        <w:pStyle w:val="BodyText"/>
        <w:spacing w:before="69" w:line="220" w:lineRule="auto"/>
        <w:ind w:left="2803"/>
      </w:pPr>
      <w:r>
        <w:rPr>
          <w:b/>
          <w:bCs/>
          <w:spacing w:val="-3"/>
        </w:rPr>
        <w:t>为了分析中长期资金入市“体量、空间、路径”问题，本文进行</w:t>
      </w:r>
      <w:r>
        <w:rPr>
          <w:b/>
          <w:bCs/>
          <w:spacing w:val="-4"/>
        </w:rPr>
        <w:t>以下研究：</w:t>
      </w:r>
    </w:p>
    <w:p>
      <w:pPr>
        <w:pStyle w:val="BodyText"/>
        <w:spacing w:before="68" w:line="256" w:lineRule="auto"/>
        <w:ind w:left="3519" w:right="117" w:hanging="586"/>
      </w:pPr>
      <w:r>
        <w:rPr>
          <w:b/>
          <w:bCs/>
          <w:spacing w:val="-3"/>
        </w:rPr>
        <w:t>(1)</w:t>
      </w:r>
      <w:r>
        <w:rPr>
          <w:spacing w:val="-3"/>
        </w:rPr>
        <w:t xml:space="preserve">   </w:t>
      </w:r>
      <w:r>
        <w:rPr>
          <w:b/>
          <w:bCs/>
          <w:spacing w:val="-3"/>
        </w:rPr>
        <w:t>入市体量：</w:t>
      </w:r>
      <w:r>
        <w:rPr>
          <w:spacing w:val="-3"/>
        </w:rPr>
        <w:t>系统性梳理我国社保基金和基本养老保险基金投资管理和委托管</w:t>
      </w:r>
      <w:r>
        <w:rPr>
          <w:spacing w:val="17"/>
        </w:rPr>
        <w:t xml:space="preserve"> </w:t>
      </w:r>
      <w:r>
        <w:rPr>
          <w:spacing w:val="-2"/>
        </w:rPr>
        <w:t>理制度体系建设，两个创新性方法测算我国社保基金和基本养老保险实际权</w:t>
      </w:r>
      <w:r>
        <w:rPr>
          <w:spacing w:val="5"/>
        </w:rPr>
        <w:t xml:space="preserve"> </w:t>
      </w:r>
      <w:r>
        <w:rPr>
          <w:spacing w:val="-2"/>
        </w:rPr>
        <w:t>益配置比例，运用企业年金的养老金产品资产结构测算二支柱实际权益配置</w:t>
      </w:r>
      <w:r>
        <w:rPr>
          <w:spacing w:val="1"/>
        </w:rPr>
        <w:t xml:space="preserve"> </w:t>
      </w:r>
      <w:r>
        <w:rPr>
          <w:spacing w:val="-4"/>
        </w:rPr>
        <w:t>比例。</w:t>
      </w:r>
    </w:p>
    <w:p>
      <w:pPr>
        <w:pStyle w:val="BodyText"/>
        <w:spacing w:before="83" w:line="254" w:lineRule="auto"/>
        <w:ind w:left="3519" w:right="123" w:hanging="586"/>
      </w:pPr>
      <w:r>
        <w:rPr>
          <w:rFonts w:ascii="SimSun" w:eastAsia="SimSun" w:hAnsi="SimSun" w:cs="SimSun"/>
          <w:b/>
          <w:bCs/>
          <w:spacing w:val="-7"/>
        </w:rPr>
        <w:t>(2)</w:t>
      </w:r>
      <w:r>
        <w:rPr>
          <w:rFonts w:ascii="SimSun" w:eastAsia="SimSun" w:hAnsi="SimSun" w:cs="SimSun"/>
          <w:spacing w:val="-7"/>
        </w:rPr>
        <w:t xml:space="preserve">   </w:t>
      </w:r>
      <w:r>
        <w:rPr>
          <w:b/>
          <w:bCs/>
          <w:spacing w:val="-7"/>
        </w:rPr>
        <w:t>入市空间：</w:t>
      </w:r>
      <w:r>
        <w:rPr>
          <w:spacing w:val="-7"/>
        </w:rPr>
        <w:t xml:space="preserve"> </w:t>
      </w:r>
      <w:r>
        <w:rPr>
          <w:spacing w:val="-7"/>
        </w:rPr>
        <w:t>我们研究分析日本</w:t>
      </w:r>
      <w:r>
        <w:rPr>
          <w:rFonts w:ascii="SimSun" w:eastAsia="SimSun" w:hAnsi="SimSun" w:cs="SimSun"/>
          <w:spacing w:val="-7"/>
        </w:rPr>
        <w:t>GPIF、</w:t>
      </w:r>
      <w:r>
        <w:rPr>
          <w:rFonts w:ascii="SimSun" w:eastAsia="SimSun" w:hAnsi="SimSun" w:cs="SimSun"/>
          <w:spacing w:val="-17"/>
        </w:rPr>
        <w:t xml:space="preserve"> </w:t>
      </w:r>
      <w:r>
        <w:rPr>
          <w:spacing w:val="-7"/>
        </w:rPr>
        <w:t>挪威</w:t>
      </w:r>
      <w:r>
        <w:rPr>
          <w:rFonts w:ascii="SimSun" w:eastAsia="SimSun" w:hAnsi="SimSun" w:cs="SimSun"/>
          <w:spacing w:val="-7"/>
        </w:rPr>
        <w:t xml:space="preserve">GPFG、  </w:t>
      </w:r>
      <w:r>
        <w:rPr>
          <w:spacing w:val="-7"/>
        </w:rPr>
        <w:t>美国401</w:t>
      </w:r>
      <w:r>
        <w:rPr>
          <w:rFonts w:ascii="SimSun" w:eastAsia="SimSun" w:hAnsi="SimSun" w:cs="SimSun"/>
          <w:spacing w:val="-7"/>
        </w:rPr>
        <w:t xml:space="preserve">(K)、 </w:t>
      </w:r>
      <w:r>
        <w:rPr>
          <w:spacing w:val="-7"/>
        </w:rPr>
        <w:t>英国</w:t>
      </w:r>
      <w:r>
        <w:rPr>
          <w:spacing w:val="-47"/>
        </w:rPr>
        <w:t xml:space="preserve"> </w:t>
      </w:r>
      <w:r>
        <w:rPr>
          <w:rFonts w:ascii="SimSun" w:eastAsia="SimSun" w:hAnsi="SimSun" w:cs="SimSun"/>
          <w:spacing w:val="-7"/>
        </w:rPr>
        <w:t>NEST</w:t>
      </w:r>
      <w:r>
        <w:rPr>
          <w:rFonts w:ascii="SimSun" w:eastAsia="SimSun" w:hAnsi="SimSun" w:cs="SimSun"/>
        </w:rPr>
        <w:t xml:space="preserve">  </w:t>
      </w:r>
      <w:r>
        <w:rPr>
          <w:spacing w:val="-1"/>
        </w:rPr>
        <w:t>等养老基金的投资管理和委托管理制度，详细测</w:t>
      </w:r>
      <w:r>
        <w:rPr>
          <w:spacing w:val="-2"/>
        </w:rPr>
        <w:t>算委托管理规模和资产配置</w:t>
      </w:r>
      <w:r>
        <w:t xml:space="preserve"> </w:t>
      </w:r>
      <w:r>
        <w:rPr>
          <w:spacing w:val="-2"/>
        </w:rPr>
        <w:t>结构，以海外发达国家案例作为我国养老金入市的空间借鉴。</w:t>
      </w:r>
    </w:p>
    <w:p>
      <w:pPr>
        <w:pStyle w:val="BodyText"/>
        <w:spacing w:before="54" w:line="260" w:lineRule="auto"/>
        <w:ind w:left="3519" w:right="100" w:hanging="586"/>
      </w:pPr>
      <w:r>
        <w:rPr>
          <w:rFonts w:ascii="SimSun" w:eastAsia="SimSun" w:hAnsi="SimSun" w:cs="SimSun"/>
          <w:b/>
          <w:bCs/>
          <w:spacing w:val="-5"/>
        </w:rPr>
        <w:t>(3)</w:t>
      </w:r>
      <w:r>
        <w:rPr>
          <w:rFonts w:ascii="SimSun" w:eastAsia="SimSun" w:hAnsi="SimSun" w:cs="SimSun"/>
          <w:spacing w:val="-5"/>
        </w:rPr>
        <w:t xml:space="preserve">   </w:t>
      </w:r>
      <w:r>
        <w:rPr>
          <w:b/>
          <w:bCs/>
          <w:spacing w:val="-5"/>
        </w:rPr>
        <w:t>未来路径：</w:t>
      </w:r>
      <w:r>
        <w:rPr>
          <w:spacing w:val="-5"/>
        </w:rPr>
        <w:t xml:space="preserve"> </w:t>
      </w:r>
      <w:r>
        <w:rPr>
          <w:spacing w:val="-5"/>
        </w:rPr>
        <w:t>分析中长期资金入市的必然性和可行性、验证资本市场与实体经</w:t>
      </w:r>
      <w:r>
        <w:rPr>
          <w:spacing w:val="12"/>
        </w:rPr>
        <w:t xml:space="preserve"> </w:t>
      </w:r>
      <w:r>
        <w:rPr>
          <w:spacing w:val="7"/>
        </w:rPr>
        <w:t>济、居民财富良性循环，根据证监会2023年8月就“活跃资本市场”的政</w:t>
      </w:r>
      <w:r>
        <w:rPr>
          <w:spacing w:val="16"/>
        </w:rPr>
        <w:t xml:space="preserve"> </w:t>
      </w:r>
      <w:r>
        <w:rPr>
          <w:spacing w:val="6"/>
        </w:rPr>
        <w:t>策部署和2024年1</w:t>
      </w:r>
      <w:r>
        <w:rPr>
          <w:spacing w:val="-44"/>
        </w:rPr>
        <w:t xml:space="preserve"> </w:t>
      </w:r>
      <w:r>
        <w:rPr>
          <w:spacing w:val="6"/>
        </w:rPr>
        <w:t>月以来监管发言，梳理推进养老金入市的投资端改革政</w:t>
      </w:r>
      <w:r>
        <w:t xml:space="preserve"> </w:t>
      </w:r>
      <w:r>
        <w:rPr>
          <w:spacing w:val="-3"/>
        </w:rPr>
        <w:t>策方向和跨部委协同联动方向。</w:t>
      </w:r>
    </w:p>
    <w:p>
      <w:pPr>
        <w:spacing w:line="260" w:lineRule="auto"/>
        <w:sectPr>
          <w:footerReference w:type="default" r:id="rId19"/>
          <w:pgSz w:w="11910" w:h="16840"/>
          <w:pgMar w:top="156" w:right="660" w:bottom="1129" w:left="719" w:header="0" w:footer="856" w:gutter="0"/>
          <w:pgNumType w:start="10"/>
          <w:cols w:space="708"/>
        </w:sectPr>
      </w:pPr>
    </w:p>
    <w:p>
      <w:pPr>
        <w:spacing w:before="153" w:line="226" w:lineRule="auto"/>
        <w:ind w:left="170"/>
        <w:rPr>
          <w:rFonts w:ascii="YouYuan" w:eastAsia="YouYuan" w:hAnsi="YouYuan" w:cs="YouYuan"/>
          <w:sz w:val="60"/>
          <w:szCs w:val="60"/>
        </w:rPr>
      </w:pPr>
      <w:r>
        <w:drawing>
          <wp:anchor distT="0" distB="0" distL="0" distR="0" simplePos="0" relativeHeight="251664384" behindDoc="0" locked="0" layoutInCell="0" allowOverlap="1">
            <wp:simplePos x="0" y="0"/>
            <wp:positionH relativeFrom="page">
              <wp:posOffset>2254258</wp:posOffset>
            </wp:positionH>
            <wp:positionV relativeFrom="page">
              <wp:posOffset>8470882</wp:posOffset>
            </wp:positionV>
            <wp:extent cx="4876829" cy="6416"/>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0"/>
                    <a:stretch>
                      <a:fillRect/>
                    </a:stretch>
                  </pic:blipFill>
                  <pic:spPr>
                    <a:xfrm>
                      <a:off x="0" y="0"/>
                      <a:ext cx="4876829" cy="6416"/>
                    </a:xfrm>
                    <a:prstGeom prst="rect">
                      <a:avLst/>
                    </a:prstGeom>
                  </pic:spPr>
                </pic:pic>
              </a:graphicData>
            </a:graphic>
          </wp:anchor>
        </w:drawing>
      </w:r>
      <w:bookmarkStart w:id="1" w:name="bookmark19"/>
      <w:bookmarkEnd w:id="1"/>
      <w:bookmarkStart w:id="2" w:name="bookmark2"/>
      <w:bookmarkEnd w:id="2"/>
      <w:bookmarkStart w:id="3" w:name="bookmark3"/>
      <w:bookmarkEnd w:id="3"/>
      <w:r>
        <w:rPr>
          <w:rFonts w:ascii="YouYuan" w:eastAsia="YouYuan" w:hAnsi="YouYuan" w:cs="YouYuan"/>
          <w:position w:val="-21"/>
          <w:sz w:val="60"/>
          <w:szCs w:val="60"/>
        </w:rPr>
        <w:drawing>
          <wp:inline distT="0" distB="0" distL="0" distR="0">
            <wp:extent cx="577801" cy="488901"/>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40" w:line="229" w:lineRule="auto"/>
        <w:ind w:left="8463"/>
        <w:rPr>
          <w:sz w:val="22"/>
          <w:szCs w:val="22"/>
        </w:rPr>
      </w:pPr>
      <w:r>
        <w:drawing>
          <wp:anchor distT="0" distB="0" distL="0" distR="0" simplePos="0" relativeHeight="251665408" behindDoc="0" locked="0" layoutInCell="1" allowOverlap="1">
            <wp:simplePos x="0" y="0"/>
            <wp:positionH relativeFrom="column">
              <wp:posOffset>19057</wp:posOffset>
            </wp:positionH>
            <wp:positionV relativeFrom="paragraph">
              <wp:posOffset>158161</wp:posOffset>
            </wp:positionV>
            <wp:extent cx="6558657" cy="6984"/>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21"/>
                    <a:stretch>
                      <a:fillRect/>
                    </a:stretch>
                  </pic:blipFill>
                  <pic:spPr>
                    <a:xfrm>
                      <a:off x="0" y="0"/>
                      <a:ext cx="6558657" cy="6984"/>
                    </a:xfrm>
                    <a:prstGeom prst="rect">
                      <a:avLst/>
                    </a:prstGeom>
                  </pic:spPr>
                </pic:pic>
              </a:graphicData>
            </a:graphic>
          </wp:anchor>
        </w:drawing>
      </w:r>
      <w:r>
        <w:rPr>
          <w:spacing w:val="-11"/>
          <w:sz w:val="22"/>
          <w:szCs w:val="22"/>
        </w:rPr>
        <w:t>行</w:t>
      </w:r>
      <w:r>
        <w:rPr>
          <w:spacing w:val="29"/>
          <w:sz w:val="22"/>
          <w:szCs w:val="22"/>
        </w:rPr>
        <w:t xml:space="preserve"> </w:t>
      </w:r>
      <w:r>
        <w:rPr>
          <w:spacing w:val="-11"/>
          <w:sz w:val="22"/>
          <w:szCs w:val="22"/>
        </w:rPr>
        <w:t>业</w:t>
      </w:r>
      <w:r>
        <w:rPr>
          <w:spacing w:val="24"/>
          <w:sz w:val="22"/>
          <w:szCs w:val="22"/>
        </w:rPr>
        <w:t xml:space="preserve"> </w:t>
      </w:r>
      <w:r>
        <w:rPr>
          <w:spacing w:val="-11"/>
          <w:sz w:val="22"/>
          <w:szCs w:val="22"/>
        </w:rPr>
        <w:t>深</w:t>
      </w:r>
      <w:r>
        <w:rPr>
          <w:spacing w:val="16"/>
          <w:sz w:val="22"/>
          <w:szCs w:val="22"/>
        </w:rPr>
        <w:t xml:space="preserve"> </w:t>
      </w:r>
      <w:r>
        <w:rPr>
          <w:spacing w:val="-11"/>
          <w:sz w:val="22"/>
          <w:szCs w:val="22"/>
        </w:rPr>
        <w:t>度</w:t>
      </w:r>
      <w:r>
        <w:rPr>
          <w:spacing w:val="13"/>
          <w:sz w:val="22"/>
          <w:szCs w:val="22"/>
        </w:rPr>
        <w:t xml:space="preserve"> </w:t>
      </w:r>
      <w:r>
        <w:rPr>
          <w:spacing w:val="-11"/>
          <w:sz w:val="22"/>
          <w:szCs w:val="22"/>
        </w:rPr>
        <w:t>报</w:t>
      </w:r>
      <w:r>
        <w:rPr>
          <w:spacing w:val="12"/>
          <w:sz w:val="22"/>
          <w:szCs w:val="22"/>
        </w:rPr>
        <w:t xml:space="preserve"> </w:t>
      </w:r>
      <w:r>
        <w:rPr>
          <w:spacing w:val="-11"/>
          <w:sz w:val="22"/>
          <w:szCs w:val="22"/>
        </w:rPr>
        <w:t>告</w:t>
      </w:r>
    </w:p>
    <w:p>
      <w:pPr>
        <w:pStyle w:val="BodyText"/>
        <w:spacing w:before="223" w:line="220" w:lineRule="auto"/>
        <w:ind w:left="2824"/>
        <w:outlineLvl w:val="0"/>
        <w:rPr>
          <w:sz w:val="28"/>
          <w:szCs w:val="28"/>
        </w:rPr>
      </w:pPr>
      <w:r>
        <w:rPr>
          <w:b/>
          <w:bCs/>
          <w:color w:val="000080"/>
          <w:spacing w:val="-5"/>
          <w:sz w:val="28"/>
          <w:szCs w:val="28"/>
        </w:rPr>
        <w:t>2、</w:t>
      </w:r>
      <w:r>
        <w:rPr>
          <w:color w:val="000080"/>
          <w:spacing w:val="-5"/>
          <w:sz w:val="28"/>
          <w:szCs w:val="28"/>
        </w:rPr>
        <w:t xml:space="preserve"> </w:t>
      </w:r>
      <w:r>
        <w:rPr>
          <w:b/>
          <w:bCs/>
          <w:color w:val="000080"/>
          <w:spacing w:val="-5"/>
          <w:sz w:val="28"/>
          <w:szCs w:val="28"/>
        </w:rPr>
        <w:t>养老金委托管理和权益比例待提升，中长期资金入市可期</w:t>
      </w:r>
    </w:p>
    <w:p>
      <w:pPr>
        <w:pStyle w:val="BodyText"/>
        <w:spacing w:before="297" w:line="222" w:lineRule="auto"/>
        <w:ind w:left="2823"/>
        <w:outlineLvl w:val="1"/>
        <w:rPr>
          <w:sz w:val="25"/>
          <w:szCs w:val="25"/>
        </w:rPr>
      </w:pPr>
      <w:r>
        <w:rPr>
          <w:b/>
          <w:bCs/>
          <w:spacing w:val="-3"/>
          <w:sz w:val="25"/>
          <w:szCs w:val="25"/>
        </w:rPr>
        <w:t>2.1、2022年一二支柱养老金占比超90%,基本养老保险委托投资规模低</w:t>
      </w:r>
    </w:p>
    <w:p>
      <w:pPr>
        <w:pStyle w:val="BodyText"/>
        <w:spacing w:before="176" w:line="266" w:lineRule="auto"/>
        <w:ind w:left="2820" w:right="14" w:firstLine="3"/>
        <w:jc w:val="both"/>
      </w:pPr>
      <w:r>
        <w:rPr>
          <w:b/>
          <w:bCs/>
        </w:rPr>
        <w:t>我国第一支柱和第二支柱养老金为主要支撑，</w:t>
      </w:r>
      <w:r>
        <w:rPr>
          <w:b/>
          <w:bCs/>
          <w:spacing w:val="-1"/>
        </w:rPr>
        <w:t>三支柱空间长远。</w:t>
      </w:r>
      <w:r>
        <w:rPr>
          <w:spacing w:val="-1"/>
        </w:rPr>
        <w:t>我国养老金主要代</w:t>
      </w:r>
      <w:r>
        <w:t xml:space="preserve">  </w:t>
      </w:r>
      <w:r>
        <w:rPr>
          <w:spacing w:val="1"/>
        </w:rPr>
        <w:t>表为一支柱基本养老保险基金以及一支柱补</w:t>
      </w:r>
      <w:r>
        <w:t>充的全国社保基金、二支柱的企业年金</w:t>
      </w:r>
      <w:r>
        <w:t xml:space="preserve">  </w:t>
      </w:r>
      <w:r>
        <w:rPr>
          <w:spacing w:val="-4"/>
        </w:rPr>
        <w:t>和职业年金、以及隶属三支柱的个人养老金</w:t>
      </w:r>
      <w:r>
        <w:rPr>
          <w:spacing w:val="-5"/>
        </w:rPr>
        <w:t>账户+产品端细分的保险资金、银行理财、</w:t>
      </w:r>
      <w:r>
        <w:t xml:space="preserve"> </w:t>
      </w:r>
      <w:r>
        <w:rPr>
          <w:spacing w:val="1"/>
        </w:rPr>
        <w:t>部分公募基金等。我国养老三支柱体系以一支柱和二支柱为主，2022年资金为规模</w:t>
      </w:r>
      <w:r>
        <w:rPr>
          <w:spacing w:val="2"/>
        </w:rPr>
        <w:t xml:space="preserve">  </w:t>
      </w:r>
      <w:r>
        <w:t>分别约10万亿和5万亿元。若将产品端各类个</w:t>
      </w:r>
      <w:r>
        <w:rPr>
          <w:spacing w:val="-1"/>
        </w:rPr>
        <w:t>人养老金产品纳入计算，</w:t>
      </w:r>
      <w:r>
        <w:rPr>
          <w:spacing w:val="62"/>
        </w:rPr>
        <w:t xml:space="preserve"> </w:t>
      </w:r>
      <w:r>
        <w:rPr>
          <w:spacing w:val="-1"/>
        </w:rPr>
        <w:t>一支柱和二</w:t>
      </w:r>
      <w:r>
        <w:t xml:space="preserve">  </w:t>
      </w:r>
      <w:r>
        <w:rPr>
          <w:spacing w:val="4"/>
        </w:rPr>
        <w:t>支柱养老金占比仍超90%。</w:t>
      </w:r>
    </w:p>
    <w:p>
      <w:pPr>
        <w:spacing w:line="326" w:lineRule="auto"/>
        <w:rPr>
          <w:rFonts w:ascii="Arial"/>
          <w:sz w:val="21"/>
        </w:rPr>
      </w:pPr>
    </w:p>
    <w:p>
      <w:pPr>
        <w:pStyle w:val="BodyText"/>
        <w:spacing w:before="69" w:line="220" w:lineRule="auto"/>
        <w:ind w:left="2823"/>
      </w:pPr>
      <w:r>
        <w:rPr>
          <w:b/>
          <w:bCs/>
          <w:color w:val="000080"/>
          <w:spacing w:val="31"/>
          <w:u w:val="single" w:color="auto"/>
        </w:rPr>
        <w:t>图1:我国建立养老金三支柱体系，养老资金是主要的长期资金</w:t>
      </w:r>
      <w:r>
        <w:rPr>
          <w:color w:val="000080"/>
          <w:spacing w:val="1"/>
          <w:u w:val="single" w:color="auto"/>
        </w:rPr>
        <w:t xml:space="preserve">          </w:t>
      </w:r>
    </w:p>
    <w:p>
      <w:pPr>
        <w:pStyle w:val="BodyText"/>
        <w:spacing w:before="192" w:line="3891" w:lineRule="exact"/>
        <w:ind w:firstLine="2830"/>
      </w:pPr>
      <w:r>
        <w:rPr>
          <w:position w:val="-77"/>
        </w:rPr>
        <w:pict>
          <v:group id="_x0000_i1030" style="width:383.55pt;height:194.55pt;mso-position-horizontal-relative:char;mso-position-vertical-relative:line" coordorigin="0,0" coordsize="7670,389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width:7580;height:3870;left:10;position:absolute" filled="f" stroked="f">
              <v:imagedata r:id="rId22" o:title=""/>
            </v:shape>
            <v:shape id="_x0000_s1032" type="#_x0000_t202" style="width:4476;height:3805;left:2659;position:absolute;top:43" filled="f" stroked="f">
              <o:lock v:ext="edit" aspectratio="f"/>
              <v:textbox inset="0,0,0,0">
                <w:txbxContent>
                  <w:p>
                    <w:pPr>
                      <w:spacing w:before="20" w:line="224" w:lineRule="auto"/>
                      <w:ind w:left="169"/>
                      <w:rPr>
                        <w:rFonts w:ascii="KaiTi" w:eastAsia="KaiTi" w:hAnsi="KaiTi" w:cs="KaiTi"/>
                        <w:sz w:val="15"/>
                        <w:szCs w:val="15"/>
                      </w:rPr>
                    </w:pPr>
                    <w:r>
                      <w:rPr>
                        <w:rFonts w:ascii="KaiTi" w:eastAsia="KaiTi" w:hAnsi="KaiTi" w:cs="KaiTi"/>
                        <w:color w:val="FFFFFF"/>
                        <w:spacing w:val="6"/>
                        <w:sz w:val="15"/>
                        <w:szCs w:val="15"/>
                      </w:rPr>
                      <w:t>养老金</w:t>
                    </w:r>
                  </w:p>
                  <w:p>
                    <w:pPr>
                      <w:spacing w:before="46" w:line="223" w:lineRule="auto"/>
                      <w:ind w:left="40"/>
                      <w:rPr>
                        <w:rFonts w:ascii="KaiTi" w:eastAsia="KaiTi" w:hAnsi="KaiTi" w:cs="KaiTi"/>
                        <w:sz w:val="15"/>
                        <w:szCs w:val="15"/>
                      </w:rPr>
                    </w:pPr>
                    <w:r>
                      <w:rPr>
                        <w:rFonts w:ascii="KaiTi" w:eastAsia="KaiTi" w:hAnsi="KaiTi" w:cs="KaiTi"/>
                        <w:color w:val="FFFFFF"/>
                        <w:spacing w:val="-1"/>
                        <w:sz w:val="15"/>
                        <w:szCs w:val="15"/>
                      </w:rPr>
                      <w:t>三支柱体系</w:t>
                    </w:r>
                  </w:p>
                  <w:p>
                    <w:pPr>
                      <w:spacing w:before="220" w:line="230" w:lineRule="exact"/>
                      <w:ind w:left="120"/>
                      <w:rPr>
                        <w:rFonts w:ascii="KaiTi" w:eastAsia="KaiTi" w:hAnsi="KaiTi" w:cs="KaiTi"/>
                        <w:sz w:val="15"/>
                        <w:szCs w:val="15"/>
                      </w:rPr>
                    </w:pPr>
                    <w:r>
                      <w:rPr>
                        <w:rFonts w:ascii="KaiTi" w:eastAsia="KaiTi" w:hAnsi="KaiTi" w:cs="KaiTi"/>
                        <w:color w:val="FFFFFF"/>
                        <w:spacing w:val="-3"/>
                        <w:position w:val="5"/>
                        <w:sz w:val="15"/>
                        <w:szCs w:val="15"/>
                      </w:rPr>
                      <w:t>第二支柱</w:t>
                    </w:r>
                  </w:p>
                  <w:p>
                    <w:pPr>
                      <w:spacing w:line="224" w:lineRule="auto"/>
                      <w:ind w:left="20"/>
                      <w:rPr>
                        <w:rFonts w:ascii="KaiTi" w:eastAsia="KaiTi" w:hAnsi="KaiTi" w:cs="KaiTi"/>
                        <w:sz w:val="15"/>
                        <w:szCs w:val="15"/>
                      </w:rPr>
                    </w:pPr>
                    <w:r>
                      <w:rPr>
                        <w:rFonts w:ascii="KaiTi" w:eastAsia="KaiTi" w:hAnsi="KaiTi" w:cs="KaiTi"/>
                        <w:color w:val="FFFFFF"/>
                        <w:spacing w:val="-1"/>
                        <w:sz w:val="15"/>
                        <w:szCs w:val="15"/>
                      </w:rPr>
                      <w:t>职业养老金</w:t>
                    </w:r>
                  </w:p>
                  <w:p>
                    <w:pPr>
                      <w:spacing w:before="226" w:line="165" w:lineRule="auto"/>
                      <w:ind w:left="3179"/>
                      <w:rPr>
                        <w:rFonts w:ascii="KaiTi" w:eastAsia="KaiTi" w:hAnsi="KaiTi" w:cs="KaiTi"/>
                        <w:sz w:val="15"/>
                        <w:szCs w:val="15"/>
                      </w:rPr>
                    </w:pPr>
                    <w:r>
                      <w:rPr>
                        <w:rFonts w:ascii="KaiTi" w:eastAsia="KaiTi" w:hAnsi="KaiTi" w:cs="KaiTi"/>
                        <w:color w:val="FFFFFF"/>
                        <w:spacing w:val="-6"/>
                        <w:sz w:val="15"/>
                        <w:szCs w:val="15"/>
                      </w:rPr>
                      <w:t>产品制：</w:t>
                    </w:r>
                  </w:p>
                  <w:p>
                    <w:pPr>
                      <w:spacing w:line="117" w:lineRule="exact"/>
                      <w:ind w:left="300"/>
                      <w:rPr>
                        <w:rFonts w:ascii="KaiTi" w:eastAsia="KaiTi" w:hAnsi="KaiTi" w:cs="KaiTi"/>
                        <w:sz w:val="15"/>
                        <w:szCs w:val="15"/>
                      </w:rPr>
                    </w:pPr>
                    <w:r>
                      <w:rPr>
                        <w:rFonts w:ascii="KaiTi" w:eastAsia="KaiTi" w:hAnsi="KaiTi" w:cs="KaiTi"/>
                        <w:color w:val="FFFFFF"/>
                        <w:spacing w:val="-1"/>
                        <w:position w:val="-2"/>
                        <w:sz w:val="15"/>
                        <w:szCs w:val="15"/>
                      </w:rPr>
                      <w:t>企业年金</w:t>
                    </w:r>
                  </w:p>
                  <w:p>
                    <w:pPr>
                      <w:spacing w:line="209" w:lineRule="auto"/>
                      <w:ind w:left="2649"/>
                      <w:rPr>
                        <w:rFonts w:ascii="KaiTi" w:eastAsia="KaiTi" w:hAnsi="KaiTi" w:cs="KaiTi"/>
                        <w:sz w:val="15"/>
                        <w:szCs w:val="15"/>
                      </w:rPr>
                    </w:pPr>
                    <w:r>
                      <w:rPr>
                        <w:rFonts w:ascii="KaiTi" w:eastAsia="KaiTi" w:hAnsi="KaiTi" w:cs="KaiTi"/>
                        <w:color w:val="FFFFFF"/>
                        <w:spacing w:val="-10"/>
                        <w:sz w:val="15"/>
                        <w:szCs w:val="15"/>
                      </w:rPr>
                      <w:t>保险、银行理财、</w:t>
                    </w:r>
                    <w:r>
                      <w:rPr>
                        <w:rFonts w:ascii="Times New Roman" w:eastAsia="Times New Roman" w:hAnsi="Times New Roman" w:cs="Times New Roman"/>
                        <w:color w:val="FFFFFF"/>
                        <w:spacing w:val="-10"/>
                        <w:sz w:val="15"/>
                        <w:szCs w:val="15"/>
                      </w:rPr>
                      <w:t xml:space="preserve">FOF </w:t>
                    </w:r>
                    <w:r>
                      <w:rPr>
                        <w:rFonts w:ascii="KaiTi" w:eastAsia="KaiTi" w:hAnsi="KaiTi" w:cs="KaiTi"/>
                        <w:color w:val="FFFFFF"/>
                        <w:spacing w:val="-10"/>
                        <w:sz w:val="15"/>
                        <w:szCs w:val="15"/>
                      </w:rPr>
                      <w:t>基金</w:t>
                    </w:r>
                  </w:p>
                  <w:p>
                    <w:pPr>
                      <w:spacing w:before="150" w:line="182" w:lineRule="auto"/>
                      <w:ind w:left="3739"/>
                      <w:rPr>
                        <w:rFonts w:ascii="STHupo" w:eastAsia="STHupo" w:hAnsi="STHupo" w:cs="STHupo"/>
                        <w:sz w:val="15"/>
                        <w:szCs w:val="15"/>
                      </w:rPr>
                    </w:pPr>
                    <w:r>
                      <w:rPr>
                        <w:rFonts w:ascii="STHupo" w:eastAsia="STHupo" w:hAnsi="STHupo" w:cs="STHupo"/>
                        <w:spacing w:val="-2"/>
                        <w:sz w:val="15"/>
                        <w:szCs w:val="15"/>
                      </w:rPr>
                      <w:t>保险</w:t>
                    </w:r>
                  </w:p>
                  <w:p>
                    <w:pPr>
                      <w:spacing w:before="1" w:line="172" w:lineRule="auto"/>
                      <w:ind w:left="300"/>
                      <w:rPr>
                        <w:rFonts w:ascii="KaiTi" w:eastAsia="KaiTi" w:hAnsi="KaiTi" w:cs="KaiTi"/>
                        <w:sz w:val="15"/>
                        <w:szCs w:val="15"/>
                      </w:rPr>
                    </w:pPr>
                    <w:r>
                      <w:rPr>
                        <w:rFonts w:ascii="KaiTi" w:eastAsia="KaiTi" w:hAnsi="KaiTi" w:cs="KaiTi"/>
                        <w:color w:val="FFFFFF"/>
                        <w:spacing w:val="-1"/>
                        <w:sz w:val="15"/>
                        <w:szCs w:val="15"/>
                      </w:rPr>
                      <w:t>职业年金</w:t>
                    </w:r>
                  </w:p>
                  <w:p>
                    <w:pPr>
                      <w:spacing w:line="245" w:lineRule="auto"/>
                      <w:ind w:left="3300" w:right="20" w:firstLine="60"/>
                      <w:rPr>
                        <w:rFonts w:ascii="KaiTi" w:eastAsia="KaiTi" w:hAnsi="KaiTi" w:cs="KaiTi"/>
                        <w:sz w:val="15"/>
                        <w:szCs w:val="15"/>
                      </w:rPr>
                    </w:pPr>
                    <w:r>
                      <w:rPr>
                        <w:rFonts w:ascii="KaiTi" w:eastAsia="KaiTi" w:hAnsi="KaiTi" w:cs="KaiTi"/>
                        <w:color w:val="FFFFFF"/>
                        <w:spacing w:val="-2"/>
                        <w:sz w:val="15"/>
                        <w:szCs w:val="15"/>
                      </w:rPr>
                      <w:t>税延型养老保险</w:t>
                    </w:r>
                    <w:r>
                      <w:rPr>
                        <w:rFonts w:ascii="KaiTi" w:eastAsia="KaiTi" w:hAnsi="KaiTi" w:cs="KaiTi"/>
                        <w:color w:val="FFFFFF"/>
                        <w:spacing w:val="-2"/>
                        <w:sz w:val="15"/>
                        <w:szCs w:val="15"/>
                      </w:rPr>
                      <w:t xml:space="preserve"> </w:t>
                    </w:r>
                    <w:r>
                      <w:rPr>
                        <w:rFonts w:ascii="KaiTi" w:eastAsia="KaiTi" w:hAnsi="KaiTi" w:cs="KaiTi"/>
                        <w:color w:val="FFFFFF"/>
                        <w:spacing w:val="-6"/>
                        <w:sz w:val="15"/>
                        <w:szCs w:val="15"/>
                      </w:rPr>
                      <w:t>专属商业养老保险</w:t>
                    </w:r>
                  </w:p>
                  <w:p>
                    <w:pPr>
                      <w:spacing w:before="172" w:line="229" w:lineRule="auto"/>
                      <w:ind w:left="3739"/>
                      <w:rPr>
                        <w:rFonts w:ascii="KaiTi" w:eastAsia="KaiTi" w:hAnsi="KaiTi" w:cs="KaiTi"/>
                        <w:sz w:val="15"/>
                        <w:szCs w:val="15"/>
                      </w:rPr>
                    </w:pPr>
                    <w:r>
                      <w:rPr>
                        <w:rFonts w:ascii="KaiTi" w:eastAsia="KaiTi" w:hAnsi="KaiTi" w:cs="KaiTi"/>
                        <w:color w:val="FFFFFF"/>
                        <w:spacing w:val="-2"/>
                        <w:sz w:val="15"/>
                        <w:szCs w:val="15"/>
                      </w:rPr>
                      <w:t>银行</w:t>
                    </w:r>
                  </w:p>
                  <w:p>
                    <w:pPr>
                      <w:spacing w:before="27" w:line="223" w:lineRule="auto"/>
                      <w:ind w:left="3472"/>
                      <w:rPr>
                        <w:rFonts w:ascii="KaiTi" w:eastAsia="KaiTi" w:hAnsi="KaiTi" w:cs="KaiTi"/>
                        <w:sz w:val="15"/>
                        <w:szCs w:val="15"/>
                      </w:rPr>
                    </w:pPr>
                    <w:r>
                      <w:rPr>
                        <w:rFonts w:ascii="KaiTi" w:eastAsia="KaiTi" w:hAnsi="KaiTi" w:cs="KaiTi"/>
                        <w:b/>
                        <w:bCs/>
                        <w:color w:val="FFFFFF"/>
                        <w:spacing w:val="-7"/>
                        <w:sz w:val="15"/>
                        <w:szCs w:val="15"/>
                      </w:rPr>
                      <w:t>养老理财产品</w:t>
                    </w:r>
                  </w:p>
                  <w:p>
                    <w:pPr>
                      <w:spacing w:before="276" w:line="232" w:lineRule="auto"/>
                      <w:ind w:left="3742"/>
                      <w:rPr>
                        <w:rFonts w:ascii="KaiTi" w:eastAsia="KaiTi" w:hAnsi="KaiTi" w:cs="KaiTi"/>
                        <w:sz w:val="15"/>
                        <w:szCs w:val="15"/>
                      </w:rPr>
                    </w:pPr>
                    <w:r>
                      <w:rPr>
                        <w:rFonts w:ascii="KaiTi" w:eastAsia="KaiTi" w:hAnsi="KaiTi" w:cs="KaiTi"/>
                        <w:b/>
                        <w:bCs/>
                        <w:color w:val="FFFFFF"/>
                        <w:spacing w:val="-3"/>
                        <w:sz w:val="15"/>
                        <w:szCs w:val="15"/>
                      </w:rPr>
                      <w:t>基金</w:t>
                    </w:r>
                  </w:p>
                  <w:p>
                    <w:pPr>
                      <w:spacing w:before="46" w:line="224" w:lineRule="auto"/>
                      <w:ind w:left="3452"/>
                      <w:rPr>
                        <w:rFonts w:ascii="KaiTi" w:eastAsia="KaiTi" w:hAnsi="KaiTi" w:cs="KaiTi"/>
                        <w:sz w:val="15"/>
                        <w:szCs w:val="15"/>
                      </w:rPr>
                    </w:pPr>
                    <w:r>
                      <w:rPr>
                        <w:rFonts w:ascii="KaiTi" w:eastAsia="KaiTi" w:hAnsi="KaiTi" w:cs="KaiTi"/>
                        <w:b/>
                        <w:bCs/>
                        <w:color w:val="FFFFFF"/>
                        <w:spacing w:val="-3"/>
                        <w:sz w:val="15"/>
                        <w:szCs w:val="15"/>
                      </w:rPr>
                      <w:t>养老目标基金</w:t>
                    </w:r>
                  </w:p>
                </w:txbxContent>
              </v:textbox>
            </v:shape>
            <v:shape id="_x0000_s1033" type="#_x0000_t202" style="width:1039;height:1646;left:1430;position:absolute;top:673" filled="f" stroked="f">
              <o:lock v:ext="edit" aspectratio="f"/>
              <v:textbox inset="0,0,0,0">
                <w:txbxContent>
                  <w:p>
                    <w:pPr>
                      <w:spacing w:before="20" w:line="224" w:lineRule="auto"/>
                      <w:ind w:left="169"/>
                      <w:rPr>
                        <w:rFonts w:ascii="KaiTi" w:eastAsia="KaiTi" w:hAnsi="KaiTi" w:cs="KaiTi"/>
                        <w:sz w:val="15"/>
                        <w:szCs w:val="15"/>
                      </w:rPr>
                    </w:pPr>
                    <w:r>
                      <w:rPr>
                        <w:rFonts w:ascii="KaiTi" w:eastAsia="KaiTi" w:hAnsi="KaiTi" w:cs="KaiTi"/>
                        <w:color w:val="FFFFFF"/>
                        <w:spacing w:val="-4"/>
                        <w:sz w:val="15"/>
                        <w:szCs w:val="15"/>
                      </w:rPr>
                      <w:t>第一支柱</w:t>
                    </w:r>
                  </w:p>
                  <w:p>
                    <w:pPr>
                      <w:spacing w:before="98" w:line="224" w:lineRule="auto"/>
                      <w:ind w:left="20"/>
                      <w:rPr>
                        <w:rFonts w:ascii="KaiTi" w:eastAsia="KaiTi" w:hAnsi="KaiTi" w:cs="KaiTi"/>
                        <w:sz w:val="15"/>
                        <w:szCs w:val="15"/>
                      </w:rPr>
                    </w:pPr>
                    <w:r>
                      <w:rPr>
                        <w:rFonts w:ascii="KaiTi" w:eastAsia="KaiTi" w:hAnsi="KaiTi" w:cs="KaiTi"/>
                        <w:color w:val="FFFFFF"/>
                        <w:spacing w:val="-1"/>
                        <w:sz w:val="15"/>
                        <w:szCs w:val="15"/>
                      </w:rPr>
                      <w:t>基本养老保险</w:t>
                    </w:r>
                  </w:p>
                  <w:p>
                    <w:pPr>
                      <w:spacing w:before="188" w:line="216" w:lineRule="auto"/>
                      <w:ind w:left="279" w:right="20"/>
                      <w:rPr>
                        <w:rFonts w:ascii="KaiTi" w:eastAsia="KaiTi" w:hAnsi="KaiTi" w:cs="KaiTi"/>
                        <w:sz w:val="15"/>
                        <w:szCs w:val="15"/>
                      </w:rPr>
                    </w:pPr>
                    <w:r>
                      <w:rPr>
                        <w:rFonts w:ascii="KaiTi" w:eastAsia="KaiTi" w:hAnsi="KaiTi" w:cs="KaiTi"/>
                        <w:color w:val="FFFFFF"/>
                        <w:spacing w:val="-6"/>
                        <w:sz w:val="15"/>
                        <w:szCs w:val="15"/>
                      </w:rPr>
                      <w:t>城镇职工基</w:t>
                    </w:r>
                    <w:r>
                      <w:rPr>
                        <w:rFonts w:ascii="KaiTi" w:eastAsia="KaiTi" w:hAnsi="KaiTi" w:cs="KaiTi"/>
                        <w:color w:val="FFFFFF"/>
                        <w:spacing w:val="1"/>
                        <w:sz w:val="15"/>
                        <w:szCs w:val="15"/>
                      </w:rPr>
                      <w:t xml:space="preserve"> </w:t>
                    </w:r>
                    <w:r>
                      <w:rPr>
                        <w:rFonts w:ascii="KaiTi" w:eastAsia="KaiTi" w:hAnsi="KaiTi" w:cs="KaiTi"/>
                        <w:color w:val="FFFFFF"/>
                        <w:spacing w:val="-3"/>
                        <w:sz w:val="15"/>
                        <w:szCs w:val="15"/>
                      </w:rPr>
                      <w:t>本养老保险</w:t>
                    </w:r>
                  </w:p>
                  <w:p>
                    <w:pPr>
                      <w:spacing w:before="282" w:line="214" w:lineRule="auto"/>
                      <w:ind w:left="279" w:right="20"/>
                      <w:rPr>
                        <w:rFonts w:ascii="KaiTi" w:eastAsia="KaiTi" w:hAnsi="KaiTi" w:cs="KaiTi"/>
                        <w:sz w:val="15"/>
                        <w:szCs w:val="15"/>
                      </w:rPr>
                    </w:pPr>
                    <w:r>
                      <w:rPr>
                        <w:rFonts w:ascii="KaiTi" w:eastAsia="KaiTi" w:hAnsi="KaiTi" w:cs="KaiTi"/>
                        <w:color w:val="FFFFFF"/>
                        <w:spacing w:val="-6"/>
                        <w:sz w:val="15"/>
                        <w:szCs w:val="15"/>
                      </w:rPr>
                      <w:t>城乡居民基</w:t>
                    </w:r>
                    <w:r>
                      <w:rPr>
                        <w:rFonts w:ascii="KaiTi" w:eastAsia="KaiTi" w:hAnsi="KaiTi" w:cs="KaiTi"/>
                        <w:color w:val="FFFFFF"/>
                        <w:spacing w:val="1"/>
                        <w:sz w:val="15"/>
                        <w:szCs w:val="15"/>
                      </w:rPr>
                      <w:t xml:space="preserve"> </w:t>
                    </w:r>
                    <w:r>
                      <w:rPr>
                        <w:rFonts w:ascii="KaiTi" w:eastAsia="KaiTi" w:hAnsi="KaiTi" w:cs="KaiTi"/>
                        <w:color w:val="FFFFFF"/>
                        <w:spacing w:val="-3"/>
                        <w:sz w:val="15"/>
                        <w:szCs w:val="15"/>
                      </w:rPr>
                      <w:t>本养老保险</w:t>
                    </w:r>
                  </w:p>
                </w:txbxContent>
              </v:textbox>
            </v:shape>
            <v:shape id="_x0000_s1034" type="#_x0000_t202" style="width:1015;height:424;left:3939;position:absolute;top:1316" filled="f" stroked="f">
              <o:lock v:ext="edit" aspectratio="f"/>
              <v:textbox inset="0,0,0,0">
                <w:txbxContent>
                  <w:p>
                    <w:pPr>
                      <w:spacing w:before="19" w:line="228" w:lineRule="auto"/>
                      <w:ind w:left="190"/>
                      <w:rPr>
                        <w:rFonts w:ascii="KaiTi" w:eastAsia="KaiTi" w:hAnsi="KaiTi" w:cs="KaiTi"/>
                        <w:sz w:val="15"/>
                        <w:szCs w:val="15"/>
                      </w:rPr>
                    </w:pPr>
                    <w:r>
                      <w:rPr>
                        <w:rFonts w:ascii="KaiTi" w:eastAsia="KaiTi" w:hAnsi="KaiTi" w:cs="KaiTi"/>
                        <w:color w:val="FFFFFF"/>
                        <w:spacing w:val="-6"/>
                        <w:sz w:val="15"/>
                        <w:szCs w:val="15"/>
                      </w:rPr>
                      <w:t>账户制：</w:t>
                    </w:r>
                  </w:p>
                  <w:p>
                    <w:pPr>
                      <w:spacing w:before="42" w:line="224" w:lineRule="auto"/>
                      <w:ind w:left="20"/>
                      <w:rPr>
                        <w:rFonts w:ascii="KaiTi" w:eastAsia="KaiTi" w:hAnsi="KaiTi" w:cs="KaiTi"/>
                        <w:sz w:val="15"/>
                        <w:szCs w:val="15"/>
                      </w:rPr>
                    </w:pPr>
                    <w:r>
                      <w:rPr>
                        <w:rFonts w:ascii="KaiTi" w:eastAsia="KaiTi" w:hAnsi="KaiTi" w:cs="KaiTi"/>
                        <w:spacing w:val="-4"/>
                        <w:w w:val="96"/>
                        <w:sz w:val="15"/>
                        <w:szCs w:val="15"/>
                      </w:rPr>
                      <w:t>个人养老金账户</w:t>
                    </w:r>
                  </w:p>
                </w:txbxContent>
              </v:textbox>
            </v:shape>
            <v:shape id="_x0000_s1035" type="#_x0000_t202" style="width:933;height:399;left:229;position:absolute;top:703" filled="f" stroked="f">
              <o:lock v:ext="edit" aspectratio="f"/>
              <v:textbox inset="0,0,0,0">
                <w:txbxContent>
                  <w:p>
                    <w:pPr>
                      <w:spacing w:before="20" w:line="237" w:lineRule="auto"/>
                      <w:ind w:left="90" w:right="20" w:hanging="70"/>
                      <w:rPr>
                        <w:rFonts w:ascii="KaiTi" w:eastAsia="KaiTi" w:hAnsi="KaiTi" w:cs="KaiTi"/>
                        <w:sz w:val="15"/>
                        <w:szCs w:val="15"/>
                      </w:rPr>
                    </w:pPr>
                    <w:r>
                      <w:rPr>
                        <w:rFonts w:ascii="KaiTi" w:eastAsia="KaiTi" w:hAnsi="KaiTi" w:cs="KaiTi"/>
                        <w:color w:val="FFFFFF"/>
                        <w:spacing w:val="-2"/>
                        <w:sz w:val="15"/>
                        <w:szCs w:val="15"/>
                      </w:rPr>
                      <w:t>全国社保暴金</w:t>
                    </w:r>
                    <w:r>
                      <w:rPr>
                        <w:rFonts w:ascii="KaiTi" w:eastAsia="KaiTi" w:hAnsi="KaiTi" w:cs="KaiTi"/>
                        <w:color w:val="FFFFFF"/>
                        <w:spacing w:val="3"/>
                        <w:sz w:val="15"/>
                        <w:szCs w:val="15"/>
                      </w:rPr>
                      <w:t xml:space="preserve"> </w:t>
                    </w:r>
                    <w:r>
                      <w:rPr>
                        <w:rFonts w:ascii="KaiTi" w:eastAsia="KaiTi" w:hAnsi="KaiTi" w:cs="KaiTi"/>
                        <w:color w:val="FFFFFF"/>
                        <w:spacing w:val="-1"/>
                        <w:sz w:val="15"/>
                        <w:szCs w:val="15"/>
                      </w:rPr>
                      <w:t>(储备基金)</w:t>
                    </w:r>
                  </w:p>
                </w:txbxContent>
              </v:textbox>
            </v:shape>
            <v:shape id="_x0000_s1036" type="#_x0000_t202" style="width:750;height:427;left:5150;position:absolute;top:673" filled="f" stroked="f">
              <o:lock v:ext="edit" aspectratio="f"/>
              <v:textbox inset="0,0,0,0">
                <w:txbxContent>
                  <w:p>
                    <w:pPr>
                      <w:spacing w:before="19" w:line="254" w:lineRule="auto"/>
                      <w:ind w:left="20" w:right="20" w:firstLine="60"/>
                      <w:rPr>
                        <w:rFonts w:ascii="KaiTi" w:eastAsia="KaiTi" w:hAnsi="KaiTi" w:cs="KaiTi"/>
                        <w:sz w:val="15"/>
                        <w:szCs w:val="15"/>
                      </w:rPr>
                    </w:pPr>
                    <w:r>
                      <w:rPr>
                        <w:rFonts w:ascii="KaiTi" w:eastAsia="KaiTi" w:hAnsi="KaiTi" w:cs="KaiTi"/>
                        <w:color w:val="FFFFFF"/>
                        <w:spacing w:val="-4"/>
                        <w:sz w:val="15"/>
                        <w:szCs w:val="15"/>
                      </w:rPr>
                      <w:t>第三支柱</w:t>
                    </w:r>
                    <w:r>
                      <w:rPr>
                        <w:rFonts w:ascii="KaiTi" w:eastAsia="KaiTi" w:hAnsi="KaiTi" w:cs="KaiTi"/>
                        <w:color w:val="FFFFFF"/>
                        <w:sz w:val="15"/>
                        <w:szCs w:val="15"/>
                      </w:rPr>
                      <w:t xml:space="preserve">  </w:t>
                    </w:r>
                    <w:r>
                      <w:rPr>
                        <w:rFonts w:ascii="KaiTi" w:eastAsia="KaiTi" w:hAnsi="KaiTi" w:cs="KaiTi"/>
                        <w:color w:val="FFFFFF"/>
                        <w:spacing w:val="-2"/>
                        <w:w w:val="95"/>
                        <w:sz w:val="15"/>
                        <w:szCs w:val="15"/>
                      </w:rPr>
                      <w:t>个人养老金</w:t>
                    </w:r>
                  </w:p>
                </w:txbxContent>
              </v:textbox>
            </v:shape>
            <v:shape id="_x0000_s1037" type="#_x0000_t75" style="width:7670;height:11;position:absolute;top:3879" filled="f" stroked="f">
              <v:imagedata r:id="rId23" o:title=""/>
            </v:shape>
            <w10:wrap type="none"/>
          </v:group>
        </w:pict>
      </w:r>
    </w:p>
    <w:p>
      <w:pPr>
        <w:pStyle w:val="BodyText"/>
        <w:spacing w:before="94" w:line="224" w:lineRule="auto"/>
        <w:ind w:left="2820"/>
        <w:rPr>
          <w:sz w:val="15"/>
          <w:szCs w:val="15"/>
        </w:rPr>
      </w:pPr>
      <w:r>
        <w:rPr>
          <w:spacing w:val="28"/>
          <w:sz w:val="15"/>
          <w:szCs w:val="15"/>
        </w:rPr>
        <w:t>资料来源：人社部、开源证券研究所</w:t>
      </w:r>
    </w:p>
    <w:p>
      <w:pPr>
        <w:spacing w:line="398" w:lineRule="auto"/>
        <w:rPr>
          <w:rFonts w:ascii="Arial"/>
          <w:sz w:val="21"/>
        </w:rPr>
      </w:pPr>
    </w:p>
    <w:p>
      <w:pPr>
        <w:pStyle w:val="BodyText"/>
        <w:spacing w:line="3153" w:lineRule="exact"/>
        <w:ind w:firstLine="2800"/>
      </w:pPr>
      <w:r>
        <w:rPr>
          <w:position w:val="-63"/>
        </w:rPr>
        <w:pict>
          <v:group id="_x0000_i1038" style="width:387pt;height:157.65pt;mso-position-horizontal-relative:char;mso-position-vertical-relative:line" coordorigin="0,0" coordsize="7740,3152" filled="f" stroked="f">
            <v:shape id="_x0000_s1039" type="#_x0000_t75" style="width:7740;height:2691;position:absolute;top:222" filled="f" stroked="f">
              <v:imagedata r:id="rId24" o:title=""/>
            </v:shape>
            <v:shape id="_x0000_s1040" type="#_x0000_t202" style="width:7345;height:3192;left:3;position:absolute;top:-20" filled="f" stroked="f">
              <o:lock v:ext="edit" aspectratio="f"/>
              <v:textbox inset="0,0,0,0">
                <w:txbxContent>
                  <w:p>
                    <w:pPr>
                      <w:spacing w:before="20" w:line="220" w:lineRule="auto"/>
                      <w:ind w:left="20"/>
                      <w:rPr>
                        <w:rFonts w:ascii="KaiTi" w:eastAsia="KaiTi" w:hAnsi="KaiTi" w:cs="KaiTi"/>
                        <w:sz w:val="21"/>
                        <w:szCs w:val="21"/>
                      </w:rPr>
                    </w:pPr>
                    <w:r>
                      <w:rPr>
                        <w:rFonts w:ascii="KaiTi" w:eastAsia="KaiTi" w:hAnsi="KaiTi" w:cs="KaiTi"/>
                        <w:b/>
                        <w:bCs/>
                        <w:color w:val="000080"/>
                        <w:spacing w:val="8"/>
                        <w:sz w:val="21"/>
                        <w:szCs w:val="21"/>
                      </w:rPr>
                      <w:t>图2:2022年我国社保基金+基本养老保险约10</w:t>
                    </w:r>
                    <w:r>
                      <w:rPr>
                        <w:rFonts w:ascii="KaiTi" w:eastAsia="KaiTi" w:hAnsi="KaiTi" w:cs="KaiTi"/>
                        <w:b/>
                        <w:bCs/>
                        <w:color w:val="000080"/>
                        <w:spacing w:val="7"/>
                        <w:sz w:val="21"/>
                        <w:szCs w:val="21"/>
                      </w:rPr>
                      <w:t>万亿，职业和企业年金约5万亿</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49" w:line="224" w:lineRule="auto"/>
                      <w:ind w:left="667"/>
                      <w:rPr>
                        <w:rFonts w:ascii="KaiTi" w:eastAsia="KaiTi" w:hAnsi="KaiTi" w:cs="KaiTi"/>
                        <w:sz w:val="15"/>
                        <w:szCs w:val="15"/>
                      </w:rPr>
                    </w:pPr>
                    <w:r>
                      <w:rPr>
                        <w:rFonts w:ascii="KaiTi" w:eastAsia="KaiTi" w:hAnsi="KaiTi" w:cs="KaiTi"/>
                        <w:spacing w:val="10"/>
                        <w:sz w:val="15"/>
                        <w:szCs w:val="15"/>
                      </w:rPr>
                      <w:t>■城乡居民基本养老保险</w:t>
                    </w:r>
                    <w:r>
                      <w:rPr>
                        <w:rFonts w:ascii="KaiTi" w:eastAsia="KaiTi" w:hAnsi="KaiTi" w:cs="KaiTi"/>
                        <w:spacing w:val="60"/>
                        <w:sz w:val="15"/>
                        <w:szCs w:val="15"/>
                      </w:rPr>
                      <w:t xml:space="preserve"> </w:t>
                    </w:r>
                    <w:r>
                      <w:rPr>
                        <w:rFonts w:ascii="KaiTi" w:eastAsia="KaiTi" w:hAnsi="KaiTi" w:cs="KaiTi"/>
                        <w:spacing w:val="10"/>
                        <w:sz w:val="15"/>
                        <w:szCs w:val="15"/>
                      </w:rPr>
                      <w:t>■全国社保基金</w:t>
                    </w:r>
                    <w:r>
                      <w:rPr>
                        <w:rFonts w:ascii="KaiTi" w:eastAsia="KaiTi" w:hAnsi="KaiTi" w:cs="KaiTi"/>
                        <w:spacing w:val="65"/>
                        <w:sz w:val="15"/>
                        <w:szCs w:val="15"/>
                      </w:rPr>
                      <w:t xml:space="preserve"> </w:t>
                    </w:r>
                    <w:r>
                      <w:rPr>
                        <w:rFonts w:ascii="KaiTi" w:eastAsia="KaiTi" w:hAnsi="KaiTi" w:cs="KaiTi"/>
                        <w:spacing w:val="10"/>
                        <w:sz w:val="15"/>
                        <w:szCs w:val="15"/>
                      </w:rPr>
                      <w:t>■</w:t>
                    </w:r>
                    <w:r>
                      <w:rPr>
                        <w:rFonts w:ascii="KaiTi" w:eastAsia="KaiTi" w:hAnsi="KaiTi" w:cs="KaiTi"/>
                        <w:spacing w:val="-29"/>
                        <w:sz w:val="15"/>
                        <w:szCs w:val="15"/>
                      </w:rPr>
                      <w:t xml:space="preserve"> </w:t>
                    </w:r>
                    <w:r>
                      <w:rPr>
                        <w:rFonts w:ascii="KaiTi" w:eastAsia="KaiTi" w:hAnsi="KaiTi" w:cs="KaiTi"/>
                        <w:spacing w:val="10"/>
                        <w:sz w:val="15"/>
                        <w:szCs w:val="15"/>
                      </w:rPr>
                      <w:t>企</w:t>
                    </w:r>
                    <w:r>
                      <w:rPr>
                        <w:rFonts w:ascii="KaiTi" w:eastAsia="KaiTi" w:hAnsi="KaiTi" w:cs="KaiTi"/>
                        <w:spacing w:val="-19"/>
                        <w:sz w:val="15"/>
                        <w:szCs w:val="15"/>
                      </w:rPr>
                      <w:t xml:space="preserve"> </w:t>
                    </w:r>
                    <w:r>
                      <w:rPr>
                        <w:rFonts w:ascii="KaiTi" w:eastAsia="KaiTi" w:hAnsi="KaiTi" w:cs="KaiTi"/>
                        <w:spacing w:val="10"/>
                        <w:sz w:val="15"/>
                        <w:szCs w:val="15"/>
                      </w:rPr>
                      <w:t>业</w:t>
                    </w:r>
                    <w:r>
                      <w:rPr>
                        <w:rFonts w:ascii="KaiTi" w:eastAsia="KaiTi" w:hAnsi="KaiTi" w:cs="KaiTi"/>
                        <w:spacing w:val="-26"/>
                        <w:sz w:val="15"/>
                        <w:szCs w:val="15"/>
                      </w:rPr>
                      <w:t xml:space="preserve"> </w:t>
                    </w:r>
                    <w:r>
                      <w:rPr>
                        <w:rFonts w:ascii="KaiTi" w:eastAsia="KaiTi" w:hAnsi="KaiTi" w:cs="KaiTi"/>
                        <w:spacing w:val="10"/>
                        <w:sz w:val="15"/>
                        <w:szCs w:val="15"/>
                      </w:rPr>
                      <w:t>年</w:t>
                    </w:r>
                    <w:r>
                      <w:rPr>
                        <w:rFonts w:ascii="KaiTi" w:eastAsia="KaiTi" w:hAnsi="KaiTi" w:cs="KaiTi"/>
                        <w:spacing w:val="-32"/>
                        <w:sz w:val="15"/>
                        <w:szCs w:val="15"/>
                      </w:rPr>
                      <w:t xml:space="preserve"> </w:t>
                    </w:r>
                    <w:r>
                      <w:rPr>
                        <w:rFonts w:ascii="KaiTi" w:eastAsia="KaiTi" w:hAnsi="KaiTi" w:cs="KaiTi"/>
                        <w:spacing w:val="10"/>
                        <w:sz w:val="15"/>
                        <w:szCs w:val="15"/>
                      </w:rPr>
                      <w:t>金</w:t>
                    </w:r>
                    <w:r>
                      <w:rPr>
                        <w:rFonts w:ascii="KaiTi" w:eastAsia="KaiTi" w:hAnsi="KaiTi" w:cs="KaiTi"/>
                        <w:spacing w:val="-20"/>
                        <w:sz w:val="15"/>
                        <w:szCs w:val="15"/>
                      </w:rPr>
                      <w:t xml:space="preserve"> </w:t>
                    </w:r>
                    <w:r>
                      <w:rPr>
                        <w:rFonts w:ascii="KaiTi" w:eastAsia="KaiTi" w:hAnsi="KaiTi" w:cs="KaiTi"/>
                        <w:spacing w:val="10"/>
                        <w:sz w:val="15"/>
                        <w:szCs w:val="15"/>
                      </w:rPr>
                      <w:t>■</w:t>
                    </w:r>
                    <w:r>
                      <w:rPr>
                        <w:rFonts w:ascii="KaiTi" w:eastAsia="KaiTi" w:hAnsi="KaiTi" w:cs="KaiTi"/>
                        <w:spacing w:val="-29"/>
                        <w:sz w:val="15"/>
                        <w:szCs w:val="15"/>
                      </w:rPr>
                      <w:t xml:space="preserve"> </w:t>
                    </w:r>
                    <w:r>
                      <w:rPr>
                        <w:rFonts w:ascii="KaiTi" w:eastAsia="KaiTi" w:hAnsi="KaiTi" w:cs="KaiTi"/>
                        <w:spacing w:val="10"/>
                        <w:sz w:val="15"/>
                        <w:szCs w:val="15"/>
                      </w:rPr>
                      <w:t>职</w:t>
                    </w:r>
                    <w:r>
                      <w:rPr>
                        <w:rFonts w:ascii="KaiTi" w:eastAsia="KaiTi" w:hAnsi="KaiTi" w:cs="KaiTi"/>
                        <w:spacing w:val="-19"/>
                        <w:sz w:val="15"/>
                        <w:szCs w:val="15"/>
                      </w:rPr>
                      <w:t xml:space="preserve"> </w:t>
                    </w:r>
                    <w:r>
                      <w:rPr>
                        <w:rFonts w:ascii="KaiTi" w:eastAsia="KaiTi" w:hAnsi="KaiTi" w:cs="KaiTi"/>
                        <w:spacing w:val="10"/>
                        <w:sz w:val="15"/>
                        <w:szCs w:val="15"/>
                      </w:rPr>
                      <w:t>业</w:t>
                    </w:r>
                    <w:r>
                      <w:rPr>
                        <w:rFonts w:ascii="KaiTi" w:eastAsia="KaiTi" w:hAnsi="KaiTi" w:cs="KaiTi"/>
                        <w:spacing w:val="-26"/>
                        <w:sz w:val="15"/>
                        <w:szCs w:val="15"/>
                      </w:rPr>
                      <w:t xml:space="preserve"> </w:t>
                    </w:r>
                    <w:r>
                      <w:rPr>
                        <w:rFonts w:ascii="KaiTi" w:eastAsia="KaiTi" w:hAnsi="KaiTi" w:cs="KaiTi"/>
                        <w:spacing w:val="9"/>
                        <w:sz w:val="15"/>
                        <w:szCs w:val="15"/>
                      </w:rPr>
                      <w:t>年</w:t>
                    </w:r>
                    <w:r>
                      <w:rPr>
                        <w:rFonts w:ascii="KaiTi" w:eastAsia="KaiTi" w:hAnsi="KaiTi" w:cs="KaiTi"/>
                        <w:spacing w:val="-32"/>
                        <w:sz w:val="15"/>
                        <w:szCs w:val="15"/>
                      </w:rPr>
                      <w:t xml:space="preserve"> </w:t>
                    </w:r>
                    <w:r>
                      <w:rPr>
                        <w:rFonts w:ascii="KaiTi" w:eastAsia="KaiTi" w:hAnsi="KaiTi" w:cs="KaiTi"/>
                        <w:spacing w:val="9"/>
                        <w:sz w:val="15"/>
                        <w:szCs w:val="15"/>
                      </w:rPr>
                      <w:t>金</w:t>
                    </w:r>
                    <w:r>
                      <w:rPr>
                        <w:rFonts w:ascii="KaiTi" w:eastAsia="KaiTi" w:hAnsi="KaiTi" w:cs="KaiTi"/>
                        <w:spacing w:val="-20"/>
                        <w:sz w:val="15"/>
                        <w:szCs w:val="15"/>
                      </w:rPr>
                      <w:t xml:space="preserve"> </w:t>
                    </w:r>
                    <w:r>
                      <w:rPr>
                        <w:rFonts w:ascii="KaiTi" w:eastAsia="KaiTi" w:hAnsi="KaiTi" w:cs="KaiTi"/>
                        <w:spacing w:val="9"/>
                        <w:sz w:val="15"/>
                        <w:szCs w:val="15"/>
                      </w:rPr>
                      <w:t>■</w:t>
                    </w:r>
                    <w:r>
                      <w:rPr>
                        <w:rFonts w:ascii="KaiTi" w:eastAsia="KaiTi" w:hAnsi="KaiTi" w:cs="KaiTi"/>
                        <w:spacing w:val="-30"/>
                        <w:sz w:val="15"/>
                        <w:szCs w:val="15"/>
                      </w:rPr>
                      <w:t xml:space="preserve"> </w:t>
                    </w:r>
                    <w:r>
                      <w:rPr>
                        <w:rFonts w:ascii="KaiTi" w:eastAsia="KaiTi" w:hAnsi="KaiTi" w:cs="KaiTi"/>
                        <w:spacing w:val="9"/>
                        <w:sz w:val="15"/>
                        <w:szCs w:val="15"/>
                      </w:rPr>
                      <w:t>个</w:t>
                    </w:r>
                    <w:r>
                      <w:rPr>
                        <w:rFonts w:ascii="KaiTi" w:eastAsia="KaiTi" w:hAnsi="KaiTi" w:cs="KaiTi"/>
                        <w:spacing w:val="-29"/>
                        <w:sz w:val="15"/>
                        <w:szCs w:val="15"/>
                      </w:rPr>
                      <w:t xml:space="preserve"> </w:t>
                    </w:r>
                    <w:r>
                      <w:rPr>
                        <w:rFonts w:ascii="KaiTi" w:eastAsia="KaiTi" w:hAnsi="KaiTi" w:cs="KaiTi"/>
                        <w:spacing w:val="9"/>
                        <w:sz w:val="15"/>
                        <w:szCs w:val="15"/>
                      </w:rPr>
                      <w:t>人</w:t>
                    </w:r>
                    <w:r>
                      <w:rPr>
                        <w:rFonts w:ascii="KaiTi" w:eastAsia="KaiTi" w:hAnsi="KaiTi" w:cs="KaiTi"/>
                        <w:spacing w:val="-23"/>
                        <w:sz w:val="15"/>
                        <w:szCs w:val="15"/>
                      </w:rPr>
                      <w:t xml:space="preserve"> </w:t>
                    </w:r>
                    <w:r>
                      <w:rPr>
                        <w:rFonts w:ascii="KaiTi" w:eastAsia="KaiTi" w:hAnsi="KaiTi" w:cs="KaiTi"/>
                        <w:spacing w:val="9"/>
                        <w:sz w:val="15"/>
                        <w:szCs w:val="15"/>
                      </w:rPr>
                      <w:t>养</w:t>
                    </w:r>
                    <w:r>
                      <w:rPr>
                        <w:rFonts w:ascii="KaiTi" w:eastAsia="KaiTi" w:hAnsi="KaiTi" w:cs="KaiTi"/>
                        <w:spacing w:val="-27"/>
                        <w:sz w:val="15"/>
                        <w:szCs w:val="15"/>
                      </w:rPr>
                      <w:t xml:space="preserve"> </w:t>
                    </w:r>
                    <w:r>
                      <w:rPr>
                        <w:rFonts w:ascii="KaiTi" w:eastAsia="KaiTi" w:hAnsi="KaiTi" w:cs="KaiTi"/>
                        <w:spacing w:val="9"/>
                        <w:sz w:val="15"/>
                        <w:szCs w:val="15"/>
                      </w:rPr>
                      <w:t>老</w:t>
                    </w:r>
                    <w:r>
                      <w:rPr>
                        <w:rFonts w:ascii="KaiTi" w:eastAsia="KaiTi" w:hAnsi="KaiTi" w:cs="KaiTi"/>
                        <w:spacing w:val="-33"/>
                        <w:sz w:val="15"/>
                        <w:szCs w:val="15"/>
                      </w:rPr>
                      <w:t xml:space="preserve"> </w:t>
                    </w:r>
                    <w:r>
                      <w:rPr>
                        <w:rFonts w:ascii="KaiTi" w:eastAsia="KaiTi" w:hAnsi="KaiTi" w:cs="KaiTi"/>
                        <w:spacing w:val="9"/>
                        <w:sz w:val="15"/>
                        <w:szCs w:val="15"/>
                      </w:rPr>
                      <w:t>金</w:t>
                    </w:r>
                  </w:p>
                </w:txbxContent>
              </v:textbox>
            </v:shape>
            <w10:wrap type="none"/>
          </v:group>
        </w:pict>
      </w:r>
    </w:p>
    <w:p>
      <w:pPr>
        <w:spacing w:line="273" w:lineRule="auto"/>
        <w:rPr>
          <w:rFonts w:ascii="Arial"/>
          <w:sz w:val="21"/>
        </w:rPr>
      </w:pPr>
    </w:p>
    <w:p>
      <w:pPr>
        <w:pStyle w:val="BodyText"/>
        <w:spacing w:before="49" w:line="224" w:lineRule="auto"/>
        <w:ind w:left="2820"/>
        <w:rPr>
          <w:sz w:val="15"/>
          <w:szCs w:val="15"/>
        </w:rPr>
      </w:pPr>
      <w:r>
        <w:rPr>
          <w:spacing w:val="-9"/>
          <w:sz w:val="15"/>
          <w:szCs w:val="15"/>
        </w:rPr>
        <w:t>数</w:t>
      </w:r>
      <w:r>
        <w:rPr>
          <w:spacing w:val="-14"/>
          <w:sz w:val="15"/>
          <w:szCs w:val="15"/>
        </w:rPr>
        <w:t xml:space="preserve"> </w:t>
      </w:r>
      <w:r>
        <w:rPr>
          <w:spacing w:val="-9"/>
          <w:sz w:val="15"/>
          <w:szCs w:val="15"/>
        </w:rPr>
        <w:t>据</w:t>
      </w:r>
      <w:r>
        <w:rPr>
          <w:spacing w:val="-29"/>
          <w:sz w:val="15"/>
          <w:szCs w:val="15"/>
        </w:rPr>
        <w:t xml:space="preserve"> </w:t>
      </w:r>
      <w:r>
        <w:rPr>
          <w:spacing w:val="-9"/>
          <w:sz w:val="15"/>
          <w:szCs w:val="15"/>
        </w:rPr>
        <w:t>来</w:t>
      </w:r>
      <w:r>
        <w:rPr>
          <w:spacing w:val="-22"/>
          <w:sz w:val="15"/>
          <w:szCs w:val="15"/>
        </w:rPr>
        <w:t xml:space="preserve"> </w:t>
      </w:r>
      <w:r>
        <w:rPr>
          <w:spacing w:val="-9"/>
          <w:sz w:val="15"/>
          <w:szCs w:val="15"/>
        </w:rPr>
        <w:t>源</w:t>
      </w:r>
      <w:r>
        <w:rPr>
          <w:spacing w:val="-36"/>
          <w:sz w:val="15"/>
          <w:szCs w:val="15"/>
        </w:rPr>
        <w:t xml:space="preserve"> </w:t>
      </w:r>
      <w:r>
        <w:rPr>
          <w:spacing w:val="-9"/>
          <w:sz w:val="15"/>
          <w:szCs w:val="15"/>
        </w:rPr>
        <w:t>：</w:t>
      </w:r>
      <w:r>
        <w:rPr>
          <w:spacing w:val="-33"/>
          <w:sz w:val="15"/>
          <w:szCs w:val="15"/>
        </w:rPr>
        <w:t xml:space="preserve"> </w:t>
      </w:r>
      <w:r>
        <w:rPr>
          <w:spacing w:val="-9"/>
          <w:sz w:val="15"/>
          <w:szCs w:val="15"/>
        </w:rPr>
        <w:t>人</w:t>
      </w:r>
      <w:r>
        <w:rPr>
          <w:spacing w:val="-31"/>
          <w:sz w:val="15"/>
          <w:szCs w:val="15"/>
        </w:rPr>
        <w:t xml:space="preserve"> </w:t>
      </w:r>
      <w:r>
        <w:rPr>
          <w:spacing w:val="-9"/>
          <w:sz w:val="15"/>
          <w:szCs w:val="15"/>
        </w:rPr>
        <w:t>社</w:t>
      </w:r>
      <w:r>
        <w:rPr>
          <w:spacing w:val="-30"/>
          <w:sz w:val="15"/>
          <w:szCs w:val="15"/>
        </w:rPr>
        <w:t xml:space="preserve"> </w:t>
      </w:r>
      <w:r>
        <w:rPr>
          <w:spacing w:val="-9"/>
          <w:sz w:val="15"/>
          <w:szCs w:val="15"/>
        </w:rPr>
        <w:t>部</w:t>
      </w:r>
      <w:r>
        <w:rPr>
          <w:spacing w:val="-36"/>
          <w:sz w:val="15"/>
          <w:szCs w:val="15"/>
        </w:rPr>
        <w:t xml:space="preserve"> </w:t>
      </w:r>
      <w:r>
        <w:rPr>
          <w:spacing w:val="-9"/>
          <w:sz w:val="15"/>
          <w:szCs w:val="15"/>
        </w:rPr>
        <w:t>、</w:t>
      </w:r>
      <w:r>
        <w:rPr>
          <w:rFonts w:ascii="Times New Roman" w:eastAsia="Times New Roman" w:hAnsi="Times New Roman" w:cs="Times New Roman"/>
          <w:spacing w:val="-9"/>
          <w:sz w:val="15"/>
          <w:szCs w:val="15"/>
        </w:rPr>
        <w:t>Wind</w:t>
      </w:r>
      <w:r>
        <w:rPr>
          <w:rFonts w:ascii="Times New Roman" w:eastAsia="Times New Roman" w:hAnsi="Times New Roman" w:cs="Times New Roman"/>
          <w:spacing w:val="-22"/>
          <w:sz w:val="15"/>
          <w:szCs w:val="15"/>
        </w:rPr>
        <w:t xml:space="preserve"> </w:t>
      </w:r>
      <w:r>
        <w:rPr>
          <w:rFonts w:ascii="SimSun" w:eastAsia="SimSun" w:hAnsi="SimSun" w:cs="SimSun"/>
          <w:spacing w:val="-9"/>
          <w:sz w:val="15"/>
          <w:szCs w:val="15"/>
        </w:rPr>
        <w:t>、</w:t>
      </w:r>
      <w:r>
        <w:rPr>
          <w:rFonts w:ascii="SimSun" w:eastAsia="SimSun" w:hAnsi="SimSun" w:cs="SimSun"/>
          <w:spacing w:val="24"/>
          <w:w w:val="101"/>
          <w:sz w:val="15"/>
          <w:szCs w:val="15"/>
        </w:rPr>
        <w:t xml:space="preserve"> </w:t>
      </w:r>
      <w:r>
        <w:rPr>
          <w:spacing w:val="-9"/>
          <w:sz w:val="15"/>
          <w:szCs w:val="15"/>
        </w:rPr>
        <w:t>开</w:t>
      </w:r>
      <w:r>
        <w:rPr>
          <w:spacing w:val="-24"/>
          <w:sz w:val="15"/>
          <w:szCs w:val="15"/>
        </w:rPr>
        <w:t xml:space="preserve"> </w:t>
      </w:r>
      <w:r>
        <w:rPr>
          <w:spacing w:val="-9"/>
          <w:sz w:val="15"/>
          <w:szCs w:val="15"/>
        </w:rPr>
        <w:t>源</w:t>
      </w:r>
      <w:r>
        <w:rPr>
          <w:spacing w:val="-33"/>
          <w:sz w:val="15"/>
          <w:szCs w:val="15"/>
        </w:rPr>
        <w:t xml:space="preserve"> </w:t>
      </w:r>
      <w:r>
        <w:rPr>
          <w:spacing w:val="-9"/>
          <w:sz w:val="15"/>
          <w:szCs w:val="15"/>
        </w:rPr>
        <w:t>证</w:t>
      </w:r>
      <w:r>
        <w:rPr>
          <w:spacing w:val="-33"/>
          <w:sz w:val="15"/>
          <w:szCs w:val="15"/>
        </w:rPr>
        <w:t xml:space="preserve"> </w:t>
      </w:r>
      <w:r>
        <w:rPr>
          <w:spacing w:val="-9"/>
          <w:sz w:val="15"/>
          <w:szCs w:val="15"/>
        </w:rPr>
        <w:t>券</w:t>
      </w:r>
      <w:r>
        <w:rPr>
          <w:spacing w:val="-37"/>
          <w:sz w:val="15"/>
          <w:szCs w:val="15"/>
        </w:rPr>
        <w:t xml:space="preserve"> </w:t>
      </w:r>
      <w:r>
        <w:rPr>
          <w:spacing w:val="-9"/>
          <w:sz w:val="15"/>
          <w:szCs w:val="15"/>
        </w:rPr>
        <w:t>研</w:t>
      </w:r>
      <w:r>
        <w:rPr>
          <w:spacing w:val="-21"/>
          <w:sz w:val="15"/>
          <w:szCs w:val="15"/>
        </w:rPr>
        <w:t xml:space="preserve"> </w:t>
      </w:r>
      <w:r>
        <w:rPr>
          <w:spacing w:val="-9"/>
          <w:sz w:val="15"/>
          <w:szCs w:val="15"/>
        </w:rPr>
        <w:t>究</w:t>
      </w:r>
      <w:r>
        <w:rPr>
          <w:spacing w:val="-32"/>
          <w:sz w:val="15"/>
          <w:szCs w:val="15"/>
        </w:rPr>
        <w:t xml:space="preserve"> </w:t>
      </w:r>
      <w:r>
        <w:rPr>
          <w:spacing w:val="-9"/>
          <w:sz w:val="15"/>
          <w:szCs w:val="15"/>
        </w:rPr>
        <w:t>所</w:t>
      </w:r>
    </w:p>
    <w:p>
      <w:pPr>
        <w:pStyle w:val="BodyText"/>
        <w:spacing w:before="114" w:line="220" w:lineRule="auto"/>
        <w:ind w:left="2820"/>
        <w:rPr>
          <w:sz w:val="15"/>
          <w:szCs w:val="15"/>
        </w:rPr>
      </w:pPr>
      <w:r>
        <w:rPr>
          <w:spacing w:val="33"/>
          <w:sz w:val="15"/>
          <w:szCs w:val="15"/>
        </w:rPr>
        <w:t>注：(1)图中第三支柱仅包含账户制的个人养老金部分，未包含产品端养老金。(2)单位为万亿</w:t>
      </w:r>
    </w:p>
    <w:p>
      <w:pPr>
        <w:pStyle w:val="BodyText"/>
        <w:spacing w:before="199" w:line="192" w:lineRule="auto"/>
        <w:ind w:left="2820"/>
        <w:rPr>
          <w:sz w:val="12"/>
          <w:szCs w:val="12"/>
        </w:rPr>
      </w:pPr>
      <w:r>
        <w:rPr>
          <w:i/>
          <w:iCs/>
          <w:spacing w:val="14"/>
          <w:sz w:val="12"/>
          <w:szCs w:val="12"/>
        </w:rPr>
        <w:t>元。</w:t>
      </w:r>
    </w:p>
    <w:p>
      <w:pPr>
        <w:spacing w:line="192" w:lineRule="auto"/>
        <w:rPr>
          <w:sz w:val="12"/>
          <w:szCs w:val="12"/>
        </w:rPr>
        <w:sectPr>
          <w:footerReference w:type="default" r:id="rId25"/>
          <w:pgSz w:w="11910" w:h="16840"/>
          <w:pgMar w:top="156" w:right="650" w:bottom="1129" w:left="719" w:header="0" w:footer="868" w:gutter="0"/>
          <w:pgNumType w:start="11"/>
          <w:cols w:space="708"/>
        </w:sectPr>
      </w:pPr>
    </w:p>
    <w:p>
      <w:pPr>
        <w:spacing w:before="153" w:line="226" w:lineRule="auto"/>
        <w:ind w:left="249"/>
        <w:rPr>
          <w:rFonts w:ascii="YouYuan" w:eastAsia="YouYuan" w:hAnsi="YouYuan" w:cs="YouYuan"/>
          <w:sz w:val="60"/>
          <w:szCs w:val="60"/>
        </w:rPr>
      </w:pPr>
      <w:r>
        <w:drawing>
          <wp:anchor distT="0" distB="0" distL="0" distR="0" simplePos="0" relativeHeight="251666432" behindDoc="1" locked="0" layoutInCell="0" allowOverlap="1">
            <wp:simplePos x="0" y="0"/>
            <wp:positionH relativeFrom="page">
              <wp:posOffset>3841776</wp:posOffset>
            </wp:positionH>
            <wp:positionV relativeFrom="page">
              <wp:posOffset>7346900</wp:posOffset>
            </wp:positionV>
            <wp:extent cx="3257546" cy="2165413"/>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26"/>
                    <a:stretch>
                      <a:fillRect/>
                    </a:stretch>
                  </pic:blipFill>
                  <pic:spPr>
                    <a:xfrm>
                      <a:off x="0" y="0"/>
                      <a:ext cx="3257546" cy="2165413"/>
                    </a:xfrm>
                    <a:prstGeom prst="rect">
                      <a:avLst/>
                    </a:prstGeom>
                  </pic:spPr>
                </pic:pic>
              </a:graphicData>
            </a:graphic>
          </wp:anchor>
        </w:drawing>
      </w:r>
      <w:bookmarkStart w:id="4" w:name="bookmark72"/>
      <w:bookmarkEnd w:id="4"/>
      <w:bookmarkStart w:id="5" w:name="bookmark73"/>
      <w:bookmarkEnd w:id="5"/>
      <w:bookmarkStart w:id="6" w:name="bookmark20"/>
      <w:bookmarkEnd w:id="6"/>
      <w:bookmarkStart w:id="7" w:name="bookmark4"/>
      <w:bookmarkEnd w:id="7"/>
      <w:r>
        <w:rPr>
          <w:rFonts w:ascii="YouYuan" w:eastAsia="YouYuan" w:hAnsi="YouYuan" w:cs="YouYuan"/>
          <w:position w:val="-21"/>
          <w:sz w:val="60"/>
          <w:szCs w:val="60"/>
        </w:rPr>
        <w:drawing>
          <wp:inline distT="0" distB="0" distL="0" distR="0">
            <wp:extent cx="571449" cy="488901"/>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15"/>
                    <a:stretch>
                      <a:fillRect/>
                    </a:stretch>
                  </pic:blipFill>
                  <pic:spPr>
                    <a:xfrm>
                      <a:off x="0" y="0"/>
                      <a:ext cx="571449" cy="488901"/>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37" w:line="229" w:lineRule="auto"/>
        <w:ind w:left="8519"/>
        <w:rPr>
          <w:sz w:val="22"/>
          <w:szCs w:val="22"/>
        </w:rPr>
      </w:pPr>
      <w:r>
        <w:pict>
          <v:rect id="_x0000_s1041" style="width:516.8pt;height:0.55pt;margin-top:12.3pt;margin-left:4pt;position:absolute;z-index:251667456" filled="t" fillcolor="black" stroked="f"/>
        </w:pict>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spacing w:before="115" w:line="219" w:lineRule="auto"/>
        <w:ind w:left="122"/>
        <w:rPr>
          <w:rFonts w:ascii="SimSun" w:eastAsia="SimSun" w:hAnsi="SimSun" w:cs="SimSun"/>
          <w:sz w:val="19"/>
          <w:szCs w:val="19"/>
        </w:rPr>
      </w:pPr>
      <w:r>
        <w:rPr>
          <w:rFonts w:ascii="SimSun" w:eastAsia="SimSun" w:hAnsi="SimSun" w:cs="SimSun"/>
          <w:b/>
          <w:bCs/>
          <w:spacing w:val="-2"/>
          <w:sz w:val="19"/>
          <w:szCs w:val="19"/>
        </w:rPr>
        <w:t>表1:2022年我国养老金三支柱合计规模15万亿元，委托管理</w:t>
      </w:r>
      <w:r>
        <w:rPr>
          <w:rFonts w:ascii="SimSun" w:eastAsia="SimSun" w:hAnsi="SimSun" w:cs="SimSun"/>
          <w:b/>
          <w:bCs/>
          <w:spacing w:val="-3"/>
          <w:sz w:val="19"/>
          <w:szCs w:val="19"/>
        </w:rPr>
        <w:t>规模7.9万亿元</w:t>
      </w:r>
    </w:p>
    <w:p>
      <w:pPr>
        <w:spacing w:line="24" w:lineRule="exact"/>
      </w:pPr>
    </w:p>
    <w:tbl>
      <w:tblPr>
        <w:tblStyle w:val="TableNormal0"/>
        <w:tblW w:w="10490" w:type="dxa"/>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0080"/>
        <w:tblLayout w:type="fixed"/>
      </w:tblPr>
      <w:tblGrid>
        <w:gridCol w:w="5171"/>
        <w:gridCol w:w="1271"/>
        <w:gridCol w:w="2315"/>
        <w:gridCol w:w="1733"/>
      </w:tblGrid>
      <w:tr>
        <w:tblPrEx>
          <w:tblW w:w="10490" w:type="dxa"/>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0080"/>
          <w:tblLayout w:type="fixed"/>
        </w:tblPrEx>
        <w:trPr>
          <w:trHeight w:val="310"/>
        </w:trPr>
        <w:tc>
          <w:tcPr>
            <w:tcW w:w="5171" w:type="dxa"/>
            <w:tcBorders>
              <w:right w:val="nil"/>
            </w:tcBorders>
            <w:shd w:val="clear" w:color="auto" w:fill="000080"/>
            <w:vAlign w:val="top"/>
          </w:tcPr>
          <w:p>
            <w:pPr>
              <w:spacing w:before="70" w:line="219" w:lineRule="auto"/>
              <w:ind w:left="3257"/>
              <w:rPr>
                <w:rFonts w:ascii="SimSun" w:eastAsia="SimSun" w:hAnsi="SimSun" w:cs="SimSun"/>
                <w:sz w:val="19"/>
                <w:szCs w:val="19"/>
              </w:rPr>
            </w:pPr>
            <w:r>
              <w:rPr>
                <w:rFonts w:ascii="SimSun" w:eastAsia="SimSun" w:hAnsi="SimSun" w:cs="SimSun"/>
                <w:b/>
                <w:bCs/>
                <w:color w:val="FFFFFF"/>
                <w:spacing w:val="2"/>
                <w:sz w:val="19"/>
                <w:szCs w:val="19"/>
              </w:rPr>
              <w:t>总体规模(万亿元)</w:t>
            </w:r>
          </w:p>
        </w:tc>
        <w:tc>
          <w:tcPr>
            <w:tcW w:w="1271" w:type="dxa"/>
            <w:tcBorders>
              <w:left w:val="nil"/>
              <w:right w:val="nil"/>
            </w:tcBorders>
            <w:shd w:val="clear" w:color="auto" w:fill="000080"/>
            <w:vAlign w:val="top"/>
          </w:tcPr>
          <w:p>
            <w:pPr>
              <w:spacing w:before="70" w:line="219" w:lineRule="auto"/>
              <w:ind w:left="351"/>
              <w:rPr>
                <w:rFonts w:ascii="SimSun" w:eastAsia="SimSun" w:hAnsi="SimSun" w:cs="SimSun"/>
                <w:sz w:val="19"/>
                <w:szCs w:val="19"/>
              </w:rPr>
            </w:pPr>
            <w:r>
              <w:rPr>
                <w:rFonts w:ascii="SimSun" w:eastAsia="SimSun" w:hAnsi="SimSun" w:cs="SimSun"/>
                <w:b/>
                <w:bCs/>
                <w:color w:val="FFFFFF"/>
                <w:spacing w:val="-4"/>
                <w:sz w:val="19"/>
                <w:szCs w:val="19"/>
              </w:rPr>
              <w:t>规模占比</w:t>
            </w:r>
          </w:p>
        </w:tc>
        <w:tc>
          <w:tcPr>
            <w:tcW w:w="2315" w:type="dxa"/>
            <w:tcBorders>
              <w:left w:val="nil"/>
              <w:right w:val="nil"/>
            </w:tcBorders>
            <w:shd w:val="clear" w:color="auto" w:fill="000080"/>
            <w:vAlign w:val="top"/>
          </w:tcPr>
          <w:p>
            <w:pPr>
              <w:spacing w:before="70" w:line="219" w:lineRule="auto"/>
              <w:ind w:left="170"/>
              <w:rPr>
                <w:rFonts w:ascii="SimSun" w:eastAsia="SimSun" w:hAnsi="SimSun" w:cs="SimSun"/>
                <w:sz w:val="19"/>
                <w:szCs w:val="19"/>
              </w:rPr>
            </w:pPr>
            <w:r>
              <w:rPr>
                <w:rFonts w:ascii="SimSun" w:eastAsia="SimSun" w:hAnsi="SimSun" w:cs="SimSun"/>
                <w:b/>
                <w:bCs/>
                <w:color w:val="FFFFFF"/>
                <w:spacing w:val="1"/>
                <w:sz w:val="19"/>
                <w:szCs w:val="19"/>
              </w:rPr>
              <w:t>委托管理规模(万亿元)</w:t>
            </w:r>
          </w:p>
        </w:tc>
        <w:tc>
          <w:tcPr>
            <w:tcW w:w="1733" w:type="dxa"/>
            <w:tcBorders>
              <w:left w:val="nil"/>
            </w:tcBorders>
            <w:shd w:val="clear" w:color="auto" w:fill="000080"/>
            <w:vAlign w:val="top"/>
          </w:tcPr>
          <w:p>
            <w:pPr>
              <w:spacing w:before="70" w:line="220" w:lineRule="auto"/>
              <w:ind w:left="215"/>
              <w:rPr>
                <w:rFonts w:ascii="SimSun" w:eastAsia="SimSun" w:hAnsi="SimSun" w:cs="SimSun"/>
                <w:sz w:val="19"/>
                <w:szCs w:val="19"/>
              </w:rPr>
            </w:pPr>
            <w:r>
              <w:rPr>
                <w:rFonts w:ascii="SimSun" w:eastAsia="SimSun" w:hAnsi="SimSun" w:cs="SimSun"/>
                <w:b/>
                <w:bCs/>
                <w:color w:val="FFFFFF"/>
                <w:spacing w:val="-3"/>
                <w:sz w:val="19"/>
                <w:szCs w:val="19"/>
              </w:rPr>
              <w:t>委托投责占比</w:t>
            </w:r>
          </w:p>
        </w:tc>
      </w:tr>
    </w:tbl>
    <w:p>
      <w:pPr>
        <w:spacing w:before="72" w:line="202" w:lineRule="auto"/>
        <w:ind w:left="1049"/>
        <w:rPr>
          <w:rFonts w:ascii="SimSun" w:eastAsia="SimSun" w:hAnsi="SimSun" w:cs="SimSun"/>
          <w:sz w:val="14"/>
          <w:szCs w:val="14"/>
        </w:rPr>
      </w:pPr>
      <w:r>
        <w:rPr>
          <w:rFonts w:ascii="SimSun" w:eastAsia="SimSun" w:hAnsi="SimSun" w:cs="SimSun"/>
          <w:spacing w:val="-2"/>
          <w:position w:val="1"/>
          <w:sz w:val="19"/>
          <w:szCs w:val="19"/>
        </w:rPr>
        <w:t xml:space="preserve">社会保障基金                   </w:t>
      </w:r>
      <w:r>
        <w:rPr>
          <w:rFonts w:ascii="SimSun" w:eastAsia="SimSun" w:hAnsi="SimSun" w:cs="SimSun"/>
          <w:spacing w:val="-2"/>
          <w:position w:val="-2"/>
          <w:sz w:val="19"/>
          <w:szCs w:val="19"/>
        </w:rPr>
        <w:t>2.88</w:t>
      </w:r>
      <w:r>
        <w:rPr>
          <w:rFonts w:ascii="SimSun" w:eastAsia="SimSun" w:hAnsi="SimSun" w:cs="SimSun"/>
          <w:spacing w:val="6"/>
          <w:position w:val="-2"/>
          <w:sz w:val="19"/>
          <w:szCs w:val="19"/>
        </w:rPr>
        <w:t xml:space="preserve">             </w:t>
      </w:r>
      <w:r>
        <w:rPr>
          <w:rFonts w:ascii="SimSun" w:eastAsia="SimSun" w:hAnsi="SimSun" w:cs="SimSun"/>
          <w:spacing w:val="-2"/>
          <w:sz w:val="19"/>
          <w:szCs w:val="19"/>
        </w:rPr>
        <w:t xml:space="preserve">18.90%        </w:t>
      </w:r>
      <w:r>
        <w:rPr>
          <w:rFonts w:ascii="SimSun" w:eastAsia="SimSun" w:hAnsi="SimSun" w:cs="SimSun"/>
          <w:spacing w:val="-3"/>
          <w:sz w:val="19"/>
          <w:szCs w:val="19"/>
        </w:rPr>
        <w:t xml:space="preserve">      </w:t>
      </w:r>
      <w:r>
        <w:rPr>
          <w:rFonts w:ascii="SimSun" w:eastAsia="SimSun" w:hAnsi="SimSun" w:cs="SimSun"/>
          <w:spacing w:val="-3"/>
          <w:position w:val="-2"/>
          <w:sz w:val="19"/>
          <w:szCs w:val="19"/>
        </w:rPr>
        <w:t xml:space="preserve">1.93                 </w:t>
      </w:r>
      <w:r>
        <w:rPr>
          <w:rFonts w:ascii="SimSun" w:eastAsia="SimSun" w:hAnsi="SimSun" w:cs="SimSun"/>
          <w:spacing w:val="-3"/>
          <w:position w:val="1"/>
          <w:sz w:val="14"/>
          <w:szCs w:val="14"/>
        </w:rPr>
        <w:t>67%</w:t>
      </w:r>
    </w:p>
    <w:tbl>
      <w:tblPr>
        <w:tblStyle w:val="TableNormal0"/>
        <w:tblW w:w="10480"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71"/>
        <w:gridCol w:w="1583"/>
        <w:gridCol w:w="2437"/>
        <w:gridCol w:w="1442"/>
        <w:gridCol w:w="3747"/>
      </w:tblGrid>
      <w:tr>
        <w:tblPrEx>
          <w:tblW w:w="10480"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01"/>
        </w:trPr>
        <w:tc>
          <w:tcPr>
            <w:tcW w:w="1271" w:type="dxa"/>
            <w:tcBorders>
              <w:right w:val="nil"/>
            </w:tcBorders>
            <w:vAlign w:val="top"/>
          </w:tcPr>
          <w:p>
            <w:pPr>
              <w:rPr>
                <w:rFonts w:ascii="Arial"/>
                <w:sz w:val="21"/>
              </w:rPr>
            </w:pPr>
          </w:p>
        </w:tc>
        <w:tc>
          <w:tcPr>
            <w:tcW w:w="5462" w:type="dxa"/>
            <w:gridSpan w:val="3"/>
            <w:tcBorders>
              <w:left w:val="nil"/>
              <w:right w:val="nil"/>
            </w:tcBorders>
            <w:vAlign w:val="top"/>
          </w:tcPr>
          <w:p>
            <w:pPr>
              <w:spacing w:before="62" w:line="220" w:lineRule="auto"/>
              <w:ind w:left="1979"/>
              <w:rPr>
                <w:rFonts w:ascii="SimSun" w:eastAsia="SimSun" w:hAnsi="SimSun" w:cs="SimSun"/>
                <w:sz w:val="18"/>
                <w:szCs w:val="18"/>
              </w:rPr>
            </w:pPr>
            <w:r>
              <w:rPr>
                <w:rFonts w:ascii="SimSun" w:eastAsia="SimSun" w:hAnsi="SimSun" w:cs="SimSun"/>
                <w:sz w:val="18"/>
                <w:szCs w:val="18"/>
              </w:rPr>
              <w:t>累计结余6.98万亿元</w:t>
            </w:r>
          </w:p>
        </w:tc>
        <w:tc>
          <w:tcPr>
            <w:tcW w:w="3747" w:type="dxa"/>
            <w:tcBorders>
              <w:left w:val="nil"/>
            </w:tcBorders>
            <w:vAlign w:val="top"/>
          </w:tcPr>
          <w:p>
            <w:pPr>
              <w:spacing w:before="62" w:line="220" w:lineRule="auto"/>
              <w:ind w:left="2227"/>
              <w:rPr>
                <w:rFonts w:ascii="SimSun" w:eastAsia="SimSun" w:hAnsi="SimSun" w:cs="SimSun"/>
                <w:sz w:val="18"/>
                <w:szCs w:val="18"/>
              </w:rPr>
            </w:pPr>
            <w:r>
              <w:rPr>
                <w:rFonts w:ascii="SimSun" w:eastAsia="SimSun" w:hAnsi="SimSun" w:cs="SimSun"/>
                <w:sz w:val="18"/>
                <w:szCs w:val="18"/>
              </w:rPr>
              <w:t>占总结余14%</w:t>
            </w:r>
          </w:p>
        </w:tc>
      </w:tr>
      <w:tr>
        <w:tblPrEx>
          <w:tblW w:w="10480" w:type="dxa"/>
          <w:tblInd w:w="89" w:type="dxa"/>
          <w:tblLayout w:type="fixed"/>
        </w:tblPrEx>
        <w:trPr>
          <w:trHeight w:val="608"/>
        </w:trPr>
        <w:tc>
          <w:tcPr>
            <w:tcW w:w="1271" w:type="dxa"/>
            <w:tcBorders>
              <w:right w:val="nil"/>
            </w:tcBorders>
            <w:vAlign w:val="top"/>
          </w:tcPr>
          <w:p>
            <w:pPr>
              <w:spacing w:before="11" w:line="219" w:lineRule="auto"/>
              <w:ind w:left="254"/>
              <w:rPr>
                <w:rFonts w:ascii="SimSun" w:eastAsia="SimSun" w:hAnsi="SimSun" w:cs="SimSun"/>
                <w:sz w:val="18"/>
                <w:szCs w:val="18"/>
              </w:rPr>
            </w:pPr>
            <w:r>
              <w:rPr>
                <w:rFonts w:ascii="SimSun" w:eastAsia="SimSun" w:hAnsi="SimSun" w:cs="SimSun"/>
                <w:spacing w:val="-2"/>
                <w:sz w:val="18"/>
                <w:szCs w:val="18"/>
              </w:rPr>
              <w:t>第一支柱</w:t>
            </w:r>
          </w:p>
        </w:tc>
        <w:tc>
          <w:tcPr>
            <w:tcW w:w="1583" w:type="dxa"/>
            <w:tcBorders>
              <w:left w:val="nil"/>
              <w:right w:val="nil"/>
            </w:tcBorders>
            <w:vAlign w:val="top"/>
          </w:tcPr>
          <w:p>
            <w:pPr>
              <w:spacing w:before="10" w:line="219" w:lineRule="auto"/>
              <w:ind w:left="298"/>
              <w:rPr>
                <w:rFonts w:ascii="SimSun" w:eastAsia="SimSun" w:hAnsi="SimSun" w:cs="SimSun"/>
                <w:sz w:val="18"/>
                <w:szCs w:val="18"/>
              </w:rPr>
            </w:pPr>
            <w:r>
              <w:rPr>
                <w:rFonts w:ascii="SimSun" w:eastAsia="SimSun" w:hAnsi="SimSun" w:cs="SimSun"/>
                <w:spacing w:val="-1"/>
                <w:sz w:val="18"/>
                <w:szCs w:val="18"/>
              </w:rPr>
              <w:t>基本养老保险</w:t>
            </w:r>
          </w:p>
        </w:tc>
        <w:tc>
          <w:tcPr>
            <w:tcW w:w="2437" w:type="dxa"/>
            <w:tcBorders>
              <w:left w:val="nil"/>
              <w:right w:val="nil"/>
            </w:tcBorders>
            <w:vAlign w:val="top"/>
          </w:tcPr>
          <w:p>
            <w:pPr>
              <w:spacing w:before="61" w:line="269" w:lineRule="auto"/>
              <w:ind w:left="536" w:right="258" w:hanging="330"/>
              <w:rPr>
                <w:rFonts w:ascii="SimSun" w:eastAsia="SimSun" w:hAnsi="SimSun" w:cs="SimSun"/>
                <w:sz w:val="18"/>
                <w:szCs w:val="18"/>
              </w:rPr>
            </w:pPr>
            <w:r>
              <w:rPr>
                <w:rFonts w:ascii="SimSun" w:eastAsia="SimSun" w:hAnsi="SimSun" w:cs="SimSun"/>
                <w:spacing w:val="-1"/>
                <w:sz w:val="18"/>
                <w:szCs w:val="18"/>
              </w:rPr>
              <w:t>其中：委托社保基金运作</w:t>
            </w:r>
            <w:r>
              <w:rPr>
                <w:rFonts w:ascii="SimSun" w:eastAsia="SimSun" w:hAnsi="SimSun" w:cs="SimSun"/>
                <w:spacing w:val="2"/>
                <w:sz w:val="18"/>
                <w:szCs w:val="18"/>
              </w:rPr>
              <w:t xml:space="preserve"> </w:t>
            </w:r>
            <w:r>
              <w:rPr>
                <w:rFonts w:ascii="SimSun" w:eastAsia="SimSun" w:hAnsi="SimSun" w:cs="SimSun"/>
                <w:sz w:val="18"/>
                <w:szCs w:val="18"/>
              </w:rPr>
              <w:t>资金1.62万亿元</w:t>
            </w:r>
          </w:p>
        </w:tc>
        <w:tc>
          <w:tcPr>
            <w:tcW w:w="1442" w:type="dxa"/>
            <w:tcBorders>
              <w:left w:val="nil"/>
              <w:right w:val="nil"/>
            </w:tcBorders>
            <w:vAlign w:val="top"/>
          </w:tcPr>
          <w:p>
            <w:pPr>
              <w:spacing w:before="57" w:line="183" w:lineRule="auto"/>
              <w:ind w:left="259"/>
              <w:rPr>
                <w:rFonts w:ascii="SimSun" w:eastAsia="SimSun" w:hAnsi="SimSun" w:cs="SimSun"/>
                <w:sz w:val="18"/>
                <w:szCs w:val="18"/>
              </w:rPr>
            </w:pPr>
            <w:r>
              <w:rPr>
                <w:rFonts w:ascii="SimSun" w:eastAsia="SimSun" w:hAnsi="SimSun" w:cs="SimSun"/>
                <w:spacing w:val="-2"/>
                <w:sz w:val="18"/>
                <w:szCs w:val="18"/>
              </w:rPr>
              <w:t>48.40%</w:t>
            </w:r>
          </w:p>
        </w:tc>
        <w:tc>
          <w:tcPr>
            <w:tcW w:w="3747" w:type="dxa"/>
            <w:tcBorders>
              <w:left w:val="nil"/>
            </w:tcBorders>
            <w:vAlign w:val="top"/>
          </w:tcPr>
          <w:p>
            <w:pPr>
              <w:spacing w:before="57" w:line="201" w:lineRule="auto"/>
              <w:ind w:left="657"/>
              <w:rPr>
                <w:rFonts w:ascii="SimSun" w:eastAsia="SimSun" w:hAnsi="SimSun" w:cs="SimSun"/>
                <w:sz w:val="18"/>
                <w:szCs w:val="18"/>
              </w:rPr>
            </w:pPr>
            <w:r>
              <w:rPr>
                <w:rFonts w:ascii="SimSun" w:eastAsia="SimSun" w:hAnsi="SimSun" w:cs="SimSun"/>
                <w:spacing w:val="-1"/>
                <w:position w:val="2"/>
                <w:sz w:val="18"/>
                <w:szCs w:val="18"/>
              </w:rPr>
              <w:t>0.99</w:t>
            </w:r>
            <w:r>
              <w:rPr>
                <w:rFonts w:ascii="SimSun" w:eastAsia="SimSun" w:hAnsi="SimSun" w:cs="SimSun"/>
                <w:spacing w:val="9"/>
                <w:position w:val="2"/>
                <w:sz w:val="18"/>
                <w:szCs w:val="18"/>
              </w:rPr>
              <w:t xml:space="preserve">          </w:t>
            </w:r>
            <w:r>
              <w:rPr>
                <w:rFonts w:ascii="SimSun" w:eastAsia="SimSun" w:hAnsi="SimSun" w:cs="SimSun"/>
                <w:spacing w:val="-1"/>
                <w:sz w:val="18"/>
                <w:szCs w:val="18"/>
              </w:rPr>
              <w:t>占基本养老保险基金</w:t>
            </w:r>
          </w:p>
          <w:p>
            <w:pPr>
              <w:spacing w:before="173" w:line="151" w:lineRule="exact"/>
              <w:ind w:left="2597"/>
              <w:rPr>
                <w:rFonts w:ascii="SimSun" w:eastAsia="SimSun" w:hAnsi="SimSun" w:cs="SimSun"/>
                <w:sz w:val="18"/>
                <w:szCs w:val="18"/>
              </w:rPr>
            </w:pPr>
            <w:r>
              <w:rPr>
                <w:rFonts w:ascii="SimSun" w:eastAsia="SimSun" w:hAnsi="SimSun" w:cs="SimSun"/>
                <w:spacing w:val="-2"/>
                <w:position w:val="-2"/>
                <w:sz w:val="18"/>
                <w:szCs w:val="18"/>
              </w:rPr>
              <w:t>61%</w:t>
            </w:r>
          </w:p>
        </w:tc>
      </w:tr>
    </w:tbl>
    <w:p>
      <w:pPr>
        <w:spacing w:line="112" w:lineRule="exact"/>
      </w:pPr>
    </w:p>
    <w:tbl>
      <w:tblPr>
        <w:tblStyle w:val="TableNormal0"/>
        <w:tblW w:w="9314" w:type="dxa"/>
        <w:tblInd w:w="349" w:type="dxa"/>
        <w:tblBorders>
          <w:top w:val="nil"/>
          <w:left w:val="nil"/>
          <w:bottom w:val="nil"/>
          <w:right w:val="nil"/>
          <w:insideH w:val="nil"/>
          <w:insideV w:val="nil"/>
        </w:tblBorders>
        <w:tblLayout w:type="fixed"/>
      </w:tblPr>
      <w:tblGrid>
        <w:gridCol w:w="891"/>
        <w:gridCol w:w="2240"/>
        <w:gridCol w:w="1533"/>
        <w:gridCol w:w="1588"/>
        <w:gridCol w:w="2230"/>
        <w:gridCol w:w="832"/>
      </w:tblGrid>
      <w:tr>
        <w:tblPrEx>
          <w:tblW w:w="9314" w:type="dxa"/>
          <w:tblInd w:w="349" w:type="dxa"/>
          <w:tblBorders>
            <w:top w:val="nil"/>
            <w:left w:val="nil"/>
            <w:bottom w:val="nil"/>
            <w:right w:val="nil"/>
            <w:insideH w:val="nil"/>
            <w:insideV w:val="nil"/>
          </w:tblBorders>
          <w:tblLayout w:type="fixed"/>
        </w:tblPrEx>
        <w:trPr>
          <w:trHeight w:val="250"/>
        </w:trPr>
        <w:tc>
          <w:tcPr>
            <w:tcW w:w="891" w:type="dxa"/>
            <w:vAlign w:val="top"/>
          </w:tcPr>
          <w:p>
            <w:pPr>
              <w:spacing w:line="219" w:lineRule="auto"/>
              <w:rPr>
                <w:rFonts w:ascii="SimSun" w:eastAsia="SimSun" w:hAnsi="SimSun" w:cs="SimSun"/>
                <w:sz w:val="19"/>
                <w:szCs w:val="19"/>
              </w:rPr>
            </w:pPr>
            <w:r>
              <w:rPr>
                <w:rFonts w:ascii="SimSun" w:eastAsia="SimSun" w:hAnsi="SimSun" w:cs="SimSun"/>
                <w:spacing w:val="-2"/>
                <w:sz w:val="19"/>
                <w:szCs w:val="19"/>
              </w:rPr>
              <w:t>第二支柱</w:t>
            </w:r>
          </w:p>
        </w:tc>
        <w:tc>
          <w:tcPr>
            <w:tcW w:w="2240" w:type="dxa"/>
            <w:vAlign w:val="top"/>
          </w:tcPr>
          <w:p>
            <w:pPr>
              <w:spacing w:line="219" w:lineRule="auto"/>
              <w:ind w:left="599"/>
              <w:rPr>
                <w:rFonts w:ascii="SimSun" w:eastAsia="SimSun" w:hAnsi="SimSun" w:cs="SimSun"/>
                <w:sz w:val="19"/>
                <w:szCs w:val="19"/>
              </w:rPr>
            </w:pPr>
            <w:r>
              <w:rPr>
                <w:rFonts w:ascii="SimSun" w:eastAsia="SimSun" w:hAnsi="SimSun" w:cs="SimSun"/>
                <w:spacing w:val="-2"/>
                <w:sz w:val="19"/>
                <w:szCs w:val="19"/>
              </w:rPr>
              <w:t>企业年金</w:t>
            </w:r>
          </w:p>
        </w:tc>
        <w:tc>
          <w:tcPr>
            <w:tcW w:w="1533" w:type="dxa"/>
            <w:vAlign w:val="top"/>
          </w:tcPr>
          <w:p>
            <w:pPr>
              <w:spacing w:before="64" w:line="183" w:lineRule="auto"/>
              <w:ind w:left="499"/>
              <w:rPr>
                <w:rFonts w:ascii="SimSun" w:eastAsia="SimSun" w:hAnsi="SimSun" w:cs="SimSun"/>
                <w:sz w:val="14"/>
                <w:szCs w:val="14"/>
              </w:rPr>
            </w:pPr>
            <w:r>
              <w:rPr>
                <w:rFonts w:ascii="SimSun" w:eastAsia="SimSun" w:hAnsi="SimSun" w:cs="SimSun"/>
                <w:spacing w:val="-2"/>
                <w:sz w:val="14"/>
                <w:szCs w:val="14"/>
              </w:rPr>
              <w:t>2.87</w:t>
            </w:r>
          </w:p>
        </w:tc>
        <w:tc>
          <w:tcPr>
            <w:tcW w:w="1588" w:type="dxa"/>
            <w:vAlign w:val="top"/>
          </w:tcPr>
          <w:p>
            <w:pPr>
              <w:spacing w:before="63" w:line="184" w:lineRule="auto"/>
              <w:ind w:left="666"/>
              <w:rPr>
                <w:rFonts w:ascii="SimSun" w:eastAsia="SimSun" w:hAnsi="SimSun" w:cs="SimSun"/>
                <w:sz w:val="14"/>
                <w:szCs w:val="14"/>
              </w:rPr>
            </w:pPr>
            <w:r>
              <w:rPr>
                <w:rFonts w:ascii="SimSun" w:eastAsia="SimSun" w:hAnsi="SimSun" w:cs="SimSun"/>
                <w:spacing w:val="-3"/>
                <w:sz w:val="14"/>
                <w:szCs w:val="14"/>
              </w:rPr>
              <w:t>18.80%</w:t>
            </w:r>
          </w:p>
        </w:tc>
        <w:tc>
          <w:tcPr>
            <w:tcW w:w="2230" w:type="dxa"/>
            <w:vAlign w:val="top"/>
          </w:tcPr>
          <w:p>
            <w:pPr>
              <w:spacing w:line="219" w:lineRule="auto"/>
              <w:ind w:left="528"/>
              <w:rPr>
                <w:rFonts w:ascii="SimSun" w:eastAsia="SimSun" w:hAnsi="SimSun" w:cs="SimSun"/>
                <w:sz w:val="19"/>
                <w:szCs w:val="19"/>
              </w:rPr>
            </w:pPr>
            <w:r>
              <w:rPr>
                <w:rFonts w:ascii="SimSun" w:eastAsia="SimSun" w:hAnsi="SimSun" w:cs="SimSun"/>
                <w:spacing w:val="-1"/>
                <w:sz w:val="19"/>
                <w:szCs w:val="19"/>
              </w:rPr>
              <w:t>委托管理为主</w:t>
            </w:r>
          </w:p>
        </w:tc>
        <w:tc>
          <w:tcPr>
            <w:tcW w:w="832" w:type="dxa"/>
            <w:vAlign w:val="top"/>
          </w:tcPr>
          <w:p>
            <w:pPr>
              <w:spacing w:before="63" w:line="184" w:lineRule="auto"/>
              <w:jc w:val="right"/>
              <w:rPr>
                <w:rFonts w:ascii="SimSun" w:eastAsia="SimSun" w:hAnsi="SimSun" w:cs="SimSun"/>
                <w:sz w:val="14"/>
                <w:szCs w:val="14"/>
              </w:rPr>
            </w:pPr>
            <w:r>
              <w:rPr>
                <w:rFonts w:ascii="SimSun" w:eastAsia="SimSun" w:hAnsi="SimSun" w:cs="SimSun"/>
                <w:spacing w:val="-6"/>
                <w:sz w:val="14"/>
                <w:szCs w:val="14"/>
              </w:rPr>
              <w:t>1</w:t>
            </w:r>
            <w:r>
              <w:rPr>
                <w:rFonts w:ascii="SimSun" w:eastAsia="SimSun" w:hAnsi="SimSun" w:cs="SimSun"/>
                <w:spacing w:val="-5"/>
                <w:sz w:val="14"/>
                <w:szCs w:val="14"/>
              </w:rPr>
              <w:t>00</w:t>
            </w:r>
            <w:r>
              <w:rPr>
                <w:rFonts w:ascii="SimSun" w:eastAsia="SimSun" w:hAnsi="SimSun" w:cs="SimSun"/>
                <w:spacing w:val="-4"/>
                <w:sz w:val="14"/>
                <w:szCs w:val="14"/>
              </w:rPr>
              <w:t>%</w:t>
            </w:r>
          </w:p>
        </w:tc>
      </w:tr>
      <w:tr>
        <w:tblPrEx>
          <w:tblW w:w="9314" w:type="dxa"/>
          <w:tblInd w:w="349" w:type="dxa"/>
          <w:tblLayout w:type="fixed"/>
        </w:tblPrEx>
        <w:trPr>
          <w:trHeight w:val="326"/>
        </w:trPr>
        <w:tc>
          <w:tcPr>
            <w:tcW w:w="891" w:type="dxa"/>
            <w:vAlign w:val="top"/>
          </w:tcPr>
          <w:p>
            <w:pPr>
              <w:rPr>
                <w:rFonts w:ascii="Arial"/>
                <w:sz w:val="21"/>
              </w:rPr>
            </w:pPr>
          </w:p>
        </w:tc>
        <w:tc>
          <w:tcPr>
            <w:tcW w:w="2240" w:type="dxa"/>
            <w:vAlign w:val="top"/>
          </w:tcPr>
          <w:p>
            <w:pPr>
              <w:spacing w:before="60" w:line="219" w:lineRule="auto"/>
              <w:ind w:left="579"/>
              <w:rPr>
                <w:rFonts w:ascii="SimSun" w:eastAsia="SimSun" w:hAnsi="SimSun" w:cs="SimSun"/>
                <w:sz w:val="19"/>
                <w:szCs w:val="19"/>
              </w:rPr>
            </w:pPr>
            <w:r>
              <w:rPr>
                <w:rFonts w:ascii="SimSun" w:eastAsia="SimSun" w:hAnsi="SimSun" w:cs="SimSun"/>
                <w:spacing w:val="-2"/>
                <w:sz w:val="19"/>
                <w:szCs w:val="19"/>
              </w:rPr>
              <w:t>职业年金</w:t>
            </w:r>
          </w:p>
        </w:tc>
        <w:tc>
          <w:tcPr>
            <w:tcW w:w="1533" w:type="dxa"/>
            <w:vAlign w:val="top"/>
          </w:tcPr>
          <w:p>
            <w:pPr>
              <w:spacing w:before="128" w:line="182" w:lineRule="auto"/>
              <w:ind w:left="479"/>
              <w:rPr>
                <w:rFonts w:ascii="SimSun" w:eastAsia="SimSun" w:hAnsi="SimSun" w:cs="SimSun"/>
                <w:sz w:val="19"/>
                <w:szCs w:val="19"/>
              </w:rPr>
            </w:pPr>
            <w:r>
              <w:rPr>
                <w:rFonts w:ascii="SimSun" w:eastAsia="SimSun" w:hAnsi="SimSun" w:cs="SimSun"/>
                <w:spacing w:val="-2"/>
                <w:sz w:val="19"/>
                <w:szCs w:val="19"/>
              </w:rPr>
              <w:t>2.11</w:t>
            </w:r>
          </w:p>
        </w:tc>
        <w:tc>
          <w:tcPr>
            <w:tcW w:w="1588" w:type="dxa"/>
            <w:vAlign w:val="top"/>
          </w:tcPr>
          <w:p>
            <w:pPr>
              <w:spacing w:before="123" w:line="184" w:lineRule="auto"/>
              <w:ind w:left="666"/>
              <w:rPr>
                <w:rFonts w:ascii="SimSun" w:eastAsia="SimSun" w:hAnsi="SimSun" w:cs="SimSun"/>
                <w:sz w:val="14"/>
                <w:szCs w:val="14"/>
              </w:rPr>
            </w:pPr>
            <w:r>
              <w:rPr>
                <w:rFonts w:ascii="SimSun" w:eastAsia="SimSun" w:hAnsi="SimSun" w:cs="SimSun"/>
                <w:spacing w:val="-3"/>
                <w:sz w:val="14"/>
                <w:szCs w:val="14"/>
              </w:rPr>
              <w:t>13.80%</w:t>
            </w:r>
          </w:p>
        </w:tc>
        <w:tc>
          <w:tcPr>
            <w:tcW w:w="2230" w:type="dxa"/>
            <w:vAlign w:val="top"/>
          </w:tcPr>
          <w:p>
            <w:pPr>
              <w:spacing w:before="60" w:line="219" w:lineRule="auto"/>
              <w:ind w:left="528"/>
              <w:rPr>
                <w:rFonts w:ascii="SimSun" w:eastAsia="SimSun" w:hAnsi="SimSun" w:cs="SimSun"/>
                <w:sz w:val="19"/>
                <w:szCs w:val="19"/>
              </w:rPr>
            </w:pPr>
            <w:r>
              <w:rPr>
                <w:rFonts w:ascii="SimSun" w:eastAsia="SimSun" w:hAnsi="SimSun" w:cs="SimSun"/>
                <w:spacing w:val="-1"/>
                <w:sz w:val="19"/>
                <w:szCs w:val="19"/>
              </w:rPr>
              <w:t>委托管理为主</w:t>
            </w:r>
          </w:p>
        </w:tc>
        <w:tc>
          <w:tcPr>
            <w:tcW w:w="832" w:type="dxa"/>
            <w:vAlign w:val="top"/>
          </w:tcPr>
          <w:p>
            <w:pPr>
              <w:spacing w:before="123" w:line="184" w:lineRule="auto"/>
              <w:jc w:val="right"/>
              <w:rPr>
                <w:rFonts w:ascii="SimSun" w:eastAsia="SimSun" w:hAnsi="SimSun" w:cs="SimSun"/>
                <w:sz w:val="14"/>
                <w:szCs w:val="14"/>
              </w:rPr>
            </w:pPr>
            <w:r>
              <w:rPr>
                <w:rFonts w:ascii="SimSun" w:eastAsia="SimSun" w:hAnsi="SimSun" w:cs="SimSun"/>
                <w:spacing w:val="-6"/>
                <w:sz w:val="14"/>
                <w:szCs w:val="14"/>
              </w:rPr>
              <w:t>1</w:t>
            </w:r>
            <w:r>
              <w:rPr>
                <w:rFonts w:ascii="SimSun" w:eastAsia="SimSun" w:hAnsi="SimSun" w:cs="SimSun"/>
                <w:spacing w:val="-5"/>
                <w:sz w:val="14"/>
                <w:szCs w:val="14"/>
              </w:rPr>
              <w:t>00</w:t>
            </w:r>
            <w:r>
              <w:rPr>
                <w:rFonts w:ascii="SimSun" w:eastAsia="SimSun" w:hAnsi="SimSun" w:cs="SimSun"/>
                <w:spacing w:val="-4"/>
                <w:sz w:val="14"/>
                <w:szCs w:val="14"/>
              </w:rPr>
              <w:t>%</w:t>
            </w:r>
          </w:p>
        </w:tc>
      </w:tr>
      <w:tr>
        <w:tblPrEx>
          <w:tblW w:w="9314" w:type="dxa"/>
          <w:tblInd w:w="349" w:type="dxa"/>
          <w:tblLayout w:type="fixed"/>
        </w:tblPrEx>
        <w:trPr>
          <w:trHeight w:val="319"/>
        </w:trPr>
        <w:tc>
          <w:tcPr>
            <w:tcW w:w="891" w:type="dxa"/>
            <w:vAlign w:val="top"/>
          </w:tcPr>
          <w:p>
            <w:pPr>
              <w:spacing w:before="72" w:line="219" w:lineRule="auto"/>
              <w:ind w:left="10"/>
              <w:rPr>
                <w:rFonts w:ascii="SimSun" w:eastAsia="SimSun" w:hAnsi="SimSun" w:cs="SimSun"/>
                <w:sz w:val="14"/>
                <w:szCs w:val="14"/>
              </w:rPr>
            </w:pPr>
            <w:r>
              <w:rPr>
                <w:rFonts w:ascii="SimSun" w:eastAsia="SimSun" w:hAnsi="SimSun" w:cs="SimSun"/>
                <w:spacing w:val="-2"/>
                <w:sz w:val="14"/>
                <w:szCs w:val="14"/>
              </w:rPr>
              <w:t>第三支柱</w:t>
            </w:r>
          </w:p>
        </w:tc>
        <w:tc>
          <w:tcPr>
            <w:tcW w:w="2240" w:type="dxa"/>
            <w:vAlign w:val="top"/>
          </w:tcPr>
          <w:p>
            <w:pPr>
              <w:spacing w:before="64" w:line="219" w:lineRule="auto"/>
              <w:ind w:left="139"/>
              <w:rPr>
                <w:rFonts w:ascii="SimSun" w:eastAsia="SimSun" w:hAnsi="SimSun" w:cs="SimSun"/>
                <w:sz w:val="19"/>
                <w:szCs w:val="19"/>
              </w:rPr>
            </w:pPr>
            <w:r>
              <w:rPr>
                <w:rFonts w:ascii="SimSun" w:eastAsia="SimSun" w:hAnsi="SimSun" w:cs="SimSun"/>
                <w:spacing w:val="-1"/>
                <w:sz w:val="19"/>
                <w:szCs w:val="19"/>
              </w:rPr>
              <w:t>个人养老金账户余额</w:t>
            </w:r>
          </w:p>
        </w:tc>
        <w:tc>
          <w:tcPr>
            <w:tcW w:w="1533" w:type="dxa"/>
            <w:vAlign w:val="top"/>
          </w:tcPr>
          <w:p>
            <w:pPr>
              <w:spacing w:before="107" w:line="184" w:lineRule="auto"/>
              <w:ind w:left="399"/>
              <w:rPr>
                <w:rFonts w:ascii="SimSun" w:eastAsia="SimSun" w:hAnsi="SimSun" w:cs="SimSun"/>
                <w:sz w:val="14"/>
                <w:szCs w:val="14"/>
              </w:rPr>
            </w:pPr>
            <w:r>
              <w:rPr>
                <w:rFonts w:ascii="SimSun" w:eastAsia="SimSun" w:hAnsi="SimSun" w:cs="SimSun"/>
                <w:spacing w:val="-1"/>
                <w:sz w:val="14"/>
                <w:szCs w:val="14"/>
              </w:rPr>
              <w:t>0.0142</w:t>
            </w:r>
          </w:p>
        </w:tc>
        <w:tc>
          <w:tcPr>
            <w:tcW w:w="1588" w:type="dxa"/>
            <w:vAlign w:val="top"/>
          </w:tcPr>
          <w:p>
            <w:pPr>
              <w:spacing w:before="107" w:line="184" w:lineRule="auto"/>
              <w:ind w:left="686"/>
              <w:rPr>
                <w:rFonts w:ascii="SimSun" w:eastAsia="SimSun" w:hAnsi="SimSun" w:cs="SimSun"/>
                <w:sz w:val="14"/>
                <w:szCs w:val="14"/>
              </w:rPr>
            </w:pPr>
            <w:r>
              <w:rPr>
                <w:rFonts w:ascii="SimSun" w:eastAsia="SimSun" w:hAnsi="SimSun" w:cs="SimSun"/>
                <w:spacing w:val="-2"/>
                <w:sz w:val="14"/>
                <w:szCs w:val="14"/>
              </w:rPr>
              <w:t>0.10%</w:t>
            </w:r>
          </w:p>
        </w:tc>
        <w:tc>
          <w:tcPr>
            <w:tcW w:w="2230" w:type="dxa"/>
            <w:vAlign w:val="top"/>
          </w:tcPr>
          <w:p>
            <w:pPr>
              <w:spacing w:before="64" w:line="219" w:lineRule="auto"/>
              <w:ind w:left="518"/>
              <w:rPr>
                <w:rFonts w:ascii="SimSun" w:eastAsia="SimSun" w:hAnsi="SimSun" w:cs="SimSun"/>
                <w:sz w:val="19"/>
                <w:szCs w:val="19"/>
              </w:rPr>
            </w:pPr>
            <w:r>
              <w:rPr>
                <w:rFonts w:ascii="SimSun" w:eastAsia="SimSun" w:hAnsi="SimSun" w:cs="SimSun"/>
                <w:spacing w:val="-1"/>
                <w:sz w:val="19"/>
                <w:szCs w:val="19"/>
              </w:rPr>
              <w:t>委托管理为主</w:t>
            </w:r>
          </w:p>
        </w:tc>
        <w:tc>
          <w:tcPr>
            <w:tcW w:w="832" w:type="dxa"/>
            <w:vAlign w:val="top"/>
          </w:tcPr>
          <w:p>
            <w:pPr>
              <w:spacing w:before="107" w:line="184" w:lineRule="auto"/>
              <w:jc w:val="right"/>
              <w:rPr>
                <w:rFonts w:ascii="SimSun" w:eastAsia="SimSun" w:hAnsi="SimSun" w:cs="SimSun"/>
                <w:sz w:val="14"/>
                <w:szCs w:val="14"/>
              </w:rPr>
            </w:pPr>
            <w:r>
              <w:rPr>
                <w:rFonts w:ascii="SimSun" w:eastAsia="SimSun" w:hAnsi="SimSun" w:cs="SimSun"/>
                <w:spacing w:val="-6"/>
                <w:sz w:val="14"/>
                <w:szCs w:val="14"/>
              </w:rPr>
              <w:t>1</w:t>
            </w:r>
            <w:r>
              <w:rPr>
                <w:rFonts w:ascii="SimSun" w:eastAsia="SimSun" w:hAnsi="SimSun" w:cs="SimSun"/>
                <w:spacing w:val="-5"/>
                <w:sz w:val="14"/>
                <w:szCs w:val="14"/>
              </w:rPr>
              <w:t>00</w:t>
            </w:r>
            <w:r>
              <w:rPr>
                <w:rFonts w:ascii="SimSun" w:eastAsia="SimSun" w:hAnsi="SimSun" w:cs="SimSun"/>
                <w:spacing w:val="-4"/>
                <w:sz w:val="14"/>
                <w:szCs w:val="14"/>
              </w:rPr>
              <w:t>%</w:t>
            </w:r>
          </w:p>
        </w:tc>
      </w:tr>
      <w:tr>
        <w:tblPrEx>
          <w:tblW w:w="9314" w:type="dxa"/>
          <w:tblInd w:w="349" w:type="dxa"/>
          <w:tblLayout w:type="fixed"/>
        </w:tblPrEx>
        <w:trPr>
          <w:trHeight w:val="256"/>
        </w:trPr>
        <w:tc>
          <w:tcPr>
            <w:tcW w:w="891" w:type="dxa"/>
            <w:vAlign w:val="top"/>
          </w:tcPr>
          <w:p>
            <w:pPr>
              <w:rPr>
                <w:rFonts w:ascii="Arial"/>
                <w:sz w:val="21"/>
              </w:rPr>
            </w:pPr>
          </w:p>
        </w:tc>
        <w:tc>
          <w:tcPr>
            <w:tcW w:w="2240" w:type="dxa"/>
            <w:vAlign w:val="top"/>
          </w:tcPr>
          <w:p>
            <w:pPr>
              <w:spacing w:before="64" w:line="176" w:lineRule="auto"/>
              <w:ind w:left="329"/>
              <w:rPr>
                <w:rFonts w:ascii="SimSun" w:eastAsia="SimSun" w:hAnsi="SimSun" w:cs="SimSun"/>
                <w:sz w:val="19"/>
                <w:szCs w:val="19"/>
              </w:rPr>
            </w:pPr>
            <w:r>
              <w:rPr>
                <w:rFonts w:ascii="SimSun" w:eastAsia="SimSun" w:hAnsi="SimSun" w:cs="SimSun"/>
                <w:spacing w:val="-2"/>
                <w:sz w:val="19"/>
                <w:szCs w:val="19"/>
              </w:rPr>
              <w:t>养老三支柱合计</w:t>
            </w:r>
          </w:p>
        </w:tc>
        <w:tc>
          <w:tcPr>
            <w:tcW w:w="1533" w:type="dxa"/>
            <w:vAlign w:val="top"/>
          </w:tcPr>
          <w:p>
            <w:pPr>
              <w:spacing w:before="123" w:line="122" w:lineRule="exact"/>
              <w:ind w:left="509"/>
              <w:rPr>
                <w:rFonts w:ascii="SimSun" w:eastAsia="SimSun" w:hAnsi="SimSun" w:cs="SimSun"/>
                <w:sz w:val="19"/>
                <w:szCs w:val="19"/>
              </w:rPr>
            </w:pPr>
            <w:r>
              <w:rPr>
                <w:rFonts w:ascii="SimSun" w:eastAsia="SimSun" w:hAnsi="SimSun" w:cs="SimSun"/>
                <w:spacing w:val="-5"/>
                <w:position w:val="-3"/>
                <w:sz w:val="19"/>
                <w:szCs w:val="19"/>
              </w:rPr>
              <w:t>14.9</w:t>
            </w:r>
          </w:p>
        </w:tc>
        <w:tc>
          <w:tcPr>
            <w:tcW w:w="1588" w:type="dxa"/>
            <w:vAlign w:val="top"/>
          </w:tcPr>
          <w:p>
            <w:pPr>
              <w:rPr>
                <w:rFonts w:ascii="Arial"/>
                <w:sz w:val="21"/>
              </w:rPr>
            </w:pPr>
          </w:p>
        </w:tc>
        <w:tc>
          <w:tcPr>
            <w:tcW w:w="2230" w:type="dxa"/>
            <w:vAlign w:val="top"/>
          </w:tcPr>
          <w:p>
            <w:pPr>
              <w:spacing w:before="119" w:line="167" w:lineRule="auto"/>
              <w:ind w:left="938"/>
              <w:rPr>
                <w:rFonts w:ascii="SimSun" w:eastAsia="SimSun" w:hAnsi="SimSun" w:cs="SimSun"/>
                <w:sz w:val="14"/>
                <w:szCs w:val="14"/>
              </w:rPr>
            </w:pPr>
            <w:r>
              <w:rPr>
                <w:rFonts w:ascii="SimSun" w:eastAsia="SimSun" w:hAnsi="SimSun" w:cs="SimSun"/>
                <w:spacing w:val="-2"/>
                <w:sz w:val="14"/>
                <w:szCs w:val="14"/>
              </w:rPr>
              <w:t>7.9</w:t>
            </w:r>
          </w:p>
        </w:tc>
        <w:tc>
          <w:tcPr>
            <w:tcW w:w="832" w:type="dxa"/>
            <w:vAlign w:val="top"/>
          </w:tcPr>
          <w:p>
            <w:pPr>
              <w:spacing w:before="119" w:line="167" w:lineRule="auto"/>
              <w:ind w:left="588"/>
              <w:rPr>
                <w:rFonts w:ascii="SimSun" w:eastAsia="SimSun" w:hAnsi="SimSun" w:cs="SimSun"/>
                <w:sz w:val="14"/>
                <w:szCs w:val="14"/>
              </w:rPr>
            </w:pPr>
            <w:r>
              <w:rPr>
                <w:rFonts w:ascii="SimSun" w:eastAsia="SimSun" w:hAnsi="SimSun" w:cs="SimSun"/>
                <w:spacing w:val="-2"/>
                <w:sz w:val="14"/>
                <w:szCs w:val="14"/>
              </w:rPr>
              <w:t>53%</w:t>
            </w:r>
          </w:p>
        </w:tc>
      </w:tr>
    </w:tbl>
    <w:p>
      <w:pPr>
        <w:pStyle w:val="BodyText"/>
        <w:spacing w:before="116" w:line="224" w:lineRule="auto"/>
        <w:ind w:left="79"/>
        <w:rPr>
          <w:sz w:val="20"/>
          <w:szCs w:val="20"/>
        </w:rPr>
      </w:pPr>
      <w:r>
        <w:rPr>
          <w:spacing w:val="-18"/>
          <w:w w:val="99"/>
          <w:sz w:val="20"/>
          <w:szCs w:val="20"/>
        </w:rPr>
        <w:t>数据来源：人社部、全国社保基金理事会、开源证券研究所</w:t>
      </w:r>
    </w:p>
    <w:p>
      <w:pPr>
        <w:rPr>
          <w:rFonts w:ascii="Arial"/>
          <w:sz w:val="21"/>
        </w:rPr>
      </w:pPr>
    </w:p>
    <w:p>
      <w:pPr>
        <w:spacing w:line="241" w:lineRule="auto"/>
        <w:rPr>
          <w:rFonts w:ascii="Arial"/>
          <w:sz w:val="21"/>
        </w:rPr>
      </w:pPr>
    </w:p>
    <w:p>
      <w:pPr>
        <w:pStyle w:val="BodyText"/>
        <w:spacing w:before="65" w:line="220" w:lineRule="auto"/>
        <w:ind w:left="2882"/>
        <w:outlineLvl w:val="2"/>
        <w:rPr>
          <w:sz w:val="20"/>
          <w:szCs w:val="20"/>
        </w:rPr>
      </w:pPr>
      <w:r>
        <w:rPr>
          <w:b/>
          <w:bCs/>
          <w:color w:val="000080"/>
          <w:spacing w:val="28"/>
          <w:sz w:val="20"/>
          <w:szCs w:val="20"/>
        </w:rPr>
        <w:t>2.2、</w:t>
      </w:r>
      <w:r>
        <w:rPr>
          <w:color w:val="000080"/>
          <w:spacing w:val="71"/>
          <w:sz w:val="20"/>
          <w:szCs w:val="20"/>
        </w:rPr>
        <w:t xml:space="preserve"> </w:t>
      </w:r>
      <w:r>
        <w:rPr>
          <w:b/>
          <w:bCs/>
          <w:color w:val="000080"/>
          <w:spacing w:val="28"/>
          <w:sz w:val="20"/>
          <w:szCs w:val="20"/>
        </w:rPr>
        <w:t>养老金第</w:t>
      </w:r>
      <w:r>
        <w:rPr>
          <w:color w:val="000080"/>
          <w:spacing w:val="-46"/>
          <w:sz w:val="20"/>
          <w:szCs w:val="20"/>
        </w:rPr>
        <w:t xml:space="preserve"> </w:t>
      </w:r>
      <w:r>
        <w:rPr>
          <w:b/>
          <w:bCs/>
          <w:color w:val="000080"/>
          <w:spacing w:val="28"/>
          <w:sz w:val="20"/>
          <w:szCs w:val="20"/>
        </w:rPr>
        <w:t>一</w:t>
      </w:r>
      <w:r>
        <w:rPr>
          <w:color w:val="000080"/>
          <w:spacing w:val="-39"/>
          <w:sz w:val="20"/>
          <w:szCs w:val="20"/>
        </w:rPr>
        <w:t xml:space="preserve"> </w:t>
      </w:r>
      <w:r>
        <w:rPr>
          <w:b/>
          <w:bCs/>
          <w:color w:val="000080"/>
          <w:spacing w:val="28"/>
          <w:sz w:val="20"/>
          <w:szCs w:val="20"/>
        </w:rPr>
        <w:t>支柱：实际委托规模待提高，权益比例仍有提升空间</w:t>
      </w:r>
    </w:p>
    <w:p>
      <w:pPr>
        <w:pStyle w:val="BodyText"/>
        <w:spacing w:before="217" w:line="224" w:lineRule="auto"/>
        <w:ind w:left="2879"/>
        <w:rPr>
          <w:sz w:val="20"/>
          <w:szCs w:val="20"/>
        </w:rPr>
      </w:pPr>
      <w:r>
        <w:rPr>
          <w:sz w:val="20"/>
          <w:szCs w:val="20"/>
        </w:rPr>
        <w:t>●</w:t>
      </w:r>
      <w:r>
        <w:rPr>
          <w:spacing w:val="35"/>
          <w:sz w:val="20"/>
          <w:szCs w:val="20"/>
        </w:rPr>
        <w:t xml:space="preserve">  </w:t>
      </w:r>
      <w:r>
        <w:rPr>
          <w:b/>
          <w:bCs/>
          <w:sz w:val="20"/>
          <w:szCs w:val="20"/>
        </w:rPr>
        <w:t>基本养老保险</w:t>
      </w:r>
    </w:p>
    <w:p>
      <w:pPr>
        <w:pStyle w:val="BodyText"/>
        <w:spacing w:before="43" w:line="271" w:lineRule="auto"/>
        <w:ind w:left="2879" w:right="149" w:firstLine="2"/>
        <w:rPr>
          <w:sz w:val="20"/>
          <w:szCs w:val="20"/>
        </w:rPr>
      </w:pPr>
      <w:r>
        <w:rPr>
          <w:b/>
          <w:bCs/>
          <w:spacing w:val="8"/>
          <w:sz w:val="20"/>
          <w:szCs w:val="20"/>
        </w:rPr>
        <w:t>基本养老保险是我国养老保险中最重要的支柱，覆盖范围广且规模增长稳定。</w:t>
      </w:r>
      <w:r>
        <w:rPr>
          <w:spacing w:val="8"/>
          <w:sz w:val="20"/>
          <w:szCs w:val="20"/>
        </w:rPr>
        <w:t>基本</w:t>
      </w:r>
      <w:r>
        <w:rPr>
          <w:spacing w:val="11"/>
          <w:sz w:val="20"/>
          <w:szCs w:val="20"/>
        </w:rPr>
        <w:t xml:space="preserve"> </w:t>
      </w:r>
      <w:r>
        <w:rPr>
          <w:spacing w:val="11"/>
          <w:sz w:val="20"/>
          <w:szCs w:val="20"/>
        </w:rPr>
        <w:t>养老保险由城镇职工基本养老保险和城乡基</w:t>
      </w:r>
      <w:r>
        <w:rPr>
          <w:spacing w:val="10"/>
          <w:sz w:val="20"/>
          <w:szCs w:val="20"/>
        </w:rPr>
        <w:t>本养老保险组成，在养老保险体系中起</w:t>
      </w:r>
      <w:r>
        <w:rPr>
          <w:sz w:val="20"/>
          <w:szCs w:val="20"/>
        </w:rPr>
        <w:t xml:space="preserve"> </w:t>
      </w:r>
      <w:r>
        <w:rPr>
          <w:spacing w:val="2"/>
          <w:sz w:val="20"/>
          <w:szCs w:val="20"/>
        </w:rPr>
        <w:t>到“保基本”的作用。2022年末全国基本养老保险累计结</w:t>
      </w:r>
      <w:r>
        <w:rPr>
          <w:spacing w:val="1"/>
          <w:sz w:val="20"/>
          <w:szCs w:val="20"/>
        </w:rPr>
        <w:t>存余额7万亿元，同比+10%。</w:t>
      </w:r>
    </w:p>
    <w:p>
      <w:pPr>
        <w:spacing w:line="324" w:lineRule="auto"/>
        <w:rPr>
          <w:rFonts w:ascii="Arial"/>
          <w:sz w:val="21"/>
        </w:rPr>
      </w:pPr>
    </w:p>
    <w:p>
      <w:pPr>
        <w:spacing w:before="59" w:line="219" w:lineRule="auto"/>
        <w:ind w:left="2922"/>
        <w:rPr>
          <w:rFonts w:ascii="SimSun" w:eastAsia="SimSun" w:hAnsi="SimSun" w:cs="SimSun"/>
          <w:sz w:val="18"/>
          <w:szCs w:val="18"/>
        </w:rPr>
      </w:pPr>
      <w:r>
        <w:rPr>
          <w:rFonts w:ascii="SimSun" w:eastAsia="SimSun" w:hAnsi="SimSun" w:cs="SimSun"/>
          <w:b/>
          <w:bCs/>
          <w:spacing w:val="-2"/>
          <w:sz w:val="18"/>
          <w:szCs w:val="18"/>
        </w:rPr>
        <w:t>表2:基本养老保险在养老保险体系中起到“保基本”作用</w:t>
      </w:r>
    </w:p>
    <w:p>
      <w:pPr>
        <w:spacing w:line="28" w:lineRule="exact"/>
      </w:pPr>
    </w:p>
    <w:tbl>
      <w:tblPr>
        <w:tblStyle w:val="TableNormal0"/>
        <w:tblW w:w="7630" w:type="dxa"/>
        <w:tblInd w:w="2909" w:type="dxa"/>
        <w:tblBorders>
          <w:top w:val="single" w:sz="4" w:space="0" w:color="000000"/>
          <w:left w:val="single" w:sz="4" w:space="0" w:color="000000"/>
          <w:bottom w:val="single" w:sz="4" w:space="0" w:color="000000"/>
          <w:right w:val="single" w:sz="4" w:space="0" w:color="000000"/>
        </w:tblBorders>
        <w:shd w:val="clear" w:color="auto" w:fill="000080"/>
        <w:tblLayout w:type="fixed"/>
      </w:tblPr>
      <w:tblGrid>
        <w:gridCol w:w="7630"/>
      </w:tblGrid>
      <w:tr>
        <w:tblPrEx>
          <w:tblW w:w="7630" w:type="dxa"/>
          <w:tblInd w:w="2909" w:type="dxa"/>
          <w:tblBorders>
            <w:top w:val="single" w:sz="4" w:space="0" w:color="000000"/>
            <w:left w:val="single" w:sz="4" w:space="0" w:color="000000"/>
            <w:bottom w:val="single" w:sz="4" w:space="0" w:color="000000"/>
            <w:right w:val="single" w:sz="4" w:space="0" w:color="000000"/>
          </w:tblBorders>
          <w:shd w:val="clear" w:color="auto" w:fill="000080"/>
          <w:tblLayout w:type="fixed"/>
        </w:tblPrEx>
        <w:trPr>
          <w:trHeight w:val="319"/>
        </w:trPr>
        <w:tc>
          <w:tcPr>
            <w:tcW w:w="7630" w:type="dxa"/>
            <w:shd w:val="clear" w:color="auto" w:fill="000080"/>
            <w:vAlign w:val="top"/>
          </w:tcPr>
          <w:p>
            <w:pPr>
              <w:spacing w:before="69" w:line="213" w:lineRule="auto"/>
              <w:ind w:left="297"/>
              <w:rPr>
                <w:rFonts w:ascii="SimSun" w:eastAsia="SimSun" w:hAnsi="SimSun" w:cs="SimSun"/>
                <w:sz w:val="19"/>
                <w:szCs w:val="19"/>
              </w:rPr>
            </w:pPr>
            <w:r>
              <w:rPr>
                <w:rFonts w:ascii="SimSun" w:eastAsia="SimSun" w:hAnsi="SimSun" w:cs="SimSun"/>
                <w:b/>
                <w:bCs/>
                <w:color w:val="FFFFFF"/>
                <w:position w:val="-2"/>
                <w:sz w:val="19"/>
                <w:szCs w:val="19"/>
              </w:rPr>
              <w:t>项目</w:t>
            </w:r>
            <w:r>
              <w:rPr>
                <w:rFonts w:ascii="SimSun" w:eastAsia="SimSun" w:hAnsi="SimSun" w:cs="SimSun"/>
                <w:color w:val="FFFFFF"/>
                <w:position w:val="-2"/>
                <w:sz w:val="19"/>
                <w:szCs w:val="19"/>
              </w:rPr>
              <w:t xml:space="preserve">             </w:t>
            </w:r>
            <w:r>
              <w:rPr>
                <w:rFonts w:ascii="SimSun" w:eastAsia="SimSun" w:hAnsi="SimSun" w:cs="SimSun"/>
                <w:b/>
                <w:bCs/>
                <w:color w:val="FFFFFF"/>
                <w:sz w:val="19"/>
                <w:szCs w:val="19"/>
              </w:rPr>
              <w:t>城镇职工基本养老保险</w:t>
            </w:r>
            <w:r>
              <w:rPr>
                <w:rFonts w:ascii="SimSun" w:eastAsia="SimSun" w:hAnsi="SimSun" w:cs="SimSun"/>
                <w:color w:val="FFFFFF"/>
                <w:sz w:val="19"/>
                <w:szCs w:val="19"/>
              </w:rPr>
              <w:t xml:space="preserve">               </w:t>
            </w:r>
            <w:r>
              <w:rPr>
                <w:rFonts w:ascii="SimSun" w:eastAsia="SimSun" w:hAnsi="SimSun" w:cs="SimSun"/>
                <w:b/>
                <w:bCs/>
                <w:color w:val="FFFFFF"/>
                <w:sz w:val="19"/>
                <w:szCs w:val="19"/>
              </w:rPr>
              <w:t>城乡居民基本养老</w:t>
            </w:r>
            <w:r>
              <w:rPr>
                <w:rFonts w:ascii="SimSun" w:eastAsia="SimSun" w:hAnsi="SimSun" w:cs="SimSun"/>
                <w:b/>
                <w:bCs/>
                <w:color w:val="FFFFFF"/>
                <w:spacing w:val="-1"/>
                <w:sz w:val="19"/>
                <w:szCs w:val="19"/>
              </w:rPr>
              <w:t>保险</w:t>
            </w:r>
          </w:p>
        </w:tc>
      </w:tr>
    </w:tbl>
    <w:p>
      <w:pPr>
        <w:spacing w:line="45" w:lineRule="exact"/>
        <w:rPr>
          <w:rFonts w:ascii="Arial"/>
          <w:sz w:val="3"/>
        </w:rPr>
      </w:pPr>
    </w:p>
    <w:p>
      <w:pPr>
        <w:spacing w:line="45" w:lineRule="exact"/>
        <w:rPr>
          <w:rFonts w:ascii="Arial" w:eastAsia="Arial" w:hAnsi="Arial" w:cs="Arial"/>
          <w:sz w:val="3"/>
          <w:szCs w:val="3"/>
        </w:rPr>
        <w:sectPr>
          <w:footerReference w:type="default" r:id="rId27"/>
          <w:pgSz w:w="11910" w:h="16840"/>
          <w:pgMar w:top="156" w:right="650" w:bottom="1129" w:left="650" w:header="0" w:footer="858" w:gutter="0"/>
          <w:pgNumType w:start="12"/>
          <w:cols w:num="1" w:space="708" w:equalWidth="0">
            <w:col w:w="10610" w:space="0"/>
          </w:cols>
        </w:sectPr>
      </w:pPr>
    </w:p>
    <w:p>
      <w:pPr>
        <w:spacing w:line="445" w:lineRule="auto"/>
        <w:rPr>
          <w:rFonts w:ascii="Arial"/>
          <w:sz w:val="21"/>
        </w:rPr>
      </w:pPr>
    </w:p>
    <w:p>
      <w:pPr>
        <w:spacing w:before="59" w:line="219" w:lineRule="auto"/>
        <w:ind w:left="3059"/>
        <w:rPr>
          <w:rFonts w:ascii="SimSun" w:eastAsia="SimSun" w:hAnsi="SimSun" w:cs="SimSun"/>
          <w:sz w:val="18"/>
          <w:szCs w:val="18"/>
        </w:rPr>
      </w:pPr>
      <w:r>
        <w:rPr>
          <w:rFonts w:ascii="SimSun" w:eastAsia="SimSun" w:hAnsi="SimSun" w:cs="SimSun"/>
          <w:spacing w:val="-2"/>
          <w:sz w:val="18"/>
          <w:szCs w:val="18"/>
        </w:rPr>
        <w:t>参保对象</w:t>
      </w:r>
    </w:p>
    <w:p>
      <w:pPr>
        <w:spacing w:line="257" w:lineRule="auto"/>
        <w:rPr>
          <w:rFonts w:ascii="Arial"/>
          <w:sz w:val="21"/>
        </w:rPr>
      </w:pPr>
    </w:p>
    <w:p>
      <w:pPr>
        <w:spacing w:line="258" w:lineRule="auto"/>
        <w:rPr>
          <w:rFonts w:ascii="Arial"/>
          <w:sz w:val="21"/>
        </w:rPr>
      </w:pPr>
    </w:p>
    <w:p>
      <w:pPr>
        <w:spacing w:before="59" w:line="220" w:lineRule="auto"/>
        <w:ind w:left="3059"/>
        <w:rPr>
          <w:rFonts w:ascii="SimSun" w:eastAsia="SimSun" w:hAnsi="SimSun" w:cs="SimSun"/>
          <w:sz w:val="18"/>
          <w:szCs w:val="18"/>
        </w:rPr>
      </w:pPr>
      <w:r>
        <w:rPr>
          <w:rFonts w:ascii="SimSun" w:eastAsia="SimSun" w:hAnsi="SimSun" w:cs="SimSun"/>
          <w:spacing w:val="-2"/>
          <w:sz w:val="18"/>
          <w:szCs w:val="18"/>
        </w:rPr>
        <w:t>参保方式</w:t>
      </w:r>
    </w:p>
    <w:p>
      <w:pPr>
        <w:spacing w:line="344" w:lineRule="auto"/>
        <w:rPr>
          <w:rFonts w:ascii="Arial"/>
          <w:sz w:val="21"/>
        </w:rPr>
      </w:pPr>
    </w:p>
    <w:p>
      <w:pPr>
        <w:spacing w:before="59" w:line="219" w:lineRule="auto"/>
        <w:ind w:left="3039"/>
        <w:rPr>
          <w:rFonts w:ascii="SimSun" w:eastAsia="SimSun" w:hAnsi="SimSun" w:cs="SimSun"/>
          <w:sz w:val="18"/>
          <w:szCs w:val="18"/>
        </w:rPr>
      </w:pPr>
      <w:r>
        <w:rPr>
          <w:rFonts w:ascii="SimSun" w:eastAsia="SimSun" w:hAnsi="SimSun" w:cs="SimSun"/>
          <w:spacing w:val="-2"/>
          <w:sz w:val="18"/>
          <w:szCs w:val="18"/>
        </w:rPr>
        <w:t>缴纳方式</w:t>
      </w:r>
    </w:p>
    <w:p>
      <w:pPr>
        <w:spacing w:line="14" w:lineRule="auto"/>
        <w:rPr>
          <w:rFonts w:ascii="Arial"/>
          <w:sz w:val="2"/>
        </w:rPr>
      </w:pPr>
      <w:r>
        <w:rPr>
          <w:rFonts w:ascii="Arial" w:eastAsia="Arial" w:hAnsi="Arial" w:cs="Arial"/>
          <w:sz w:val="2"/>
          <w:szCs w:val="2"/>
        </w:rPr>
        <w:br w:type="column"/>
      </w:r>
    </w:p>
    <w:p>
      <w:pPr>
        <w:spacing w:before="34" w:line="294" w:lineRule="auto"/>
        <w:ind w:left="679" w:hanging="649"/>
        <w:rPr>
          <w:rFonts w:ascii="SimSun" w:eastAsia="SimSun" w:hAnsi="SimSun" w:cs="SimSun"/>
          <w:sz w:val="13"/>
          <w:szCs w:val="13"/>
        </w:rPr>
      </w:pPr>
      <w:r>
        <w:rPr>
          <w:rFonts w:ascii="SimSun" w:eastAsia="SimSun" w:hAnsi="SimSun" w:cs="SimSun"/>
          <w:spacing w:val="4"/>
          <w:sz w:val="18"/>
          <w:szCs w:val="18"/>
        </w:rPr>
        <w:t>企业职工基本养老保险：各类企业及其职工、</w:t>
      </w:r>
      <w:r>
        <w:rPr>
          <w:rFonts w:ascii="SimSun" w:eastAsia="SimSun" w:hAnsi="SimSun" w:cs="SimSun"/>
          <w:spacing w:val="9"/>
          <w:sz w:val="18"/>
          <w:szCs w:val="18"/>
        </w:rPr>
        <w:t xml:space="preserve"> </w:t>
      </w:r>
      <w:r>
        <w:rPr>
          <w:rFonts w:ascii="SimSun" w:eastAsia="SimSun" w:hAnsi="SimSun" w:cs="SimSun"/>
          <w:spacing w:val="-2"/>
          <w:sz w:val="13"/>
          <w:szCs w:val="13"/>
        </w:rPr>
        <w:t>个体工商户、灵活就业人员。</w:t>
      </w:r>
    </w:p>
    <w:p>
      <w:pPr>
        <w:spacing w:before="117" w:line="219" w:lineRule="auto"/>
        <w:ind w:left="30"/>
        <w:rPr>
          <w:rFonts w:ascii="SimSun" w:eastAsia="SimSun" w:hAnsi="SimSun" w:cs="SimSun"/>
          <w:sz w:val="18"/>
          <w:szCs w:val="18"/>
        </w:rPr>
      </w:pPr>
      <w:r>
        <w:rPr>
          <w:rFonts w:ascii="SimSun" w:eastAsia="SimSun" w:hAnsi="SimSun" w:cs="SimSun"/>
          <w:spacing w:val="-1"/>
          <w:sz w:val="18"/>
          <w:szCs w:val="18"/>
        </w:rPr>
        <w:t>机关事业单位基本养老保险：机关和事业单位</w:t>
      </w:r>
    </w:p>
    <w:p>
      <w:pPr>
        <w:spacing w:before="109" w:line="221" w:lineRule="auto"/>
        <w:ind w:left="1569"/>
        <w:rPr>
          <w:rFonts w:ascii="SimSun" w:eastAsia="SimSun" w:hAnsi="SimSun" w:cs="SimSun"/>
          <w:sz w:val="18"/>
          <w:szCs w:val="18"/>
        </w:rPr>
      </w:pPr>
      <w:r>
        <w:rPr>
          <w:rFonts w:ascii="SimSun" w:eastAsia="SimSun" w:hAnsi="SimSun" w:cs="SimSun"/>
          <w:sz w:val="18"/>
          <w:szCs w:val="18"/>
        </w:rPr>
        <w:t>员工。</w:t>
      </w:r>
    </w:p>
    <w:p>
      <w:pPr>
        <w:spacing w:before="114" w:line="220" w:lineRule="auto"/>
        <w:ind w:left="1460"/>
        <w:rPr>
          <w:rFonts w:ascii="SimSun" w:eastAsia="SimSun" w:hAnsi="SimSun" w:cs="SimSun"/>
          <w:sz w:val="18"/>
          <w:szCs w:val="18"/>
        </w:rPr>
      </w:pPr>
      <w:r>
        <w:rPr>
          <w:rFonts w:ascii="SimSun" w:eastAsia="SimSun" w:hAnsi="SimSun" w:cs="SimSun"/>
          <w:spacing w:val="-3"/>
          <w:sz w:val="18"/>
          <w:szCs w:val="18"/>
        </w:rPr>
        <w:t>强制参保</w:t>
      </w:r>
    </w:p>
    <w:p>
      <w:pPr>
        <w:spacing w:before="254" w:line="271" w:lineRule="auto"/>
        <w:ind w:right="176" w:firstLine="110"/>
        <w:rPr>
          <w:rFonts w:ascii="SimSun" w:eastAsia="SimSun" w:hAnsi="SimSun" w:cs="SimSun"/>
          <w:sz w:val="18"/>
          <w:szCs w:val="18"/>
        </w:rPr>
      </w:pPr>
      <w:r>
        <w:rPr>
          <w:rFonts w:ascii="SimSun" w:eastAsia="SimSun" w:hAnsi="SimSun" w:cs="SimSun"/>
          <w:sz w:val="18"/>
          <w:szCs w:val="18"/>
        </w:rPr>
        <w:t>按月缴费，企业缴费不超过企业工资总额的</w:t>
      </w:r>
      <w:r>
        <w:rPr>
          <w:rFonts w:ascii="SimSun" w:eastAsia="SimSun" w:hAnsi="SimSun" w:cs="SimSun"/>
          <w:spacing w:val="12"/>
          <w:sz w:val="18"/>
          <w:szCs w:val="18"/>
        </w:rPr>
        <w:t xml:space="preserve"> </w:t>
      </w:r>
      <w:r>
        <w:rPr>
          <w:rFonts w:ascii="SimSun" w:eastAsia="SimSun" w:hAnsi="SimSun" w:cs="SimSun"/>
          <w:spacing w:val="-1"/>
          <w:sz w:val="18"/>
          <w:szCs w:val="18"/>
        </w:rPr>
        <w:t>20%,职工缴费8%,个体灵活就业人员缴费20%</w:t>
      </w:r>
    </w:p>
    <w:p>
      <w:pPr>
        <w:spacing w:line="14" w:lineRule="auto"/>
        <w:rPr>
          <w:rFonts w:ascii="Arial"/>
          <w:sz w:val="2"/>
        </w:rPr>
      </w:pPr>
      <w:r>
        <w:rPr>
          <w:rFonts w:ascii="Arial" w:eastAsia="Arial" w:hAnsi="Arial" w:cs="Arial"/>
          <w:sz w:val="2"/>
          <w:szCs w:val="2"/>
        </w:rPr>
        <w:br w:type="column"/>
      </w:r>
    </w:p>
    <w:p>
      <w:pPr>
        <w:spacing w:before="186" w:line="219" w:lineRule="auto"/>
        <w:rPr>
          <w:rFonts w:ascii="SimSun" w:eastAsia="SimSun" w:hAnsi="SimSun" w:cs="SimSun"/>
          <w:sz w:val="18"/>
          <w:szCs w:val="18"/>
        </w:rPr>
      </w:pPr>
      <w:r>
        <w:rPr>
          <w:rFonts w:ascii="SimSun" w:eastAsia="SimSun" w:hAnsi="SimSun" w:cs="SimSun"/>
          <w:spacing w:val="-1"/>
          <w:sz w:val="18"/>
          <w:szCs w:val="18"/>
        </w:rPr>
        <w:t>年满16周岁(不含在校学生)、未</w:t>
      </w:r>
    </w:p>
    <w:p>
      <w:pPr>
        <w:spacing w:before="95" w:line="269" w:lineRule="auto"/>
        <w:ind w:left="360" w:right="148" w:hanging="340"/>
        <w:rPr>
          <w:rFonts w:ascii="SimSun" w:eastAsia="SimSun" w:hAnsi="SimSun" w:cs="SimSun"/>
          <w:sz w:val="18"/>
          <w:szCs w:val="18"/>
        </w:rPr>
      </w:pPr>
      <w:r>
        <w:rPr>
          <w:rFonts w:ascii="SimSun" w:eastAsia="SimSun" w:hAnsi="SimSun" w:cs="SimSun"/>
          <w:spacing w:val="-1"/>
          <w:sz w:val="18"/>
          <w:szCs w:val="18"/>
        </w:rPr>
        <w:t>参加机关事业单位养老保险和企业</w:t>
      </w:r>
      <w:r>
        <w:rPr>
          <w:rFonts w:ascii="SimSun" w:eastAsia="SimSun" w:hAnsi="SimSun" w:cs="SimSun"/>
          <w:spacing w:val="5"/>
          <w:sz w:val="18"/>
          <w:szCs w:val="18"/>
        </w:rPr>
        <w:t xml:space="preserve"> </w:t>
      </w:r>
      <w:r>
        <w:rPr>
          <w:rFonts w:ascii="SimSun" w:eastAsia="SimSun" w:hAnsi="SimSun" w:cs="SimSun"/>
          <w:spacing w:val="-1"/>
          <w:sz w:val="18"/>
          <w:szCs w:val="18"/>
        </w:rPr>
        <w:t>职工养老保险的城乡居民</w:t>
      </w:r>
    </w:p>
    <w:p>
      <w:pPr>
        <w:spacing w:before="277" w:line="220" w:lineRule="auto"/>
        <w:ind w:left="1019"/>
        <w:rPr>
          <w:rFonts w:ascii="SimSun" w:eastAsia="SimSun" w:hAnsi="SimSun" w:cs="SimSun"/>
          <w:sz w:val="18"/>
          <w:szCs w:val="18"/>
        </w:rPr>
      </w:pPr>
      <w:r>
        <w:rPr>
          <w:rFonts w:ascii="SimSun" w:eastAsia="SimSun" w:hAnsi="SimSun" w:cs="SimSun"/>
          <w:spacing w:val="1"/>
          <w:sz w:val="18"/>
          <w:szCs w:val="18"/>
        </w:rPr>
        <w:t>自愿参保</w:t>
      </w:r>
    </w:p>
    <w:p>
      <w:pPr>
        <w:spacing w:before="94" w:line="219" w:lineRule="auto"/>
        <w:rPr>
          <w:rFonts w:ascii="SimSun" w:eastAsia="SimSun" w:hAnsi="SimSun" w:cs="SimSun"/>
          <w:sz w:val="18"/>
          <w:szCs w:val="18"/>
        </w:rPr>
      </w:pPr>
      <w:r>
        <w:rPr>
          <w:rFonts w:ascii="SimSun" w:eastAsia="SimSun" w:hAnsi="SimSun" w:cs="SimSun"/>
          <w:spacing w:val="-1"/>
          <w:sz w:val="18"/>
          <w:szCs w:val="18"/>
        </w:rPr>
        <w:t>按年缴费，政府根据缴费档次给予</w:t>
      </w:r>
    </w:p>
    <w:p>
      <w:pPr>
        <w:spacing w:before="98" w:line="219" w:lineRule="auto"/>
        <w:ind w:left="20"/>
        <w:rPr>
          <w:rFonts w:ascii="SimSun" w:eastAsia="SimSun" w:hAnsi="SimSun" w:cs="SimSun"/>
          <w:sz w:val="18"/>
          <w:szCs w:val="18"/>
        </w:rPr>
      </w:pPr>
      <w:r>
        <w:rPr>
          <w:rFonts w:ascii="SimSun" w:eastAsia="SimSun" w:hAnsi="SimSun" w:cs="SimSun"/>
          <w:spacing w:val="-1"/>
          <w:sz w:val="18"/>
          <w:szCs w:val="18"/>
        </w:rPr>
        <w:t>相应的补贴，和参保人缴的钱一起</w:t>
      </w:r>
    </w:p>
    <w:p>
      <w:pPr>
        <w:spacing w:before="96" w:line="184" w:lineRule="auto"/>
        <w:ind w:left="100"/>
        <w:rPr>
          <w:rFonts w:ascii="SimSun" w:eastAsia="SimSun" w:hAnsi="SimSun" w:cs="SimSun"/>
          <w:sz w:val="18"/>
          <w:szCs w:val="18"/>
        </w:rPr>
      </w:pPr>
      <w:r>
        <w:rPr>
          <w:rFonts w:ascii="SimSun" w:eastAsia="SimSun" w:hAnsi="SimSun" w:cs="SimSun"/>
          <w:spacing w:val="1"/>
          <w:sz w:val="18"/>
          <w:szCs w:val="18"/>
        </w:rPr>
        <w:t>存入城乡居民养老保险个人账户</w:t>
      </w:r>
    </w:p>
    <w:p>
      <w:pPr>
        <w:spacing w:line="184" w:lineRule="auto"/>
        <w:rPr>
          <w:rFonts w:ascii="SimSun" w:eastAsia="SimSun" w:hAnsi="SimSun" w:cs="SimSun"/>
          <w:sz w:val="18"/>
          <w:szCs w:val="18"/>
        </w:rPr>
        <w:sectPr>
          <w:footerReference w:type="default" r:id="rId28"/>
          <w:type w:val="continuous"/>
          <w:pgSz w:w="11910" w:h="16840"/>
          <w:pgMar w:top="156" w:right="650" w:bottom="1129" w:left="650" w:header="0" w:footer="858" w:gutter="0"/>
          <w:pgNumType w:start="13"/>
          <w:cols w:num="3" w:space="708" w:equalWidth="0">
            <w:col w:w="3860" w:space="100"/>
            <w:col w:w="3721" w:space="69"/>
            <w:col w:w="2860" w:space="0"/>
          </w:cols>
        </w:sectPr>
      </w:pPr>
    </w:p>
    <w:p>
      <w:pPr>
        <w:pStyle w:val="BodyText"/>
        <w:spacing w:before="148" w:line="224" w:lineRule="auto"/>
        <w:ind w:left="2879"/>
        <w:rPr>
          <w:sz w:val="20"/>
          <w:szCs w:val="20"/>
        </w:rPr>
      </w:pPr>
      <w:r>
        <w:rPr>
          <w:spacing w:val="-20"/>
          <w:sz w:val="20"/>
          <w:szCs w:val="20"/>
        </w:rPr>
        <w:t>资料来源：人社部、开源证券研究所</w:t>
      </w:r>
    </w:p>
    <w:p>
      <w:pPr>
        <w:spacing w:before="128"/>
      </w:pPr>
    </w:p>
    <w:p>
      <w:pPr>
        <w:sectPr>
          <w:footerReference w:type="default" r:id="rId29"/>
          <w:type w:val="continuous"/>
          <w:pgSz w:w="11910" w:h="16840"/>
          <w:pgMar w:top="156" w:right="650" w:bottom="1129" w:left="650" w:header="0" w:footer="858" w:gutter="0"/>
          <w:pgNumType w:start="14"/>
          <w:cols w:num="1" w:space="708" w:equalWidth="0">
            <w:col w:w="10610" w:space="0"/>
          </w:cols>
        </w:sectPr>
      </w:pPr>
    </w:p>
    <w:tbl>
      <w:tblPr>
        <w:tblStyle w:val="TableNormal0"/>
        <w:tblW w:w="5249" w:type="dxa"/>
        <w:tblInd w:w="0" w:type="dxa"/>
        <w:tblBorders>
          <w:top w:val="nil"/>
          <w:left w:val="nil"/>
          <w:bottom w:val="nil"/>
          <w:right w:val="nil"/>
          <w:insideH w:val="nil"/>
          <w:insideV w:val="nil"/>
        </w:tblBorders>
        <w:tblLayout w:type="fixed"/>
      </w:tblPr>
      <w:tblGrid>
        <w:gridCol w:w="5249"/>
      </w:tblGrid>
      <w:tr>
        <w:tblPrEx>
          <w:tblW w:w="5249" w:type="dxa"/>
          <w:tblInd w:w="0" w:type="dxa"/>
          <w:tblBorders>
            <w:top w:val="nil"/>
            <w:left w:val="nil"/>
            <w:bottom w:val="nil"/>
            <w:right w:val="nil"/>
            <w:insideH w:val="nil"/>
            <w:insideV w:val="nil"/>
          </w:tblBorders>
          <w:tblLayout w:type="fixed"/>
        </w:tblPrEx>
        <w:trPr>
          <w:trHeight w:val="3706"/>
        </w:trPr>
        <w:tc>
          <w:tcPr>
            <w:tcW w:w="5249" w:type="dxa"/>
            <w:tcBorders>
              <w:bottom w:val="single" w:sz="2" w:space="0" w:color="000000"/>
            </w:tcBorders>
            <w:vAlign w:val="top"/>
          </w:tcPr>
          <w:p>
            <w:pPr>
              <w:spacing w:line="196" w:lineRule="auto"/>
              <w:ind w:left="82"/>
              <w:rPr>
                <w:rFonts w:ascii="KaiTi" w:eastAsia="KaiTi" w:hAnsi="KaiTi" w:cs="KaiTi"/>
                <w:sz w:val="20"/>
                <w:szCs w:val="20"/>
              </w:rPr>
            </w:pPr>
            <w:r>
              <w:rPr>
                <w:rFonts w:ascii="KaiTi" w:eastAsia="KaiTi" w:hAnsi="KaiTi" w:cs="KaiTi"/>
                <w:b/>
                <w:bCs/>
                <w:color w:val="000080"/>
                <w:spacing w:val="19"/>
                <w:sz w:val="20"/>
                <w:szCs w:val="20"/>
              </w:rPr>
              <w:t>图3:2022年基本养老保险7万亿元，同比+10%</w:t>
            </w:r>
          </w:p>
          <w:p>
            <w:pPr>
              <w:spacing w:line="3469" w:lineRule="exact"/>
            </w:pPr>
            <w:r>
              <w:rPr>
                <w:position w:val="-69"/>
              </w:rPr>
              <w:drawing>
                <wp:inline distT="0" distB="0" distL="0" distR="0">
                  <wp:extent cx="3333115" cy="220337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30"/>
                          <a:stretch>
                            <a:fillRect/>
                          </a:stretch>
                        </pic:blipFill>
                        <pic:spPr>
                          <a:xfrm>
                            <a:off x="0" y="0"/>
                            <a:ext cx="3333115" cy="2203375"/>
                          </a:xfrm>
                          <a:prstGeom prst="rect">
                            <a:avLst/>
                          </a:prstGeom>
                        </pic:spPr>
                      </pic:pic>
                    </a:graphicData>
                  </a:graphic>
                </wp:inline>
              </w:drawing>
            </w:r>
          </w:p>
        </w:tc>
      </w:tr>
      <w:tr>
        <w:tblPrEx>
          <w:tblW w:w="5249" w:type="dxa"/>
          <w:tblInd w:w="0" w:type="dxa"/>
          <w:tblLayout w:type="fixed"/>
        </w:tblPrEx>
        <w:trPr>
          <w:trHeight w:val="233"/>
        </w:trPr>
        <w:tc>
          <w:tcPr>
            <w:tcW w:w="5249" w:type="dxa"/>
            <w:tcBorders>
              <w:top w:val="single" w:sz="2" w:space="0" w:color="000000"/>
            </w:tcBorders>
            <w:vAlign w:val="top"/>
          </w:tcPr>
          <w:p>
            <w:pPr>
              <w:pStyle w:val="TableText"/>
              <w:spacing w:before="26" w:line="181" w:lineRule="auto"/>
              <w:ind w:left="79"/>
              <w:rPr>
                <w:rFonts w:ascii="KaiTi" w:eastAsia="KaiTi" w:hAnsi="KaiTi" w:cs="KaiTi"/>
                <w:sz w:val="20"/>
                <w:szCs w:val="20"/>
              </w:rPr>
            </w:pPr>
            <w:r>
              <w:rPr>
                <w:rFonts w:ascii="KaiTi" w:eastAsia="KaiTi" w:hAnsi="KaiTi" w:cs="KaiTi"/>
                <w:spacing w:val="-19"/>
                <w:sz w:val="20"/>
                <w:szCs w:val="20"/>
              </w:rPr>
              <w:t>数据来源：人社部、</w:t>
            </w:r>
            <w:r>
              <w:rPr>
                <w:spacing w:val="-19"/>
                <w:sz w:val="20"/>
                <w:szCs w:val="20"/>
              </w:rPr>
              <w:t>Wind</w:t>
            </w:r>
            <w:r>
              <w:rPr>
                <w:rFonts w:ascii="SimSun" w:eastAsia="SimSun" w:hAnsi="SimSun" w:cs="SimSun"/>
                <w:spacing w:val="-19"/>
                <w:sz w:val="20"/>
                <w:szCs w:val="20"/>
              </w:rPr>
              <w:t>、</w:t>
            </w:r>
            <w:r>
              <w:rPr>
                <w:rFonts w:ascii="KaiTi" w:eastAsia="KaiTi" w:hAnsi="KaiTi" w:cs="KaiTi"/>
                <w:spacing w:val="-19"/>
                <w:sz w:val="20"/>
                <w:szCs w:val="20"/>
              </w:rPr>
              <w:t>开源证券研究所</w:t>
            </w:r>
          </w:p>
        </w:tc>
      </w:tr>
    </w:tbl>
    <w:p>
      <w:pPr>
        <w:spacing w:line="14" w:lineRule="auto"/>
        <w:rPr>
          <w:rFonts w:ascii="Arial"/>
          <w:sz w:val="2"/>
        </w:rPr>
      </w:pPr>
    </w:p>
    <w:p>
      <w:pPr>
        <w:spacing w:line="14" w:lineRule="auto"/>
        <w:rPr>
          <w:rFonts w:ascii="Arial"/>
          <w:sz w:val="2"/>
        </w:rPr>
        <w:sectPr>
          <w:footerReference w:type="default" r:id="rId31"/>
          <w:type w:val="continuous"/>
          <w:pgSz w:w="11910" w:h="16840"/>
          <w:pgMar w:top="156" w:right="650" w:bottom="1129" w:left="650" w:header="0" w:footer="858" w:gutter="0"/>
          <w:pgNumType w:start="15"/>
          <w:cols w:num="2" w:space="708" w:equalWidth="0">
            <w:col w:w="5300" w:space="100"/>
            <w:col w:w="5210" w:space="0"/>
          </w:cols>
        </w:sectPr>
      </w:pPr>
      <w:r>
        <w:rPr>
          <w:rFonts w:ascii="Arial" w:eastAsia="Arial" w:hAnsi="Arial" w:cs="Arial"/>
          <w:sz w:val="2"/>
          <w:szCs w:val="2"/>
        </w:rPr>
        <w:br w:type="column"/>
      </w:r>
    </w:p>
    <w:p>
      <w:pPr>
        <w:pStyle w:val="BodyText"/>
        <w:spacing w:before="1" w:line="182" w:lineRule="auto"/>
        <w:ind w:left="62"/>
        <w:rPr>
          <w:sz w:val="20"/>
          <w:szCs w:val="20"/>
        </w:rPr>
      </w:pPr>
      <w:r>
        <w:rPr>
          <w:b/>
          <w:bCs/>
          <w:color w:val="000080"/>
          <w:spacing w:val="13"/>
          <w:sz w:val="20"/>
          <w:szCs w:val="20"/>
        </w:rPr>
        <w:t>图4:2023年基本养老保险参保10.66亿人，覆盖率</w:t>
      </w:r>
      <w:r>
        <w:rPr>
          <w:b/>
          <w:bCs/>
          <w:color w:val="000080"/>
          <w:spacing w:val="12"/>
          <w:sz w:val="20"/>
          <w:szCs w:val="20"/>
        </w:rPr>
        <w:t>76%</w:t>
      </w:r>
    </w:p>
    <w:p>
      <w:pPr>
        <w:spacing w:line="3513" w:lineRule="exact"/>
      </w:pPr>
      <w:r>
        <w:rPr>
          <w:position w:val="-70"/>
        </w:rPr>
        <w:pict>
          <v:group id="_x0000_i1042" style="width:258.55pt;height:175.7pt;mso-position-horizontal-relative:char;mso-position-vertical-relative:line" coordorigin="0,0" coordsize="5170,3513" filled="f" stroked="f">
            <v:rect id="_x0000_s1043" style="width:5170;height:10;position:absolute;top:3503" filled="t" fillcolor="black" stroked="f"/>
            <v:rect id="_x0000_s1044" style="width:5083;height:10;left:30;position:absolute;top:-9" filled="t" fillcolor="navy" stroked="f"/>
            <w10:wrap type="none"/>
          </v:group>
        </w:pict>
      </w:r>
    </w:p>
    <w:p>
      <w:pPr>
        <w:pStyle w:val="BodyText"/>
        <w:spacing w:before="26" w:line="192" w:lineRule="auto"/>
        <w:ind w:left="40"/>
        <w:rPr>
          <w:sz w:val="20"/>
          <w:szCs w:val="20"/>
        </w:rPr>
      </w:pPr>
      <w:r>
        <w:rPr>
          <w:spacing w:val="-18"/>
          <w:sz w:val="20"/>
          <w:szCs w:val="20"/>
        </w:rPr>
        <w:t>数据来源：人社部、</w:t>
      </w:r>
      <w:r>
        <w:rPr>
          <w:rFonts w:ascii="Times New Roman" w:eastAsia="Times New Roman" w:hAnsi="Times New Roman" w:cs="Times New Roman"/>
          <w:spacing w:val="-18"/>
          <w:sz w:val="20"/>
          <w:szCs w:val="20"/>
        </w:rPr>
        <w:t>Wind</w:t>
      </w:r>
      <w:r>
        <w:rPr>
          <w:rFonts w:ascii="SimSun" w:eastAsia="SimSun" w:hAnsi="SimSun" w:cs="SimSun"/>
          <w:spacing w:val="-18"/>
          <w:sz w:val="20"/>
          <w:szCs w:val="20"/>
        </w:rPr>
        <w:t>、</w:t>
      </w:r>
      <w:r>
        <w:rPr>
          <w:spacing w:val="-18"/>
          <w:sz w:val="20"/>
          <w:szCs w:val="20"/>
        </w:rPr>
        <w:t>开源证券研究所</w:t>
      </w:r>
    </w:p>
    <w:p>
      <w:pPr>
        <w:spacing w:line="192" w:lineRule="auto"/>
        <w:rPr>
          <w:sz w:val="20"/>
          <w:szCs w:val="20"/>
        </w:rPr>
        <w:sectPr>
          <w:footerReference w:type="default" r:id="rId32"/>
          <w:type w:val="nextPage"/>
          <w:pgSz w:w="11910" w:h="16840"/>
          <w:pgMar w:top="156" w:right="650" w:bottom="1129" w:left="650" w:header="0" w:footer="858" w:gutter="0"/>
          <w:pgNumType w:start="16"/>
          <w:cols w:num="2" w:space="708" w:equalWidth="0">
            <w:col w:w="5300" w:space="100"/>
            <w:col w:w="5210" w:space="0"/>
          </w:cols>
          <w:titlePg w:val="0"/>
        </w:sectPr>
      </w:pPr>
    </w:p>
    <w:p>
      <w:pPr>
        <w:spacing w:before="151" w:line="226" w:lineRule="auto"/>
        <w:ind w:left="210"/>
        <w:rPr>
          <w:rFonts w:ascii="YouYuan" w:eastAsia="YouYuan" w:hAnsi="YouYuan" w:cs="YouYuan"/>
          <w:sz w:val="60"/>
          <w:szCs w:val="60"/>
        </w:rPr>
      </w:pPr>
      <w:r>
        <w:drawing>
          <wp:anchor distT="0" distB="0" distL="0" distR="0" simplePos="0" relativeHeight="251669504" behindDoc="0" locked="0" layoutInCell="0" allowOverlap="1">
            <wp:simplePos x="0" y="0"/>
            <wp:positionH relativeFrom="page">
              <wp:posOffset>444468</wp:posOffset>
            </wp:positionH>
            <wp:positionV relativeFrom="page">
              <wp:posOffset>3498859</wp:posOffset>
            </wp:positionV>
            <wp:extent cx="3276605" cy="635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3"/>
                    <a:stretch>
                      <a:fillRect/>
                    </a:stretch>
                  </pic:blipFill>
                  <pic:spPr>
                    <a:xfrm>
                      <a:off x="0" y="0"/>
                      <a:ext cx="3276605" cy="6350"/>
                    </a:xfrm>
                    <a:prstGeom prst="rect">
                      <a:avLst/>
                    </a:prstGeom>
                  </pic:spPr>
                </pic:pic>
              </a:graphicData>
            </a:graphic>
          </wp:anchor>
        </w:drawing>
      </w:r>
      <w:r>
        <w:drawing>
          <wp:anchor distT="0" distB="0" distL="0" distR="0" simplePos="0" relativeHeight="251670528" behindDoc="0" locked="0" layoutInCell="0" allowOverlap="1">
            <wp:simplePos x="0" y="0"/>
            <wp:positionH relativeFrom="page">
              <wp:posOffset>3848129</wp:posOffset>
            </wp:positionH>
            <wp:positionV relativeFrom="page">
              <wp:posOffset>3498859</wp:posOffset>
            </wp:positionV>
            <wp:extent cx="3276604" cy="635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33"/>
                    <a:stretch>
                      <a:fillRect/>
                    </a:stretch>
                  </pic:blipFill>
                  <pic:spPr>
                    <a:xfrm>
                      <a:off x="0" y="0"/>
                      <a:ext cx="3276604" cy="6350"/>
                    </a:xfrm>
                    <a:prstGeom prst="rect">
                      <a:avLst/>
                    </a:prstGeom>
                  </pic:spPr>
                </pic:pic>
              </a:graphicData>
            </a:graphic>
          </wp:anchor>
        </w:drawing>
      </w:r>
      <w:r>
        <w:drawing>
          <wp:anchor distT="0" distB="0" distL="0" distR="0" simplePos="0" relativeHeight="251668480" behindDoc="0" locked="0" layoutInCell="0" allowOverlap="1">
            <wp:simplePos x="0" y="0"/>
            <wp:positionH relativeFrom="page">
              <wp:posOffset>438115</wp:posOffset>
            </wp:positionH>
            <wp:positionV relativeFrom="page">
              <wp:posOffset>7283469</wp:posOffset>
            </wp:positionV>
            <wp:extent cx="3282957" cy="63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34"/>
                    <a:stretch>
                      <a:fillRect/>
                    </a:stretch>
                  </pic:blipFill>
                  <pic:spPr>
                    <a:xfrm>
                      <a:off x="0" y="0"/>
                      <a:ext cx="3282957" cy="6350"/>
                    </a:xfrm>
                    <a:prstGeom prst="rect">
                      <a:avLst/>
                    </a:prstGeom>
                  </pic:spPr>
                </pic:pic>
              </a:graphicData>
            </a:graphic>
          </wp:anchor>
        </w:drawing>
      </w:r>
      <w:r>
        <w:drawing>
          <wp:anchor distT="0" distB="0" distL="0" distR="0" simplePos="0" relativeHeight="251671552" behindDoc="0" locked="0" layoutInCell="0" allowOverlap="1">
            <wp:simplePos x="0" y="0"/>
            <wp:positionH relativeFrom="page">
              <wp:posOffset>3848129</wp:posOffset>
            </wp:positionH>
            <wp:positionV relativeFrom="page">
              <wp:posOffset>7283469</wp:posOffset>
            </wp:positionV>
            <wp:extent cx="3276604" cy="63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33"/>
                    <a:stretch>
                      <a:fillRect/>
                    </a:stretch>
                  </pic:blipFill>
                  <pic:spPr>
                    <a:xfrm>
                      <a:off x="0" y="0"/>
                      <a:ext cx="3276604" cy="6350"/>
                    </a:xfrm>
                    <a:prstGeom prst="rect">
                      <a:avLst/>
                    </a:prstGeom>
                  </pic:spPr>
                </pic:pic>
              </a:graphicData>
            </a:graphic>
          </wp:anchor>
        </w:drawing>
      </w:r>
      <w:bookmarkStart w:id="8" w:name="bookmark21"/>
      <w:bookmarkEnd w:id="8"/>
      <w:bookmarkStart w:id="9" w:name="bookmark22"/>
      <w:bookmarkEnd w:id="9"/>
      <w:bookmarkStart w:id="10" w:name="bookmark23"/>
      <w:bookmarkEnd w:id="10"/>
      <w:bookmarkStart w:id="11" w:name="bookmark24"/>
      <w:bookmarkEnd w:id="11"/>
      <w:r>
        <w:rPr>
          <w:rFonts w:ascii="YouYuan" w:eastAsia="YouYuan" w:hAnsi="YouYuan" w:cs="YouYuan"/>
          <w:position w:val="-20"/>
          <w:sz w:val="60"/>
          <w:szCs w:val="60"/>
        </w:rPr>
        <w:drawing>
          <wp:inline distT="0" distB="0" distL="0" distR="0">
            <wp:extent cx="571449" cy="482593"/>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15"/>
                    <a:stretch>
                      <a:fillRect/>
                    </a:stretch>
                  </pic:blipFill>
                  <pic:spPr>
                    <a:xfrm>
                      <a:off x="0" y="0"/>
                      <a:ext cx="571449" cy="482593"/>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47" w:line="229" w:lineRule="auto"/>
        <w:ind w:left="8479"/>
        <w:rPr>
          <w:sz w:val="22"/>
          <w:szCs w:val="22"/>
        </w:rPr>
      </w:pPr>
      <w:r>
        <w:pict>
          <v:rect id="_x0000_s1045" style="width:516.8pt;height:0.55pt;margin-top:12.79pt;margin-left:2pt;position:absolute;z-index:251672576" filled="t" fillcolor="black" stroked="f"/>
        </w:pict>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spacing w:line="92" w:lineRule="exact"/>
      </w:pPr>
    </w:p>
    <w:p>
      <w:pPr>
        <w:spacing w:line="92" w:lineRule="exact"/>
        <w:sectPr>
          <w:footerReference w:type="default" r:id="rId35"/>
          <w:pgSz w:w="11910" w:h="16840"/>
          <w:pgMar w:top="158" w:right="660" w:bottom="1129" w:left="689" w:header="0" w:footer="860" w:gutter="0"/>
          <w:pgNumType w:start="17"/>
          <w:cols w:num="1" w:space="708" w:equalWidth="0">
            <w:col w:w="10561" w:space="0"/>
          </w:cols>
        </w:sectPr>
      </w:pPr>
    </w:p>
    <w:p>
      <w:pPr>
        <w:pStyle w:val="BodyText"/>
        <w:spacing w:before="39" w:line="224" w:lineRule="auto"/>
        <w:ind w:left="42"/>
        <w:rPr>
          <w:sz w:val="19"/>
          <w:szCs w:val="19"/>
        </w:rPr>
      </w:pPr>
      <w:r>
        <w:rPr>
          <w:b/>
          <w:bCs/>
          <w:color w:val="000080"/>
          <w:spacing w:val="16"/>
          <w:sz w:val="19"/>
          <w:szCs w:val="19"/>
        </w:rPr>
        <w:t>图5:2022年城镇职工/城乡居民基本养老保险支出/收入</w:t>
      </w:r>
    </w:p>
    <w:p>
      <w:pPr>
        <w:pStyle w:val="BodyText"/>
        <w:spacing w:before="74" w:line="192" w:lineRule="auto"/>
        <w:ind w:left="42"/>
        <w:rPr>
          <w:sz w:val="19"/>
          <w:szCs w:val="19"/>
        </w:rPr>
      </w:pPr>
      <w:r>
        <w:drawing>
          <wp:anchor distT="0" distB="0" distL="0" distR="0" simplePos="0" relativeHeight="251673600" behindDoc="0" locked="0" layoutInCell="1" allowOverlap="1">
            <wp:simplePos x="0" y="0"/>
            <wp:positionH relativeFrom="column">
              <wp:posOffset>5419</wp:posOffset>
            </wp:positionH>
            <wp:positionV relativeFrom="paragraph">
              <wp:posOffset>161751</wp:posOffset>
            </wp:positionV>
            <wp:extent cx="6649435" cy="635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36"/>
                    <a:stretch>
                      <a:fillRect/>
                    </a:stretch>
                  </pic:blipFill>
                  <pic:spPr>
                    <a:xfrm>
                      <a:off x="0" y="0"/>
                      <a:ext cx="6649435" cy="6350"/>
                    </a:xfrm>
                    <a:prstGeom prst="rect">
                      <a:avLst/>
                    </a:prstGeom>
                  </pic:spPr>
                </pic:pic>
              </a:graphicData>
            </a:graphic>
          </wp:anchor>
        </w:drawing>
      </w:r>
      <w:r>
        <w:rPr>
          <w:b/>
          <w:bCs/>
          <w:spacing w:val="-12"/>
          <w:sz w:val="19"/>
          <w:szCs w:val="19"/>
        </w:rPr>
        <w:t>占</w:t>
      </w:r>
      <w:r>
        <w:rPr>
          <w:spacing w:val="40"/>
          <w:sz w:val="19"/>
          <w:szCs w:val="19"/>
        </w:rPr>
        <w:t xml:space="preserve"> </w:t>
      </w:r>
      <w:r>
        <w:rPr>
          <w:b/>
          <w:bCs/>
          <w:spacing w:val="-12"/>
          <w:sz w:val="19"/>
          <w:szCs w:val="19"/>
        </w:rPr>
        <w:t>比</w:t>
      </w:r>
      <w:r>
        <w:rPr>
          <w:spacing w:val="18"/>
          <w:sz w:val="19"/>
          <w:szCs w:val="19"/>
        </w:rPr>
        <w:t xml:space="preserve"> </w:t>
      </w:r>
      <w:r>
        <w:rPr>
          <w:b/>
          <w:bCs/>
          <w:spacing w:val="-12"/>
          <w:sz w:val="19"/>
          <w:szCs w:val="19"/>
        </w:rPr>
        <w:t>9</w:t>
      </w:r>
      <w:r>
        <w:rPr>
          <w:spacing w:val="23"/>
          <w:sz w:val="19"/>
          <w:szCs w:val="19"/>
        </w:rPr>
        <w:t xml:space="preserve"> </w:t>
      </w:r>
      <w:r>
        <w:rPr>
          <w:b/>
          <w:bCs/>
          <w:spacing w:val="-12"/>
          <w:sz w:val="19"/>
          <w:szCs w:val="19"/>
        </w:rPr>
        <w:t>3</w:t>
      </w:r>
      <w:r>
        <w:rPr>
          <w:spacing w:val="20"/>
          <w:sz w:val="19"/>
          <w:szCs w:val="19"/>
        </w:rPr>
        <w:t xml:space="preserve"> </w:t>
      </w:r>
      <w:r>
        <w:rPr>
          <w:b/>
          <w:bCs/>
          <w:spacing w:val="-12"/>
          <w:sz w:val="19"/>
          <w:szCs w:val="19"/>
        </w:rPr>
        <w:t>%</w:t>
      </w:r>
      <w:r>
        <w:rPr>
          <w:spacing w:val="19"/>
          <w:sz w:val="19"/>
          <w:szCs w:val="19"/>
        </w:rPr>
        <w:t xml:space="preserve"> </w:t>
      </w:r>
      <w:r>
        <w:rPr>
          <w:b/>
          <w:bCs/>
          <w:spacing w:val="-12"/>
          <w:sz w:val="19"/>
          <w:szCs w:val="19"/>
        </w:rPr>
        <w:t>/</w:t>
      </w:r>
      <w:r>
        <w:rPr>
          <w:spacing w:val="24"/>
          <w:sz w:val="19"/>
          <w:szCs w:val="19"/>
        </w:rPr>
        <w:t xml:space="preserve"> </w:t>
      </w:r>
      <w:r>
        <w:rPr>
          <w:b/>
          <w:bCs/>
          <w:spacing w:val="-12"/>
          <w:sz w:val="19"/>
          <w:szCs w:val="19"/>
        </w:rPr>
        <w:t>7</w:t>
      </w:r>
      <w:r>
        <w:rPr>
          <w:spacing w:val="22"/>
          <w:sz w:val="19"/>
          <w:szCs w:val="19"/>
        </w:rPr>
        <w:t xml:space="preserve"> </w:t>
      </w:r>
      <w:r>
        <w:rPr>
          <w:b/>
          <w:bCs/>
          <w:spacing w:val="-12"/>
          <w:sz w:val="19"/>
          <w:szCs w:val="19"/>
        </w:rPr>
        <w:t>2</w:t>
      </w:r>
      <w:r>
        <w:rPr>
          <w:spacing w:val="20"/>
          <w:sz w:val="19"/>
          <w:szCs w:val="19"/>
        </w:rPr>
        <w:t xml:space="preserve"> </w:t>
      </w:r>
      <w:r>
        <w:rPr>
          <w:b/>
          <w:bCs/>
          <w:spacing w:val="-12"/>
          <w:sz w:val="19"/>
          <w:szCs w:val="19"/>
        </w:rPr>
        <w:t>%</w:t>
      </w:r>
    </w:p>
    <w:p>
      <w:pPr>
        <w:spacing w:line="14" w:lineRule="auto"/>
        <w:rPr>
          <w:rFonts w:ascii="Arial"/>
          <w:sz w:val="2"/>
        </w:rPr>
      </w:pPr>
      <w:r>
        <w:rPr>
          <w:rFonts w:ascii="Arial" w:eastAsia="Arial" w:hAnsi="Arial" w:cs="Arial"/>
          <w:sz w:val="2"/>
          <w:szCs w:val="2"/>
        </w:rPr>
        <w:br w:type="column"/>
      </w:r>
    </w:p>
    <w:p>
      <w:pPr>
        <w:pStyle w:val="BodyText"/>
        <w:spacing w:before="38" w:line="224" w:lineRule="auto"/>
        <w:rPr>
          <w:sz w:val="19"/>
          <w:szCs w:val="19"/>
        </w:rPr>
      </w:pPr>
      <w:r>
        <w:rPr>
          <w:b/>
          <w:bCs/>
          <w:color w:val="000080"/>
          <w:spacing w:val="27"/>
          <w:sz w:val="19"/>
          <w:szCs w:val="19"/>
        </w:rPr>
        <w:t>图6:征缴保费和财政补贴是基本养老保险收入主要来</w:t>
      </w:r>
    </w:p>
    <w:p>
      <w:pPr>
        <w:pStyle w:val="BodyText"/>
        <w:spacing w:before="74" w:line="192" w:lineRule="auto"/>
        <w:ind w:left="169"/>
        <w:rPr>
          <w:sz w:val="19"/>
          <w:szCs w:val="19"/>
        </w:rPr>
      </w:pPr>
      <w:r>
        <w:rPr>
          <w:b/>
          <w:bCs/>
          <w:spacing w:val="-2"/>
          <w:sz w:val="19"/>
          <w:szCs w:val="19"/>
        </w:rPr>
        <w:t>源</w:t>
      </w:r>
    </w:p>
    <w:p>
      <w:pPr>
        <w:spacing w:line="192" w:lineRule="auto"/>
        <w:rPr>
          <w:sz w:val="19"/>
          <w:szCs w:val="19"/>
        </w:rPr>
        <w:sectPr>
          <w:footerReference w:type="default" r:id="rId37"/>
          <w:type w:val="continuous"/>
          <w:pgSz w:w="11910" w:h="16840"/>
          <w:pgMar w:top="158" w:right="660" w:bottom="1129" w:left="689" w:header="0" w:footer="860" w:gutter="0"/>
          <w:pgNumType w:start="18"/>
          <w:cols w:num="2" w:space="708" w:equalWidth="0">
            <w:col w:w="5303" w:space="100"/>
            <w:col w:w="5158" w:space="0"/>
          </w:cols>
        </w:sectPr>
      </w:pPr>
    </w:p>
    <w:p>
      <w:pPr>
        <w:spacing w:line="155" w:lineRule="exact"/>
      </w:pPr>
    </w:p>
    <w:p>
      <w:pPr>
        <w:spacing w:line="155" w:lineRule="exact"/>
        <w:sectPr>
          <w:footerReference w:type="default" r:id="rId38"/>
          <w:type w:val="continuous"/>
          <w:pgSz w:w="11910" w:h="16840"/>
          <w:pgMar w:top="158" w:right="660" w:bottom="1129" w:left="689" w:header="0" w:footer="860" w:gutter="0"/>
          <w:pgNumType w:start="19"/>
          <w:cols w:num="1" w:space="708" w:equalWidth="0">
            <w:col w:w="10561" w:space="0"/>
          </w:cols>
        </w:sectPr>
      </w:pPr>
    </w:p>
    <w:p>
      <w:pPr>
        <w:spacing w:line="2510" w:lineRule="exact"/>
        <w:ind w:firstLine="170"/>
      </w:pPr>
      <w:r>
        <w:rPr>
          <w:position w:val="-50"/>
        </w:rPr>
        <w:drawing>
          <wp:inline distT="0" distB="0" distL="0" distR="0">
            <wp:extent cx="3022568" cy="1593851"/>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39"/>
                    <a:stretch>
                      <a:fillRect/>
                    </a:stretch>
                  </pic:blipFill>
                  <pic:spPr>
                    <a:xfrm>
                      <a:off x="0" y="0"/>
                      <a:ext cx="3022568" cy="1593851"/>
                    </a:xfrm>
                    <a:prstGeom prst="rect">
                      <a:avLst/>
                    </a:prstGeom>
                  </pic:spPr>
                </pic:pic>
              </a:graphicData>
            </a:graphic>
          </wp:inline>
        </w:drawing>
      </w:r>
    </w:p>
    <w:p>
      <w:pPr>
        <w:pStyle w:val="BodyText"/>
        <w:spacing w:before="135" w:line="300" w:lineRule="exact"/>
        <w:ind w:left="1420"/>
        <w:rPr>
          <w:sz w:val="19"/>
          <w:szCs w:val="19"/>
        </w:rPr>
      </w:pPr>
      <w:r>
        <w:rPr>
          <w:spacing w:val="-14"/>
          <w:position w:val="7"/>
          <w:sz w:val="19"/>
          <w:szCs w:val="19"/>
        </w:rPr>
        <w:t>一城乡居民基本养老保险支出/收入</w:t>
      </w:r>
    </w:p>
    <w:p>
      <w:pPr>
        <w:pStyle w:val="BodyText"/>
        <w:spacing w:line="224" w:lineRule="auto"/>
        <w:ind w:left="1440"/>
        <w:rPr>
          <w:sz w:val="19"/>
          <w:szCs w:val="19"/>
        </w:rPr>
      </w:pPr>
      <w:r>
        <w:rPr>
          <w:color w:val="E17000"/>
          <w:spacing w:val="-10"/>
          <w:w w:val="97"/>
          <w:sz w:val="19"/>
          <w:szCs w:val="19"/>
        </w:rPr>
        <w:t>一</w:t>
      </w:r>
      <w:r>
        <w:rPr>
          <w:spacing w:val="-10"/>
          <w:w w:val="97"/>
          <w:sz w:val="19"/>
          <w:szCs w:val="19"/>
        </w:rPr>
        <w:t>城镇职工基本养老保险支出/收入</w:t>
      </w:r>
    </w:p>
    <w:p>
      <w:pPr>
        <w:pStyle w:val="BodyText"/>
        <w:spacing w:before="219" w:line="192" w:lineRule="auto"/>
        <w:ind w:left="40"/>
        <w:rPr>
          <w:sz w:val="19"/>
          <w:szCs w:val="19"/>
        </w:rPr>
      </w:pPr>
      <w:r>
        <w:rPr>
          <w:spacing w:val="-10"/>
          <w:sz w:val="19"/>
          <w:szCs w:val="19"/>
        </w:rPr>
        <w:t>数据来源：人社部、</w:t>
      </w:r>
      <w:r>
        <w:rPr>
          <w:rFonts w:ascii="Times New Roman" w:eastAsia="Times New Roman" w:hAnsi="Times New Roman" w:cs="Times New Roman"/>
          <w:spacing w:val="-10"/>
          <w:sz w:val="19"/>
          <w:szCs w:val="19"/>
        </w:rPr>
        <w:t>Wind</w:t>
      </w:r>
      <w:r>
        <w:rPr>
          <w:rFonts w:ascii="SimSun" w:eastAsia="SimSun" w:hAnsi="SimSun" w:cs="SimSun"/>
          <w:spacing w:val="-10"/>
          <w:sz w:val="19"/>
          <w:szCs w:val="19"/>
        </w:rPr>
        <w:t>、</w:t>
      </w:r>
      <w:r>
        <w:rPr>
          <w:spacing w:val="-10"/>
          <w:sz w:val="19"/>
          <w:szCs w:val="19"/>
        </w:rPr>
        <w:t>开源证券研究所</w:t>
      </w:r>
    </w:p>
    <w:p>
      <w:pPr>
        <w:spacing w:line="14" w:lineRule="auto"/>
        <w:rPr>
          <w:rFonts w:ascii="Arial"/>
          <w:sz w:val="2"/>
        </w:rPr>
      </w:pPr>
      <w:r>
        <w:rPr>
          <w:rFonts w:ascii="Arial" w:eastAsia="Arial" w:hAnsi="Arial" w:cs="Arial"/>
          <w:sz w:val="2"/>
          <w:szCs w:val="2"/>
        </w:rPr>
        <w:br w:type="column"/>
      </w:r>
    </w:p>
    <w:p>
      <w:pPr>
        <w:spacing w:before="19" w:line="2750" w:lineRule="exact"/>
        <w:ind w:firstLine="179"/>
      </w:pPr>
      <w:r>
        <w:rPr>
          <w:position w:val="-54"/>
        </w:rPr>
        <w:drawing>
          <wp:inline distT="0" distB="0" distL="0" distR="0">
            <wp:extent cx="2959116" cy="1746232"/>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40"/>
                    <a:stretch>
                      <a:fillRect/>
                    </a:stretch>
                  </pic:blipFill>
                  <pic:spPr>
                    <a:xfrm>
                      <a:off x="0" y="0"/>
                      <a:ext cx="2959116" cy="1746232"/>
                    </a:xfrm>
                    <a:prstGeom prst="rect">
                      <a:avLst/>
                    </a:prstGeom>
                  </pic:spPr>
                </pic:pic>
              </a:graphicData>
            </a:graphic>
          </wp:inline>
        </w:drawing>
      </w:r>
    </w:p>
    <w:p>
      <w:pPr>
        <w:pStyle w:val="BodyText"/>
        <w:spacing w:before="105" w:line="224" w:lineRule="auto"/>
        <w:ind w:left="539"/>
        <w:rPr>
          <w:sz w:val="19"/>
          <w:szCs w:val="19"/>
        </w:rPr>
      </w:pPr>
      <w:r>
        <w:rPr>
          <w:spacing w:val="-17"/>
          <w:sz w:val="19"/>
          <w:szCs w:val="19"/>
        </w:rPr>
        <w:t>■基本养老保险费</w:t>
      </w:r>
      <w:r>
        <w:rPr>
          <w:spacing w:val="73"/>
          <w:sz w:val="19"/>
          <w:szCs w:val="19"/>
        </w:rPr>
        <w:t xml:space="preserve"> </w:t>
      </w:r>
      <w:r>
        <w:rPr>
          <w:spacing w:val="-17"/>
          <w:sz w:val="19"/>
          <w:szCs w:val="19"/>
        </w:rPr>
        <w:t>■财政补贴</w:t>
      </w:r>
      <w:r>
        <w:rPr>
          <w:spacing w:val="50"/>
          <w:sz w:val="19"/>
          <w:szCs w:val="19"/>
        </w:rPr>
        <w:t xml:space="preserve"> </w:t>
      </w:r>
      <w:r>
        <w:rPr>
          <w:spacing w:val="-17"/>
          <w:sz w:val="19"/>
          <w:szCs w:val="19"/>
        </w:rPr>
        <w:t>■利息收入</w:t>
      </w:r>
      <w:r>
        <w:rPr>
          <w:spacing w:val="54"/>
          <w:w w:val="101"/>
          <w:sz w:val="19"/>
          <w:szCs w:val="19"/>
        </w:rPr>
        <w:t xml:space="preserve"> </w:t>
      </w:r>
      <w:r>
        <w:rPr>
          <w:spacing w:val="-17"/>
          <w:sz w:val="19"/>
          <w:szCs w:val="19"/>
        </w:rPr>
        <w:t>■其他</w:t>
      </w:r>
    </w:p>
    <w:p>
      <w:pPr>
        <w:pStyle w:val="BodyText"/>
        <w:spacing w:before="289" w:line="192" w:lineRule="auto"/>
        <w:ind w:left="30"/>
        <w:rPr>
          <w:sz w:val="19"/>
          <w:szCs w:val="19"/>
        </w:rPr>
      </w:pPr>
      <w:r>
        <w:rPr>
          <w:spacing w:val="-10"/>
          <w:sz w:val="19"/>
          <w:szCs w:val="19"/>
        </w:rPr>
        <w:t>数据来源：人社部、</w:t>
      </w:r>
      <w:r>
        <w:rPr>
          <w:rFonts w:ascii="Times New Roman" w:eastAsia="Times New Roman" w:hAnsi="Times New Roman" w:cs="Times New Roman"/>
          <w:spacing w:val="-10"/>
          <w:sz w:val="19"/>
          <w:szCs w:val="19"/>
        </w:rPr>
        <w:t>Wind</w:t>
      </w:r>
      <w:r>
        <w:rPr>
          <w:rFonts w:ascii="SimSun" w:eastAsia="SimSun" w:hAnsi="SimSun" w:cs="SimSun"/>
          <w:spacing w:val="-10"/>
          <w:sz w:val="19"/>
          <w:szCs w:val="19"/>
        </w:rPr>
        <w:t>、</w:t>
      </w:r>
      <w:r>
        <w:rPr>
          <w:spacing w:val="-10"/>
          <w:sz w:val="19"/>
          <w:szCs w:val="19"/>
        </w:rPr>
        <w:t>开源证券研究所</w:t>
      </w:r>
    </w:p>
    <w:p>
      <w:pPr>
        <w:spacing w:line="192" w:lineRule="auto"/>
        <w:rPr>
          <w:sz w:val="19"/>
          <w:szCs w:val="19"/>
        </w:rPr>
        <w:sectPr>
          <w:footerReference w:type="default" r:id="rId41"/>
          <w:type w:val="continuous"/>
          <w:pgSz w:w="11910" w:h="16840"/>
          <w:pgMar w:top="158" w:right="660" w:bottom="1129" w:left="689" w:header="0" w:footer="860" w:gutter="0"/>
          <w:pgNumType w:start="20"/>
          <w:cols w:num="2" w:space="708" w:equalWidth="0">
            <w:col w:w="5271" w:space="100"/>
            <w:col w:w="5190" w:space="0"/>
          </w:cols>
        </w:sectPr>
      </w:pPr>
    </w:p>
    <w:p>
      <w:pPr>
        <w:spacing w:line="344" w:lineRule="auto"/>
        <w:rPr>
          <w:rFonts w:ascii="Arial"/>
          <w:sz w:val="21"/>
        </w:rPr>
      </w:pPr>
    </w:p>
    <w:p>
      <w:pPr>
        <w:pStyle w:val="BodyText"/>
        <w:spacing w:before="72" w:line="279" w:lineRule="auto"/>
        <w:ind w:left="2840" w:right="119" w:firstLine="3"/>
        <w:jc w:val="both"/>
        <w:rPr>
          <w:sz w:val="19"/>
          <w:szCs w:val="19"/>
        </w:rPr>
      </w:pPr>
      <w:r>
        <w:rPr>
          <w:b/>
          <w:bCs/>
          <w:spacing w:val="-7"/>
          <w:sz w:val="22"/>
          <w:szCs w:val="22"/>
        </w:rPr>
        <w:t>2022年基本养老保险实际委托投资规模占比仅14%</w:t>
      </w:r>
      <w:r>
        <w:rPr>
          <w:spacing w:val="-7"/>
          <w:sz w:val="22"/>
          <w:szCs w:val="22"/>
        </w:rPr>
        <w:t>。2022年人社部披露基本养老保</w:t>
      </w:r>
      <w:r>
        <w:rPr>
          <w:spacing w:val="15"/>
          <w:sz w:val="22"/>
          <w:szCs w:val="22"/>
        </w:rPr>
        <w:t xml:space="preserve"> </w:t>
      </w:r>
      <w:r>
        <w:rPr>
          <w:spacing w:val="19"/>
          <w:sz w:val="19"/>
          <w:szCs w:val="19"/>
        </w:rPr>
        <w:t>险累计结余6.98万亿元，其中委托社保基金投资的基本养老保</w:t>
      </w:r>
      <w:r>
        <w:rPr>
          <w:spacing w:val="18"/>
          <w:sz w:val="19"/>
          <w:szCs w:val="19"/>
        </w:rPr>
        <w:t>险基金余额1.62万亿</w:t>
      </w:r>
      <w:r>
        <w:rPr>
          <w:sz w:val="19"/>
          <w:szCs w:val="19"/>
        </w:rPr>
        <w:t xml:space="preserve"> </w:t>
      </w:r>
      <w:r>
        <w:rPr>
          <w:spacing w:val="22"/>
          <w:sz w:val="19"/>
          <w:szCs w:val="19"/>
        </w:rPr>
        <w:t>元，直接投资和委托投资分别0.63万亿元和0.99万亿元，占比3</w:t>
      </w:r>
      <w:r>
        <w:rPr>
          <w:spacing w:val="21"/>
          <w:sz w:val="19"/>
          <w:szCs w:val="19"/>
        </w:rPr>
        <w:t>9%/61%,委托管理</w:t>
      </w:r>
      <w:r>
        <w:rPr>
          <w:sz w:val="19"/>
          <w:szCs w:val="19"/>
        </w:rPr>
        <w:t xml:space="preserve"> </w:t>
      </w:r>
      <w:r>
        <w:rPr>
          <w:spacing w:val="23"/>
          <w:sz w:val="19"/>
          <w:szCs w:val="19"/>
        </w:rPr>
        <w:t>规模占基本养老保险结存余额比重14%。</w:t>
      </w:r>
    </w:p>
    <w:p>
      <w:pPr>
        <w:spacing w:before="90"/>
      </w:pPr>
    </w:p>
    <w:p>
      <w:pPr>
        <w:sectPr>
          <w:footerReference w:type="default" r:id="rId42"/>
          <w:type w:val="continuous"/>
          <w:pgSz w:w="11910" w:h="16840"/>
          <w:pgMar w:top="158" w:right="660" w:bottom="1129" w:left="689" w:header="0" w:footer="860" w:gutter="0"/>
          <w:pgNumType w:start="21"/>
          <w:cols w:num="1" w:space="708" w:equalWidth="0">
            <w:col w:w="10561" w:space="0"/>
          </w:cols>
        </w:sectPr>
      </w:pPr>
    </w:p>
    <w:p>
      <w:pPr>
        <w:pStyle w:val="BodyText"/>
        <w:spacing w:before="47" w:line="224" w:lineRule="auto"/>
        <w:ind w:left="43"/>
        <w:rPr>
          <w:sz w:val="22"/>
          <w:szCs w:val="22"/>
        </w:rPr>
      </w:pPr>
      <w:r>
        <w:drawing>
          <wp:anchor distT="0" distB="0" distL="0" distR="0" simplePos="0" relativeHeight="251675648" behindDoc="0" locked="0" layoutInCell="1" allowOverlap="1">
            <wp:simplePos x="0" y="0"/>
            <wp:positionH relativeFrom="column">
              <wp:posOffset>5057</wp:posOffset>
            </wp:positionH>
            <wp:positionV relativeFrom="paragraph">
              <wp:posOffset>161983</wp:posOffset>
            </wp:positionV>
            <wp:extent cx="3246212" cy="6984"/>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43"/>
                    <a:stretch>
                      <a:fillRect/>
                    </a:stretch>
                  </pic:blipFill>
                  <pic:spPr>
                    <a:xfrm>
                      <a:off x="0" y="0"/>
                      <a:ext cx="3246212" cy="6984"/>
                    </a:xfrm>
                    <a:prstGeom prst="rect">
                      <a:avLst/>
                    </a:prstGeom>
                  </pic:spPr>
                </pic:pic>
              </a:graphicData>
            </a:graphic>
          </wp:anchor>
        </w:drawing>
      </w:r>
      <w:r>
        <w:rPr>
          <w:b/>
          <w:bCs/>
          <w:color w:val="000080"/>
          <w:spacing w:val="6"/>
          <w:sz w:val="22"/>
          <w:szCs w:val="22"/>
        </w:rPr>
        <w:t>图7:2022年基本养老保险基金中委托投资占比61%</w:t>
      </w:r>
    </w:p>
    <w:p>
      <w:pPr>
        <w:spacing w:before="150" w:line="2660" w:lineRule="exact"/>
        <w:ind w:firstLine="220"/>
      </w:pPr>
      <w:r>
        <w:rPr>
          <w:position w:val="-53"/>
        </w:rPr>
        <w:drawing>
          <wp:inline distT="0" distB="0" distL="0" distR="0">
            <wp:extent cx="2965393" cy="1689129"/>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44"/>
                    <a:stretch>
                      <a:fillRect/>
                    </a:stretch>
                  </pic:blipFill>
                  <pic:spPr>
                    <a:xfrm>
                      <a:off x="0" y="0"/>
                      <a:ext cx="2965393" cy="1689129"/>
                    </a:xfrm>
                    <a:prstGeom prst="rect">
                      <a:avLst/>
                    </a:prstGeom>
                  </pic:spPr>
                </pic:pic>
              </a:graphicData>
            </a:graphic>
          </wp:inline>
        </w:drawing>
      </w:r>
    </w:p>
    <w:p>
      <w:pPr>
        <w:pStyle w:val="BodyText"/>
        <w:spacing w:before="156" w:line="226" w:lineRule="auto"/>
        <w:ind w:left="1580"/>
        <w:rPr>
          <w:sz w:val="19"/>
          <w:szCs w:val="19"/>
        </w:rPr>
      </w:pPr>
      <w:r>
        <w:rPr>
          <w:spacing w:val="-1"/>
          <w:sz w:val="19"/>
          <w:szCs w:val="19"/>
        </w:rPr>
        <w:t>■直接投资</w:t>
      </w:r>
      <w:r>
        <w:rPr>
          <w:spacing w:val="82"/>
          <w:sz w:val="19"/>
          <w:szCs w:val="19"/>
        </w:rPr>
        <w:t xml:space="preserve"> </w:t>
      </w:r>
      <w:r>
        <w:rPr>
          <w:spacing w:val="-1"/>
          <w:sz w:val="19"/>
          <w:szCs w:val="19"/>
        </w:rPr>
        <w:t>■委托投资</w:t>
      </w:r>
    </w:p>
    <w:p>
      <w:pPr>
        <w:pStyle w:val="BodyText"/>
        <w:spacing w:before="286" w:line="192" w:lineRule="auto"/>
        <w:ind w:left="40"/>
        <w:rPr>
          <w:sz w:val="19"/>
          <w:szCs w:val="19"/>
        </w:rPr>
      </w:pPr>
      <w:r>
        <w:rPr>
          <w:spacing w:val="-10"/>
          <w:sz w:val="19"/>
          <w:szCs w:val="19"/>
        </w:rPr>
        <w:t>数据来源：人社部、</w:t>
      </w:r>
      <w:r>
        <w:rPr>
          <w:rFonts w:ascii="Times New Roman" w:eastAsia="Times New Roman" w:hAnsi="Times New Roman" w:cs="Times New Roman"/>
          <w:spacing w:val="-10"/>
          <w:sz w:val="19"/>
          <w:szCs w:val="19"/>
        </w:rPr>
        <w:t>Wind</w:t>
      </w:r>
      <w:r>
        <w:rPr>
          <w:rFonts w:ascii="SimSun" w:eastAsia="SimSun" w:hAnsi="SimSun" w:cs="SimSun"/>
          <w:spacing w:val="-10"/>
          <w:sz w:val="19"/>
          <w:szCs w:val="19"/>
        </w:rPr>
        <w:t>、</w:t>
      </w:r>
      <w:r>
        <w:rPr>
          <w:spacing w:val="-10"/>
          <w:sz w:val="19"/>
          <w:szCs w:val="19"/>
        </w:rPr>
        <w:t>开源证券研究所</w:t>
      </w:r>
    </w:p>
    <w:p>
      <w:pPr>
        <w:spacing w:line="14" w:lineRule="auto"/>
        <w:rPr>
          <w:rFonts w:ascii="Arial"/>
          <w:sz w:val="2"/>
        </w:rPr>
      </w:pPr>
      <w:r>
        <w:rPr>
          <w:rFonts w:ascii="Arial" w:eastAsia="Arial" w:hAnsi="Arial" w:cs="Arial"/>
          <w:sz w:val="2"/>
          <w:szCs w:val="2"/>
        </w:rPr>
        <w:br w:type="column"/>
      </w:r>
    </w:p>
    <w:p>
      <w:pPr>
        <w:pStyle w:val="BodyText"/>
        <w:spacing w:before="73" w:line="224" w:lineRule="auto"/>
        <w:ind w:left="32"/>
        <w:rPr>
          <w:sz w:val="19"/>
          <w:szCs w:val="19"/>
        </w:rPr>
      </w:pPr>
      <w:r>
        <w:drawing>
          <wp:anchor distT="0" distB="0" distL="0" distR="0" simplePos="0" relativeHeight="251674624" behindDoc="0" locked="0" layoutInCell="1" allowOverlap="1">
            <wp:simplePos x="0" y="0"/>
            <wp:positionH relativeFrom="column">
              <wp:posOffset>1479</wp:posOffset>
            </wp:positionH>
            <wp:positionV relativeFrom="paragraph">
              <wp:posOffset>160721</wp:posOffset>
            </wp:positionV>
            <wp:extent cx="3243361" cy="635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45"/>
                    <a:stretch>
                      <a:fillRect/>
                    </a:stretch>
                  </pic:blipFill>
                  <pic:spPr>
                    <a:xfrm>
                      <a:off x="0" y="0"/>
                      <a:ext cx="3243361" cy="6350"/>
                    </a:xfrm>
                    <a:prstGeom prst="rect">
                      <a:avLst/>
                    </a:prstGeom>
                  </pic:spPr>
                </pic:pic>
              </a:graphicData>
            </a:graphic>
          </wp:anchor>
        </w:drawing>
      </w:r>
      <w:r>
        <w:rPr>
          <w:b/>
          <w:bCs/>
          <w:color w:val="000080"/>
          <w:spacing w:val="-13"/>
          <w:sz w:val="19"/>
          <w:szCs w:val="19"/>
        </w:rPr>
        <w:t>图</w:t>
      </w:r>
      <w:r>
        <w:rPr>
          <w:color w:val="000080"/>
          <w:spacing w:val="-44"/>
          <w:sz w:val="19"/>
          <w:szCs w:val="19"/>
        </w:rPr>
        <w:t xml:space="preserve"> </w:t>
      </w:r>
      <w:r>
        <w:rPr>
          <w:b/>
          <w:bCs/>
          <w:color w:val="000080"/>
          <w:spacing w:val="-13"/>
          <w:sz w:val="19"/>
          <w:szCs w:val="19"/>
        </w:rPr>
        <w:t>8</w:t>
      </w:r>
      <w:r>
        <w:rPr>
          <w:color w:val="000080"/>
          <w:spacing w:val="-13"/>
          <w:sz w:val="19"/>
          <w:szCs w:val="19"/>
        </w:rPr>
        <w:t xml:space="preserve"> </w:t>
      </w:r>
      <w:r>
        <w:rPr>
          <w:b/>
          <w:bCs/>
          <w:color w:val="000080"/>
          <w:spacing w:val="-13"/>
          <w:sz w:val="19"/>
          <w:szCs w:val="19"/>
        </w:rPr>
        <w:t>:</w:t>
      </w:r>
      <w:r>
        <w:rPr>
          <w:color w:val="000080"/>
          <w:spacing w:val="-42"/>
          <w:sz w:val="19"/>
          <w:szCs w:val="19"/>
        </w:rPr>
        <w:t xml:space="preserve"> </w:t>
      </w:r>
      <w:r>
        <w:rPr>
          <w:b/>
          <w:bCs/>
          <w:color w:val="000080"/>
          <w:spacing w:val="-13"/>
          <w:sz w:val="19"/>
          <w:szCs w:val="19"/>
        </w:rPr>
        <w:t>2</w:t>
      </w:r>
      <w:r>
        <w:rPr>
          <w:color w:val="000080"/>
          <w:spacing w:val="-43"/>
          <w:sz w:val="19"/>
          <w:szCs w:val="19"/>
        </w:rPr>
        <w:t xml:space="preserve"> </w:t>
      </w:r>
      <w:r>
        <w:rPr>
          <w:b/>
          <w:bCs/>
          <w:color w:val="000080"/>
          <w:spacing w:val="-13"/>
          <w:sz w:val="19"/>
          <w:szCs w:val="19"/>
        </w:rPr>
        <w:t>0</w:t>
      </w:r>
      <w:r>
        <w:rPr>
          <w:color w:val="000080"/>
          <w:spacing w:val="-42"/>
          <w:sz w:val="19"/>
          <w:szCs w:val="19"/>
        </w:rPr>
        <w:t xml:space="preserve"> </w:t>
      </w:r>
      <w:r>
        <w:rPr>
          <w:b/>
          <w:bCs/>
          <w:color w:val="000080"/>
          <w:spacing w:val="-13"/>
          <w:sz w:val="19"/>
          <w:szCs w:val="19"/>
        </w:rPr>
        <w:t>2</w:t>
      </w:r>
      <w:r>
        <w:rPr>
          <w:color w:val="000080"/>
          <w:spacing w:val="-42"/>
          <w:sz w:val="19"/>
          <w:szCs w:val="19"/>
        </w:rPr>
        <w:t xml:space="preserve"> </w:t>
      </w:r>
      <w:r>
        <w:rPr>
          <w:b/>
          <w:bCs/>
          <w:color w:val="000080"/>
          <w:spacing w:val="-13"/>
          <w:sz w:val="19"/>
          <w:szCs w:val="19"/>
        </w:rPr>
        <w:t>2</w:t>
      </w:r>
      <w:r>
        <w:rPr>
          <w:color w:val="000080"/>
          <w:spacing w:val="-41"/>
          <w:sz w:val="19"/>
          <w:szCs w:val="19"/>
        </w:rPr>
        <w:t xml:space="preserve"> </w:t>
      </w:r>
      <w:r>
        <w:rPr>
          <w:b/>
          <w:bCs/>
          <w:color w:val="000080"/>
          <w:spacing w:val="-13"/>
          <w:sz w:val="19"/>
          <w:szCs w:val="19"/>
        </w:rPr>
        <w:t>年</w:t>
      </w:r>
      <w:r>
        <w:rPr>
          <w:color w:val="000080"/>
          <w:spacing w:val="-43"/>
          <w:sz w:val="19"/>
          <w:szCs w:val="19"/>
        </w:rPr>
        <w:t xml:space="preserve"> </w:t>
      </w:r>
      <w:r>
        <w:rPr>
          <w:b/>
          <w:bCs/>
          <w:color w:val="000080"/>
          <w:spacing w:val="-13"/>
          <w:sz w:val="19"/>
          <w:szCs w:val="19"/>
        </w:rPr>
        <w:t>基</w:t>
      </w:r>
      <w:r>
        <w:rPr>
          <w:color w:val="000080"/>
          <w:spacing w:val="-34"/>
          <w:sz w:val="19"/>
          <w:szCs w:val="19"/>
        </w:rPr>
        <w:t xml:space="preserve"> </w:t>
      </w:r>
      <w:r>
        <w:rPr>
          <w:b/>
          <w:bCs/>
          <w:color w:val="000080"/>
          <w:spacing w:val="-13"/>
          <w:sz w:val="19"/>
          <w:szCs w:val="19"/>
        </w:rPr>
        <w:t>本</w:t>
      </w:r>
      <w:r>
        <w:rPr>
          <w:color w:val="000080"/>
          <w:spacing w:val="-35"/>
          <w:sz w:val="19"/>
          <w:szCs w:val="19"/>
        </w:rPr>
        <w:t xml:space="preserve"> </w:t>
      </w:r>
      <w:r>
        <w:rPr>
          <w:b/>
          <w:bCs/>
          <w:color w:val="000080"/>
          <w:spacing w:val="-13"/>
          <w:sz w:val="19"/>
          <w:szCs w:val="19"/>
        </w:rPr>
        <w:t>养</w:t>
      </w:r>
      <w:r>
        <w:rPr>
          <w:color w:val="000080"/>
          <w:spacing w:val="-42"/>
          <w:sz w:val="19"/>
          <w:szCs w:val="19"/>
        </w:rPr>
        <w:t xml:space="preserve"> </w:t>
      </w:r>
      <w:r>
        <w:rPr>
          <w:b/>
          <w:bCs/>
          <w:color w:val="000080"/>
          <w:spacing w:val="-13"/>
          <w:sz w:val="19"/>
          <w:szCs w:val="19"/>
        </w:rPr>
        <w:t>老</w:t>
      </w:r>
      <w:r>
        <w:rPr>
          <w:color w:val="000080"/>
          <w:spacing w:val="-44"/>
          <w:sz w:val="19"/>
          <w:szCs w:val="19"/>
        </w:rPr>
        <w:t xml:space="preserve"> </w:t>
      </w:r>
      <w:r>
        <w:rPr>
          <w:b/>
          <w:bCs/>
          <w:color w:val="000080"/>
          <w:spacing w:val="-13"/>
          <w:sz w:val="19"/>
          <w:szCs w:val="19"/>
        </w:rPr>
        <w:t>保</w:t>
      </w:r>
      <w:r>
        <w:rPr>
          <w:color w:val="000080"/>
          <w:spacing w:val="-28"/>
          <w:sz w:val="19"/>
          <w:szCs w:val="19"/>
        </w:rPr>
        <w:t xml:space="preserve"> </w:t>
      </w:r>
      <w:r>
        <w:rPr>
          <w:b/>
          <w:bCs/>
          <w:color w:val="000080"/>
          <w:spacing w:val="-13"/>
          <w:sz w:val="19"/>
          <w:szCs w:val="19"/>
        </w:rPr>
        <w:t>险</w:t>
      </w:r>
      <w:r>
        <w:rPr>
          <w:color w:val="000080"/>
          <w:spacing w:val="-41"/>
          <w:sz w:val="19"/>
          <w:szCs w:val="19"/>
        </w:rPr>
        <w:t xml:space="preserve"> </w:t>
      </w:r>
      <w:r>
        <w:rPr>
          <w:b/>
          <w:bCs/>
          <w:color w:val="000080"/>
          <w:spacing w:val="-13"/>
          <w:sz w:val="19"/>
          <w:szCs w:val="19"/>
        </w:rPr>
        <w:t>委</w:t>
      </w:r>
      <w:r>
        <w:rPr>
          <w:color w:val="000080"/>
          <w:spacing w:val="-39"/>
          <w:sz w:val="19"/>
          <w:szCs w:val="19"/>
        </w:rPr>
        <w:t xml:space="preserve"> </w:t>
      </w:r>
      <w:r>
        <w:rPr>
          <w:b/>
          <w:bCs/>
          <w:color w:val="000080"/>
          <w:spacing w:val="-13"/>
          <w:sz w:val="19"/>
          <w:szCs w:val="19"/>
        </w:rPr>
        <w:t>托</w:t>
      </w:r>
      <w:r>
        <w:rPr>
          <w:color w:val="000080"/>
          <w:spacing w:val="-46"/>
          <w:sz w:val="19"/>
          <w:szCs w:val="19"/>
        </w:rPr>
        <w:t xml:space="preserve"> </w:t>
      </w:r>
      <w:r>
        <w:rPr>
          <w:b/>
          <w:bCs/>
          <w:color w:val="000080"/>
          <w:spacing w:val="-13"/>
          <w:sz w:val="19"/>
          <w:szCs w:val="19"/>
        </w:rPr>
        <w:t>A</w:t>
      </w:r>
      <w:r>
        <w:rPr>
          <w:color w:val="000080"/>
          <w:spacing w:val="-40"/>
          <w:sz w:val="19"/>
          <w:szCs w:val="19"/>
        </w:rPr>
        <w:t xml:space="preserve"> </w:t>
      </w:r>
      <w:r>
        <w:rPr>
          <w:b/>
          <w:bCs/>
          <w:color w:val="000080"/>
          <w:spacing w:val="-13"/>
          <w:sz w:val="19"/>
          <w:szCs w:val="19"/>
        </w:rPr>
        <w:t>U</w:t>
      </w:r>
      <w:r>
        <w:rPr>
          <w:color w:val="000080"/>
          <w:spacing w:val="-42"/>
          <w:sz w:val="19"/>
          <w:szCs w:val="19"/>
        </w:rPr>
        <w:t xml:space="preserve"> </w:t>
      </w:r>
      <w:r>
        <w:rPr>
          <w:b/>
          <w:bCs/>
          <w:color w:val="000080"/>
          <w:spacing w:val="-13"/>
          <w:sz w:val="19"/>
          <w:szCs w:val="19"/>
        </w:rPr>
        <w:t>M</w:t>
      </w:r>
      <w:r>
        <w:rPr>
          <w:color w:val="000080"/>
          <w:spacing w:val="-14"/>
          <w:sz w:val="19"/>
          <w:szCs w:val="19"/>
        </w:rPr>
        <w:t xml:space="preserve"> </w:t>
      </w:r>
      <w:r>
        <w:rPr>
          <w:b/>
          <w:bCs/>
          <w:color w:val="000080"/>
          <w:spacing w:val="-14"/>
          <w:sz w:val="19"/>
          <w:szCs w:val="19"/>
        </w:rPr>
        <w:t>占</w:t>
      </w:r>
      <w:r>
        <w:rPr>
          <w:color w:val="000080"/>
          <w:spacing w:val="-30"/>
          <w:sz w:val="19"/>
          <w:szCs w:val="19"/>
        </w:rPr>
        <w:t xml:space="preserve"> </w:t>
      </w:r>
      <w:r>
        <w:rPr>
          <w:b/>
          <w:bCs/>
          <w:color w:val="000080"/>
          <w:spacing w:val="-14"/>
          <w:sz w:val="19"/>
          <w:szCs w:val="19"/>
        </w:rPr>
        <w:t>总</w:t>
      </w:r>
      <w:r>
        <w:rPr>
          <w:color w:val="000080"/>
          <w:spacing w:val="-37"/>
          <w:sz w:val="19"/>
          <w:szCs w:val="19"/>
        </w:rPr>
        <w:t xml:space="preserve"> </w:t>
      </w:r>
      <w:r>
        <w:rPr>
          <w:b/>
          <w:bCs/>
          <w:color w:val="000080"/>
          <w:spacing w:val="-14"/>
          <w:sz w:val="19"/>
          <w:szCs w:val="19"/>
        </w:rPr>
        <w:t>结</w:t>
      </w:r>
      <w:r>
        <w:rPr>
          <w:color w:val="000080"/>
          <w:spacing w:val="-40"/>
          <w:sz w:val="19"/>
          <w:szCs w:val="19"/>
        </w:rPr>
        <w:t xml:space="preserve"> </w:t>
      </w:r>
      <w:r>
        <w:rPr>
          <w:b/>
          <w:bCs/>
          <w:color w:val="000080"/>
          <w:spacing w:val="-14"/>
          <w:sz w:val="19"/>
          <w:szCs w:val="19"/>
        </w:rPr>
        <w:t>余</w:t>
      </w:r>
      <w:r>
        <w:rPr>
          <w:color w:val="000080"/>
          <w:spacing w:val="-31"/>
          <w:sz w:val="19"/>
          <w:szCs w:val="19"/>
        </w:rPr>
        <w:t xml:space="preserve"> </w:t>
      </w:r>
      <w:r>
        <w:rPr>
          <w:b/>
          <w:bCs/>
          <w:color w:val="000080"/>
          <w:spacing w:val="-14"/>
          <w:sz w:val="19"/>
          <w:szCs w:val="19"/>
        </w:rPr>
        <w:t>1</w:t>
      </w:r>
      <w:r>
        <w:rPr>
          <w:color w:val="000080"/>
          <w:spacing w:val="-46"/>
          <w:sz w:val="19"/>
          <w:szCs w:val="19"/>
        </w:rPr>
        <w:t xml:space="preserve"> </w:t>
      </w:r>
      <w:r>
        <w:rPr>
          <w:b/>
          <w:bCs/>
          <w:color w:val="000080"/>
          <w:spacing w:val="-14"/>
          <w:sz w:val="19"/>
          <w:szCs w:val="19"/>
        </w:rPr>
        <w:t>4</w:t>
      </w:r>
      <w:r>
        <w:rPr>
          <w:color w:val="000080"/>
          <w:spacing w:val="-44"/>
          <w:sz w:val="19"/>
          <w:szCs w:val="19"/>
        </w:rPr>
        <w:t xml:space="preserve"> </w:t>
      </w:r>
      <w:r>
        <w:rPr>
          <w:b/>
          <w:bCs/>
          <w:color w:val="000080"/>
          <w:spacing w:val="-14"/>
          <w:sz w:val="19"/>
          <w:szCs w:val="19"/>
        </w:rPr>
        <w:t>%</w:t>
      </w:r>
    </w:p>
    <w:p>
      <w:pPr>
        <w:spacing w:before="29" w:line="2430" w:lineRule="exact"/>
        <w:ind w:firstLine="319"/>
      </w:pPr>
      <w:r>
        <w:rPr>
          <w:position w:val="-48"/>
        </w:rPr>
        <w:drawing>
          <wp:inline distT="0" distB="0" distL="0" distR="0">
            <wp:extent cx="2940058" cy="1543057"/>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46"/>
                    <a:stretch>
                      <a:fillRect/>
                    </a:stretch>
                  </pic:blipFill>
                  <pic:spPr>
                    <a:xfrm>
                      <a:off x="0" y="0"/>
                      <a:ext cx="2940058" cy="1543057"/>
                    </a:xfrm>
                    <a:prstGeom prst="rect">
                      <a:avLst/>
                    </a:prstGeom>
                  </pic:spPr>
                </pic:pic>
              </a:graphicData>
            </a:graphic>
          </wp:inline>
        </w:drawing>
      </w:r>
    </w:p>
    <w:p>
      <w:pPr>
        <w:pStyle w:val="BodyText"/>
        <w:spacing w:before="105" w:line="224" w:lineRule="auto"/>
        <w:ind w:left="979"/>
        <w:rPr>
          <w:sz w:val="19"/>
          <w:szCs w:val="19"/>
        </w:rPr>
      </w:pPr>
      <w:r>
        <w:rPr>
          <w:color w:val="E67300"/>
          <w:spacing w:val="-10"/>
          <w:w w:val="90"/>
          <w:sz w:val="19"/>
          <w:szCs w:val="19"/>
        </w:rPr>
        <w:t>■</w:t>
      </w:r>
      <w:r>
        <w:rPr>
          <w:spacing w:val="-10"/>
          <w:w w:val="90"/>
          <w:sz w:val="19"/>
          <w:szCs w:val="19"/>
        </w:rPr>
        <w:t>基本养老保险结存-基金-委托投资(万亿元)</w:t>
      </w:r>
    </w:p>
    <w:p>
      <w:pPr>
        <w:pStyle w:val="BodyText"/>
        <w:spacing w:before="30" w:line="224" w:lineRule="auto"/>
        <w:ind w:left="999"/>
        <w:rPr>
          <w:sz w:val="19"/>
          <w:szCs w:val="19"/>
        </w:rPr>
      </w:pPr>
      <w:r>
        <w:rPr>
          <w:spacing w:val="-9"/>
          <w:w w:val="89"/>
          <w:sz w:val="19"/>
          <w:szCs w:val="19"/>
        </w:rPr>
        <w:t>■基本养老保险结存-基金-直接投资(万亿元)</w:t>
      </w:r>
    </w:p>
    <w:p>
      <w:pPr>
        <w:pStyle w:val="BodyText"/>
        <w:spacing w:before="28" w:line="224" w:lineRule="auto"/>
        <w:ind w:left="1049"/>
        <w:rPr>
          <w:sz w:val="19"/>
          <w:szCs w:val="19"/>
        </w:rPr>
      </w:pPr>
      <w:r>
        <w:rPr>
          <w:spacing w:val="-11"/>
          <w:w w:val="91"/>
          <w:sz w:val="19"/>
          <w:szCs w:val="19"/>
        </w:rPr>
        <w:t>基本养老保险基金委托投资占结存余额比重-右轴</w:t>
      </w:r>
    </w:p>
    <w:p>
      <w:pPr>
        <w:pStyle w:val="BodyText"/>
        <w:spacing w:before="180" w:line="192" w:lineRule="auto"/>
        <w:ind w:left="30"/>
        <w:rPr>
          <w:sz w:val="19"/>
          <w:szCs w:val="19"/>
        </w:rPr>
      </w:pPr>
      <w:r>
        <w:rPr>
          <w:spacing w:val="-10"/>
          <w:sz w:val="19"/>
          <w:szCs w:val="19"/>
        </w:rPr>
        <w:t>数据来源：人社部、</w:t>
      </w:r>
      <w:r>
        <w:rPr>
          <w:rFonts w:ascii="Times New Roman" w:eastAsia="Times New Roman" w:hAnsi="Times New Roman" w:cs="Times New Roman"/>
          <w:spacing w:val="-10"/>
          <w:sz w:val="19"/>
          <w:szCs w:val="19"/>
        </w:rPr>
        <w:t>Wind</w:t>
      </w:r>
      <w:r>
        <w:rPr>
          <w:rFonts w:ascii="SimSun" w:eastAsia="SimSun" w:hAnsi="SimSun" w:cs="SimSun"/>
          <w:spacing w:val="-10"/>
          <w:sz w:val="19"/>
          <w:szCs w:val="19"/>
        </w:rPr>
        <w:t>、</w:t>
      </w:r>
      <w:r>
        <w:rPr>
          <w:spacing w:val="-10"/>
          <w:sz w:val="19"/>
          <w:szCs w:val="19"/>
        </w:rPr>
        <w:t>开源证券研究所</w:t>
      </w:r>
    </w:p>
    <w:p>
      <w:pPr>
        <w:spacing w:line="192" w:lineRule="auto"/>
        <w:rPr>
          <w:sz w:val="19"/>
          <w:szCs w:val="19"/>
        </w:rPr>
        <w:sectPr>
          <w:footerReference w:type="default" r:id="rId47"/>
          <w:type w:val="continuous"/>
          <w:pgSz w:w="11910" w:h="16840"/>
          <w:pgMar w:top="158" w:right="660" w:bottom="1129" w:left="689" w:header="0" w:footer="860" w:gutter="0"/>
          <w:pgNumType w:start="22"/>
          <w:cols w:num="2" w:space="708" w:equalWidth="0">
            <w:col w:w="5271" w:space="100"/>
            <w:col w:w="5190" w:space="0"/>
          </w:cols>
        </w:sectPr>
      </w:pPr>
    </w:p>
    <w:p>
      <w:pPr>
        <w:spacing w:line="351" w:lineRule="auto"/>
        <w:rPr>
          <w:rFonts w:ascii="Arial"/>
          <w:sz w:val="21"/>
        </w:rPr>
      </w:pPr>
    </w:p>
    <w:p>
      <w:pPr>
        <w:pStyle w:val="BodyText"/>
        <w:spacing w:before="72" w:line="288" w:lineRule="auto"/>
        <w:ind w:left="2840" w:right="100" w:firstLine="3"/>
        <w:jc w:val="both"/>
        <w:rPr>
          <w:sz w:val="19"/>
          <w:szCs w:val="19"/>
        </w:rPr>
        <w:sectPr>
          <w:footerReference w:type="default" r:id="rId48"/>
          <w:type w:val="continuous"/>
          <w:pgSz w:w="11910" w:h="16840"/>
          <w:pgMar w:top="158" w:right="660" w:bottom="1129" w:left="689" w:header="0" w:footer="860" w:gutter="0"/>
          <w:pgNumType w:start="23"/>
          <w:cols w:num="1" w:space="708" w:equalWidth="0">
            <w:col w:w="10561" w:space="0"/>
          </w:cols>
        </w:sectPr>
      </w:pPr>
      <w:r>
        <w:rPr>
          <w:b/>
          <w:bCs/>
          <w:spacing w:val="2"/>
          <w:sz w:val="22"/>
          <w:szCs w:val="22"/>
        </w:rPr>
        <w:t>基本养老保险基金来自结存预留额度，我们用两维度</w:t>
      </w:r>
      <w:r>
        <w:rPr>
          <w:b/>
          <w:bCs/>
          <w:spacing w:val="1"/>
          <w:sz w:val="22"/>
          <w:szCs w:val="22"/>
        </w:rPr>
        <w:t>测算测算权益配置占比约</w:t>
      </w:r>
      <w:r>
        <w:rPr>
          <w:sz w:val="22"/>
          <w:szCs w:val="22"/>
        </w:rPr>
        <w:t xml:space="preserve"> </w:t>
      </w:r>
      <w:r>
        <w:rPr>
          <w:b/>
          <w:bCs/>
          <w:spacing w:val="15"/>
          <w:sz w:val="19"/>
          <w:szCs w:val="19"/>
        </w:rPr>
        <w:t>2%-19%。</w:t>
      </w:r>
      <w:r>
        <w:rPr>
          <w:spacing w:val="15"/>
          <w:sz w:val="19"/>
          <w:szCs w:val="19"/>
        </w:rPr>
        <w:t xml:space="preserve">   </w:t>
      </w:r>
      <w:r>
        <w:rPr>
          <w:spacing w:val="15"/>
          <w:sz w:val="19"/>
          <w:szCs w:val="19"/>
        </w:rPr>
        <w:t>(1)根据《基本养老保险基金投资管理办法》,各省、自治区、直辖市养</w:t>
      </w:r>
      <w:r>
        <w:rPr>
          <w:spacing w:val="11"/>
          <w:sz w:val="19"/>
          <w:szCs w:val="19"/>
        </w:rPr>
        <w:t xml:space="preserve"> </w:t>
      </w:r>
      <w:r>
        <w:rPr>
          <w:spacing w:val="21"/>
          <w:sz w:val="19"/>
          <w:szCs w:val="19"/>
        </w:rPr>
        <w:t>老基金结余额，预留一定支付费用后，确定具体投资额度，委托给国务院授权的机</w:t>
      </w:r>
      <w:r>
        <w:rPr>
          <w:spacing w:val="8"/>
          <w:sz w:val="19"/>
          <w:szCs w:val="19"/>
        </w:rPr>
        <w:t xml:space="preserve"> </w:t>
      </w:r>
    </w:p>
    <w:p>
      <w:pPr>
        <w:pStyle w:val="BodyText"/>
        <w:spacing w:before="72" w:line="288" w:lineRule="auto"/>
        <w:ind w:left="2840" w:right="100" w:firstLine="3"/>
        <w:jc w:val="both"/>
        <w:rPr>
          <w:sz w:val="19"/>
          <w:szCs w:val="19"/>
        </w:rPr>
      </w:pPr>
      <w:r>
        <w:rPr>
          <w:spacing w:val="21"/>
          <w:sz w:val="19"/>
          <w:szCs w:val="19"/>
        </w:rPr>
        <w:t>构进行投资运营，其中委托人为省、自治区、直辖市人民政府，受托人为全国社保</w:t>
      </w:r>
      <w:r>
        <w:rPr>
          <w:spacing w:val="4"/>
          <w:sz w:val="19"/>
          <w:szCs w:val="19"/>
        </w:rPr>
        <w:t xml:space="preserve"> </w:t>
      </w:r>
      <w:r>
        <w:rPr>
          <w:spacing w:val="20"/>
          <w:sz w:val="19"/>
          <w:szCs w:val="19"/>
        </w:rPr>
        <w:t>基金理事会。(2)我国基本养老保险基金未披露明细资产配置结构</w:t>
      </w:r>
      <w:r>
        <w:rPr>
          <w:spacing w:val="19"/>
          <w:sz w:val="19"/>
          <w:szCs w:val="19"/>
        </w:rPr>
        <w:t>，</w:t>
      </w:r>
      <w:r>
        <w:rPr>
          <w:spacing w:val="19"/>
          <w:sz w:val="19"/>
          <w:szCs w:val="19"/>
        </w:rPr>
        <w:t xml:space="preserve"> </w:t>
      </w:r>
      <w:r>
        <w:rPr>
          <w:b/>
          <w:bCs/>
          <w:spacing w:val="19"/>
          <w:sz w:val="19"/>
          <w:szCs w:val="19"/>
        </w:rPr>
        <w:t>我们从两个维</w:t>
      </w:r>
      <w:r>
        <w:rPr>
          <w:sz w:val="19"/>
          <w:szCs w:val="19"/>
        </w:rPr>
        <w:t xml:space="preserve"> </w:t>
      </w:r>
      <w:r>
        <w:rPr>
          <w:b/>
          <w:bCs/>
          <w:spacing w:val="15"/>
          <w:sz w:val="19"/>
          <w:szCs w:val="19"/>
        </w:rPr>
        <w:t>度测算基本养老保险基金权益配置比例：</w:t>
      </w:r>
    </w:p>
    <w:p>
      <w:pPr>
        <w:spacing w:line="333" w:lineRule="auto"/>
        <w:rPr>
          <w:rFonts w:ascii="Arial"/>
          <w:sz w:val="21"/>
        </w:rPr>
      </w:pPr>
    </w:p>
    <w:p>
      <w:pPr>
        <w:pStyle w:val="BodyText"/>
        <w:spacing w:before="63" w:line="274" w:lineRule="auto"/>
        <w:ind w:left="2840" w:right="70" w:firstLine="2"/>
        <w:jc w:val="both"/>
        <w:rPr>
          <w:sz w:val="19"/>
          <w:szCs w:val="19"/>
        </w:rPr>
      </w:pPr>
      <w:r>
        <w:rPr>
          <w:b/>
          <w:bCs/>
          <w:spacing w:val="20"/>
          <w:sz w:val="19"/>
          <w:szCs w:val="19"/>
        </w:rPr>
        <w:t>维度一</w:t>
      </w:r>
      <w:r>
        <w:rPr>
          <w:spacing w:val="-35"/>
          <w:sz w:val="19"/>
          <w:szCs w:val="19"/>
        </w:rPr>
        <w:t xml:space="preserve"> </w:t>
      </w:r>
      <w:r>
        <w:rPr>
          <w:b/>
          <w:bCs/>
          <w:spacing w:val="20"/>
          <w:sz w:val="19"/>
          <w:szCs w:val="19"/>
        </w:rPr>
        <w:t>：交易性金融资产(权益类)+长期股权投资</w:t>
      </w:r>
      <w:r>
        <w:rPr>
          <w:b/>
          <w:bCs/>
          <w:spacing w:val="19"/>
          <w:sz w:val="19"/>
          <w:szCs w:val="19"/>
        </w:rPr>
        <w:t>规模。</w:t>
      </w:r>
      <w:r>
        <w:rPr>
          <w:spacing w:val="19"/>
          <w:sz w:val="19"/>
          <w:szCs w:val="19"/>
        </w:rPr>
        <w:t>我们以上市险企交易性金</w:t>
      </w:r>
      <w:r>
        <w:rPr>
          <w:spacing w:val="19"/>
          <w:sz w:val="19"/>
          <w:szCs w:val="19"/>
        </w:rPr>
        <w:t xml:space="preserve"> </w:t>
      </w:r>
      <w:r>
        <w:rPr>
          <w:spacing w:val="21"/>
          <w:sz w:val="19"/>
          <w:szCs w:val="19"/>
        </w:rPr>
        <w:t>融资产中股权型资产占比为依据，假设基本养老保险基金资产负债表中“交易性金</w:t>
      </w:r>
      <w:r>
        <w:rPr>
          <w:spacing w:val="3"/>
          <w:sz w:val="19"/>
          <w:szCs w:val="19"/>
        </w:rPr>
        <w:t xml:space="preserve"> </w:t>
      </w:r>
      <w:r>
        <w:rPr>
          <w:spacing w:val="22"/>
          <w:sz w:val="19"/>
          <w:szCs w:val="19"/>
        </w:rPr>
        <w:t>融资产”的40%为权益型资产，</w:t>
      </w:r>
      <w:r>
        <w:rPr>
          <w:spacing w:val="22"/>
          <w:sz w:val="19"/>
          <w:szCs w:val="19"/>
          <w:u w:val="single" w:color="auto"/>
        </w:rPr>
        <w:t>测算2022年基本养老保险基金权益投资规模约3100</w:t>
      </w:r>
      <w:r>
        <w:rPr>
          <w:spacing w:val="1"/>
          <w:sz w:val="19"/>
          <w:szCs w:val="19"/>
        </w:rPr>
        <w:t xml:space="preserve"> </w:t>
      </w:r>
      <w:r>
        <w:rPr>
          <w:spacing w:val="18"/>
          <w:sz w:val="19"/>
          <w:szCs w:val="19"/>
          <w:u w:val="single" w:color="auto"/>
        </w:rPr>
        <w:t>亿，权益配置占比约18.9%</w:t>
      </w:r>
      <w:r>
        <w:rPr>
          <w:spacing w:val="18"/>
          <w:sz w:val="19"/>
          <w:szCs w:val="19"/>
        </w:rPr>
        <w:t>。</w:t>
      </w:r>
    </w:p>
    <w:p>
      <w:pPr>
        <w:spacing w:line="274" w:lineRule="auto"/>
        <w:rPr>
          <w:sz w:val="19"/>
          <w:szCs w:val="19"/>
        </w:rPr>
        <w:sectPr>
          <w:footerReference w:type="default" r:id="rId49"/>
          <w:type w:val="nextPage"/>
          <w:pgSz w:w="11910" w:h="16840"/>
          <w:pgMar w:top="158" w:right="660" w:bottom="1129" w:left="689" w:header="0" w:footer="860" w:gutter="0"/>
          <w:pgNumType w:start="24"/>
          <w:cols w:num="1" w:space="708" w:equalWidth="0">
            <w:col w:w="10561" w:space="0"/>
          </w:cols>
          <w:titlePg w:val="0"/>
        </w:sectPr>
      </w:pPr>
    </w:p>
    <w:p>
      <w:pPr>
        <w:spacing w:before="154" w:line="229" w:lineRule="auto"/>
        <w:ind w:left="210"/>
        <w:rPr>
          <w:rFonts w:ascii="YouYuan" w:eastAsia="YouYuan" w:hAnsi="YouYuan" w:cs="YouYuan"/>
          <w:sz w:val="60"/>
          <w:szCs w:val="60"/>
        </w:rPr>
      </w:pPr>
      <w:r>
        <w:drawing>
          <wp:anchor distT="0" distB="0" distL="0" distR="0" simplePos="0" relativeHeight="251676672" behindDoc="0" locked="0" layoutInCell="0" allowOverlap="1">
            <wp:simplePos x="0" y="0"/>
            <wp:positionH relativeFrom="page">
              <wp:posOffset>450822</wp:posOffset>
            </wp:positionH>
            <wp:positionV relativeFrom="page">
              <wp:posOffset>3702034</wp:posOffset>
            </wp:positionV>
            <wp:extent cx="6680265" cy="635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50"/>
                    <a:stretch>
                      <a:fillRect/>
                    </a:stretch>
                  </pic:blipFill>
                  <pic:spPr>
                    <a:xfrm>
                      <a:off x="0" y="0"/>
                      <a:ext cx="6680265" cy="6350"/>
                    </a:xfrm>
                    <a:prstGeom prst="rect">
                      <a:avLst/>
                    </a:prstGeom>
                  </pic:spPr>
                </pic:pic>
              </a:graphicData>
            </a:graphic>
          </wp:anchor>
        </w:drawing>
      </w:r>
      <w:bookmarkStart w:id="12" w:name="bookmark74"/>
      <w:bookmarkEnd w:id="12"/>
      <w:bookmarkStart w:id="13" w:name="bookmark75"/>
      <w:bookmarkEnd w:id="13"/>
      <w:r>
        <w:rPr>
          <w:rFonts w:ascii="YouYuan" w:eastAsia="YouYuan" w:hAnsi="YouYuan" w:cs="YouYuan"/>
          <w:position w:val="-20"/>
          <w:sz w:val="60"/>
          <w:szCs w:val="60"/>
        </w:rPr>
        <w:drawing>
          <wp:inline distT="0" distB="0" distL="0" distR="0">
            <wp:extent cx="571449" cy="488901"/>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15"/>
                    <a:stretch>
                      <a:fillRect/>
                    </a:stretch>
                  </pic:blipFill>
                  <pic:spPr>
                    <a:xfrm>
                      <a:off x="0" y="0"/>
                      <a:ext cx="571449" cy="488901"/>
                    </a:xfrm>
                    <a:prstGeom prst="rect">
                      <a:avLst/>
                    </a:prstGeom>
                  </pic:spPr>
                </pic:pic>
              </a:graphicData>
            </a:graphic>
          </wp:inline>
        </w:drawing>
      </w:r>
      <w:r>
        <w:rPr>
          <w:rFonts w:ascii="YouYuan" w:eastAsia="YouYuan" w:hAnsi="YouYuan" w:cs="YouYuan"/>
          <w:b/>
          <w:bCs/>
          <w:spacing w:val="28"/>
          <w:sz w:val="60"/>
          <w:szCs w:val="60"/>
        </w:rPr>
        <w:t>开源证券</w:t>
      </w:r>
    </w:p>
    <w:p>
      <w:pPr>
        <w:pStyle w:val="BodyText"/>
        <w:spacing w:before="78" w:line="229" w:lineRule="auto"/>
        <w:ind w:left="8600"/>
        <w:rPr>
          <w:sz w:val="18"/>
          <w:szCs w:val="18"/>
        </w:rPr>
      </w:pPr>
      <w:r>
        <w:drawing>
          <wp:anchor distT="0" distB="0" distL="0" distR="0" simplePos="0" relativeHeight="251677696" behindDoc="0" locked="0" layoutInCell="1" allowOverlap="1">
            <wp:simplePos x="0" y="0"/>
            <wp:positionH relativeFrom="column">
              <wp:posOffset>19058</wp:posOffset>
            </wp:positionH>
            <wp:positionV relativeFrom="paragraph">
              <wp:posOffset>157960</wp:posOffset>
            </wp:positionV>
            <wp:extent cx="6570372" cy="6350"/>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51"/>
                    <a:stretch>
                      <a:fillRect/>
                    </a:stretch>
                  </pic:blipFill>
                  <pic:spPr>
                    <a:xfrm>
                      <a:off x="0" y="0"/>
                      <a:ext cx="6570372" cy="6350"/>
                    </a:xfrm>
                    <a:prstGeom prst="rect">
                      <a:avLst/>
                    </a:prstGeom>
                  </pic:spPr>
                </pic:pic>
              </a:graphicData>
            </a:graphic>
          </wp:anchor>
        </w:drawing>
      </w:r>
      <w:r>
        <w:rPr>
          <w:spacing w:val="-9"/>
          <w:sz w:val="18"/>
          <w:szCs w:val="18"/>
        </w:rPr>
        <w:t>行</w:t>
      </w:r>
      <w:r>
        <w:rPr>
          <w:spacing w:val="69"/>
          <w:sz w:val="18"/>
          <w:szCs w:val="18"/>
        </w:rPr>
        <w:t xml:space="preserve"> </w:t>
      </w:r>
      <w:r>
        <w:rPr>
          <w:spacing w:val="-9"/>
          <w:sz w:val="18"/>
          <w:szCs w:val="18"/>
        </w:rPr>
        <w:t>业</w:t>
      </w:r>
      <w:r>
        <w:rPr>
          <w:spacing w:val="64"/>
          <w:w w:val="101"/>
          <w:sz w:val="18"/>
          <w:szCs w:val="18"/>
        </w:rPr>
        <w:t xml:space="preserve"> </w:t>
      </w:r>
      <w:r>
        <w:rPr>
          <w:spacing w:val="-9"/>
          <w:sz w:val="18"/>
          <w:szCs w:val="18"/>
        </w:rPr>
        <w:t>深</w:t>
      </w:r>
      <w:r>
        <w:rPr>
          <w:spacing w:val="58"/>
          <w:sz w:val="18"/>
          <w:szCs w:val="18"/>
        </w:rPr>
        <w:t xml:space="preserve"> </w:t>
      </w:r>
      <w:r>
        <w:rPr>
          <w:spacing w:val="-9"/>
          <w:sz w:val="18"/>
          <w:szCs w:val="18"/>
        </w:rPr>
        <w:t>度</w:t>
      </w:r>
      <w:r>
        <w:rPr>
          <w:spacing w:val="55"/>
          <w:w w:val="101"/>
          <w:sz w:val="18"/>
          <w:szCs w:val="18"/>
        </w:rPr>
        <w:t xml:space="preserve"> </w:t>
      </w:r>
      <w:r>
        <w:rPr>
          <w:spacing w:val="-9"/>
          <w:sz w:val="18"/>
          <w:szCs w:val="18"/>
        </w:rPr>
        <w:t>报</w:t>
      </w:r>
      <w:r>
        <w:rPr>
          <w:spacing w:val="54"/>
          <w:w w:val="101"/>
          <w:sz w:val="18"/>
          <w:szCs w:val="18"/>
        </w:rPr>
        <w:t xml:space="preserve"> </w:t>
      </w:r>
      <w:r>
        <w:rPr>
          <w:spacing w:val="-9"/>
          <w:sz w:val="18"/>
          <w:szCs w:val="18"/>
        </w:rPr>
        <w:t>告</w:t>
      </w:r>
    </w:p>
    <w:p>
      <w:pPr>
        <w:spacing w:line="398" w:lineRule="auto"/>
        <w:rPr>
          <w:rFonts w:ascii="Arial"/>
          <w:sz w:val="21"/>
        </w:rPr>
      </w:pPr>
    </w:p>
    <w:p>
      <w:pPr>
        <w:pStyle w:val="BodyText"/>
        <w:spacing w:before="58" w:line="292" w:lineRule="auto"/>
        <w:ind w:left="2840" w:right="137" w:firstLine="2"/>
        <w:jc w:val="both"/>
        <w:rPr>
          <w:sz w:val="18"/>
          <w:szCs w:val="18"/>
        </w:rPr>
      </w:pPr>
      <w:r>
        <w:rPr>
          <w:b/>
          <w:bCs/>
          <w:spacing w:val="25"/>
          <w:sz w:val="18"/>
          <w:szCs w:val="18"/>
        </w:rPr>
        <w:t>维度二：社保基金重仓股流通市值+长期股权投资规模。</w:t>
      </w:r>
      <w:r>
        <w:rPr>
          <w:spacing w:val="25"/>
          <w:sz w:val="18"/>
          <w:szCs w:val="18"/>
        </w:rPr>
        <w:t>2022</w:t>
      </w:r>
      <w:r>
        <w:rPr>
          <w:spacing w:val="8"/>
          <w:sz w:val="18"/>
          <w:szCs w:val="18"/>
        </w:rPr>
        <w:t xml:space="preserve">  </w:t>
      </w:r>
      <w:r>
        <w:rPr>
          <w:spacing w:val="25"/>
          <w:sz w:val="18"/>
          <w:szCs w:val="18"/>
        </w:rPr>
        <w:t>年末基本养</w:t>
      </w:r>
      <w:r>
        <w:rPr>
          <w:spacing w:val="24"/>
          <w:sz w:val="18"/>
          <w:szCs w:val="18"/>
        </w:rPr>
        <w:t>老保险基</w:t>
      </w:r>
      <w:r>
        <w:rPr>
          <w:sz w:val="18"/>
          <w:szCs w:val="18"/>
        </w:rPr>
        <w:t xml:space="preserve"> </w:t>
      </w:r>
      <w:r>
        <w:rPr>
          <w:spacing w:val="29"/>
          <w:sz w:val="18"/>
          <w:szCs w:val="18"/>
        </w:rPr>
        <w:t>金作为前十大持仓的流通市值合计规模340</w:t>
      </w:r>
      <w:r>
        <w:rPr>
          <w:spacing w:val="29"/>
          <w:sz w:val="18"/>
          <w:szCs w:val="18"/>
        </w:rPr>
        <w:t xml:space="preserve"> </w:t>
      </w:r>
      <w:r>
        <w:rPr>
          <w:spacing w:val="29"/>
          <w:sz w:val="18"/>
          <w:szCs w:val="18"/>
        </w:rPr>
        <w:t>万亿，基本养老保险基金报表中无长股</w:t>
      </w:r>
      <w:r>
        <w:rPr>
          <w:sz w:val="18"/>
          <w:szCs w:val="18"/>
        </w:rPr>
        <w:t xml:space="preserve"> </w:t>
      </w:r>
      <w:r>
        <w:rPr>
          <w:spacing w:val="18"/>
          <w:sz w:val="18"/>
          <w:szCs w:val="18"/>
        </w:rPr>
        <w:t>投</w:t>
      </w:r>
      <w:r>
        <w:rPr>
          <w:spacing w:val="18"/>
          <w:sz w:val="18"/>
          <w:szCs w:val="18"/>
        </w:rPr>
        <w:t xml:space="preserve"> </w:t>
      </w:r>
      <w:r>
        <w:rPr>
          <w:spacing w:val="18"/>
          <w:sz w:val="18"/>
          <w:szCs w:val="18"/>
        </w:rPr>
        <w:t>，</w:t>
      </w:r>
      <w:r>
        <w:rPr>
          <w:spacing w:val="18"/>
          <w:sz w:val="18"/>
          <w:szCs w:val="18"/>
          <w:u w:val="single" w:color="auto"/>
        </w:rPr>
        <w:t>因此测算重仓股流通市值占可投资资产比重仅2</w:t>
      </w:r>
      <w:r>
        <w:rPr>
          <w:spacing w:val="-28"/>
          <w:sz w:val="18"/>
          <w:szCs w:val="18"/>
          <w:u w:val="single" w:color="auto"/>
        </w:rPr>
        <w:t xml:space="preserve"> </w:t>
      </w:r>
      <w:r>
        <w:rPr>
          <w:spacing w:val="18"/>
          <w:sz w:val="18"/>
          <w:szCs w:val="18"/>
          <w:u w:val="single" w:color="auto"/>
        </w:rPr>
        <w:t>.</w:t>
      </w:r>
      <w:r>
        <w:rPr>
          <w:spacing w:val="-42"/>
          <w:sz w:val="18"/>
          <w:szCs w:val="18"/>
          <w:u w:val="single" w:color="auto"/>
        </w:rPr>
        <w:t xml:space="preserve"> </w:t>
      </w:r>
      <w:r>
        <w:rPr>
          <w:spacing w:val="18"/>
          <w:sz w:val="18"/>
          <w:szCs w:val="18"/>
          <w:u w:val="single" w:color="auto"/>
        </w:rPr>
        <w:t>1%。</w:t>
      </w:r>
      <w:r>
        <w:rPr>
          <w:spacing w:val="18"/>
          <w:sz w:val="18"/>
          <w:szCs w:val="18"/>
          <w:u w:val="single" w:color="auto"/>
        </w:rPr>
        <w:t xml:space="preserve"> </w:t>
      </w:r>
    </w:p>
    <w:p>
      <w:pPr>
        <w:spacing w:line="332" w:lineRule="auto"/>
        <w:rPr>
          <w:rFonts w:ascii="Arial"/>
          <w:sz w:val="21"/>
        </w:rPr>
      </w:pPr>
    </w:p>
    <w:p>
      <w:pPr>
        <w:pStyle w:val="BodyText"/>
        <w:spacing w:before="58" w:line="220" w:lineRule="auto"/>
        <w:ind w:left="32"/>
        <w:rPr>
          <w:sz w:val="18"/>
          <w:szCs w:val="18"/>
        </w:rPr>
      </w:pPr>
      <w:r>
        <w:rPr>
          <w:b/>
          <w:bCs/>
          <w:color w:val="000080"/>
          <w:spacing w:val="32"/>
          <w:sz w:val="18"/>
          <w:szCs w:val="18"/>
        </w:rPr>
        <w:t>表3:全国基本养老保险受托全国社保基金理事会管理资产，由21家资产管</w:t>
      </w:r>
      <w:r>
        <w:rPr>
          <w:b/>
          <w:bCs/>
          <w:color w:val="000080"/>
          <w:spacing w:val="31"/>
          <w:sz w:val="18"/>
          <w:szCs w:val="18"/>
        </w:rPr>
        <w:t>理公司参与投资</w:t>
      </w:r>
    </w:p>
    <w:p>
      <w:pPr>
        <w:spacing w:line="70" w:lineRule="exact"/>
      </w:pPr>
    </w:p>
    <w:p>
      <w:pPr>
        <w:spacing w:line="70" w:lineRule="exact"/>
        <w:sectPr>
          <w:footerReference w:type="default" r:id="rId52"/>
          <w:pgSz w:w="11910" w:h="16840"/>
          <w:pgMar w:top="156" w:right="660" w:bottom="1129" w:left="689" w:header="0" w:footer="862" w:gutter="0"/>
          <w:pgNumType w:start="25"/>
          <w:cols w:num="1" w:space="708" w:equalWidth="0">
            <w:col w:w="10561" w:space="0"/>
          </w:cols>
        </w:sectPr>
      </w:pPr>
    </w:p>
    <w:p>
      <w:pPr>
        <w:spacing w:before="42" w:line="224" w:lineRule="auto"/>
        <w:ind w:left="462"/>
        <w:rPr>
          <w:rFonts w:ascii="FangSong" w:eastAsia="FangSong" w:hAnsi="FangSong" w:cs="FangSong"/>
          <w:sz w:val="18"/>
          <w:szCs w:val="18"/>
        </w:rPr>
      </w:pPr>
      <w:r>
        <w:rPr>
          <w:rFonts w:ascii="FangSong" w:eastAsia="FangSong" w:hAnsi="FangSong" w:cs="FangSong"/>
          <w:b/>
          <w:bCs/>
          <w:spacing w:val="-6"/>
          <w:sz w:val="18"/>
          <w:szCs w:val="18"/>
        </w:rPr>
        <w:t>项</w:t>
      </w:r>
      <w:r>
        <w:rPr>
          <w:rFonts w:ascii="FangSong" w:eastAsia="FangSong" w:hAnsi="FangSong" w:cs="FangSong"/>
          <w:spacing w:val="-6"/>
          <w:sz w:val="18"/>
          <w:szCs w:val="18"/>
        </w:rPr>
        <w:t xml:space="preserve"> </w:t>
      </w:r>
      <w:r>
        <w:rPr>
          <w:rFonts w:ascii="FangSong" w:eastAsia="FangSong" w:hAnsi="FangSong" w:cs="FangSong"/>
          <w:b/>
          <w:bCs/>
          <w:spacing w:val="-6"/>
          <w:sz w:val="18"/>
          <w:szCs w:val="18"/>
        </w:rPr>
        <w:t>目</w:t>
      </w:r>
    </w:p>
    <w:p>
      <w:pPr>
        <w:spacing w:line="317" w:lineRule="auto"/>
        <w:rPr>
          <w:rFonts w:ascii="Arial"/>
          <w:sz w:val="21"/>
        </w:rPr>
      </w:pPr>
    </w:p>
    <w:p>
      <w:pPr>
        <w:spacing w:line="317" w:lineRule="auto"/>
        <w:rPr>
          <w:rFonts w:ascii="Arial"/>
          <w:sz w:val="21"/>
        </w:rPr>
      </w:pPr>
    </w:p>
    <w:p>
      <w:pPr>
        <w:spacing w:line="317" w:lineRule="auto"/>
        <w:rPr>
          <w:rFonts w:ascii="Arial"/>
          <w:sz w:val="21"/>
        </w:rPr>
      </w:pPr>
    </w:p>
    <w:p>
      <w:pPr>
        <w:pStyle w:val="BodyText"/>
        <w:spacing w:before="58" w:line="229" w:lineRule="auto"/>
        <w:ind w:left="460"/>
        <w:rPr>
          <w:sz w:val="18"/>
          <w:szCs w:val="18"/>
        </w:rPr>
      </w:pPr>
      <w:r>
        <w:rPr>
          <w:spacing w:val="7"/>
          <w:sz w:val="18"/>
          <w:szCs w:val="18"/>
        </w:rPr>
        <w:t>机构</w:t>
      </w:r>
    </w:p>
    <w:p>
      <w:pPr>
        <w:spacing w:line="14" w:lineRule="auto"/>
        <w:rPr>
          <w:rFonts w:ascii="Arial"/>
          <w:sz w:val="2"/>
        </w:rPr>
      </w:pPr>
      <w:r>
        <w:rPr>
          <w:rFonts w:ascii="Arial" w:eastAsia="Arial" w:hAnsi="Arial" w:cs="Arial"/>
          <w:sz w:val="2"/>
          <w:szCs w:val="2"/>
        </w:rPr>
        <w:br w:type="column"/>
      </w:r>
    </w:p>
    <w:p>
      <w:pPr>
        <w:pStyle w:val="BodyText"/>
        <w:spacing w:before="42" w:line="229" w:lineRule="auto"/>
        <w:ind w:left="642"/>
        <w:rPr>
          <w:sz w:val="18"/>
          <w:szCs w:val="18"/>
        </w:rPr>
      </w:pPr>
      <w:r>
        <w:rPr>
          <w:b/>
          <w:bCs/>
          <w:spacing w:val="-4"/>
          <w:sz w:val="18"/>
          <w:szCs w:val="18"/>
        </w:rPr>
        <w:t>委托人</w:t>
      </w: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pStyle w:val="BodyText"/>
        <w:spacing w:before="59" w:line="269" w:lineRule="auto"/>
        <w:ind w:left="640" w:right="139" w:hanging="640"/>
        <w:rPr>
          <w:sz w:val="18"/>
          <w:szCs w:val="18"/>
        </w:rPr>
      </w:pPr>
      <w:r>
        <w:rPr>
          <w:spacing w:val="-3"/>
          <w:sz w:val="18"/>
          <w:szCs w:val="18"/>
        </w:rPr>
        <w:t>省、自治区、直辖市人</w:t>
      </w:r>
      <w:r>
        <w:rPr>
          <w:sz w:val="18"/>
          <w:szCs w:val="18"/>
        </w:rPr>
        <w:t xml:space="preserve"> </w:t>
      </w:r>
      <w:r>
        <w:rPr>
          <w:spacing w:val="-7"/>
          <w:sz w:val="18"/>
          <w:szCs w:val="18"/>
        </w:rPr>
        <w:t>民政府</w:t>
      </w:r>
    </w:p>
    <w:p>
      <w:pPr>
        <w:spacing w:line="14" w:lineRule="auto"/>
        <w:rPr>
          <w:rFonts w:ascii="Arial"/>
          <w:sz w:val="2"/>
        </w:rPr>
      </w:pPr>
      <w:r>
        <w:rPr>
          <w:rFonts w:ascii="Arial" w:eastAsia="Arial" w:hAnsi="Arial" w:cs="Arial"/>
          <w:sz w:val="2"/>
          <w:szCs w:val="2"/>
        </w:rPr>
        <w:br w:type="column"/>
      </w:r>
    </w:p>
    <w:p>
      <w:pPr>
        <w:spacing w:before="42" w:line="224" w:lineRule="auto"/>
        <w:ind w:left="552"/>
        <w:rPr>
          <w:rFonts w:ascii="FangSong" w:eastAsia="FangSong" w:hAnsi="FangSong" w:cs="FangSong"/>
          <w:sz w:val="18"/>
          <w:szCs w:val="18"/>
        </w:rPr>
      </w:pPr>
      <w:r>
        <w:rPr>
          <w:rFonts w:ascii="FangSong" w:eastAsia="FangSong" w:hAnsi="FangSong" w:cs="FangSong"/>
          <w:b/>
          <w:bCs/>
          <w:sz w:val="18"/>
          <w:szCs w:val="18"/>
        </w:rPr>
        <w:t>受托人</w:t>
      </w:r>
    </w:p>
    <w:p>
      <w:pPr>
        <w:spacing w:line="312" w:lineRule="auto"/>
        <w:rPr>
          <w:rFonts w:ascii="Arial"/>
          <w:sz w:val="21"/>
        </w:rPr>
      </w:pPr>
    </w:p>
    <w:p>
      <w:pPr>
        <w:spacing w:line="312" w:lineRule="auto"/>
        <w:rPr>
          <w:rFonts w:ascii="Arial"/>
          <w:sz w:val="21"/>
        </w:rPr>
      </w:pPr>
    </w:p>
    <w:p>
      <w:pPr>
        <w:spacing w:line="312" w:lineRule="auto"/>
        <w:rPr>
          <w:rFonts w:ascii="Arial"/>
          <w:sz w:val="21"/>
        </w:rPr>
      </w:pPr>
    </w:p>
    <w:p>
      <w:pPr>
        <w:pStyle w:val="BodyText"/>
        <w:spacing w:before="59" w:line="224" w:lineRule="auto"/>
        <w:rPr>
          <w:sz w:val="18"/>
          <w:szCs w:val="18"/>
        </w:rPr>
      </w:pPr>
      <w:r>
        <w:rPr>
          <w:spacing w:val="-5"/>
          <w:sz w:val="18"/>
          <w:szCs w:val="18"/>
        </w:rPr>
        <w:t>全国社保基金理事会</w:t>
      </w:r>
    </w:p>
    <w:p>
      <w:pPr>
        <w:spacing w:line="14" w:lineRule="auto"/>
        <w:rPr>
          <w:rFonts w:ascii="Arial"/>
          <w:sz w:val="2"/>
        </w:rPr>
      </w:pPr>
      <w:r>
        <w:rPr>
          <w:rFonts w:ascii="Arial" w:eastAsia="Arial" w:hAnsi="Arial" w:cs="Arial"/>
          <w:sz w:val="2"/>
          <w:szCs w:val="2"/>
        </w:rPr>
        <w:br w:type="column"/>
      </w:r>
    </w:p>
    <w:p>
      <w:pPr>
        <w:pStyle w:val="BodyText"/>
        <w:spacing w:before="36" w:line="223" w:lineRule="auto"/>
        <w:ind w:left="35"/>
        <w:rPr>
          <w:sz w:val="18"/>
          <w:szCs w:val="18"/>
        </w:rPr>
      </w:pPr>
      <w:r>
        <w:rPr>
          <w:b/>
          <w:bCs/>
          <w:spacing w:val="-3"/>
          <w:sz w:val="18"/>
          <w:szCs w:val="18"/>
        </w:rPr>
        <w:t>基本养老保险基金托管机构</w:t>
      </w:r>
      <w:r>
        <w:rPr>
          <w:spacing w:val="27"/>
          <w:sz w:val="18"/>
          <w:szCs w:val="18"/>
        </w:rPr>
        <w:t xml:space="preserve">   </w:t>
      </w:r>
      <w:r>
        <w:rPr>
          <w:b/>
          <w:bCs/>
          <w:spacing w:val="-3"/>
          <w:sz w:val="18"/>
          <w:szCs w:val="18"/>
        </w:rPr>
        <w:t>基本养老保险基金投资管理机构</w:t>
      </w:r>
    </w:p>
    <w:p>
      <w:pPr>
        <w:pStyle w:val="BodyText"/>
        <w:spacing w:before="65" w:line="222" w:lineRule="auto"/>
        <w:ind w:left="2292"/>
        <w:rPr>
          <w:sz w:val="18"/>
          <w:szCs w:val="18"/>
        </w:rPr>
      </w:pPr>
      <w:r>
        <w:rPr>
          <w:spacing w:val="-2"/>
          <w:sz w:val="18"/>
          <w:szCs w:val="18"/>
        </w:rPr>
        <w:t>持牌机构：博时基金、长江养老保险、</w:t>
      </w:r>
    </w:p>
    <w:p>
      <w:pPr>
        <w:pStyle w:val="BodyText"/>
        <w:spacing w:before="95" w:line="297" w:lineRule="auto"/>
        <w:ind w:right="130" w:firstLine="2292"/>
        <w:jc w:val="right"/>
        <w:rPr>
          <w:sz w:val="18"/>
          <w:szCs w:val="18"/>
        </w:rPr>
      </w:pPr>
      <w:r>
        <w:rPr>
          <w:spacing w:val="-6"/>
          <w:sz w:val="18"/>
          <w:szCs w:val="18"/>
        </w:rPr>
        <w:t>大成基金、富国基金、工银瑞信、广发</w:t>
      </w:r>
      <w:r>
        <w:rPr>
          <w:spacing w:val="15"/>
          <w:sz w:val="18"/>
          <w:szCs w:val="18"/>
        </w:rPr>
        <w:t xml:space="preserve"> </w:t>
      </w:r>
      <w:r>
        <w:rPr>
          <w:spacing w:val="1"/>
          <w:sz w:val="18"/>
          <w:szCs w:val="18"/>
        </w:rPr>
        <w:t>持牌机构：农业银行、建设基金、海富通基金、华泰资管</w:t>
      </w:r>
      <w:r>
        <w:rPr>
          <w:sz w:val="18"/>
          <w:szCs w:val="18"/>
        </w:rPr>
        <w:t>、华夏基</w:t>
      </w:r>
      <w:r>
        <w:rPr>
          <w:sz w:val="18"/>
          <w:szCs w:val="18"/>
        </w:rPr>
        <w:t xml:space="preserve"> </w:t>
      </w:r>
      <w:r>
        <w:rPr>
          <w:spacing w:val="-4"/>
          <w:sz w:val="18"/>
          <w:szCs w:val="18"/>
        </w:rPr>
        <w:t>银行、工商银行、中国银行、金、汇添富、嘉</w:t>
      </w:r>
      <w:r>
        <w:rPr>
          <w:spacing w:val="-5"/>
          <w:sz w:val="18"/>
          <w:szCs w:val="18"/>
        </w:rPr>
        <w:t>实基金、南方基金、鹏</w:t>
      </w:r>
      <w:r>
        <w:rPr>
          <w:sz w:val="18"/>
          <w:szCs w:val="18"/>
        </w:rPr>
        <w:t xml:space="preserve"> </w:t>
      </w:r>
      <w:r>
        <w:rPr>
          <w:spacing w:val="-3"/>
          <w:sz w:val="18"/>
          <w:szCs w:val="18"/>
        </w:rPr>
        <w:t>交通银行、招商银行</w:t>
      </w:r>
      <w:r>
        <w:rPr>
          <w:spacing w:val="-3"/>
          <w:sz w:val="18"/>
          <w:szCs w:val="18"/>
        </w:rPr>
        <w:t xml:space="preserve">    </w:t>
      </w:r>
      <w:r>
        <w:rPr>
          <w:spacing w:val="-3"/>
          <w:sz w:val="18"/>
          <w:szCs w:val="18"/>
        </w:rPr>
        <w:t>华基金、平安养老保险、泰康资管、易</w:t>
      </w:r>
    </w:p>
    <w:p>
      <w:pPr>
        <w:pStyle w:val="BodyText"/>
        <w:spacing w:before="91" w:line="223" w:lineRule="auto"/>
        <w:ind w:left="2292"/>
        <w:rPr>
          <w:sz w:val="18"/>
          <w:szCs w:val="18"/>
        </w:rPr>
      </w:pPr>
      <w:r>
        <w:rPr>
          <w:spacing w:val="-7"/>
          <w:sz w:val="18"/>
          <w:szCs w:val="18"/>
        </w:rPr>
        <w:t>方达、银华基金、招商基金、人保资产</w:t>
      </w:r>
    </w:p>
    <w:p>
      <w:pPr>
        <w:pStyle w:val="BodyText"/>
        <w:spacing w:before="113" w:line="192" w:lineRule="auto"/>
        <w:ind w:left="2363"/>
        <w:rPr>
          <w:sz w:val="18"/>
          <w:szCs w:val="18"/>
        </w:rPr>
      </w:pPr>
      <w:r>
        <w:rPr>
          <w:spacing w:val="-1"/>
          <w:sz w:val="18"/>
          <w:szCs w:val="18"/>
        </w:rPr>
        <w:t>管理、中国人寿养老保险、中信证券</w:t>
      </w:r>
    </w:p>
    <w:p>
      <w:pPr>
        <w:spacing w:line="192" w:lineRule="auto"/>
        <w:rPr>
          <w:sz w:val="18"/>
          <w:szCs w:val="18"/>
        </w:rPr>
        <w:sectPr>
          <w:footerReference w:type="default" r:id="rId53"/>
          <w:type w:val="continuous"/>
          <w:pgSz w:w="11910" w:h="16840"/>
          <w:pgMar w:top="156" w:right="660" w:bottom="1129" w:left="689" w:header="0" w:footer="862" w:gutter="0"/>
          <w:pgNumType w:start="26"/>
          <w:cols w:num="4" w:space="708" w:equalWidth="0">
            <w:col w:w="1291" w:space="100"/>
            <w:col w:w="1911" w:space="100"/>
            <w:col w:w="1658" w:space="100"/>
            <w:col w:w="5403" w:space="0"/>
          </w:cols>
        </w:sectPr>
      </w:pPr>
    </w:p>
    <w:p>
      <w:pPr>
        <w:spacing w:line="82" w:lineRule="exact"/>
      </w:pPr>
    </w:p>
    <w:p>
      <w:pPr>
        <w:spacing w:line="82" w:lineRule="exact"/>
        <w:sectPr>
          <w:footerReference w:type="default" r:id="rId54"/>
          <w:type w:val="continuous"/>
          <w:pgSz w:w="11910" w:h="16840"/>
          <w:pgMar w:top="156" w:right="660" w:bottom="1129" w:left="689" w:header="0" w:footer="862" w:gutter="0"/>
          <w:pgNumType w:start="27"/>
          <w:cols w:num="1" w:space="708" w:equalWidth="0">
            <w:col w:w="10561" w:space="0"/>
          </w:cols>
        </w:sect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70" w:lineRule="auto"/>
        <w:rPr>
          <w:rFonts w:ascii="Arial"/>
          <w:sz w:val="21"/>
        </w:rPr>
      </w:pPr>
    </w:p>
    <w:p>
      <w:pPr>
        <w:pStyle w:val="BodyText"/>
        <w:spacing w:before="58" w:line="224" w:lineRule="auto"/>
        <w:ind w:left="460"/>
        <w:rPr>
          <w:sz w:val="18"/>
          <w:szCs w:val="18"/>
        </w:rPr>
      </w:pPr>
      <w:r>
        <w:rPr>
          <w:spacing w:val="-2"/>
          <w:sz w:val="18"/>
          <w:szCs w:val="18"/>
        </w:rPr>
        <w:t>职责</w:t>
      </w:r>
    </w:p>
    <w:p>
      <w:pPr>
        <w:spacing w:line="14" w:lineRule="auto"/>
        <w:rPr>
          <w:rFonts w:ascii="Arial"/>
          <w:sz w:val="2"/>
        </w:rPr>
      </w:pPr>
      <w:r>
        <w:rPr>
          <w:rFonts w:ascii="Arial" w:eastAsia="Arial" w:hAnsi="Arial" w:cs="Arial"/>
          <w:sz w:val="2"/>
          <w:szCs w:val="2"/>
        </w:rPr>
        <w:br w:type="column"/>
      </w:r>
    </w:p>
    <w:p>
      <w:pPr>
        <w:pStyle w:val="BodyText"/>
        <w:spacing w:before="36" w:line="275" w:lineRule="auto"/>
        <w:ind w:right="32"/>
        <w:rPr>
          <w:sz w:val="18"/>
          <w:szCs w:val="18"/>
        </w:rPr>
      </w:pPr>
      <w:r>
        <w:rPr>
          <w:spacing w:val="-2"/>
          <w:sz w:val="18"/>
          <w:szCs w:val="18"/>
        </w:rPr>
        <w:t>养老金归集，向受托机</w:t>
      </w:r>
      <w:r>
        <w:rPr>
          <w:spacing w:val="6"/>
          <w:sz w:val="18"/>
          <w:szCs w:val="18"/>
        </w:rPr>
        <w:t xml:space="preserve"> </w:t>
      </w:r>
      <w:r>
        <w:rPr>
          <w:spacing w:val="-6"/>
          <w:sz w:val="18"/>
          <w:szCs w:val="18"/>
        </w:rPr>
        <w:t>构划拨委托投资资金；</w:t>
      </w:r>
    </w:p>
    <w:p>
      <w:pPr>
        <w:pStyle w:val="BodyText"/>
        <w:spacing w:before="88" w:line="224" w:lineRule="auto"/>
        <w:rPr>
          <w:sz w:val="18"/>
          <w:szCs w:val="18"/>
        </w:rPr>
      </w:pPr>
      <w:r>
        <w:rPr>
          <w:spacing w:val="-2"/>
          <w:sz w:val="18"/>
          <w:szCs w:val="18"/>
        </w:rPr>
        <w:t>向受托机资料来源：开</w:t>
      </w:r>
    </w:p>
    <w:p>
      <w:pPr>
        <w:pStyle w:val="BodyText"/>
        <w:spacing w:before="92" w:line="225" w:lineRule="auto"/>
        <w:rPr>
          <w:sz w:val="18"/>
          <w:szCs w:val="18"/>
        </w:rPr>
      </w:pPr>
      <w:r>
        <w:rPr>
          <w:spacing w:val="-2"/>
          <w:sz w:val="18"/>
          <w:szCs w:val="18"/>
        </w:rPr>
        <w:t>源证券研究所构下达划</w:t>
      </w:r>
    </w:p>
    <w:p>
      <w:pPr>
        <w:pStyle w:val="BodyText"/>
        <w:spacing w:before="91" w:line="226" w:lineRule="auto"/>
        <w:ind w:left="100"/>
        <w:rPr>
          <w:sz w:val="18"/>
          <w:szCs w:val="18"/>
        </w:rPr>
      </w:pPr>
      <w:r>
        <w:rPr>
          <w:sz w:val="18"/>
          <w:szCs w:val="18"/>
        </w:rPr>
        <w:t>回委托投资资金的指</w:t>
      </w:r>
    </w:p>
    <w:p>
      <w:pPr>
        <w:pStyle w:val="BodyText"/>
        <w:spacing w:before="95" w:line="220" w:lineRule="auto"/>
        <w:rPr>
          <w:sz w:val="18"/>
          <w:szCs w:val="18"/>
        </w:rPr>
      </w:pPr>
      <w:r>
        <w:rPr>
          <w:spacing w:val="-1"/>
          <w:sz w:val="18"/>
          <w:szCs w:val="18"/>
        </w:rPr>
        <w:t>令，接收划回的投资资</w:t>
      </w:r>
    </w:p>
    <w:p>
      <w:pPr>
        <w:pStyle w:val="BodyText"/>
        <w:spacing w:before="115" w:line="192" w:lineRule="auto"/>
        <w:rPr>
          <w:sz w:val="18"/>
          <w:szCs w:val="18"/>
        </w:rPr>
      </w:pPr>
      <w:r>
        <w:rPr>
          <w:spacing w:val="-3"/>
          <w:sz w:val="18"/>
          <w:szCs w:val="18"/>
        </w:rPr>
        <w:t>金，进行养老基金的记</w:t>
      </w:r>
    </w:p>
    <w:p>
      <w:pPr>
        <w:spacing w:line="14" w:lineRule="auto"/>
        <w:rPr>
          <w:rFonts w:ascii="Arial"/>
          <w:sz w:val="2"/>
        </w:rPr>
      </w:pPr>
      <w:r>
        <w:rPr>
          <w:rFonts w:ascii="Arial" w:eastAsia="Arial" w:hAnsi="Arial" w:cs="Arial"/>
          <w:sz w:val="2"/>
          <w:szCs w:val="2"/>
        </w:rPr>
        <w:br w:type="column"/>
      </w:r>
    </w:p>
    <w:p>
      <w:pPr>
        <w:pStyle w:val="BodyText"/>
        <w:spacing w:before="34" w:line="295" w:lineRule="auto"/>
        <w:ind w:left="30" w:hanging="30"/>
        <w:rPr>
          <w:sz w:val="18"/>
          <w:szCs w:val="18"/>
        </w:rPr>
      </w:pPr>
      <w:r>
        <w:rPr>
          <w:spacing w:val="-5"/>
          <w:sz w:val="18"/>
          <w:szCs w:val="18"/>
        </w:rPr>
        <w:t>选择、监督、更换托管</w:t>
      </w:r>
      <w:r>
        <w:rPr>
          <w:spacing w:val="2"/>
          <w:sz w:val="18"/>
          <w:szCs w:val="18"/>
        </w:rPr>
        <w:t xml:space="preserve"> </w:t>
      </w:r>
      <w:r>
        <w:rPr>
          <w:spacing w:val="-4"/>
          <w:sz w:val="18"/>
          <w:szCs w:val="18"/>
        </w:rPr>
        <w:t>机构、投资管理机构；</w:t>
      </w:r>
      <w:r>
        <w:rPr>
          <w:spacing w:val="1"/>
          <w:sz w:val="18"/>
          <w:szCs w:val="18"/>
        </w:rPr>
        <w:t xml:space="preserve"> </w:t>
      </w:r>
      <w:r>
        <w:rPr>
          <w:spacing w:val="1"/>
          <w:sz w:val="18"/>
          <w:szCs w:val="18"/>
        </w:rPr>
        <w:t>制定养老基金投资运</w:t>
      </w:r>
      <w:r>
        <w:rPr>
          <w:sz w:val="18"/>
          <w:szCs w:val="18"/>
        </w:rPr>
        <w:t xml:space="preserve">  </w:t>
      </w:r>
      <w:r>
        <w:rPr>
          <w:spacing w:val="3"/>
          <w:sz w:val="18"/>
          <w:szCs w:val="18"/>
        </w:rPr>
        <w:t>营策略并组织实施；</w:t>
      </w:r>
    </w:p>
    <w:p>
      <w:pPr>
        <w:pStyle w:val="BodyText"/>
        <w:spacing w:before="95" w:line="285" w:lineRule="auto"/>
        <w:ind w:right="19" w:firstLine="30"/>
        <w:rPr>
          <w:sz w:val="18"/>
          <w:szCs w:val="18"/>
        </w:rPr>
      </w:pPr>
      <w:r>
        <w:rPr>
          <w:spacing w:val="-6"/>
          <w:sz w:val="18"/>
          <w:szCs w:val="18"/>
        </w:rPr>
        <w:t>根据托管合同、投资管</w:t>
      </w:r>
      <w:r>
        <w:rPr>
          <w:spacing w:val="2"/>
          <w:sz w:val="18"/>
          <w:szCs w:val="18"/>
        </w:rPr>
        <w:t xml:space="preserve"> </w:t>
      </w:r>
      <w:r>
        <w:rPr>
          <w:spacing w:val="11"/>
          <w:sz w:val="18"/>
          <w:szCs w:val="18"/>
        </w:rPr>
        <w:t>理合同对养老基金托</w:t>
      </w:r>
      <w:r>
        <w:rPr>
          <w:spacing w:val="7"/>
          <w:sz w:val="18"/>
          <w:szCs w:val="18"/>
        </w:rPr>
        <w:t xml:space="preserve"> </w:t>
      </w:r>
      <w:r>
        <w:rPr>
          <w:spacing w:val="-6"/>
          <w:sz w:val="18"/>
          <w:szCs w:val="18"/>
        </w:rPr>
        <w:t>管、投资情况进行监督</w:t>
      </w:r>
    </w:p>
    <w:p>
      <w:pPr>
        <w:spacing w:line="14" w:lineRule="auto"/>
        <w:rPr>
          <w:rFonts w:ascii="Arial"/>
          <w:sz w:val="2"/>
        </w:rPr>
      </w:pPr>
      <w:r>
        <w:rPr>
          <w:rFonts w:ascii="Arial" w:eastAsia="Arial" w:hAnsi="Arial" w:cs="Arial"/>
          <w:sz w:val="2"/>
          <w:szCs w:val="2"/>
        </w:rPr>
        <w:br w:type="column"/>
      </w:r>
    </w:p>
    <w:p>
      <w:pPr>
        <w:spacing w:line="437" w:lineRule="auto"/>
        <w:rPr>
          <w:rFonts w:ascii="Arial"/>
          <w:sz w:val="21"/>
        </w:rPr>
      </w:pPr>
    </w:p>
    <w:p>
      <w:pPr>
        <w:pStyle w:val="BodyText"/>
        <w:spacing w:before="59" w:line="223" w:lineRule="auto"/>
        <w:ind w:left="100"/>
        <w:rPr>
          <w:sz w:val="18"/>
          <w:szCs w:val="18"/>
        </w:rPr>
      </w:pPr>
      <w:r>
        <w:rPr>
          <w:spacing w:val="-4"/>
          <w:sz w:val="18"/>
          <w:szCs w:val="18"/>
        </w:rPr>
        <w:t>安全保管养老基金资产；</w:t>
      </w:r>
    </w:p>
    <w:p>
      <w:pPr>
        <w:pStyle w:val="BodyText"/>
        <w:spacing w:before="93" w:line="293" w:lineRule="auto"/>
        <w:ind w:right="16"/>
        <w:rPr>
          <w:sz w:val="18"/>
          <w:szCs w:val="18"/>
        </w:rPr>
      </w:pPr>
      <w:r>
        <w:rPr>
          <w:spacing w:val="-3"/>
          <w:sz w:val="18"/>
          <w:szCs w:val="18"/>
        </w:rPr>
        <w:t>负责养老基金会计核算和估</w:t>
      </w:r>
      <w:r>
        <w:rPr>
          <w:spacing w:val="2"/>
          <w:sz w:val="18"/>
          <w:szCs w:val="18"/>
        </w:rPr>
        <w:t xml:space="preserve"> </w:t>
      </w:r>
      <w:r>
        <w:rPr>
          <w:spacing w:val="-3"/>
          <w:sz w:val="18"/>
          <w:szCs w:val="18"/>
        </w:rPr>
        <w:t>值，复核、审查和确认投资</w:t>
      </w:r>
      <w:r>
        <w:rPr>
          <w:spacing w:val="3"/>
          <w:sz w:val="18"/>
          <w:szCs w:val="18"/>
        </w:rPr>
        <w:t xml:space="preserve"> </w:t>
      </w:r>
      <w:r>
        <w:rPr>
          <w:spacing w:val="-2"/>
          <w:sz w:val="18"/>
          <w:szCs w:val="18"/>
        </w:rPr>
        <w:t>管理机构计算的基金资产净</w:t>
      </w:r>
    </w:p>
    <w:p>
      <w:pPr>
        <w:pStyle w:val="BodyText"/>
        <w:spacing w:before="85" w:line="226" w:lineRule="auto"/>
        <w:ind w:left="900"/>
        <w:rPr>
          <w:sz w:val="18"/>
          <w:szCs w:val="18"/>
        </w:rPr>
      </w:pPr>
      <w:r>
        <w:rPr>
          <w:spacing w:val="-1"/>
          <w:sz w:val="18"/>
          <w:szCs w:val="18"/>
        </w:rPr>
        <w:t>值等</w:t>
      </w:r>
    </w:p>
    <w:p>
      <w:pPr>
        <w:spacing w:line="14" w:lineRule="auto"/>
        <w:rPr>
          <w:rFonts w:ascii="Arial"/>
          <w:sz w:val="2"/>
        </w:rPr>
      </w:pPr>
      <w:r>
        <w:rPr>
          <w:rFonts w:ascii="Arial" w:eastAsia="Arial" w:hAnsi="Arial" w:cs="Arial"/>
          <w:sz w:val="2"/>
          <w:szCs w:val="2"/>
        </w:rPr>
        <w:br w:type="column"/>
      </w:r>
    </w:p>
    <w:p>
      <w:pPr>
        <w:spacing w:line="307" w:lineRule="auto"/>
        <w:rPr>
          <w:rFonts w:ascii="Arial"/>
          <w:sz w:val="21"/>
        </w:rPr>
      </w:pPr>
    </w:p>
    <w:p>
      <w:pPr>
        <w:spacing w:line="307" w:lineRule="auto"/>
        <w:rPr>
          <w:rFonts w:ascii="Arial"/>
          <w:sz w:val="21"/>
        </w:rPr>
      </w:pPr>
    </w:p>
    <w:p>
      <w:pPr>
        <w:pStyle w:val="BodyText"/>
        <w:spacing w:before="59" w:line="267" w:lineRule="auto"/>
        <w:ind w:left="949" w:right="131" w:hanging="949"/>
        <w:rPr>
          <w:sz w:val="18"/>
          <w:szCs w:val="18"/>
        </w:rPr>
      </w:pPr>
      <w:r>
        <w:rPr>
          <w:spacing w:val="-5"/>
          <w:sz w:val="18"/>
          <w:szCs w:val="18"/>
        </w:rPr>
        <w:t>按照投资管理合同，管理养老基金投资</w:t>
      </w:r>
      <w:r>
        <w:rPr>
          <w:spacing w:val="2"/>
          <w:sz w:val="18"/>
          <w:szCs w:val="18"/>
        </w:rPr>
        <w:t xml:space="preserve"> </w:t>
      </w:r>
      <w:r>
        <w:rPr>
          <w:spacing w:val="-3"/>
          <w:sz w:val="18"/>
          <w:szCs w:val="18"/>
        </w:rPr>
        <w:t>组合和项目；</w:t>
      </w:r>
    </w:p>
    <w:p>
      <w:pPr>
        <w:pStyle w:val="BodyText"/>
        <w:spacing w:before="82" w:line="278" w:lineRule="auto"/>
        <w:ind w:left="870" w:right="235" w:hanging="870"/>
        <w:rPr>
          <w:sz w:val="18"/>
          <w:szCs w:val="18"/>
        </w:rPr>
      </w:pPr>
      <w:r>
        <w:rPr>
          <w:spacing w:val="-1"/>
          <w:sz w:val="18"/>
          <w:szCs w:val="18"/>
        </w:rPr>
        <w:t>对所管理的不同养老基金资产分别管</w:t>
      </w:r>
      <w:r>
        <w:rPr>
          <w:spacing w:val="9"/>
          <w:sz w:val="18"/>
          <w:szCs w:val="18"/>
        </w:rPr>
        <w:t xml:space="preserve"> </w:t>
      </w:r>
      <w:r>
        <w:rPr>
          <w:spacing w:val="-1"/>
          <w:sz w:val="18"/>
          <w:szCs w:val="18"/>
        </w:rPr>
        <w:t>理、分别记账等</w:t>
      </w:r>
    </w:p>
    <w:p>
      <w:pPr>
        <w:spacing w:line="278" w:lineRule="auto"/>
        <w:rPr>
          <w:sz w:val="18"/>
          <w:szCs w:val="18"/>
        </w:rPr>
        <w:sectPr>
          <w:footerReference w:type="default" r:id="rId55"/>
          <w:type w:val="continuous"/>
          <w:pgSz w:w="11910" w:h="16840"/>
          <w:pgMar w:top="156" w:right="660" w:bottom="1129" w:left="689" w:header="0" w:footer="862" w:gutter="0"/>
          <w:pgNumType w:start="28"/>
          <w:cols w:num="5" w:space="708" w:equalWidth="0">
            <w:col w:w="1291" w:space="100"/>
            <w:col w:w="1821" w:space="100"/>
            <w:col w:w="1793" w:space="87"/>
            <w:col w:w="2161" w:space="100"/>
            <w:col w:w="3110" w:space="0"/>
          </w:cols>
        </w:sectPr>
      </w:pPr>
    </w:p>
    <w:p>
      <w:pPr>
        <w:pStyle w:val="BodyText"/>
        <w:spacing w:before="120" w:line="228" w:lineRule="auto"/>
        <w:ind w:left="1072"/>
        <w:rPr>
          <w:sz w:val="17"/>
          <w:szCs w:val="17"/>
        </w:rPr>
      </w:pPr>
      <w:r>
        <w:pict>
          <v:rect id="_x0000_s1046" style="width:524.05pt;height:0.5pt;margin-top:14.02pt;margin-left:1.5pt;position:absolute;z-index:251679744" filled="t" fillcolor="black" stroked="f"/>
        </w:pict>
      </w:r>
      <w:r>
        <w:pict>
          <v:shape id="_x0000_s1047" type="#_x0000_t202" style="width:10.15pt;height:12.1pt;margin-top:4.95pt;margin-left:203.75pt;position:absolute;z-index:251678720" filled="f" stroked="f">
            <o:lock v:ext="edit" aspectratio="f"/>
            <v:textbox inset="0,0,0,0">
              <w:txbxContent>
                <w:p>
                  <w:pPr>
                    <w:spacing w:before="20" w:line="219" w:lineRule="auto"/>
                    <w:ind w:left="20"/>
                    <w:rPr>
                      <w:rFonts w:ascii="SimSun" w:eastAsia="SimSun" w:hAnsi="SimSun" w:cs="SimSun"/>
                      <w:sz w:val="17"/>
                      <w:szCs w:val="17"/>
                    </w:rPr>
                  </w:pPr>
                  <w:r>
                    <w:rPr>
                      <w:rFonts w:ascii="SimSun" w:eastAsia="SimSun" w:hAnsi="SimSun" w:cs="SimSun"/>
                      <w:sz w:val="17"/>
                      <w:szCs w:val="17"/>
                    </w:rPr>
                    <w:t>等</w:t>
                  </w:r>
                </w:p>
              </w:txbxContent>
            </v:textbox>
          </v:shape>
        </w:pict>
      </w:r>
      <w:r>
        <w:rPr>
          <w:spacing w:val="-8"/>
          <w:sz w:val="17"/>
          <w:szCs w:val="17"/>
        </w:rPr>
        <w:t>账</w:t>
      </w:r>
      <w:r>
        <w:rPr>
          <w:spacing w:val="-8"/>
          <w:sz w:val="17"/>
          <w:szCs w:val="17"/>
        </w:rPr>
        <w:t xml:space="preserve"> </w:t>
      </w:r>
      <w:r>
        <w:rPr>
          <w:spacing w:val="-8"/>
          <w:sz w:val="17"/>
          <w:szCs w:val="17"/>
        </w:rPr>
        <w:t>、</w:t>
      </w:r>
      <w:r>
        <w:rPr>
          <w:spacing w:val="-8"/>
          <w:sz w:val="17"/>
          <w:szCs w:val="17"/>
        </w:rPr>
        <w:t xml:space="preserve"> </w:t>
      </w:r>
      <w:r>
        <w:rPr>
          <w:spacing w:val="-8"/>
          <w:sz w:val="17"/>
          <w:szCs w:val="17"/>
        </w:rPr>
        <w:t>结</w:t>
      </w:r>
      <w:r>
        <w:rPr>
          <w:spacing w:val="-15"/>
          <w:sz w:val="17"/>
          <w:szCs w:val="17"/>
        </w:rPr>
        <w:t xml:space="preserve"> </w:t>
      </w:r>
      <w:r>
        <w:rPr>
          <w:spacing w:val="-8"/>
          <w:sz w:val="17"/>
          <w:szCs w:val="17"/>
        </w:rPr>
        <w:t>算</w:t>
      </w:r>
      <w:r>
        <w:rPr>
          <w:spacing w:val="-17"/>
          <w:sz w:val="17"/>
          <w:szCs w:val="17"/>
        </w:rPr>
        <w:t xml:space="preserve"> </w:t>
      </w:r>
      <w:r>
        <w:rPr>
          <w:spacing w:val="-8"/>
          <w:sz w:val="17"/>
          <w:szCs w:val="17"/>
        </w:rPr>
        <w:t>和</w:t>
      </w:r>
      <w:r>
        <w:rPr>
          <w:spacing w:val="-9"/>
          <w:sz w:val="17"/>
          <w:szCs w:val="17"/>
        </w:rPr>
        <w:t xml:space="preserve"> </w:t>
      </w:r>
      <w:r>
        <w:rPr>
          <w:spacing w:val="-8"/>
          <w:sz w:val="17"/>
          <w:szCs w:val="17"/>
        </w:rPr>
        <w:t>收</w:t>
      </w:r>
      <w:r>
        <w:rPr>
          <w:spacing w:val="-14"/>
          <w:sz w:val="17"/>
          <w:szCs w:val="17"/>
        </w:rPr>
        <w:t xml:space="preserve"> </w:t>
      </w:r>
      <w:r>
        <w:rPr>
          <w:spacing w:val="-8"/>
          <w:sz w:val="17"/>
          <w:szCs w:val="17"/>
        </w:rPr>
        <w:t>益</w:t>
      </w:r>
      <w:r>
        <w:rPr>
          <w:spacing w:val="-13"/>
          <w:sz w:val="17"/>
          <w:szCs w:val="17"/>
        </w:rPr>
        <w:t xml:space="preserve"> </w:t>
      </w:r>
      <w:r>
        <w:rPr>
          <w:spacing w:val="-8"/>
          <w:sz w:val="17"/>
          <w:szCs w:val="17"/>
        </w:rPr>
        <w:t>分</w:t>
      </w:r>
      <w:r>
        <w:rPr>
          <w:spacing w:val="-11"/>
          <w:sz w:val="17"/>
          <w:szCs w:val="17"/>
        </w:rPr>
        <w:t xml:space="preserve"> </w:t>
      </w:r>
      <w:r>
        <w:rPr>
          <w:spacing w:val="-8"/>
          <w:sz w:val="17"/>
          <w:szCs w:val="17"/>
        </w:rPr>
        <w:t>配</w:t>
      </w:r>
    </w:p>
    <w:p>
      <w:pPr>
        <w:pStyle w:val="BodyText"/>
        <w:spacing w:before="98" w:line="224" w:lineRule="auto"/>
        <w:ind w:left="30"/>
        <w:rPr>
          <w:sz w:val="18"/>
          <w:szCs w:val="18"/>
        </w:rPr>
      </w:pPr>
      <w:r>
        <w:rPr>
          <w:spacing w:val="-1"/>
          <w:sz w:val="18"/>
          <w:szCs w:val="18"/>
        </w:rPr>
        <w:t>资料来源：国务院、中基协、开源证券研究所</w:t>
      </w:r>
    </w:p>
    <w:p>
      <w:pPr>
        <w:spacing w:line="380" w:lineRule="auto"/>
        <w:rPr>
          <w:rFonts w:ascii="Arial"/>
          <w:sz w:val="21"/>
        </w:rPr>
      </w:pPr>
    </w:p>
    <w:p>
      <w:pPr>
        <w:pStyle w:val="BodyText"/>
        <w:spacing w:before="59" w:line="227" w:lineRule="auto"/>
        <w:ind w:left="2840"/>
        <w:rPr>
          <w:sz w:val="18"/>
          <w:szCs w:val="18"/>
        </w:rPr>
      </w:pPr>
      <w:r>
        <w:rPr>
          <w:spacing w:val="18"/>
          <w:sz w:val="18"/>
          <w:szCs w:val="18"/>
        </w:rPr>
        <w:t>●</w:t>
      </w:r>
      <w:r>
        <w:rPr>
          <w:spacing w:val="6"/>
          <w:sz w:val="18"/>
          <w:szCs w:val="18"/>
        </w:rPr>
        <w:t xml:space="preserve">   </w:t>
      </w:r>
      <w:r>
        <w:rPr>
          <w:b/>
          <w:bCs/>
          <w:spacing w:val="18"/>
          <w:sz w:val="18"/>
          <w:szCs w:val="18"/>
        </w:rPr>
        <w:t>全国社保基金</w:t>
      </w:r>
    </w:p>
    <w:p>
      <w:pPr>
        <w:pStyle w:val="BodyText"/>
        <w:spacing w:before="75" w:line="296" w:lineRule="auto"/>
        <w:ind w:left="2840" w:right="113" w:firstLine="2"/>
        <w:rPr>
          <w:sz w:val="18"/>
          <w:szCs w:val="18"/>
        </w:rPr>
      </w:pPr>
      <w:r>
        <w:rPr>
          <w:b/>
          <w:bCs/>
          <w:spacing w:val="29"/>
          <w:sz w:val="18"/>
          <w:szCs w:val="18"/>
        </w:rPr>
        <w:t>国家社会保障储备用于人口老龄化高峰时期的养老保险等社会保障支出</w:t>
      </w:r>
      <w:r>
        <w:rPr>
          <w:b/>
          <w:bCs/>
          <w:spacing w:val="28"/>
          <w:sz w:val="18"/>
          <w:szCs w:val="18"/>
        </w:rPr>
        <w:t>的补充、调</w:t>
      </w:r>
      <w:r>
        <w:rPr>
          <w:sz w:val="18"/>
          <w:szCs w:val="18"/>
        </w:rPr>
        <w:t xml:space="preserve"> </w:t>
      </w:r>
      <w:r>
        <w:rPr>
          <w:b/>
          <w:bCs/>
          <w:spacing w:val="29"/>
          <w:sz w:val="18"/>
          <w:szCs w:val="18"/>
        </w:rPr>
        <w:t>剂</w:t>
      </w:r>
      <w:r>
        <w:rPr>
          <w:spacing w:val="-13"/>
          <w:sz w:val="18"/>
          <w:szCs w:val="18"/>
        </w:rPr>
        <w:t xml:space="preserve"> </w:t>
      </w:r>
      <w:r>
        <w:rPr>
          <w:b/>
          <w:bCs/>
          <w:spacing w:val="29"/>
          <w:sz w:val="18"/>
          <w:szCs w:val="18"/>
        </w:rPr>
        <w:t>。</w:t>
      </w:r>
      <w:r>
        <w:rPr>
          <w:spacing w:val="29"/>
          <w:sz w:val="18"/>
          <w:szCs w:val="18"/>
        </w:rPr>
        <w:t>全国社保基金是用于人口老龄化高峰时期的社会保障支出的补充和调剂，全国</w:t>
      </w:r>
      <w:r>
        <w:rPr>
          <w:sz w:val="18"/>
          <w:szCs w:val="18"/>
        </w:rPr>
        <w:t xml:space="preserve"> </w:t>
      </w:r>
      <w:r>
        <w:rPr>
          <w:spacing w:val="31"/>
          <w:sz w:val="18"/>
          <w:szCs w:val="18"/>
        </w:rPr>
        <w:t>社保基金由中央财政预算拨款、国有资本划转、基金投资收益和以</w:t>
      </w:r>
      <w:r>
        <w:rPr>
          <w:spacing w:val="30"/>
          <w:sz w:val="18"/>
          <w:szCs w:val="18"/>
        </w:rPr>
        <w:t>国务院批准的其</w:t>
      </w:r>
      <w:r>
        <w:rPr>
          <w:sz w:val="18"/>
          <w:szCs w:val="18"/>
        </w:rPr>
        <w:t xml:space="preserve"> </w:t>
      </w:r>
      <w:r>
        <w:rPr>
          <w:spacing w:val="24"/>
          <w:sz w:val="18"/>
          <w:szCs w:val="18"/>
        </w:rPr>
        <w:t>他方式筹集的资金构成。</w:t>
      </w:r>
    </w:p>
    <w:p>
      <w:pPr>
        <w:spacing w:line="360" w:lineRule="auto"/>
        <w:rPr>
          <w:rFonts w:ascii="Arial"/>
          <w:sz w:val="21"/>
        </w:rPr>
      </w:pPr>
    </w:p>
    <w:p>
      <w:pPr>
        <w:pStyle w:val="BodyText"/>
        <w:spacing w:before="60" w:line="220" w:lineRule="auto"/>
        <w:ind w:left="32"/>
        <w:rPr>
          <w:sz w:val="18"/>
          <w:szCs w:val="18"/>
        </w:rPr>
      </w:pPr>
      <w:r>
        <w:rPr>
          <w:b/>
          <w:bCs/>
          <w:color w:val="000080"/>
          <w:spacing w:val="30"/>
          <w:sz w:val="18"/>
          <w:szCs w:val="18"/>
        </w:rPr>
        <w:t>表4:社保基金为重要补充来源，采用直接投资和委托投资相结合的方式</w:t>
      </w:r>
    </w:p>
    <w:p>
      <w:pPr>
        <w:spacing w:line="65" w:lineRule="exact"/>
      </w:pPr>
    </w:p>
    <w:p>
      <w:pPr>
        <w:spacing w:line="65" w:lineRule="exact"/>
        <w:sectPr>
          <w:footerReference w:type="default" r:id="rId56"/>
          <w:type w:val="continuous"/>
          <w:pgSz w:w="11910" w:h="16840"/>
          <w:pgMar w:top="156" w:right="660" w:bottom="1129" w:left="689" w:header="0" w:footer="862" w:gutter="0"/>
          <w:pgNumType w:start="29"/>
          <w:cols w:num="1" w:space="708" w:equalWidth="0">
            <w:col w:w="10561" w:space="0"/>
          </w:cols>
        </w:sectPr>
      </w:pPr>
    </w:p>
    <w:p>
      <w:pPr>
        <w:spacing w:before="37" w:line="224" w:lineRule="auto"/>
        <w:ind w:left="462"/>
        <w:rPr>
          <w:rFonts w:ascii="FangSong" w:eastAsia="FangSong" w:hAnsi="FangSong" w:cs="FangSong"/>
          <w:sz w:val="18"/>
          <w:szCs w:val="18"/>
        </w:rPr>
      </w:pPr>
      <w:r>
        <w:rPr>
          <w:rFonts w:ascii="FangSong" w:eastAsia="FangSong" w:hAnsi="FangSong" w:cs="FangSong"/>
          <w:b/>
          <w:bCs/>
          <w:spacing w:val="-6"/>
          <w:sz w:val="18"/>
          <w:szCs w:val="18"/>
        </w:rPr>
        <w:t>项</w:t>
      </w:r>
      <w:r>
        <w:rPr>
          <w:rFonts w:ascii="FangSong" w:eastAsia="FangSong" w:hAnsi="FangSong" w:cs="FangSong"/>
          <w:spacing w:val="-6"/>
          <w:sz w:val="18"/>
          <w:szCs w:val="18"/>
        </w:rPr>
        <w:t xml:space="preserve"> </w:t>
      </w:r>
      <w:r>
        <w:rPr>
          <w:rFonts w:ascii="FangSong" w:eastAsia="FangSong" w:hAnsi="FangSong" w:cs="FangSong"/>
          <w:b/>
          <w:bCs/>
          <w:spacing w:val="-6"/>
          <w:sz w:val="18"/>
          <w:szCs w:val="18"/>
        </w:rPr>
        <w:t>目</w:t>
      </w:r>
    </w:p>
    <w:p>
      <w:pPr>
        <w:spacing w:line="470" w:lineRule="auto"/>
        <w:rPr>
          <w:rFonts w:ascii="Arial"/>
          <w:sz w:val="21"/>
        </w:rPr>
      </w:pPr>
    </w:p>
    <w:p>
      <w:pPr>
        <w:pStyle w:val="BodyText"/>
        <w:spacing w:before="59" w:line="224" w:lineRule="auto"/>
        <w:ind w:left="300"/>
        <w:rPr>
          <w:sz w:val="18"/>
          <w:szCs w:val="18"/>
        </w:rPr>
      </w:pPr>
      <w:r>
        <w:rPr>
          <w:spacing w:val="-3"/>
          <w:sz w:val="18"/>
          <w:szCs w:val="18"/>
        </w:rPr>
        <w:t>资金来源</w:t>
      </w:r>
    </w:p>
    <w:p>
      <w:pPr>
        <w:spacing w:line="14" w:lineRule="auto"/>
        <w:rPr>
          <w:rFonts w:ascii="Arial"/>
          <w:sz w:val="2"/>
        </w:rPr>
      </w:pPr>
      <w:r>
        <w:rPr>
          <w:rFonts w:ascii="Arial" w:eastAsia="Arial" w:hAnsi="Arial" w:cs="Arial"/>
          <w:sz w:val="2"/>
          <w:szCs w:val="2"/>
        </w:rPr>
        <w:br w:type="column"/>
      </w:r>
    </w:p>
    <w:p>
      <w:pPr>
        <w:pStyle w:val="BodyText"/>
        <w:spacing w:before="39" w:line="230" w:lineRule="auto"/>
        <w:ind w:left="4162"/>
        <w:rPr>
          <w:sz w:val="18"/>
          <w:szCs w:val="18"/>
        </w:rPr>
      </w:pPr>
      <w:r>
        <w:rPr>
          <w:b/>
          <w:bCs/>
          <w:spacing w:val="-4"/>
          <w:sz w:val="18"/>
          <w:szCs w:val="18"/>
        </w:rPr>
        <w:t>社保基金</w:t>
      </w:r>
    </w:p>
    <w:p>
      <w:pPr>
        <w:pStyle w:val="BodyText"/>
        <w:spacing w:before="68" w:line="220" w:lineRule="auto"/>
        <w:ind w:left="2"/>
        <w:rPr>
          <w:sz w:val="18"/>
          <w:szCs w:val="18"/>
        </w:rPr>
        <w:sectPr>
          <w:footerReference w:type="default" r:id="rId57"/>
          <w:type w:val="continuous"/>
          <w:pgSz w:w="11910" w:h="16840"/>
          <w:pgMar w:top="156" w:right="660" w:bottom="1129" w:left="689" w:header="0" w:footer="862" w:gutter="0"/>
          <w:pgNumType w:start="30"/>
          <w:cols w:num="2" w:space="708" w:equalWidth="0">
            <w:col w:w="1291" w:space="100"/>
            <w:col w:w="9170" w:space="0"/>
          </w:cols>
        </w:sectPr>
      </w:pPr>
      <w:r>
        <w:rPr>
          <w:b/>
          <w:bCs/>
          <w:spacing w:val="-2"/>
          <w:sz w:val="18"/>
          <w:szCs w:val="18"/>
        </w:rPr>
        <w:t>(1)全国社保基金：</w:t>
      </w:r>
      <w:r>
        <w:rPr>
          <w:spacing w:val="51"/>
          <w:sz w:val="18"/>
          <w:szCs w:val="18"/>
        </w:rPr>
        <w:t xml:space="preserve"> </w:t>
      </w:r>
      <w:r>
        <w:rPr>
          <w:spacing w:val="-2"/>
          <w:sz w:val="18"/>
          <w:szCs w:val="18"/>
        </w:rPr>
        <w:t>国家社会保障储备基金，用于人口老龄化高峰时期的养老保险等社会保障支出的补充、调剂全</w:t>
      </w:r>
    </w:p>
    <w:p>
      <w:pPr>
        <w:pStyle w:val="BodyText"/>
        <w:spacing w:before="80" w:line="259" w:lineRule="auto"/>
        <w:ind w:left="2" w:right="738" w:hanging="2"/>
        <w:rPr>
          <w:sz w:val="18"/>
          <w:szCs w:val="18"/>
        </w:rPr>
      </w:pPr>
      <w:r>
        <w:rPr>
          <w:spacing w:val="-1"/>
          <w:sz w:val="18"/>
          <w:szCs w:val="18"/>
        </w:rPr>
        <w:t>国社保基金由中央财政预算拨款、国有资本划转、基金投资收益和以国务院批准的其他方式筹集的资金构成</w:t>
      </w:r>
      <w:r>
        <w:rPr>
          <w:spacing w:val="17"/>
          <w:sz w:val="18"/>
          <w:szCs w:val="18"/>
        </w:rPr>
        <w:t xml:space="preserve"> </w:t>
      </w:r>
      <w:r>
        <w:rPr>
          <w:b/>
          <w:bCs/>
          <w:spacing w:val="-2"/>
          <w:sz w:val="18"/>
          <w:szCs w:val="18"/>
        </w:rPr>
        <w:t>(2)个人账户基金：</w:t>
      </w:r>
      <w:r>
        <w:rPr>
          <w:spacing w:val="22"/>
          <w:sz w:val="18"/>
          <w:szCs w:val="18"/>
        </w:rPr>
        <w:t xml:space="preserve"> </w:t>
      </w:r>
      <w:r>
        <w:rPr>
          <w:spacing w:val="-2"/>
          <w:sz w:val="18"/>
          <w:szCs w:val="18"/>
        </w:rPr>
        <w:t>基本养老保险个人账户中央补助资金</w:t>
      </w:r>
      <w:r>
        <w:rPr>
          <w:spacing w:val="-3"/>
          <w:sz w:val="18"/>
          <w:szCs w:val="18"/>
        </w:rPr>
        <w:t>及其投资收益</w:t>
      </w:r>
    </w:p>
    <w:p>
      <w:pPr>
        <w:spacing w:line="259" w:lineRule="auto"/>
        <w:rPr>
          <w:sz w:val="18"/>
          <w:szCs w:val="18"/>
        </w:rPr>
        <w:sectPr>
          <w:footerReference w:type="default" r:id="rId58"/>
          <w:type w:val="nextPage"/>
          <w:pgSz w:w="11910" w:h="16840"/>
          <w:pgMar w:top="156" w:right="660" w:bottom="1129" w:left="689" w:header="0" w:footer="862" w:gutter="0"/>
          <w:pgNumType w:start="31"/>
          <w:cols w:num="2" w:space="708" w:equalWidth="0">
            <w:col w:w="1291" w:space="100"/>
            <w:col w:w="9170" w:space="0"/>
          </w:cols>
          <w:titlePg w:val="0"/>
        </w:sectPr>
      </w:pPr>
    </w:p>
    <w:p>
      <w:pPr>
        <w:pStyle w:val="BodyText"/>
        <w:tabs>
          <w:tab w:val="left" w:pos="805"/>
        </w:tabs>
        <w:spacing w:before="144" w:line="254" w:lineRule="auto"/>
        <w:ind w:left="173" w:right="130" w:hanging="143"/>
        <w:rPr>
          <w:sz w:val="17"/>
          <w:szCs w:val="17"/>
        </w:rPr>
      </w:pPr>
      <w:r>
        <w:rPr>
          <w:sz w:val="18"/>
          <w:szCs w:val="18"/>
          <w:u w:val="single" w:color="auto"/>
        </w:rPr>
        <w:tab/>
      </w:r>
      <w:r>
        <w:rPr>
          <w:sz w:val="18"/>
          <w:szCs w:val="18"/>
          <w:u w:val="single" w:color="auto"/>
        </w:rPr>
        <w:tab/>
      </w:r>
      <w:r>
        <w:rPr>
          <w:spacing w:val="14"/>
          <w:sz w:val="18"/>
          <w:szCs w:val="18"/>
          <w:u w:val="single" w:color="auto"/>
        </w:rPr>
        <w:t>(3)地方委托资金；山东省人民政府委托社保基金会管理的部分企业职工基本养老保险基金结余资金及其投资</w:t>
      </w:r>
      <w:r>
        <w:rPr>
          <w:spacing w:val="13"/>
          <w:sz w:val="18"/>
          <w:szCs w:val="18"/>
          <w:u w:val="single" w:color="auto"/>
        </w:rPr>
        <w:t>收益</w:t>
      </w:r>
      <w:r>
        <w:rPr>
          <w:sz w:val="18"/>
          <w:szCs w:val="18"/>
        </w:rPr>
        <w:t xml:space="preserve"> </w:t>
      </w:r>
      <w:r>
        <w:rPr>
          <w:spacing w:val="-8"/>
          <w:sz w:val="17"/>
          <w:szCs w:val="17"/>
        </w:rPr>
        <w:t>投</w:t>
      </w:r>
      <w:r>
        <w:rPr>
          <w:spacing w:val="-12"/>
          <w:sz w:val="17"/>
          <w:szCs w:val="17"/>
        </w:rPr>
        <w:t xml:space="preserve"> </w:t>
      </w:r>
      <w:r>
        <w:rPr>
          <w:spacing w:val="-8"/>
          <w:sz w:val="17"/>
          <w:szCs w:val="17"/>
        </w:rPr>
        <w:t>资</w:t>
      </w:r>
      <w:r>
        <w:rPr>
          <w:spacing w:val="-21"/>
          <w:sz w:val="17"/>
          <w:szCs w:val="17"/>
        </w:rPr>
        <w:t xml:space="preserve"> </w:t>
      </w:r>
      <w:r>
        <w:rPr>
          <w:spacing w:val="-8"/>
          <w:sz w:val="17"/>
          <w:szCs w:val="17"/>
        </w:rPr>
        <w:t>方</w:t>
      </w:r>
      <w:r>
        <w:rPr>
          <w:spacing w:val="-8"/>
          <w:sz w:val="17"/>
          <w:szCs w:val="17"/>
        </w:rPr>
        <w:t xml:space="preserve"> </w:t>
      </w:r>
      <w:r>
        <w:rPr>
          <w:spacing w:val="-8"/>
          <w:sz w:val="17"/>
          <w:szCs w:val="17"/>
        </w:rPr>
        <w:t>式</w:t>
      </w:r>
      <w:r>
        <w:rPr>
          <w:spacing w:val="15"/>
          <w:sz w:val="17"/>
          <w:szCs w:val="17"/>
        </w:rPr>
        <w:t xml:space="preserve">  </w:t>
      </w:r>
      <w:r>
        <w:rPr>
          <w:spacing w:val="-8"/>
          <w:sz w:val="17"/>
          <w:szCs w:val="17"/>
        </w:rPr>
        <w:t>直</w:t>
      </w:r>
      <w:r>
        <w:rPr>
          <w:spacing w:val="-8"/>
          <w:sz w:val="17"/>
          <w:szCs w:val="17"/>
        </w:rPr>
        <w:t xml:space="preserve"> </w:t>
      </w:r>
      <w:r>
        <w:rPr>
          <w:spacing w:val="-8"/>
          <w:sz w:val="17"/>
          <w:szCs w:val="17"/>
        </w:rPr>
        <w:t>接</w:t>
      </w:r>
      <w:r>
        <w:rPr>
          <w:spacing w:val="-8"/>
          <w:sz w:val="17"/>
          <w:szCs w:val="17"/>
        </w:rPr>
        <w:t xml:space="preserve"> </w:t>
      </w:r>
      <w:r>
        <w:rPr>
          <w:spacing w:val="-8"/>
          <w:sz w:val="17"/>
          <w:szCs w:val="17"/>
        </w:rPr>
        <w:t>投</w:t>
      </w:r>
      <w:r>
        <w:rPr>
          <w:spacing w:val="15"/>
          <w:sz w:val="17"/>
          <w:szCs w:val="17"/>
        </w:rPr>
        <w:t xml:space="preserve"> </w:t>
      </w:r>
      <w:r>
        <w:rPr>
          <w:spacing w:val="-8"/>
          <w:sz w:val="17"/>
          <w:szCs w:val="17"/>
        </w:rPr>
        <w:t>资</w:t>
      </w:r>
      <w:r>
        <w:rPr>
          <w:spacing w:val="16"/>
          <w:sz w:val="17"/>
          <w:szCs w:val="17"/>
        </w:rPr>
        <w:t xml:space="preserve"> </w:t>
      </w:r>
      <w:r>
        <w:rPr>
          <w:spacing w:val="-8"/>
          <w:sz w:val="17"/>
          <w:szCs w:val="17"/>
        </w:rPr>
        <w:t>与</w:t>
      </w:r>
      <w:r>
        <w:rPr>
          <w:spacing w:val="-8"/>
          <w:sz w:val="17"/>
          <w:szCs w:val="17"/>
        </w:rPr>
        <w:t xml:space="preserve"> </w:t>
      </w:r>
      <w:r>
        <w:rPr>
          <w:spacing w:val="-8"/>
          <w:sz w:val="17"/>
          <w:szCs w:val="17"/>
        </w:rPr>
        <w:t>委</w:t>
      </w:r>
      <w:r>
        <w:rPr>
          <w:spacing w:val="8"/>
          <w:sz w:val="17"/>
          <w:szCs w:val="17"/>
        </w:rPr>
        <w:t xml:space="preserve"> </w:t>
      </w:r>
      <w:r>
        <w:rPr>
          <w:spacing w:val="-8"/>
          <w:sz w:val="17"/>
          <w:szCs w:val="17"/>
        </w:rPr>
        <w:t>托</w:t>
      </w:r>
      <w:r>
        <w:rPr>
          <w:spacing w:val="9"/>
          <w:sz w:val="17"/>
          <w:szCs w:val="17"/>
        </w:rPr>
        <w:t xml:space="preserve"> </w:t>
      </w:r>
      <w:r>
        <w:rPr>
          <w:spacing w:val="-8"/>
          <w:sz w:val="17"/>
          <w:szCs w:val="17"/>
        </w:rPr>
        <w:t>投</w:t>
      </w:r>
      <w:r>
        <w:rPr>
          <w:spacing w:val="14"/>
          <w:sz w:val="17"/>
          <w:szCs w:val="17"/>
        </w:rPr>
        <w:t xml:space="preserve"> </w:t>
      </w:r>
      <w:r>
        <w:rPr>
          <w:spacing w:val="-8"/>
          <w:sz w:val="17"/>
          <w:szCs w:val="17"/>
        </w:rPr>
        <w:t>资</w:t>
      </w:r>
      <w:r>
        <w:rPr>
          <w:spacing w:val="8"/>
          <w:sz w:val="17"/>
          <w:szCs w:val="17"/>
        </w:rPr>
        <w:t xml:space="preserve"> </w:t>
      </w:r>
      <w:r>
        <w:rPr>
          <w:spacing w:val="-8"/>
          <w:sz w:val="17"/>
          <w:szCs w:val="17"/>
        </w:rPr>
        <w:t>相</w:t>
      </w:r>
      <w:r>
        <w:rPr>
          <w:spacing w:val="11"/>
          <w:sz w:val="17"/>
          <w:szCs w:val="17"/>
        </w:rPr>
        <w:t xml:space="preserve"> </w:t>
      </w:r>
      <w:r>
        <w:rPr>
          <w:spacing w:val="-8"/>
          <w:sz w:val="17"/>
          <w:szCs w:val="17"/>
        </w:rPr>
        <w:t>结</w:t>
      </w:r>
      <w:r>
        <w:rPr>
          <w:spacing w:val="4"/>
          <w:sz w:val="17"/>
          <w:szCs w:val="17"/>
        </w:rPr>
        <w:t xml:space="preserve"> </w:t>
      </w:r>
      <w:r>
        <w:rPr>
          <w:spacing w:val="-8"/>
          <w:sz w:val="17"/>
          <w:szCs w:val="17"/>
        </w:rPr>
        <w:t>合</w:t>
      </w:r>
    </w:p>
    <w:tbl>
      <w:tblPr>
        <w:tblStyle w:val="TableNormal1"/>
        <w:tblW w:w="10530" w:type="dxa"/>
        <w:tblInd w:w="0" w:type="dxa"/>
        <w:tblBorders>
          <w:top w:val="nil"/>
          <w:left w:val="nil"/>
          <w:bottom w:val="nil"/>
          <w:right w:val="nil"/>
          <w:insideH w:val="nil"/>
          <w:insideV w:val="nil"/>
        </w:tblBorders>
        <w:tblLayout w:type="fixed"/>
      </w:tblPr>
      <w:tblGrid>
        <w:gridCol w:w="10530"/>
      </w:tblGrid>
      <w:tr>
        <w:tblPrEx>
          <w:tblW w:w="10530" w:type="dxa"/>
          <w:tblInd w:w="0" w:type="dxa"/>
          <w:tblBorders>
            <w:top w:val="nil"/>
            <w:left w:val="nil"/>
            <w:bottom w:val="nil"/>
            <w:right w:val="nil"/>
            <w:insideH w:val="nil"/>
            <w:insideV w:val="nil"/>
          </w:tblBorders>
          <w:tblLayout w:type="fixed"/>
        </w:tblPrEx>
        <w:trPr>
          <w:trHeight w:val="324"/>
        </w:trPr>
        <w:tc>
          <w:tcPr>
            <w:tcW w:w="10530" w:type="dxa"/>
            <w:tcBorders>
              <w:top w:val="single" w:sz="2" w:space="0" w:color="000000"/>
              <w:bottom w:val="single" w:sz="2" w:space="0" w:color="000000"/>
            </w:tcBorders>
            <w:vAlign w:val="top"/>
          </w:tcPr>
          <w:p>
            <w:pPr>
              <w:spacing w:before="163" w:line="174" w:lineRule="auto"/>
              <w:ind w:left="155"/>
              <w:rPr>
                <w:rFonts w:ascii="KaiTi" w:eastAsia="KaiTi" w:hAnsi="KaiTi" w:cs="KaiTi"/>
                <w:sz w:val="16"/>
                <w:szCs w:val="16"/>
              </w:rPr>
            </w:pPr>
            <w:r>
              <w:rPr>
                <w:rFonts w:ascii="KaiTi" w:eastAsia="KaiTi" w:hAnsi="KaiTi" w:cs="KaiTi"/>
                <w:spacing w:val="-8"/>
                <w:sz w:val="16"/>
                <w:szCs w:val="16"/>
              </w:rPr>
              <w:t>投</w:t>
            </w:r>
            <w:r>
              <w:rPr>
                <w:rFonts w:ascii="KaiTi" w:eastAsia="KaiTi" w:hAnsi="KaiTi" w:cs="KaiTi"/>
                <w:spacing w:val="-30"/>
                <w:sz w:val="16"/>
                <w:szCs w:val="16"/>
              </w:rPr>
              <w:t xml:space="preserve"> </w:t>
            </w:r>
            <w:r>
              <w:rPr>
                <w:rFonts w:ascii="KaiTi" w:eastAsia="KaiTi" w:hAnsi="KaiTi" w:cs="KaiTi"/>
                <w:spacing w:val="-8"/>
                <w:sz w:val="16"/>
                <w:szCs w:val="16"/>
              </w:rPr>
              <w:t>资</w:t>
            </w:r>
            <w:r>
              <w:rPr>
                <w:rFonts w:ascii="KaiTi" w:eastAsia="KaiTi" w:hAnsi="KaiTi" w:cs="KaiTi"/>
                <w:spacing w:val="-28"/>
                <w:sz w:val="16"/>
                <w:szCs w:val="16"/>
              </w:rPr>
              <w:t xml:space="preserve"> </w:t>
            </w:r>
            <w:r>
              <w:rPr>
                <w:rFonts w:ascii="KaiTi" w:eastAsia="KaiTi" w:hAnsi="KaiTi" w:cs="KaiTi"/>
                <w:spacing w:val="-8"/>
                <w:sz w:val="16"/>
                <w:szCs w:val="16"/>
              </w:rPr>
              <w:t>管</w:t>
            </w:r>
            <w:r>
              <w:rPr>
                <w:rFonts w:ascii="KaiTi" w:eastAsia="KaiTi" w:hAnsi="KaiTi" w:cs="KaiTi"/>
                <w:spacing w:val="-35"/>
                <w:sz w:val="16"/>
                <w:szCs w:val="16"/>
              </w:rPr>
              <w:t xml:space="preserve"> </w:t>
            </w:r>
            <w:r>
              <w:rPr>
                <w:rFonts w:ascii="KaiTi" w:eastAsia="KaiTi" w:hAnsi="KaiTi" w:cs="KaiTi"/>
                <w:spacing w:val="-8"/>
                <w:sz w:val="16"/>
                <w:szCs w:val="16"/>
              </w:rPr>
              <w:t>理</w:t>
            </w:r>
            <w:r>
              <w:rPr>
                <w:rFonts w:ascii="KaiTi" w:eastAsia="KaiTi" w:hAnsi="KaiTi" w:cs="KaiTi"/>
                <w:spacing w:val="-40"/>
                <w:sz w:val="16"/>
                <w:szCs w:val="16"/>
              </w:rPr>
              <w:t xml:space="preserve"> </w:t>
            </w:r>
            <w:r>
              <w:rPr>
                <w:rFonts w:ascii="KaiTi" w:eastAsia="KaiTi" w:hAnsi="KaiTi" w:cs="KaiTi"/>
                <w:spacing w:val="-8"/>
                <w:sz w:val="16"/>
                <w:szCs w:val="16"/>
              </w:rPr>
              <w:t>人</w:t>
            </w:r>
            <w:r>
              <w:rPr>
                <w:rFonts w:ascii="KaiTi" w:eastAsia="KaiTi" w:hAnsi="KaiTi" w:cs="KaiTi"/>
                <w:spacing w:val="-8"/>
                <w:sz w:val="16"/>
                <w:szCs w:val="16"/>
              </w:rPr>
              <w:t xml:space="preserve">  </w:t>
            </w:r>
            <w:r>
              <w:rPr>
                <w:rFonts w:ascii="KaiTi" w:eastAsia="KaiTi" w:hAnsi="KaiTi" w:cs="KaiTi"/>
                <w:spacing w:val="-8"/>
                <w:sz w:val="16"/>
                <w:szCs w:val="16"/>
              </w:rPr>
              <w:t>(</w:t>
            </w:r>
            <w:r>
              <w:rPr>
                <w:rFonts w:ascii="KaiTi" w:eastAsia="KaiTi" w:hAnsi="KaiTi" w:cs="KaiTi"/>
                <w:spacing w:val="-25"/>
                <w:sz w:val="16"/>
                <w:szCs w:val="16"/>
              </w:rPr>
              <w:t xml:space="preserve"> </w:t>
            </w:r>
            <w:r>
              <w:rPr>
                <w:rFonts w:ascii="KaiTi" w:eastAsia="KaiTi" w:hAnsi="KaiTi" w:cs="KaiTi"/>
                <w:spacing w:val="-8"/>
                <w:sz w:val="16"/>
                <w:szCs w:val="16"/>
              </w:rPr>
              <w:t>1</w:t>
            </w:r>
            <w:r>
              <w:rPr>
                <w:rFonts w:ascii="KaiTi" w:eastAsia="KaiTi" w:hAnsi="KaiTi" w:cs="KaiTi"/>
                <w:spacing w:val="-36"/>
                <w:sz w:val="16"/>
                <w:szCs w:val="16"/>
              </w:rPr>
              <w:t xml:space="preserve"> </w:t>
            </w:r>
            <w:r>
              <w:rPr>
                <w:rFonts w:ascii="KaiTi" w:eastAsia="KaiTi" w:hAnsi="KaiTi" w:cs="KaiTi"/>
                <w:spacing w:val="-8"/>
                <w:sz w:val="16"/>
                <w:szCs w:val="16"/>
              </w:rPr>
              <w:t>)</w:t>
            </w:r>
            <w:r>
              <w:rPr>
                <w:rFonts w:ascii="KaiTi" w:eastAsia="KaiTi" w:hAnsi="KaiTi" w:cs="KaiTi"/>
                <w:spacing w:val="-32"/>
                <w:sz w:val="16"/>
                <w:szCs w:val="16"/>
              </w:rPr>
              <w:t xml:space="preserve"> </w:t>
            </w:r>
            <w:r>
              <w:rPr>
                <w:rFonts w:ascii="KaiTi" w:eastAsia="KaiTi" w:hAnsi="KaiTi" w:cs="KaiTi"/>
                <w:spacing w:val="-8"/>
                <w:sz w:val="16"/>
                <w:szCs w:val="16"/>
              </w:rPr>
              <w:t>直</w:t>
            </w:r>
            <w:r>
              <w:rPr>
                <w:rFonts w:ascii="KaiTi" w:eastAsia="KaiTi" w:hAnsi="KaiTi" w:cs="KaiTi"/>
                <w:spacing w:val="-38"/>
                <w:sz w:val="16"/>
                <w:szCs w:val="16"/>
              </w:rPr>
              <w:t xml:space="preserve"> </w:t>
            </w:r>
            <w:r>
              <w:rPr>
                <w:rFonts w:ascii="KaiTi" w:eastAsia="KaiTi" w:hAnsi="KaiTi" w:cs="KaiTi"/>
                <w:spacing w:val="-8"/>
                <w:sz w:val="16"/>
                <w:szCs w:val="16"/>
              </w:rPr>
              <w:t>接</w:t>
            </w:r>
            <w:r>
              <w:rPr>
                <w:rFonts w:ascii="KaiTi" w:eastAsia="KaiTi" w:hAnsi="KaiTi" w:cs="KaiTi"/>
                <w:spacing w:val="-32"/>
                <w:sz w:val="16"/>
                <w:szCs w:val="16"/>
              </w:rPr>
              <w:t xml:space="preserve"> </w:t>
            </w:r>
            <w:r>
              <w:rPr>
                <w:rFonts w:ascii="KaiTi" w:eastAsia="KaiTi" w:hAnsi="KaiTi" w:cs="KaiTi"/>
                <w:spacing w:val="-8"/>
                <w:sz w:val="16"/>
                <w:szCs w:val="16"/>
              </w:rPr>
              <w:t>投</w:t>
            </w:r>
            <w:r>
              <w:rPr>
                <w:rFonts w:ascii="KaiTi" w:eastAsia="KaiTi" w:hAnsi="KaiTi" w:cs="KaiTi"/>
                <w:spacing w:val="-27"/>
                <w:sz w:val="16"/>
                <w:szCs w:val="16"/>
              </w:rPr>
              <w:t xml:space="preserve"> </w:t>
            </w:r>
            <w:r>
              <w:rPr>
                <w:rFonts w:ascii="KaiTi" w:eastAsia="KaiTi" w:hAnsi="KaiTi" w:cs="KaiTi"/>
                <w:spacing w:val="-8"/>
                <w:sz w:val="16"/>
                <w:szCs w:val="16"/>
              </w:rPr>
              <w:t>资</w:t>
            </w:r>
            <w:r>
              <w:rPr>
                <w:rFonts w:ascii="KaiTi" w:eastAsia="KaiTi" w:hAnsi="KaiTi" w:cs="KaiTi"/>
                <w:spacing w:val="-8"/>
                <w:sz w:val="16"/>
                <w:szCs w:val="16"/>
              </w:rPr>
              <w:t xml:space="preserve"> </w:t>
            </w:r>
            <w:r>
              <w:rPr>
                <w:rFonts w:ascii="KaiTi" w:eastAsia="KaiTi" w:hAnsi="KaiTi" w:cs="KaiTi"/>
                <w:spacing w:val="-8"/>
                <w:sz w:val="16"/>
                <w:szCs w:val="16"/>
              </w:rPr>
              <w:t>由</w:t>
            </w:r>
            <w:r>
              <w:rPr>
                <w:rFonts w:ascii="KaiTi" w:eastAsia="KaiTi" w:hAnsi="KaiTi" w:cs="KaiTi"/>
                <w:spacing w:val="-32"/>
                <w:sz w:val="16"/>
                <w:szCs w:val="16"/>
              </w:rPr>
              <w:t xml:space="preserve"> </w:t>
            </w:r>
            <w:r>
              <w:rPr>
                <w:rFonts w:ascii="KaiTi" w:eastAsia="KaiTi" w:hAnsi="KaiTi" w:cs="KaiTi"/>
                <w:spacing w:val="-8"/>
                <w:sz w:val="16"/>
                <w:szCs w:val="16"/>
              </w:rPr>
              <w:t>社</w:t>
            </w:r>
            <w:r>
              <w:rPr>
                <w:rFonts w:ascii="KaiTi" w:eastAsia="KaiTi" w:hAnsi="KaiTi" w:cs="KaiTi"/>
                <w:spacing w:val="-36"/>
                <w:sz w:val="16"/>
                <w:szCs w:val="16"/>
              </w:rPr>
              <w:t xml:space="preserve"> </w:t>
            </w:r>
            <w:r>
              <w:rPr>
                <w:rFonts w:ascii="KaiTi" w:eastAsia="KaiTi" w:hAnsi="KaiTi" w:cs="KaiTi"/>
                <w:spacing w:val="-8"/>
                <w:sz w:val="16"/>
                <w:szCs w:val="16"/>
              </w:rPr>
              <w:t>保</w:t>
            </w:r>
            <w:r>
              <w:rPr>
                <w:rFonts w:ascii="KaiTi" w:eastAsia="KaiTi" w:hAnsi="KaiTi" w:cs="KaiTi"/>
                <w:spacing w:val="-36"/>
                <w:sz w:val="16"/>
                <w:szCs w:val="16"/>
              </w:rPr>
              <w:t xml:space="preserve"> </w:t>
            </w:r>
            <w:r>
              <w:rPr>
                <w:rFonts w:ascii="KaiTi" w:eastAsia="KaiTi" w:hAnsi="KaiTi" w:cs="KaiTi"/>
                <w:spacing w:val="-8"/>
                <w:sz w:val="16"/>
                <w:szCs w:val="16"/>
              </w:rPr>
              <w:t>基</w:t>
            </w:r>
            <w:r>
              <w:rPr>
                <w:rFonts w:ascii="KaiTi" w:eastAsia="KaiTi" w:hAnsi="KaiTi" w:cs="KaiTi"/>
                <w:spacing w:val="-39"/>
                <w:sz w:val="16"/>
                <w:szCs w:val="16"/>
              </w:rPr>
              <w:t xml:space="preserve"> </w:t>
            </w:r>
            <w:r>
              <w:rPr>
                <w:rFonts w:ascii="KaiTi" w:eastAsia="KaiTi" w:hAnsi="KaiTi" w:cs="KaiTi"/>
                <w:spacing w:val="-8"/>
                <w:sz w:val="16"/>
                <w:szCs w:val="16"/>
              </w:rPr>
              <w:t>金</w:t>
            </w:r>
            <w:r>
              <w:rPr>
                <w:rFonts w:ascii="KaiTi" w:eastAsia="KaiTi" w:hAnsi="KaiTi" w:cs="KaiTi"/>
                <w:spacing w:val="-40"/>
                <w:sz w:val="16"/>
                <w:szCs w:val="16"/>
              </w:rPr>
              <w:t xml:space="preserve"> </w:t>
            </w:r>
            <w:r>
              <w:rPr>
                <w:rFonts w:ascii="KaiTi" w:eastAsia="KaiTi" w:hAnsi="KaiTi" w:cs="KaiTi"/>
                <w:spacing w:val="-8"/>
                <w:sz w:val="16"/>
                <w:szCs w:val="16"/>
              </w:rPr>
              <w:t>会</w:t>
            </w:r>
            <w:r>
              <w:rPr>
                <w:rFonts w:ascii="KaiTi" w:eastAsia="KaiTi" w:hAnsi="KaiTi" w:cs="KaiTi"/>
                <w:spacing w:val="-32"/>
                <w:sz w:val="16"/>
                <w:szCs w:val="16"/>
              </w:rPr>
              <w:t xml:space="preserve"> </w:t>
            </w:r>
            <w:r>
              <w:rPr>
                <w:rFonts w:ascii="KaiTi" w:eastAsia="KaiTi" w:hAnsi="KaiTi" w:cs="KaiTi"/>
                <w:spacing w:val="-8"/>
                <w:sz w:val="16"/>
                <w:szCs w:val="16"/>
              </w:rPr>
              <w:t>直</w:t>
            </w:r>
            <w:r>
              <w:rPr>
                <w:rFonts w:ascii="KaiTi" w:eastAsia="KaiTi" w:hAnsi="KaiTi" w:cs="KaiTi"/>
                <w:spacing w:val="-38"/>
                <w:sz w:val="16"/>
                <w:szCs w:val="16"/>
              </w:rPr>
              <w:t xml:space="preserve"> </w:t>
            </w:r>
            <w:r>
              <w:rPr>
                <w:rFonts w:ascii="KaiTi" w:eastAsia="KaiTi" w:hAnsi="KaiTi" w:cs="KaiTi"/>
                <w:spacing w:val="-8"/>
                <w:sz w:val="16"/>
                <w:szCs w:val="16"/>
              </w:rPr>
              <w:t>接</w:t>
            </w:r>
            <w:r>
              <w:rPr>
                <w:rFonts w:ascii="KaiTi" w:eastAsia="KaiTi" w:hAnsi="KaiTi" w:cs="KaiTi"/>
                <w:spacing w:val="-25"/>
                <w:sz w:val="16"/>
                <w:szCs w:val="16"/>
              </w:rPr>
              <w:t xml:space="preserve"> </w:t>
            </w:r>
            <w:r>
              <w:rPr>
                <w:rFonts w:ascii="KaiTi" w:eastAsia="KaiTi" w:hAnsi="KaiTi" w:cs="KaiTi"/>
                <w:spacing w:val="-8"/>
                <w:sz w:val="16"/>
                <w:szCs w:val="16"/>
              </w:rPr>
              <w:t>管</w:t>
            </w:r>
            <w:r>
              <w:rPr>
                <w:rFonts w:ascii="KaiTi" w:eastAsia="KaiTi" w:hAnsi="KaiTi" w:cs="KaiTi"/>
                <w:spacing w:val="-33"/>
                <w:sz w:val="16"/>
                <w:szCs w:val="16"/>
              </w:rPr>
              <w:t xml:space="preserve"> </w:t>
            </w:r>
            <w:r>
              <w:rPr>
                <w:rFonts w:ascii="KaiTi" w:eastAsia="KaiTi" w:hAnsi="KaiTi" w:cs="KaiTi"/>
                <w:spacing w:val="-8"/>
                <w:sz w:val="16"/>
                <w:szCs w:val="16"/>
              </w:rPr>
              <w:t>理</w:t>
            </w:r>
            <w:r>
              <w:rPr>
                <w:rFonts w:ascii="KaiTi" w:eastAsia="KaiTi" w:hAnsi="KaiTi" w:cs="KaiTi"/>
                <w:spacing w:val="-32"/>
                <w:sz w:val="16"/>
                <w:szCs w:val="16"/>
              </w:rPr>
              <w:t xml:space="preserve"> </w:t>
            </w:r>
            <w:r>
              <w:rPr>
                <w:rFonts w:ascii="KaiTi" w:eastAsia="KaiTi" w:hAnsi="KaiTi" w:cs="KaiTi"/>
                <w:spacing w:val="-8"/>
                <w:sz w:val="16"/>
                <w:szCs w:val="16"/>
              </w:rPr>
              <w:t>运</w:t>
            </w:r>
            <w:r>
              <w:rPr>
                <w:rFonts w:ascii="KaiTi" w:eastAsia="KaiTi" w:hAnsi="KaiTi" w:cs="KaiTi"/>
                <w:spacing w:val="-37"/>
                <w:sz w:val="16"/>
                <w:szCs w:val="16"/>
              </w:rPr>
              <w:t xml:space="preserve"> </w:t>
            </w:r>
            <w:r>
              <w:rPr>
                <w:rFonts w:ascii="KaiTi" w:eastAsia="KaiTi" w:hAnsi="KaiTi" w:cs="KaiTi"/>
                <w:spacing w:val="-8"/>
                <w:sz w:val="16"/>
                <w:szCs w:val="16"/>
              </w:rPr>
              <w:t>作</w:t>
            </w:r>
            <w:r>
              <w:rPr>
                <w:rFonts w:ascii="KaiTi" w:eastAsia="KaiTi" w:hAnsi="KaiTi" w:cs="KaiTi"/>
                <w:spacing w:val="-39"/>
                <w:sz w:val="16"/>
                <w:szCs w:val="16"/>
              </w:rPr>
              <w:t xml:space="preserve"> </w:t>
            </w:r>
            <w:r>
              <w:rPr>
                <w:rFonts w:ascii="KaiTi" w:eastAsia="KaiTi" w:hAnsi="KaiTi" w:cs="KaiTi"/>
                <w:spacing w:val="-8"/>
                <w:sz w:val="16"/>
                <w:szCs w:val="16"/>
              </w:rPr>
              <w:t>；</w:t>
            </w:r>
            <w:r>
              <w:rPr>
                <w:rFonts w:ascii="KaiTi" w:eastAsia="KaiTi" w:hAnsi="KaiTi" w:cs="KaiTi"/>
                <w:spacing w:val="-8"/>
                <w:sz w:val="16"/>
                <w:szCs w:val="16"/>
              </w:rPr>
              <w:t xml:space="preserve"> </w:t>
            </w:r>
            <w:r>
              <w:rPr>
                <w:rFonts w:ascii="KaiTi" w:eastAsia="KaiTi" w:hAnsi="KaiTi" w:cs="KaiTi"/>
                <w:spacing w:val="-8"/>
                <w:sz w:val="16"/>
                <w:szCs w:val="16"/>
              </w:rPr>
              <w:t>(</w:t>
            </w:r>
            <w:r>
              <w:rPr>
                <w:rFonts w:ascii="KaiTi" w:eastAsia="KaiTi" w:hAnsi="KaiTi" w:cs="KaiTi"/>
                <w:spacing w:val="-35"/>
                <w:sz w:val="16"/>
                <w:szCs w:val="16"/>
              </w:rPr>
              <w:t xml:space="preserve"> </w:t>
            </w:r>
            <w:r>
              <w:rPr>
                <w:rFonts w:ascii="KaiTi" w:eastAsia="KaiTi" w:hAnsi="KaiTi" w:cs="KaiTi"/>
                <w:spacing w:val="-8"/>
                <w:sz w:val="16"/>
                <w:szCs w:val="16"/>
              </w:rPr>
              <w:t>2</w:t>
            </w:r>
            <w:r>
              <w:rPr>
                <w:rFonts w:ascii="KaiTi" w:eastAsia="KaiTi" w:hAnsi="KaiTi" w:cs="KaiTi"/>
                <w:spacing w:val="-36"/>
                <w:sz w:val="16"/>
                <w:szCs w:val="16"/>
              </w:rPr>
              <w:t xml:space="preserve"> </w:t>
            </w:r>
            <w:r>
              <w:rPr>
                <w:rFonts w:ascii="KaiTi" w:eastAsia="KaiTi" w:hAnsi="KaiTi" w:cs="KaiTi"/>
                <w:spacing w:val="-8"/>
                <w:sz w:val="16"/>
                <w:szCs w:val="16"/>
              </w:rPr>
              <w:t>)</w:t>
            </w:r>
            <w:r>
              <w:rPr>
                <w:rFonts w:ascii="KaiTi" w:eastAsia="KaiTi" w:hAnsi="KaiTi" w:cs="KaiTi"/>
                <w:spacing w:val="-33"/>
                <w:sz w:val="16"/>
                <w:szCs w:val="16"/>
              </w:rPr>
              <w:t xml:space="preserve"> </w:t>
            </w:r>
            <w:r>
              <w:rPr>
                <w:rFonts w:ascii="KaiTi" w:eastAsia="KaiTi" w:hAnsi="KaiTi" w:cs="KaiTi"/>
                <w:spacing w:val="-8"/>
                <w:sz w:val="16"/>
                <w:szCs w:val="16"/>
              </w:rPr>
              <w:t>委</w:t>
            </w:r>
            <w:r>
              <w:rPr>
                <w:rFonts w:ascii="KaiTi" w:eastAsia="KaiTi" w:hAnsi="KaiTi" w:cs="KaiTi"/>
                <w:spacing w:val="-33"/>
                <w:sz w:val="16"/>
                <w:szCs w:val="16"/>
              </w:rPr>
              <w:t xml:space="preserve"> </w:t>
            </w:r>
            <w:r>
              <w:rPr>
                <w:rFonts w:ascii="KaiTi" w:eastAsia="KaiTi" w:hAnsi="KaiTi" w:cs="KaiTi"/>
                <w:spacing w:val="-8"/>
                <w:sz w:val="16"/>
                <w:szCs w:val="16"/>
              </w:rPr>
              <w:t>托</w:t>
            </w:r>
            <w:r>
              <w:rPr>
                <w:rFonts w:ascii="KaiTi" w:eastAsia="KaiTi" w:hAnsi="KaiTi" w:cs="KaiTi"/>
                <w:spacing w:val="-32"/>
                <w:sz w:val="16"/>
                <w:szCs w:val="16"/>
              </w:rPr>
              <w:t xml:space="preserve"> </w:t>
            </w:r>
            <w:r>
              <w:rPr>
                <w:rFonts w:ascii="KaiTi" w:eastAsia="KaiTi" w:hAnsi="KaiTi" w:cs="KaiTi"/>
                <w:spacing w:val="-8"/>
                <w:sz w:val="16"/>
                <w:szCs w:val="16"/>
              </w:rPr>
              <w:t>投</w:t>
            </w:r>
            <w:r>
              <w:rPr>
                <w:rFonts w:ascii="KaiTi" w:eastAsia="KaiTi" w:hAnsi="KaiTi" w:cs="KaiTi"/>
                <w:spacing w:val="-27"/>
                <w:sz w:val="16"/>
                <w:szCs w:val="16"/>
              </w:rPr>
              <w:t xml:space="preserve"> </w:t>
            </w:r>
            <w:r>
              <w:rPr>
                <w:rFonts w:ascii="KaiTi" w:eastAsia="KaiTi" w:hAnsi="KaiTi" w:cs="KaiTi"/>
                <w:spacing w:val="-8"/>
                <w:sz w:val="16"/>
                <w:szCs w:val="16"/>
              </w:rPr>
              <w:t>资</w:t>
            </w:r>
            <w:r>
              <w:rPr>
                <w:rFonts w:ascii="KaiTi" w:eastAsia="KaiTi" w:hAnsi="KaiTi" w:cs="KaiTi"/>
                <w:spacing w:val="-8"/>
                <w:sz w:val="16"/>
                <w:szCs w:val="16"/>
              </w:rPr>
              <w:t xml:space="preserve"> </w:t>
            </w:r>
            <w:r>
              <w:rPr>
                <w:rFonts w:ascii="KaiTi" w:eastAsia="KaiTi" w:hAnsi="KaiTi" w:cs="KaiTi"/>
                <w:spacing w:val="-8"/>
                <w:sz w:val="16"/>
                <w:szCs w:val="16"/>
              </w:rPr>
              <w:t>由</w:t>
            </w:r>
            <w:r>
              <w:rPr>
                <w:rFonts w:ascii="KaiTi" w:eastAsia="KaiTi" w:hAnsi="KaiTi" w:cs="KaiTi"/>
                <w:spacing w:val="-32"/>
                <w:sz w:val="16"/>
                <w:szCs w:val="16"/>
              </w:rPr>
              <w:t xml:space="preserve"> </w:t>
            </w:r>
            <w:r>
              <w:rPr>
                <w:rFonts w:ascii="KaiTi" w:eastAsia="KaiTi" w:hAnsi="KaiTi" w:cs="KaiTi"/>
                <w:spacing w:val="-8"/>
                <w:sz w:val="16"/>
                <w:szCs w:val="16"/>
              </w:rPr>
              <w:t>社</w:t>
            </w:r>
            <w:r>
              <w:rPr>
                <w:rFonts w:ascii="KaiTi" w:eastAsia="KaiTi" w:hAnsi="KaiTi" w:cs="KaiTi"/>
                <w:spacing w:val="-36"/>
                <w:sz w:val="16"/>
                <w:szCs w:val="16"/>
              </w:rPr>
              <w:t xml:space="preserve"> </w:t>
            </w:r>
            <w:r>
              <w:rPr>
                <w:rFonts w:ascii="KaiTi" w:eastAsia="KaiTi" w:hAnsi="KaiTi" w:cs="KaiTi"/>
                <w:spacing w:val="-8"/>
                <w:sz w:val="16"/>
                <w:szCs w:val="16"/>
              </w:rPr>
              <w:t>保</w:t>
            </w:r>
            <w:r>
              <w:rPr>
                <w:rFonts w:ascii="KaiTi" w:eastAsia="KaiTi" w:hAnsi="KaiTi" w:cs="KaiTi"/>
                <w:spacing w:val="-35"/>
                <w:sz w:val="16"/>
                <w:szCs w:val="16"/>
              </w:rPr>
              <w:t xml:space="preserve"> </w:t>
            </w:r>
            <w:r>
              <w:rPr>
                <w:rFonts w:ascii="KaiTi" w:eastAsia="KaiTi" w:hAnsi="KaiTi" w:cs="KaiTi"/>
                <w:spacing w:val="-8"/>
                <w:sz w:val="16"/>
                <w:szCs w:val="16"/>
              </w:rPr>
              <w:t>基</w:t>
            </w:r>
            <w:r>
              <w:rPr>
                <w:rFonts w:ascii="KaiTi" w:eastAsia="KaiTi" w:hAnsi="KaiTi" w:cs="KaiTi"/>
                <w:spacing w:val="-40"/>
                <w:sz w:val="16"/>
                <w:szCs w:val="16"/>
              </w:rPr>
              <w:t xml:space="preserve"> </w:t>
            </w:r>
            <w:r>
              <w:rPr>
                <w:rFonts w:ascii="KaiTi" w:eastAsia="KaiTi" w:hAnsi="KaiTi" w:cs="KaiTi"/>
                <w:spacing w:val="-8"/>
                <w:sz w:val="16"/>
                <w:szCs w:val="16"/>
              </w:rPr>
              <w:t>金</w:t>
            </w:r>
            <w:r>
              <w:rPr>
                <w:rFonts w:ascii="KaiTi" w:eastAsia="KaiTi" w:hAnsi="KaiTi" w:cs="KaiTi"/>
                <w:spacing w:val="-39"/>
                <w:sz w:val="16"/>
                <w:szCs w:val="16"/>
              </w:rPr>
              <w:t xml:space="preserve"> </w:t>
            </w:r>
            <w:r>
              <w:rPr>
                <w:rFonts w:ascii="KaiTi" w:eastAsia="KaiTi" w:hAnsi="KaiTi" w:cs="KaiTi"/>
                <w:spacing w:val="-8"/>
                <w:sz w:val="16"/>
                <w:szCs w:val="16"/>
              </w:rPr>
              <w:t>会</w:t>
            </w:r>
            <w:r>
              <w:rPr>
                <w:rFonts w:ascii="KaiTi" w:eastAsia="KaiTi" w:hAnsi="KaiTi" w:cs="KaiTi"/>
                <w:spacing w:val="-34"/>
                <w:sz w:val="16"/>
                <w:szCs w:val="16"/>
              </w:rPr>
              <w:t xml:space="preserve"> </w:t>
            </w:r>
            <w:r>
              <w:rPr>
                <w:rFonts w:ascii="KaiTi" w:eastAsia="KaiTi" w:hAnsi="KaiTi" w:cs="KaiTi"/>
                <w:spacing w:val="-8"/>
                <w:sz w:val="16"/>
                <w:szCs w:val="16"/>
              </w:rPr>
              <w:t>委</w:t>
            </w:r>
            <w:r>
              <w:rPr>
                <w:rFonts w:ascii="KaiTi" w:eastAsia="KaiTi" w:hAnsi="KaiTi" w:cs="KaiTi"/>
                <w:spacing w:val="-32"/>
                <w:sz w:val="16"/>
                <w:szCs w:val="16"/>
              </w:rPr>
              <w:t xml:space="preserve"> </w:t>
            </w:r>
            <w:r>
              <w:rPr>
                <w:rFonts w:ascii="KaiTi" w:eastAsia="KaiTi" w:hAnsi="KaiTi" w:cs="KaiTi"/>
                <w:spacing w:val="-8"/>
                <w:sz w:val="16"/>
                <w:szCs w:val="16"/>
              </w:rPr>
              <w:t>托</w:t>
            </w:r>
            <w:r>
              <w:rPr>
                <w:rFonts w:ascii="KaiTi" w:eastAsia="KaiTi" w:hAnsi="KaiTi" w:cs="KaiTi"/>
                <w:spacing w:val="-32"/>
                <w:sz w:val="16"/>
                <w:szCs w:val="16"/>
              </w:rPr>
              <w:t xml:space="preserve"> </w:t>
            </w:r>
            <w:r>
              <w:rPr>
                <w:rFonts w:ascii="KaiTi" w:eastAsia="KaiTi" w:hAnsi="KaiTi" w:cs="KaiTi"/>
                <w:spacing w:val="-8"/>
                <w:sz w:val="16"/>
                <w:szCs w:val="16"/>
              </w:rPr>
              <w:t>投</w:t>
            </w:r>
            <w:r>
              <w:rPr>
                <w:rFonts w:ascii="KaiTi" w:eastAsia="KaiTi" w:hAnsi="KaiTi" w:cs="KaiTi"/>
                <w:spacing w:val="-27"/>
                <w:sz w:val="16"/>
                <w:szCs w:val="16"/>
              </w:rPr>
              <w:t xml:space="preserve"> </w:t>
            </w:r>
            <w:r>
              <w:rPr>
                <w:rFonts w:ascii="KaiTi" w:eastAsia="KaiTi" w:hAnsi="KaiTi" w:cs="KaiTi"/>
                <w:spacing w:val="-8"/>
                <w:sz w:val="16"/>
                <w:szCs w:val="16"/>
              </w:rPr>
              <w:t>资</w:t>
            </w:r>
            <w:r>
              <w:rPr>
                <w:rFonts w:ascii="KaiTi" w:eastAsia="KaiTi" w:hAnsi="KaiTi" w:cs="KaiTi"/>
                <w:spacing w:val="-25"/>
                <w:sz w:val="16"/>
                <w:szCs w:val="16"/>
              </w:rPr>
              <w:t xml:space="preserve"> </w:t>
            </w:r>
            <w:r>
              <w:rPr>
                <w:rFonts w:ascii="KaiTi" w:eastAsia="KaiTi" w:hAnsi="KaiTi" w:cs="KaiTi"/>
                <w:spacing w:val="-9"/>
                <w:sz w:val="16"/>
                <w:szCs w:val="16"/>
              </w:rPr>
              <w:t>管</w:t>
            </w:r>
            <w:r>
              <w:rPr>
                <w:rFonts w:ascii="KaiTi" w:eastAsia="KaiTi" w:hAnsi="KaiTi" w:cs="KaiTi"/>
                <w:spacing w:val="-33"/>
                <w:sz w:val="16"/>
                <w:szCs w:val="16"/>
              </w:rPr>
              <w:t xml:space="preserve"> </w:t>
            </w:r>
            <w:r>
              <w:rPr>
                <w:rFonts w:ascii="KaiTi" w:eastAsia="KaiTi" w:hAnsi="KaiTi" w:cs="KaiTi"/>
                <w:spacing w:val="-9"/>
                <w:sz w:val="16"/>
                <w:szCs w:val="16"/>
              </w:rPr>
              <w:t>理</w:t>
            </w:r>
            <w:r>
              <w:rPr>
                <w:rFonts w:ascii="KaiTi" w:eastAsia="KaiTi" w:hAnsi="KaiTi" w:cs="KaiTi"/>
                <w:spacing w:val="-37"/>
                <w:sz w:val="16"/>
                <w:szCs w:val="16"/>
              </w:rPr>
              <w:t xml:space="preserve"> </w:t>
            </w:r>
            <w:r>
              <w:rPr>
                <w:rFonts w:ascii="KaiTi" w:eastAsia="KaiTi" w:hAnsi="KaiTi" w:cs="KaiTi"/>
                <w:spacing w:val="-9"/>
                <w:sz w:val="16"/>
                <w:szCs w:val="16"/>
              </w:rPr>
              <w:t>人</w:t>
            </w:r>
            <w:r>
              <w:rPr>
                <w:rFonts w:ascii="KaiTi" w:eastAsia="KaiTi" w:hAnsi="KaiTi" w:cs="KaiTi"/>
                <w:spacing w:val="-27"/>
                <w:sz w:val="16"/>
                <w:szCs w:val="16"/>
              </w:rPr>
              <w:t xml:space="preserve"> </w:t>
            </w:r>
            <w:r>
              <w:rPr>
                <w:rFonts w:ascii="KaiTi" w:eastAsia="KaiTi" w:hAnsi="KaiTi" w:cs="KaiTi"/>
                <w:spacing w:val="-9"/>
                <w:sz w:val="16"/>
                <w:szCs w:val="16"/>
              </w:rPr>
              <w:t>管</w:t>
            </w:r>
            <w:r>
              <w:rPr>
                <w:rFonts w:ascii="KaiTi" w:eastAsia="KaiTi" w:hAnsi="KaiTi" w:cs="KaiTi"/>
                <w:spacing w:val="-32"/>
                <w:sz w:val="16"/>
                <w:szCs w:val="16"/>
              </w:rPr>
              <w:t xml:space="preserve"> </w:t>
            </w:r>
            <w:r>
              <w:rPr>
                <w:rFonts w:ascii="KaiTi" w:eastAsia="KaiTi" w:hAnsi="KaiTi" w:cs="KaiTi"/>
                <w:spacing w:val="-9"/>
                <w:sz w:val="16"/>
                <w:szCs w:val="16"/>
              </w:rPr>
              <w:t>理</w:t>
            </w:r>
            <w:r>
              <w:rPr>
                <w:rFonts w:ascii="KaiTi" w:eastAsia="KaiTi" w:hAnsi="KaiTi" w:cs="KaiTi"/>
                <w:spacing w:val="-32"/>
                <w:sz w:val="16"/>
                <w:szCs w:val="16"/>
              </w:rPr>
              <w:t xml:space="preserve"> </w:t>
            </w:r>
            <w:r>
              <w:rPr>
                <w:rFonts w:ascii="KaiTi" w:eastAsia="KaiTi" w:hAnsi="KaiTi" w:cs="KaiTi"/>
                <w:spacing w:val="-9"/>
                <w:sz w:val="16"/>
                <w:szCs w:val="16"/>
              </w:rPr>
              <w:t>运</w:t>
            </w:r>
            <w:r>
              <w:rPr>
                <w:rFonts w:ascii="KaiTi" w:eastAsia="KaiTi" w:hAnsi="KaiTi" w:cs="KaiTi"/>
                <w:spacing w:val="-37"/>
                <w:sz w:val="16"/>
                <w:szCs w:val="16"/>
              </w:rPr>
              <w:t xml:space="preserve"> </w:t>
            </w:r>
            <w:r>
              <w:rPr>
                <w:rFonts w:ascii="KaiTi" w:eastAsia="KaiTi" w:hAnsi="KaiTi" w:cs="KaiTi"/>
                <w:spacing w:val="-9"/>
                <w:sz w:val="16"/>
                <w:szCs w:val="16"/>
              </w:rPr>
              <w:t>作</w:t>
            </w:r>
          </w:p>
        </w:tc>
      </w:tr>
      <w:tr>
        <w:tblPrEx>
          <w:tblW w:w="10530" w:type="dxa"/>
          <w:tblInd w:w="0" w:type="dxa"/>
          <w:tblLayout w:type="fixed"/>
        </w:tblPrEx>
        <w:trPr>
          <w:trHeight w:val="1716"/>
        </w:trPr>
        <w:tc>
          <w:tcPr>
            <w:tcW w:w="10530" w:type="dxa"/>
            <w:tcBorders>
              <w:top w:val="single" w:sz="2" w:space="0" w:color="000000"/>
              <w:bottom w:val="single" w:sz="2" w:space="0" w:color="000000"/>
            </w:tcBorders>
            <w:vAlign w:val="top"/>
          </w:tcPr>
          <w:p>
            <w:pPr>
              <w:pStyle w:val="TableText"/>
              <w:spacing w:before="164" w:line="270" w:lineRule="auto"/>
              <w:ind w:left="1370" w:right="208" w:firstLine="20"/>
              <w:rPr>
                <w:rFonts w:ascii="KaiTi" w:eastAsia="KaiTi" w:hAnsi="KaiTi" w:cs="KaiTi"/>
              </w:rPr>
            </w:pPr>
            <w:r>
              <w:rPr>
                <w:rFonts w:ascii="KaiTi" w:eastAsia="KaiTi" w:hAnsi="KaiTi" w:cs="KaiTi"/>
                <w:spacing w:val="6"/>
              </w:rPr>
              <w:t>(1)境外投资管理人(37家):摩根资产管理、瑞士隆奥、路博</w:t>
            </w:r>
            <w:r>
              <w:rPr>
                <w:rFonts w:ascii="KaiTi" w:eastAsia="KaiTi" w:hAnsi="KaiTi" w:cs="KaiTi"/>
                <w:spacing w:val="5"/>
              </w:rPr>
              <w:t>迈、施罗德投资管理、梅陇资产管理、实港投资伙</w:t>
            </w:r>
            <w:r>
              <w:rPr>
                <w:rFonts w:ascii="KaiTi" w:eastAsia="KaiTi" w:hAnsi="KaiTi" w:cs="KaiTi"/>
              </w:rPr>
              <w:t xml:space="preserve"> </w:t>
            </w:r>
            <w:r>
              <w:rPr>
                <w:rFonts w:ascii="KaiTi" w:eastAsia="KaiTi" w:hAnsi="KaiTi" w:cs="KaiTi"/>
                <w:spacing w:val="-2"/>
              </w:rPr>
              <w:t>伴、宏富投资、天达资管、</w:t>
            </w:r>
            <w:r>
              <w:rPr>
                <w:spacing w:val="-2"/>
              </w:rPr>
              <w:t>RBC</w:t>
            </w:r>
            <w:r>
              <w:rPr>
                <w:spacing w:val="18"/>
                <w:w w:val="101"/>
              </w:rPr>
              <w:t xml:space="preserve"> </w:t>
            </w:r>
            <w:r>
              <w:rPr>
                <w:rFonts w:ascii="KaiTi" w:eastAsia="KaiTi" w:hAnsi="KaiTi" w:cs="KaiTi"/>
                <w:spacing w:val="-2"/>
              </w:rPr>
              <w:t>环球资产管理、</w:t>
            </w:r>
            <w:r>
              <w:rPr>
                <w:spacing w:val="-2"/>
              </w:rPr>
              <w:t>AEW</w:t>
            </w:r>
            <w:r>
              <w:rPr>
                <w:spacing w:val="27"/>
              </w:rPr>
              <w:t xml:space="preserve"> </w:t>
            </w:r>
            <w:r>
              <w:rPr>
                <w:rFonts w:ascii="KaiTi" w:eastAsia="KaiTi" w:hAnsi="KaiTi" w:cs="KaiTi"/>
                <w:spacing w:val="-2"/>
              </w:rPr>
              <w:t>资本管理、安保资本投资、欧洲投资</w:t>
            </w:r>
            <w:r>
              <w:rPr>
                <w:rFonts w:ascii="KaiTi" w:eastAsia="KaiTi" w:hAnsi="KaiTi" w:cs="KaiTi"/>
                <w:spacing w:val="-3"/>
              </w:rPr>
              <w:t>者投资管理等。</w:t>
            </w:r>
          </w:p>
          <w:p>
            <w:pPr>
              <w:spacing w:before="110" w:line="281" w:lineRule="auto"/>
              <w:ind w:left="1369" w:right="199" w:hanging="1229"/>
              <w:rPr>
                <w:rFonts w:ascii="KaiTi" w:eastAsia="KaiTi" w:hAnsi="KaiTi" w:cs="KaiTi"/>
                <w:sz w:val="18"/>
                <w:szCs w:val="18"/>
              </w:rPr>
            </w:pPr>
            <w:r>
              <w:rPr>
                <w:rFonts w:ascii="KaiTi" w:eastAsia="KaiTi" w:hAnsi="KaiTi" w:cs="KaiTi"/>
                <w:spacing w:val="5"/>
                <w:sz w:val="18"/>
                <w:szCs w:val="18"/>
              </w:rPr>
              <w:t>相关持牌机构</w:t>
            </w:r>
            <w:r>
              <w:rPr>
                <w:rFonts w:ascii="KaiTi" w:eastAsia="KaiTi" w:hAnsi="KaiTi" w:cs="KaiTi"/>
                <w:spacing w:val="89"/>
                <w:sz w:val="18"/>
                <w:szCs w:val="18"/>
              </w:rPr>
              <w:t xml:space="preserve"> </w:t>
            </w:r>
            <w:r>
              <w:rPr>
                <w:rFonts w:ascii="KaiTi" w:eastAsia="KaiTi" w:hAnsi="KaiTi" w:cs="KaiTi"/>
                <w:spacing w:val="5"/>
                <w:sz w:val="18"/>
                <w:szCs w:val="18"/>
              </w:rPr>
              <w:t>(2)境内投资管理人(18家):南方基金、博时基金、华夏基金、鹏华基金、长盛基金、嘉实基金、易方达基金、</w:t>
            </w:r>
            <w:r>
              <w:rPr>
                <w:rFonts w:ascii="KaiTi" w:eastAsia="KaiTi" w:hAnsi="KaiTi" w:cs="KaiTi"/>
                <w:sz w:val="18"/>
                <w:szCs w:val="18"/>
              </w:rPr>
              <w:t xml:space="preserve"> </w:t>
            </w:r>
            <w:r>
              <w:rPr>
                <w:rFonts w:ascii="KaiTi" w:eastAsia="KaiTi" w:hAnsi="KaiTi" w:cs="KaiTi"/>
                <w:spacing w:val="-1"/>
                <w:sz w:val="18"/>
                <w:szCs w:val="18"/>
              </w:rPr>
              <w:t>招商基金、国泰基金、中金公司、大成基金、富国基金、工银瑞信基金、广发基金、海富通基金、汇添富基金、银</w:t>
            </w:r>
            <w:r>
              <w:rPr>
                <w:rFonts w:ascii="KaiTi" w:eastAsia="KaiTi" w:hAnsi="KaiTi" w:cs="KaiTi"/>
                <w:sz w:val="18"/>
                <w:szCs w:val="18"/>
              </w:rPr>
              <w:t xml:space="preserve"> </w:t>
            </w:r>
            <w:r>
              <w:rPr>
                <w:rFonts w:ascii="KaiTi" w:eastAsia="KaiTi" w:hAnsi="KaiTi" w:cs="KaiTi"/>
                <w:spacing w:val="-2"/>
                <w:sz w:val="18"/>
                <w:szCs w:val="18"/>
              </w:rPr>
              <w:t>华基金、中信证券</w:t>
            </w:r>
          </w:p>
        </w:tc>
      </w:tr>
    </w:tbl>
    <w:p>
      <w:pPr>
        <w:pStyle w:val="BodyText"/>
        <w:spacing w:before="45" w:line="192" w:lineRule="auto"/>
        <w:ind w:left="30"/>
        <w:rPr>
          <w:sz w:val="18"/>
          <w:szCs w:val="18"/>
        </w:rPr>
      </w:pPr>
      <w:r>
        <w:rPr>
          <w:spacing w:val="-1"/>
          <w:sz w:val="18"/>
          <w:szCs w:val="18"/>
        </w:rPr>
        <w:t>资料来源：社保基金理事会、开源证券研究所</w:t>
      </w:r>
    </w:p>
    <w:p>
      <w:pPr>
        <w:spacing w:line="192" w:lineRule="auto"/>
        <w:rPr>
          <w:sz w:val="18"/>
          <w:szCs w:val="18"/>
        </w:rPr>
        <w:sectPr>
          <w:footerReference w:type="default" r:id="rId59"/>
          <w:type w:val="continuous"/>
          <w:pgSz w:w="11910" w:h="16840"/>
          <w:pgMar w:top="156" w:right="660" w:bottom="1129" w:left="689" w:header="0" w:footer="862" w:gutter="0"/>
          <w:pgNumType w:start="32"/>
          <w:cols w:num="1" w:space="708" w:equalWidth="0">
            <w:col w:w="10561" w:space="0"/>
          </w:cols>
        </w:sectPr>
      </w:pPr>
    </w:p>
    <w:p>
      <w:pPr>
        <w:spacing w:before="151" w:line="226" w:lineRule="auto"/>
        <w:ind w:left="180"/>
        <w:rPr>
          <w:rFonts w:ascii="YouYuan" w:eastAsia="YouYuan" w:hAnsi="YouYuan" w:cs="YouYuan"/>
          <w:sz w:val="60"/>
          <w:szCs w:val="60"/>
        </w:rPr>
      </w:pPr>
      <w:bookmarkStart w:id="14" w:name="bookmark25"/>
      <w:bookmarkEnd w:id="14"/>
      <w:r>
        <w:rPr>
          <w:rFonts w:ascii="YouYuan" w:eastAsia="YouYuan" w:hAnsi="YouYuan" w:cs="YouYuan"/>
          <w:position w:val="-20"/>
          <w:sz w:val="60"/>
          <w:szCs w:val="60"/>
        </w:rPr>
        <w:drawing>
          <wp:inline distT="0" distB="0" distL="0" distR="0">
            <wp:extent cx="571449" cy="482593"/>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15"/>
                    <a:stretch>
                      <a:fillRect/>
                    </a:stretch>
                  </pic:blipFill>
                  <pic:spPr>
                    <a:xfrm>
                      <a:off x="0" y="0"/>
                      <a:ext cx="571449" cy="482593"/>
                    </a:xfrm>
                    <a:prstGeom prst="rect">
                      <a:avLst/>
                    </a:prstGeom>
                  </pic:spPr>
                </pic:pic>
              </a:graphicData>
            </a:graphic>
          </wp:inline>
        </w:drawing>
      </w:r>
      <w:r>
        <w:rPr>
          <w:rFonts w:ascii="YouYuan" w:eastAsia="YouYuan" w:hAnsi="YouYuan" w:cs="YouYuan"/>
          <w:b/>
          <w:bCs/>
          <w:spacing w:val="28"/>
          <w:sz w:val="60"/>
          <w:szCs w:val="60"/>
        </w:rPr>
        <w:t>开源证券</w:t>
      </w:r>
    </w:p>
    <w:p>
      <w:pPr>
        <w:pStyle w:val="BodyText"/>
        <w:spacing w:before="37" w:line="229" w:lineRule="auto"/>
        <w:ind w:left="8459"/>
        <w:rPr>
          <w:sz w:val="22"/>
          <w:szCs w:val="22"/>
        </w:rPr>
      </w:pPr>
      <w:r>
        <w:pict>
          <v:rect id="_x0000_s1048" style="width:516.8pt;height:0.55pt;margin-top:12.3pt;margin-left:1pt;position:absolute;z-index:251680768" filled="t" fillcolor="black" stroked="f"/>
        </w:pict>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pStyle w:val="BodyText"/>
        <w:spacing w:before="99" w:line="277" w:lineRule="auto"/>
        <w:ind w:left="2820" w:right="95" w:firstLine="2"/>
        <w:rPr>
          <w:sz w:val="20"/>
          <w:szCs w:val="20"/>
        </w:rPr>
      </w:pPr>
      <w:r>
        <w:rPr>
          <w:b/>
          <w:bCs/>
          <w:spacing w:val="9"/>
          <w:sz w:val="20"/>
          <w:szCs w:val="20"/>
        </w:rPr>
        <w:t>社保基金投资管理办法优化，扩大投资范围&amp;优化投资集中度&amp;调整管理托管费率和</w:t>
      </w:r>
      <w:r>
        <w:rPr>
          <w:sz w:val="20"/>
          <w:szCs w:val="20"/>
        </w:rPr>
        <w:t xml:space="preserve"> </w:t>
      </w:r>
      <w:r>
        <w:rPr>
          <w:b/>
          <w:bCs/>
          <w:spacing w:val="12"/>
          <w:sz w:val="20"/>
          <w:szCs w:val="20"/>
        </w:rPr>
        <w:t>信息披露制度。</w:t>
      </w:r>
      <w:r>
        <w:rPr>
          <w:spacing w:val="12"/>
          <w:sz w:val="20"/>
          <w:szCs w:val="20"/>
        </w:rPr>
        <w:t>2023年12月6日，财政部发布《全国社会保障基金境内投资管理办</w:t>
      </w:r>
      <w:r>
        <w:rPr>
          <w:spacing w:val="11"/>
          <w:sz w:val="20"/>
          <w:szCs w:val="20"/>
        </w:rPr>
        <w:t xml:space="preserve"> </w:t>
      </w:r>
      <w:r>
        <w:rPr>
          <w:spacing w:val="13"/>
          <w:sz w:val="20"/>
          <w:szCs w:val="20"/>
        </w:rPr>
        <w:t>法(征求意见稿)》,联合人力部对《全国社会保障基金投资管理暂行办法》进行修</w:t>
      </w:r>
      <w:r>
        <w:rPr>
          <w:sz w:val="20"/>
          <w:szCs w:val="20"/>
        </w:rPr>
        <w:t xml:space="preserve"> </w:t>
      </w:r>
      <w:r>
        <w:rPr>
          <w:spacing w:val="11"/>
          <w:sz w:val="20"/>
          <w:szCs w:val="20"/>
        </w:rPr>
        <w:t>订。征求意见稿扩大社保基金投资范围和细化固收及权益类投资比例，提高单</w:t>
      </w:r>
      <w:r>
        <w:rPr>
          <w:spacing w:val="10"/>
          <w:sz w:val="20"/>
          <w:szCs w:val="20"/>
        </w:rPr>
        <w:t>一管</w:t>
      </w:r>
      <w:r>
        <w:rPr>
          <w:sz w:val="20"/>
          <w:szCs w:val="20"/>
        </w:rPr>
        <w:t xml:space="preserve"> </w:t>
      </w:r>
      <w:r>
        <w:rPr>
          <w:spacing w:val="10"/>
          <w:sz w:val="20"/>
          <w:szCs w:val="20"/>
        </w:rPr>
        <w:t>理人的单一资产集中度和降低单一委托管理人集中度，下调管理和托管费率上限，</w:t>
      </w:r>
      <w:r>
        <w:rPr>
          <w:spacing w:val="8"/>
          <w:sz w:val="20"/>
          <w:szCs w:val="20"/>
        </w:rPr>
        <w:t xml:space="preserve"> </w:t>
      </w:r>
      <w:r>
        <w:rPr>
          <w:spacing w:val="6"/>
          <w:sz w:val="20"/>
          <w:szCs w:val="20"/>
        </w:rPr>
        <w:t>新增月度信息披露要求。</w:t>
      </w:r>
    </w:p>
    <w:p>
      <w:pPr>
        <w:spacing w:line="315" w:lineRule="auto"/>
        <w:rPr>
          <w:rFonts w:ascii="Arial"/>
          <w:sz w:val="21"/>
        </w:rPr>
      </w:pPr>
    </w:p>
    <w:p>
      <w:pPr>
        <w:spacing w:before="69" w:line="219" w:lineRule="auto"/>
        <w:ind w:left="43"/>
        <w:rPr>
          <w:rFonts w:ascii="SimSun" w:eastAsia="SimSun" w:hAnsi="SimSun" w:cs="SimSun"/>
          <w:sz w:val="21"/>
          <w:szCs w:val="21"/>
        </w:rPr>
      </w:pPr>
      <w:r>
        <w:rPr>
          <w:rFonts w:ascii="SimSun" w:eastAsia="SimSun" w:hAnsi="SimSun" w:cs="SimSun"/>
          <w:b/>
          <w:bCs/>
          <w:spacing w:val="-2"/>
          <w:sz w:val="21"/>
          <w:szCs w:val="21"/>
        </w:rPr>
        <w:t>图9:社保基金投资管理办法优化，主要包括扩大投资范围&amp;优化投资集中度&amp;调整管理托管费率</w:t>
      </w:r>
      <w:r>
        <w:rPr>
          <w:rFonts w:ascii="SimSun" w:eastAsia="SimSun" w:hAnsi="SimSun" w:cs="SimSun"/>
          <w:b/>
          <w:bCs/>
          <w:spacing w:val="-3"/>
          <w:sz w:val="21"/>
          <w:szCs w:val="21"/>
        </w:rPr>
        <w:t>和信披制度</w:t>
      </w:r>
    </w:p>
    <w:tbl>
      <w:tblPr>
        <w:tblStyle w:val="TableNormal2"/>
        <w:tblW w:w="1043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65"/>
        <w:gridCol w:w="1089"/>
        <w:gridCol w:w="2937"/>
        <w:gridCol w:w="3337"/>
        <w:gridCol w:w="2602"/>
      </w:tblGrid>
      <w:tr>
        <w:tblPrEx>
          <w:tblW w:w="1043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45"/>
        </w:trPr>
        <w:tc>
          <w:tcPr>
            <w:tcW w:w="1554" w:type="dxa"/>
            <w:gridSpan w:val="2"/>
            <w:vMerge w:val="restart"/>
            <w:tcBorders>
              <w:bottom w:val="nil"/>
            </w:tcBorders>
            <w:shd w:val="clear" w:color="auto" w:fill="000080"/>
            <w:vAlign w:val="top"/>
          </w:tcPr>
          <w:p>
            <w:pPr>
              <w:rPr>
                <w:rFonts w:ascii="Arial"/>
                <w:sz w:val="21"/>
              </w:rPr>
            </w:pPr>
          </w:p>
        </w:tc>
        <w:tc>
          <w:tcPr>
            <w:tcW w:w="2937" w:type="dxa"/>
            <w:shd w:val="clear" w:color="auto" w:fill="000080"/>
            <w:vAlign w:val="top"/>
          </w:tcPr>
          <w:p>
            <w:pPr>
              <w:spacing w:before="17" w:line="217" w:lineRule="auto"/>
              <w:ind w:left="1302"/>
              <w:rPr>
                <w:rFonts w:ascii="SimSun" w:eastAsia="SimSun" w:hAnsi="SimSun" w:cs="SimSun"/>
                <w:sz w:val="10"/>
                <w:szCs w:val="10"/>
              </w:rPr>
            </w:pPr>
            <w:r>
              <w:rPr>
                <w:rFonts w:ascii="SimSun" w:eastAsia="SimSun" w:hAnsi="SimSun" w:cs="SimSun"/>
                <w:b/>
                <w:bCs/>
                <w:color w:val="FFFFFF"/>
                <w:spacing w:val="-3"/>
                <w:sz w:val="10"/>
                <w:szCs w:val="10"/>
              </w:rPr>
              <w:t>原文件</w:t>
            </w:r>
          </w:p>
        </w:tc>
        <w:tc>
          <w:tcPr>
            <w:tcW w:w="3337" w:type="dxa"/>
            <w:shd w:val="clear" w:color="auto" w:fill="000080"/>
            <w:vAlign w:val="top"/>
          </w:tcPr>
          <w:p>
            <w:pPr>
              <w:spacing w:before="17" w:line="217" w:lineRule="auto"/>
              <w:ind w:left="1545"/>
              <w:rPr>
                <w:rFonts w:ascii="SimSun" w:eastAsia="SimSun" w:hAnsi="SimSun" w:cs="SimSun"/>
                <w:sz w:val="10"/>
                <w:szCs w:val="10"/>
              </w:rPr>
            </w:pPr>
            <w:r>
              <w:rPr>
                <w:rFonts w:ascii="SimSun" w:eastAsia="SimSun" w:hAnsi="SimSun" w:cs="SimSun"/>
                <w:b/>
                <w:bCs/>
                <w:color w:val="FFFFFF"/>
                <w:spacing w:val="-3"/>
                <w:sz w:val="10"/>
                <w:szCs w:val="10"/>
              </w:rPr>
              <w:t>新土件</w:t>
            </w:r>
          </w:p>
        </w:tc>
        <w:tc>
          <w:tcPr>
            <w:tcW w:w="2602" w:type="dxa"/>
            <w:vMerge w:val="restart"/>
            <w:tcBorders>
              <w:bottom w:val="nil"/>
            </w:tcBorders>
            <w:shd w:val="clear" w:color="auto" w:fill="000080"/>
            <w:vAlign w:val="top"/>
          </w:tcPr>
          <w:p>
            <w:pPr>
              <w:spacing w:before="88" w:line="220" w:lineRule="auto"/>
              <w:ind w:left="1088"/>
              <w:rPr>
                <w:rFonts w:ascii="SimSun" w:eastAsia="SimSun" w:hAnsi="SimSun" w:cs="SimSun"/>
                <w:sz w:val="10"/>
                <w:szCs w:val="10"/>
              </w:rPr>
            </w:pPr>
            <w:r>
              <w:rPr>
                <w:rFonts w:ascii="SimSun" w:eastAsia="SimSun" w:hAnsi="SimSun" w:cs="SimSun"/>
                <w:b/>
                <w:bCs/>
                <w:color w:val="FFFFFF"/>
                <w:spacing w:val="-2"/>
                <w:sz w:val="10"/>
                <w:szCs w:val="10"/>
              </w:rPr>
              <w:t>政果变化</w:t>
            </w:r>
          </w:p>
        </w:tc>
      </w:tr>
      <w:tr>
        <w:tblPrEx>
          <w:tblW w:w="10430" w:type="dxa"/>
          <w:tblInd w:w="10" w:type="dxa"/>
          <w:tblLayout w:type="fixed"/>
        </w:tblPrEx>
        <w:trPr>
          <w:trHeight w:val="120"/>
        </w:trPr>
        <w:tc>
          <w:tcPr>
            <w:tcW w:w="1554" w:type="dxa"/>
            <w:gridSpan w:val="2"/>
            <w:vMerge/>
            <w:tcBorders>
              <w:top w:val="nil"/>
            </w:tcBorders>
            <w:vAlign w:val="top"/>
          </w:tcPr>
          <w:p>
            <w:pPr>
              <w:rPr>
                <w:rFonts w:ascii="Arial"/>
                <w:sz w:val="21"/>
              </w:rPr>
            </w:pPr>
          </w:p>
        </w:tc>
        <w:tc>
          <w:tcPr>
            <w:tcW w:w="2937" w:type="dxa"/>
            <w:shd w:val="clear" w:color="auto" w:fill="000080"/>
            <w:vAlign w:val="top"/>
          </w:tcPr>
          <w:p>
            <w:pPr>
              <w:spacing w:before="2" w:line="199" w:lineRule="auto"/>
              <w:ind w:left="522"/>
              <w:rPr>
                <w:rFonts w:ascii="SimSun" w:eastAsia="SimSun" w:hAnsi="SimSun" w:cs="SimSun"/>
                <w:sz w:val="10"/>
                <w:szCs w:val="10"/>
              </w:rPr>
            </w:pPr>
            <w:r>
              <w:rPr>
                <w:rFonts w:ascii="SimSun" w:eastAsia="SimSun" w:hAnsi="SimSun" w:cs="SimSun"/>
                <w:b/>
                <w:bCs/>
                <w:color w:val="FFFFFF"/>
                <w:spacing w:val="-2"/>
                <w:sz w:val="10"/>
                <w:szCs w:val="10"/>
              </w:rPr>
              <w:t>《全国社会保摩差金故责学理管行办法》</w:t>
            </w:r>
          </w:p>
        </w:tc>
        <w:tc>
          <w:tcPr>
            <w:tcW w:w="3337" w:type="dxa"/>
            <w:shd w:val="clear" w:color="auto" w:fill="00007F"/>
            <w:vAlign w:val="top"/>
          </w:tcPr>
          <w:p>
            <w:pPr>
              <w:spacing w:before="2" w:line="199" w:lineRule="auto"/>
              <w:ind w:left="435"/>
              <w:rPr>
                <w:rFonts w:ascii="SimSun" w:eastAsia="SimSun" w:hAnsi="SimSun" w:cs="SimSun"/>
                <w:sz w:val="10"/>
                <w:szCs w:val="10"/>
              </w:rPr>
            </w:pPr>
            <w:r>
              <w:rPr>
                <w:rFonts w:ascii="SimSun" w:eastAsia="SimSun" w:hAnsi="SimSun" w:cs="SimSun"/>
                <w:b/>
                <w:bCs/>
                <w:color w:val="FFFFFF"/>
                <w:spacing w:val="-2"/>
                <w:sz w:val="10"/>
                <w:szCs w:val="10"/>
              </w:rPr>
              <w:t>《金国社会保摩差金流内微贵管理办法(征求意见篇)》</w:t>
            </w:r>
          </w:p>
        </w:tc>
        <w:tc>
          <w:tcPr>
            <w:tcW w:w="2602" w:type="dxa"/>
            <w:vMerge/>
            <w:tcBorders>
              <w:top w:val="nil"/>
            </w:tcBorders>
            <w:vAlign w:val="top"/>
          </w:tcPr>
          <w:p>
            <w:pPr>
              <w:rPr>
                <w:rFonts w:ascii="Arial"/>
                <w:sz w:val="21"/>
              </w:rPr>
            </w:pPr>
          </w:p>
        </w:tc>
      </w:tr>
      <w:tr>
        <w:tblPrEx>
          <w:tblW w:w="10430" w:type="dxa"/>
          <w:tblInd w:w="10" w:type="dxa"/>
          <w:tblLayout w:type="fixed"/>
        </w:tblPrEx>
        <w:trPr>
          <w:trHeight w:val="739"/>
        </w:trPr>
        <w:tc>
          <w:tcPr>
            <w:tcW w:w="465" w:type="dxa"/>
            <w:vMerge w:val="restart"/>
            <w:tcBorders>
              <w:bottom w:val="nil"/>
            </w:tcBorders>
            <w:vAlign w:val="top"/>
          </w:tcPr>
          <w:p>
            <w:pPr>
              <w:spacing w:line="469" w:lineRule="auto"/>
              <w:rPr>
                <w:rFonts w:ascii="Arial"/>
                <w:sz w:val="21"/>
              </w:rPr>
            </w:pPr>
          </w:p>
          <w:p>
            <w:pPr>
              <w:spacing w:before="32" w:line="220" w:lineRule="auto"/>
              <w:ind w:left="25"/>
              <w:rPr>
                <w:rFonts w:ascii="SimSun" w:eastAsia="SimSun" w:hAnsi="SimSun" w:cs="SimSun"/>
                <w:sz w:val="10"/>
                <w:szCs w:val="10"/>
              </w:rPr>
            </w:pPr>
            <w:r>
              <w:rPr>
                <w:rFonts w:ascii="SimSun" w:eastAsia="SimSun" w:hAnsi="SimSun" w:cs="SimSun"/>
                <w:spacing w:val="-1"/>
                <w:sz w:val="10"/>
                <w:szCs w:val="10"/>
              </w:rPr>
              <w:t>投资范围</w:t>
            </w:r>
          </w:p>
        </w:tc>
        <w:tc>
          <w:tcPr>
            <w:tcW w:w="1089" w:type="dxa"/>
            <w:vAlign w:val="top"/>
          </w:tcPr>
          <w:p>
            <w:pPr>
              <w:spacing w:line="279" w:lineRule="auto"/>
              <w:rPr>
                <w:rFonts w:ascii="Arial"/>
                <w:sz w:val="21"/>
              </w:rPr>
            </w:pPr>
          </w:p>
          <w:p>
            <w:pPr>
              <w:spacing w:before="33" w:line="219" w:lineRule="auto"/>
              <w:ind w:left="39"/>
              <w:rPr>
                <w:rFonts w:ascii="SimSun" w:eastAsia="SimSun" w:hAnsi="SimSun" w:cs="SimSun"/>
                <w:sz w:val="10"/>
                <w:szCs w:val="10"/>
              </w:rPr>
            </w:pPr>
            <w:r>
              <w:rPr>
                <w:rFonts w:ascii="SimSun" w:eastAsia="SimSun" w:hAnsi="SimSun" w:cs="SimSun"/>
                <w:spacing w:val="-1"/>
                <w:sz w:val="10"/>
                <w:szCs w:val="10"/>
              </w:rPr>
              <w:t>全部范围</w:t>
            </w:r>
          </w:p>
        </w:tc>
        <w:tc>
          <w:tcPr>
            <w:tcW w:w="2937" w:type="dxa"/>
            <w:vAlign w:val="top"/>
          </w:tcPr>
          <w:p>
            <w:pPr>
              <w:spacing w:before="3" w:line="212" w:lineRule="auto"/>
              <w:ind w:left="20" w:right="20" w:hanging="9"/>
              <w:rPr>
                <w:rFonts w:ascii="SimSun" w:eastAsia="SimSun" w:hAnsi="SimSun" w:cs="SimSun"/>
                <w:sz w:val="10"/>
                <w:szCs w:val="10"/>
              </w:rPr>
            </w:pPr>
            <w:r>
              <w:rPr>
                <w:rFonts w:ascii="SimSun" w:eastAsia="SimSun" w:hAnsi="SimSun" w:cs="SimSun"/>
                <w:sz w:val="10"/>
                <w:szCs w:val="10"/>
              </w:rPr>
              <w:t>经批准的境内投资范围包括银行存款、债券、估托贷</w:t>
            </w:r>
            <w:r>
              <w:rPr>
                <w:rFonts w:ascii="SimSun" w:eastAsia="SimSun" w:hAnsi="SimSun" w:cs="SimSun"/>
                <w:spacing w:val="-1"/>
                <w:sz w:val="10"/>
                <w:szCs w:val="10"/>
              </w:rPr>
              <w:t>款、资产证券</w:t>
            </w:r>
            <w:r>
              <w:rPr>
                <w:rFonts w:ascii="SimSun" w:eastAsia="SimSun" w:hAnsi="SimSun" w:cs="SimSun"/>
                <w:sz w:val="10"/>
                <w:szCs w:val="10"/>
              </w:rPr>
              <w:t xml:space="preserve"> </w:t>
            </w:r>
            <w:r>
              <w:rPr>
                <w:rFonts w:ascii="SimSun" w:eastAsia="SimSun" w:hAnsi="SimSun" w:cs="SimSun"/>
                <w:spacing w:val="2"/>
                <w:sz w:val="10"/>
                <w:szCs w:val="10"/>
              </w:rPr>
              <w:t>化产品、股票、证券投资基金、股权、股权投资基金等；</w:t>
            </w:r>
          </w:p>
          <w:p>
            <w:pPr>
              <w:spacing w:before="151" w:line="212" w:lineRule="auto"/>
              <w:ind w:left="11" w:right="20"/>
              <w:jc w:val="both"/>
              <w:rPr>
                <w:rFonts w:ascii="SimSun" w:eastAsia="SimSun" w:hAnsi="SimSun" w:cs="SimSun"/>
                <w:sz w:val="10"/>
                <w:szCs w:val="10"/>
              </w:rPr>
            </w:pPr>
            <w:r>
              <w:rPr>
                <w:rFonts w:ascii="SimSun" w:eastAsia="SimSun" w:hAnsi="SimSun" w:cs="SimSun"/>
                <w:sz w:val="10"/>
                <w:szCs w:val="10"/>
              </w:rPr>
              <w:t>经批准的境外投资范围包括银行存款、银行票据、大</w:t>
            </w:r>
            <w:r>
              <w:rPr>
                <w:rFonts w:ascii="SimSun" w:eastAsia="SimSun" w:hAnsi="SimSun" w:cs="SimSun"/>
                <w:spacing w:val="-1"/>
                <w:sz w:val="10"/>
                <w:szCs w:val="10"/>
              </w:rPr>
              <w:t>额可转让存单</w:t>
            </w:r>
            <w:r>
              <w:rPr>
                <w:rFonts w:ascii="SimSun" w:eastAsia="SimSun" w:hAnsi="SimSun" w:cs="SimSun"/>
                <w:sz w:val="10"/>
                <w:szCs w:val="10"/>
              </w:rPr>
              <w:t xml:space="preserve"> </w:t>
            </w:r>
            <w:r>
              <w:rPr>
                <w:rFonts w:ascii="SimSun" w:eastAsia="SimSun" w:hAnsi="SimSun" w:cs="SimSun"/>
                <w:sz w:val="10"/>
                <w:szCs w:val="10"/>
              </w:rPr>
              <w:t>等货币市场产品、债券、股票、证券投资基金，以及</w:t>
            </w:r>
            <w:r>
              <w:rPr>
                <w:rFonts w:ascii="SimSun" w:eastAsia="SimSun" w:hAnsi="SimSun" w:cs="SimSun"/>
                <w:spacing w:val="-1"/>
                <w:sz w:val="10"/>
                <w:szCs w:val="10"/>
              </w:rPr>
              <w:t>用于风险管理</w:t>
            </w:r>
            <w:r>
              <w:rPr>
                <w:rFonts w:ascii="SimSun" w:eastAsia="SimSun" w:hAnsi="SimSun" w:cs="SimSun"/>
                <w:sz w:val="10"/>
                <w:szCs w:val="10"/>
              </w:rPr>
              <w:t xml:space="preserve"> </w:t>
            </w:r>
            <w:r>
              <w:rPr>
                <w:rFonts w:ascii="SimSun" w:eastAsia="SimSun" w:hAnsi="SimSun" w:cs="SimSun"/>
                <w:sz w:val="10"/>
                <w:szCs w:val="10"/>
              </w:rPr>
              <w:t>的掉期、远期等衍生金融工具等。</w:t>
            </w:r>
          </w:p>
        </w:tc>
        <w:tc>
          <w:tcPr>
            <w:tcW w:w="3337" w:type="dxa"/>
            <w:vAlign w:val="top"/>
          </w:tcPr>
          <w:p>
            <w:pPr>
              <w:spacing w:before="54" w:line="219" w:lineRule="auto"/>
              <w:ind w:left="63"/>
              <w:rPr>
                <w:rFonts w:ascii="SimSun" w:eastAsia="SimSun" w:hAnsi="SimSun" w:cs="SimSun"/>
                <w:sz w:val="10"/>
                <w:szCs w:val="10"/>
              </w:rPr>
            </w:pPr>
            <w:r>
              <w:rPr>
                <w:rFonts w:ascii="SimSun" w:eastAsia="SimSun" w:hAnsi="SimSun" w:cs="SimSun"/>
                <w:sz w:val="10"/>
                <w:szCs w:val="10"/>
              </w:rPr>
              <w:t>(一)银行存款、同业存单</w:t>
            </w:r>
          </w:p>
          <w:p>
            <w:pPr>
              <w:spacing w:before="139" w:line="202" w:lineRule="auto"/>
              <w:ind w:left="63"/>
              <w:rPr>
                <w:rFonts w:ascii="SimSun" w:eastAsia="SimSun" w:hAnsi="SimSun" w:cs="SimSun"/>
                <w:sz w:val="10"/>
                <w:szCs w:val="10"/>
              </w:rPr>
            </w:pPr>
            <w:r>
              <w:rPr>
                <w:rFonts w:ascii="SimSun" w:eastAsia="SimSun" w:hAnsi="SimSun" w:cs="SimSun"/>
                <w:spacing w:val="-1"/>
                <w:sz w:val="10"/>
                <w:szCs w:val="10"/>
              </w:rPr>
              <w:t>(十)</w:t>
            </w:r>
            <w:r>
              <w:rPr>
                <w:rFonts w:ascii="SimSun" w:eastAsia="SimSun" w:hAnsi="SimSun" w:cs="SimSun"/>
                <w:b/>
                <w:bCs/>
                <w:spacing w:val="-1"/>
                <w:sz w:val="10"/>
                <w:szCs w:val="10"/>
              </w:rPr>
              <w:t>股指期货、国债期赏、股指期权等套期保住工具</w:t>
            </w:r>
            <w:r>
              <w:rPr>
                <w:rFonts w:ascii="SimSun" w:eastAsia="SimSun" w:hAnsi="SimSun" w:cs="SimSun"/>
                <w:spacing w:val="-1"/>
                <w:sz w:val="10"/>
                <w:szCs w:val="10"/>
              </w:rPr>
              <w:t>；</w:t>
            </w:r>
          </w:p>
          <w:p>
            <w:pPr>
              <w:spacing w:line="248" w:lineRule="auto"/>
              <w:ind w:left="45" w:right="196" w:firstLine="38"/>
              <w:rPr>
                <w:rFonts w:ascii="SimSun" w:eastAsia="SimSun" w:hAnsi="SimSun" w:cs="SimSun"/>
                <w:sz w:val="10"/>
                <w:szCs w:val="10"/>
              </w:rPr>
            </w:pPr>
            <w:r>
              <w:rPr>
                <w:rFonts w:ascii="SimSun" w:eastAsia="SimSun" w:hAnsi="SimSun" w:cs="SimSun"/>
                <w:spacing w:val="-2"/>
                <w:sz w:val="10"/>
                <w:szCs w:val="10"/>
              </w:rPr>
              <w:t>(</w:t>
            </w:r>
            <w:r>
              <w:rPr>
                <w:rFonts w:ascii="SimSun" w:eastAsia="SimSun" w:hAnsi="SimSun" w:cs="SimSun"/>
                <w:spacing w:val="-23"/>
                <w:sz w:val="10"/>
                <w:szCs w:val="10"/>
              </w:rPr>
              <w:t xml:space="preserve"> </w:t>
            </w:r>
            <w:r>
              <w:rPr>
                <w:rFonts w:ascii="SimSun" w:eastAsia="SimSun" w:hAnsi="SimSun" w:cs="SimSun"/>
                <w:b/>
                <w:bCs/>
                <w:spacing w:val="-2"/>
                <w:sz w:val="10"/>
                <w:szCs w:val="10"/>
              </w:rPr>
              <w:t>十一)养者金产品(告货币型养老金产品、国定收益型养者查产品、</w:t>
            </w:r>
            <w:r>
              <w:rPr>
                <w:rFonts w:ascii="SimSun" w:eastAsia="SimSun" w:hAnsi="SimSun" w:cs="SimSun"/>
                <w:spacing w:val="-2"/>
                <w:sz w:val="10"/>
                <w:szCs w:val="10"/>
              </w:rPr>
              <w:t>溅</w:t>
            </w:r>
            <w:r>
              <w:rPr>
                <w:rFonts w:ascii="SimSun" w:eastAsia="SimSun" w:hAnsi="SimSun" w:cs="SimSun"/>
                <w:sz w:val="10"/>
                <w:szCs w:val="10"/>
              </w:rPr>
              <w:t xml:space="preserve"> </w:t>
            </w:r>
            <w:r>
              <w:rPr>
                <w:rFonts w:ascii="SimSun" w:eastAsia="SimSun" w:hAnsi="SimSun" w:cs="SimSun"/>
                <w:b/>
                <w:bCs/>
                <w:spacing w:val="-3"/>
                <w:sz w:val="10"/>
                <w:szCs w:val="10"/>
              </w:rPr>
              <w:t>合型养者金产品、股票型养者查产品)。</w:t>
            </w:r>
          </w:p>
        </w:tc>
        <w:tc>
          <w:tcPr>
            <w:tcW w:w="2602" w:type="dxa"/>
            <w:vAlign w:val="top"/>
          </w:tcPr>
          <w:p>
            <w:pPr>
              <w:spacing w:before="134" w:line="219" w:lineRule="auto"/>
              <w:ind w:left="16"/>
              <w:rPr>
                <w:rFonts w:ascii="SimSun" w:eastAsia="SimSun" w:hAnsi="SimSun" w:cs="SimSun"/>
                <w:sz w:val="10"/>
                <w:szCs w:val="10"/>
              </w:rPr>
            </w:pPr>
            <w:r>
              <w:rPr>
                <w:rFonts w:ascii="SimSun" w:eastAsia="SimSun" w:hAnsi="SimSun" w:cs="SimSun"/>
                <w:color w:val="FF0008"/>
                <w:spacing w:val="-1"/>
                <w:sz w:val="10"/>
                <w:szCs w:val="10"/>
              </w:rPr>
              <w:t>扩大社保基金投资范围：</w:t>
            </w:r>
          </w:p>
          <w:p>
            <w:pPr>
              <w:spacing w:line="218" w:lineRule="auto"/>
              <w:ind w:left="18"/>
              <w:rPr>
                <w:rFonts w:ascii="SimSun" w:eastAsia="SimSun" w:hAnsi="SimSun" w:cs="SimSun"/>
                <w:sz w:val="10"/>
                <w:szCs w:val="10"/>
              </w:rPr>
            </w:pPr>
            <w:r>
              <w:rPr>
                <w:rFonts w:ascii="SimSun" w:eastAsia="SimSun" w:hAnsi="SimSun" w:cs="SimSun"/>
                <w:b/>
                <w:bCs/>
                <w:spacing w:val="-1"/>
                <w:sz w:val="10"/>
                <w:szCs w:val="10"/>
              </w:rPr>
              <w:t>毒期保住工具：</w:t>
            </w:r>
            <w:r>
              <w:rPr>
                <w:rFonts w:ascii="SimSun" w:eastAsia="SimSun" w:hAnsi="SimSun" w:cs="SimSun"/>
                <w:spacing w:val="-1"/>
                <w:sz w:val="10"/>
                <w:szCs w:val="10"/>
              </w:rPr>
              <w:t>股指期货、国债期货、股指期权等</w:t>
            </w:r>
          </w:p>
          <w:p>
            <w:pPr>
              <w:spacing w:before="11"/>
              <w:ind w:left="16" w:right="78" w:firstLine="1"/>
              <w:rPr>
                <w:rFonts w:ascii="SimSun" w:eastAsia="SimSun" w:hAnsi="SimSun" w:cs="SimSun"/>
                <w:sz w:val="10"/>
                <w:szCs w:val="10"/>
              </w:rPr>
            </w:pPr>
            <w:r>
              <w:rPr>
                <w:rFonts w:ascii="SimSun" w:eastAsia="SimSun" w:hAnsi="SimSun" w:cs="SimSun"/>
                <w:b/>
                <w:bCs/>
                <w:spacing w:val="-1"/>
                <w:sz w:val="10"/>
                <w:szCs w:val="10"/>
              </w:rPr>
              <w:t>非老查产品：</w:t>
            </w:r>
            <w:r>
              <w:rPr>
                <w:rFonts w:ascii="SimSun" w:eastAsia="SimSun" w:hAnsi="SimSun" w:cs="SimSun"/>
                <w:spacing w:val="-1"/>
                <w:sz w:val="10"/>
                <w:szCs w:val="10"/>
              </w:rPr>
              <w:t>含货币型养老金产品、固定收益型养老金产</w:t>
            </w:r>
            <w:r>
              <w:rPr>
                <w:rFonts w:ascii="SimSun" w:eastAsia="SimSun" w:hAnsi="SimSun" w:cs="SimSun"/>
                <w:spacing w:val="12"/>
                <w:sz w:val="10"/>
                <w:szCs w:val="10"/>
              </w:rPr>
              <w:t xml:space="preserve"> </w:t>
            </w:r>
            <w:r>
              <w:rPr>
                <w:rFonts w:ascii="SimSun" w:eastAsia="SimSun" w:hAnsi="SimSun" w:cs="SimSun"/>
                <w:sz w:val="10"/>
                <w:szCs w:val="10"/>
              </w:rPr>
              <w:t>品、混合型养老金产品、股票型养老金产品</w:t>
            </w:r>
          </w:p>
        </w:tc>
      </w:tr>
      <w:tr>
        <w:tblPrEx>
          <w:tblW w:w="10430" w:type="dxa"/>
          <w:tblInd w:w="10" w:type="dxa"/>
          <w:tblLayout w:type="fixed"/>
        </w:tblPrEx>
        <w:trPr>
          <w:trHeight w:val="369"/>
        </w:trPr>
        <w:tc>
          <w:tcPr>
            <w:tcW w:w="465" w:type="dxa"/>
            <w:vMerge/>
            <w:tcBorders>
              <w:top w:val="nil"/>
            </w:tcBorders>
            <w:vAlign w:val="top"/>
          </w:tcPr>
          <w:p>
            <w:pPr>
              <w:rPr>
                <w:rFonts w:ascii="Arial"/>
                <w:sz w:val="21"/>
              </w:rPr>
            </w:pPr>
          </w:p>
        </w:tc>
        <w:tc>
          <w:tcPr>
            <w:tcW w:w="1089" w:type="dxa"/>
            <w:vAlign w:val="top"/>
          </w:tcPr>
          <w:p>
            <w:pPr>
              <w:spacing w:before="135" w:line="220" w:lineRule="auto"/>
              <w:ind w:left="39"/>
              <w:rPr>
                <w:rFonts w:ascii="SimSun" w:eastAsia="SimSun" w:hAnsi="SimSun" w:cs="SimSun"/>
                <w:sz w:val="10"/>
                <w:szCs w:val="10"/>
              </w:rPr>
            </w:pPr>
            <w:r>
              <w:rPr>
                <w:rFonts w:ascii="SimSun" w:eastAsia="SimSun" w:hAnsi="SimSun" w:cs="SimSun"/>
                <w:spacing w:val="-1"/>
                <w:sz w:val="10"/>
                <w:szCs w:val="10"/>
              </w:rPr>
              <w:t>直接投资</w:t>
            </w:r>
          </w:p>
        </w:tc>
        <w:tc>
          <w:tcPr>
            <w:tcW w:w="2937" w:type="dxa"/>
            <w:vAlign w:val="top"/>
          </w:tcPr>
          <w:p>
            <w:pPr>
              <w:spacing w:before="85" w:line="211" w:lineRule="auto"/>
              <w:ind w:left="20" w:right="10"/>
              <w:rPr>
                <w:rFonts w:ascii="SimSun" w:eastAsia="SimSun" w:hAnsi="SimSun" w:cs="SimSun"/>
                <w:sz w:val="10"/>
                <w:szCs w:val="10"/>
              </w:rPr>
            </w:pPr>
            <w:r>
              <w:rPr>
                <w:rFonts w:ascii="SimSun" w:eastAsia="SimSun" w:hAnsi="SimSun" w:cs="SimSun"/>
                <w:sz w:val="10"/>
                <w:szCs w:val="10"/>
              </w:rPr>
              <w:t>银行存故、信托贷故、股权投资、股权投资基金、转</w:t>
            </w:r>
            <w:r>
              <w:rPr>
                <w:rFonts w:ascii="SimSun" w:eastAsia="SimSun" w:hAnsi="SimSun" w:cs="SimSun"/>
                <w:spacing w:val="-1"/>
                <w:sz w:val="10"/>
                <w:szCs w:val="10"/>
              </w:rPr>
              <w:t>特国有股和指</w:t>
            </w:r>
            <w:r>
              <w:rPr>
                <w:rFonts w:ascii="SimSun" w:eastAsia="SimSun" w:hAnsi="SimSun" w:cs="SimSun"/>
                <w:sz w:val="10"/>
                <w:szCs w:val="10"/>
              </w:rPr>
              <w:t xml:space="preserve"> </w:t>
            </w:r>
            <w:r>
              <w:rPr>
                <w:rFonts w:ascii="SimSun" w:eastAsia="SimSun" w:hAnsi="SimSun" w:cs="SimSun"/>
                <w:spacing w:val="-3"/>
                <w:sz w:val="10"/>
                <w:szCs w:val="10"/>
              </w:rPr>
              <w:t>数化股票投资等。</w:t>
            </w:r>
          </w:p>
        </w:tc>
        <w:tc>
          <w:tcPr>
            <w:tcW w:w="3337" w:type="dxa"/>
            <w:vAlign w:val="top"/>
          </w:tcPr>
          <w:p>
            <w:pPr>
              <w:spacing w:before="5" w:line="219" w:lineRule="auto"/>
              <w:ind w:left="14" w:firstLine="29"/>
              <w:rPr>
                <w:rFonts w:ascii="SimSun" w:eastAsia="SimSun" w:hAnsi="SimSun" w:cs="SimSun"/>
                <w:sz w:val="10"/>
                <w:szCs w:val="10"/>
              </w:rPr>
            </w:pPr>
            <w:r>
              <w:rPr>
                <w:rFonts w:ascii="SimSun" w:eastAsia="SimSun" w:hAnsi="SimSun" w:cs="SimSun"/>
                <w:spacing w:val="-1"/>
                <w:sz w:val="10"/>
                <w:szCs w:val="10"/>
              </w:rPr>
              <w:t>银行存款、同业存单，符合条件的直接股权投资、产重卷金、股权投资基金</w:t>
            </w:r>
            <w:r>
              <w:rPr>
                <w:rFonts w:ascii="SimSun" w:eastAsia="SimSun" w:hAnsi="SimSun" w:cs="SimSun"/>
                <w:spacing w:val="15"/>
                <w:sz w:val="10"/>
                <w:szCs w:val="10"/>
              </w:rPr>
              <w:t xml:space="preserve"> </w:t>
            </w:r>
            <w:r>
              <w:rPr>
                <w:rFonts w:ascii="SimSun" w:eastAsia="SimSun" w:hAnsi="SimSun" w:cs="SimSun"/>
                <w:spacing w:val="-1"/>
                <w:sz w:val="10"/>
                <w:szCs w:val="10"/>
              </w:rPr>
              <w:t>(含创业投资基金)、</w:t>
            </w:r>
            <w:r>
              <w:rPr>
                <w:rFonts w:ascii="SimSun" w:eastAsia="SimSun" w:hAnsi="SimSun" w:cs="SimSun"/>
                <w:b/>
                <w:bCs/>
                <w:spacing w:val="-1"/>
                <w:sz w:val="10"/>
                <w:szCs w:val="10"/>
              </w:rPr>
              <w:t>优先股</w:t>
            </w:r>
            <w:r>
              <w:rPr>
                <w:rFonts w:ascii="SimSun" w:eastAsia="SimSun" w:hAnsi="SimSun" w:cs="SimSun"/>
                <w:spacing w:val="-1"/>
                <w:sz w:val="10"/>
                <w:szCs w:val="10"/>
              </w:rPr>
              <w:t>，经批准的股票指数投资、</w:t>
            </w:r>
            <w:r>
              <w:rPr>
                <w:rFonts w:ascii="SimSun" w:eastAsia="SimSun" w:hAnsi="SimSun" w:cs="SimSun"/>
                <w:b/>
                <w:bCs/>
                <w:spacing w:val="-1"/>
                <w:sz w:val="10"/>
                <w:szCs w:val="10"/>
              </w:rPr>
              <w:t>支易型开放戈指数</w:t>
            </w:r>
          </w:p>
          <w:p>
            <w:pPr>
              <w:spacing w:before="12" w:line="192" w:lineRule="auto"/>
              <w:ind w:left="45"/>
              <w:rPr>
                <w:rFonts w:ascii="SimSun" w:eastAsia="SimSun" w:hAnsi="SimSun" w:cs="SimSun"/>
                <w:sz w:val="10"/>
                <w:szCs w:val="10"/>
              </w:rPr>
            </w:pPr>
            <w:r>
              <w:rPr>
                <w:rFonts w:ascii="SimSun" w:eastAsia="SimSun" w:hAnsi="SimSun" w:cs="SimSun"/>
                <w:b/>
                <w:bCs/>
                <w:spacing w:val="-1"/>
                <w:sz w:val="10"/>
                <w:szCs w:val="10"/>
              </w:rPr>
              <w:t>基金以</w:t>
            </w:r>
            <w:r>
              <w:rPr>
                <w:rFonts w:ascii="SimSun" w:eastAsia="SimSun" w:hAnsi="SimSun" w:cs="SimSun"/>
                <w:spacing w:val="-1"/>
                <w:sz w:val="10"/>
                <w:szCs w:val="10"/>
              </w:rPr>
              <w:t>及经回务院批准的其他产品或工具。</w:t>
            </w:r>
          </w:p>
        </w:tc>
        <w:tc>
          <w:tcPr>
            <w:tcW w:w="2602" w:type="dxa"/>
            <w:vAlign w:val="top"/>
          </w:tcPr>
          <w:p>
            <w:pPr>
              <w:spacing w:before="133" w:line="219" w:lineRule="auto"/>
              <w:ind w:left="18"/>
              <w:rPr>
                <w:rFonts w:ascii="SimSun" w:eastAsia="SimSun" w:hAnsi="SimSun" w:cs="SimSun"/>
                <w:sz w:val="10"/>
                <w:szCs w:val="10"/>
              </w:rPr>
            </w:pPr>
            <w:r>
              <w:rPr>
                <w:rFonts w:ascii="SimSun" w:eastAsia="SimSun" w:hAnsi="SimSun" w:cs="SimSun"/>
                <w:b/>
                <w:bCs/>
                <w:spacing w:val="-1"/>
                <w:sz w:val="10"/>
                <w:szCs w:val="10"/>
              </w:rPr>
              <w:t>扩大直接教责范圆；</w:t>
            </w:r>
            <w:r>
              <w:rPr>
                <w:rFonts w:ascii="SimSun" w:eastAsia="SimSun" w:hAnsi="SimSun" w:cs="SimSun"/>
                <w:spacing w:val="-1"/>
                <w:sz w:val="10"/>
                <w:szCs w:val="10"/>
              </w:rPr>
              <w:t>产业基金</w:t>
            </w:r>
            <w:r>
              <w:rPr>
                <w:rFonts w:ascii="SimSun" w:eastAsia="SimSun" w:hAnsi="SimSun" w:cs="SimSun"/>
                <w:color w:val="0077DF"/>
                <w:spacing w:val="-1"/>
                <w:sz w:val="10"/>
                <w:szCs w:val="10"/>
              </w:rPr>
              <w:t>、</w:t>
            </w:r>
            <w:r>
              <w:rPr>
                <w:rFonts w:ascii="SimSun" w:eastAsia="SimSun" w:hAnsi="SimSun" w:cs="SimSun"/>
                <w:spacing w:val="-1"/>
                <w:sz w:val="10"/>
                <w:szCs w:val="10"/>
              </w:rPr>
              <w:t>优先股</w:t>
            </w:r>
            <w:r>
              <w:rPr>
                <w:rFonts w:ascii="SimSun" w:eastAsia="SimSun" w:hAnsi="SimSun" w:cs="SimSun"/>
                <w:color w:val="0077DF"/>
                <w:spacing w:val="-1"/>
                <w:sz w:val="10"/>
                <w:szCs w:val="10"/>
              </w:rPr>
              <w:t>、</w:t>
            </w:r>
            <w:r>
              <w:rPr>
                <w:rFonts w:ascii="SimSun" w:eastAsia="SimSun" w:hAnsi="SimSun" w:cs="SimSun"/>
                <w:spacing w:val="-1"/>
                <w:sz w:val="10"/>
                <w:szCs w:val="10"/>
              </w:rPr>
              <w:t>ETF</w:t>
            </w:r>
          </w:p>
        </w:tc>
      </w:tr>
      <w:tr>
        <w:tblPrEx>
          <w:tblW w:w="10430" w:type="dxa"/>
          <w:tblInd w:w="10" w:type="dxa"/>
          <w:tblLayout w:type="fixed"/>
        </w:tblPrEx>
        <w:trPr>
          <w:trHeight w:val="479"/>
        </w:trPr>
        <w:tc>
          <w:tcPr>
            <w:tcW w:w="465" w:type="dxa"/>
            <w:vMerge w:val="restart"/>
            <w:tcBorders>
              <w:bottom w:val="nil"/>
            </w:tcBorders>
            <w:vAlign w:val="top"/>
          </w:tcPr>
          <w:p>
            <w:pPr>
              <w:spacing w:line="282" w:lineRule="auto"/>
              <w:rPr>
                <w:rFonts w:ascii="Arial"/>
                <w:sz w:val="21"/>
              </w:rPr>
            </w:pPr>
          </w:p>
          <w:p>
            <w:pPr>
              <w:spacing w:line="283" w:lineRule="auto"/>
              <w:rPr>
                <w:rFonts w:ascii="Arial"/>
                <w:sz w:val="21"/>
              </w:rPr>
            </w:pPr>
          </w:p>
          <w:p>
            <w:pPr>
              <w:spacing w:line="283" w:lineRule="auto"/>
              <w:rPr>
                <w:rFonts w:ascii="Arial"/>
                <w:sz w:val="21"/>
              </w:rPr>
            </w:pPr>
          </w:p>
          <w:p>
            <w:pPr>
              <w:spacing w:before="33" w:line="220" w:lineRule="auto"/>
              <w:ind w:left="15"/>
              <w:rPr>
                <w:rFonts w:ascii="SimSun" w:eastAsia="SimSun" w:hAnsi="SimSun" w:cs="SimSun"/>
                <w:sz w:val="10"/>
                <w:szCs w:val="10"/>
              </w:rPr>
            </w:pPr>
            <w:r>
              <w:rPr>
                <w:rFonts w:ascii="SimSun" w:eastAsia="SimSun" w:hAnsi="SimSun" w:cs="SimSun"/>
                <w:spacing w:val="-1"/>
                <w:sz w:val="10"/>
                <w:szCs w:val="10"/>
              </w:rPr>
              <w:t>投资比悯</w:t>
            </w:r>
          </w:p>
        </w:tc>
        <w:tc>
          <w:tcPr>
            <w:tcW w:w="1089" w:type="dxa"/>
            <w:vMerge w:val="restart"/>
            <w:tcBorders>
              <w:bottom w:val="nil"/>
            </w:tcBorders>
            <w:vAlign w:val="top"/>
          </w:tcPr>
          <w:p>
            <w:pPr>
              <w:spacing w:line="470" w:lineRule="auto"/>
              <w:rPr>
                <w:rFonts w:ascii="Arial"/>
                <w:sz w:val="21"/>
              </w:rPr>
            </w:pPr>
          </w:p>
          <w:p>
            <w:pPr>
              <w:spacing w:before="33" w:line="219" w:lineRule="auto"/>
              <w:ind w:left="39"/>
              <w:rPr>
                <w:rFonts w:ascii="SimSun" w:eastAsia="SimSun" w:hAnsi="SimSun" w:cs="SimSun"/>
                <w:sz w:val="10"/>
                <w:szCs w:val="10"/>
              </w:rPr>
            </w:pPr>
            <w:r>
              <w:rPr>
                <w:rFonts w:ascii="SimSun" w:eastAsia="SimSun" w:hAnsi="SimSun" w:cs="SimSun"/>
                <w:spacing w:val="-3"/>
                <w:sz w:val="10"/>
                <w:szCs w:val="10"/>
              </w:rPr>
              <w:t>固收类</w:t>
            </w:r>
          </w:p>
        </w:tc>
        <w:tc>
          <w:tcPr>
            <w:tcW w:w="2937" w:type="dxa"/>
            <w:vAlign w:val="top"/>
          </w:tcPr>
          <w:p>
            <w:pPr>
              <w:spacing w:before="154" w:line="213" w:lineRule="auto"/>
              <w:ind w:left="20" w:right="46" w:firstLine="20"/>
              <w:rPr>
                <w:rFonts w:ascii="SimSun" w:eastAsia="SimSun" w:hAnsi="SimSun" w:cs="SimSun"/>
                <w:sz w:val="10"/>
                <w:szCs w:val="10"/>
              </w:rPr>
            </w:pPr>
            <w:r>
              <w:rPr>
                <w:rFonts w:ascii="SimSun" w:eastAsia="SimSun" w:hAnsi="SimSun" w:cs="SimSun"/>
                <w:sz w:val="10"/>
                <w:szCs w:val="10"/>
              </w:rPr>
              <w:t>限行和国债不得低于50%。银行存故不得低</w:t>
            </w:r>
            <w:r>
              <w:rPr>
                <w:rFonts w:ascii="SimSun" w:eastAsia="SimSun" w:hAnsi="SimSun" w:cs="SimSun"/>
                <w:spacing w:val="-1"/>
                <w:sz w:val="10"/>
                <w:szCs w:val="10"/>
              </w:rPr>
              <w:t>于10%,在一家银行的存</w:t>
            </w:r>
            <w:r>
              <w:rPr>
                <w:rFonts w:ascii="SimSun" w:eastAsia="SimSun" w:hAnsi="SimSun" w:cs="SimSun"/>
                <w:sz w:val="10"/>
                <w:szCs w:val="10"/>
              </w:rPr>
              <w:t xml:space="preserve"> </w:t>
            </w:r>
            <w:r>
              <w:rPr>
                <w:rFonts w:ascii="SimSun" w:eastAsia="SimSun" w:hAnsi="SimSun" w:cs="SimSun"/>
                <w:spacing w:val="-2"/>
                <w:sz w:val="10"/>
                <w:szCs w:val="10"/>
              </w:rPr>
              <w:t>教不到高于社保基金总额的50%。</w:t>
            </w:r>
          </w:p>
        </w:tc>
        <w:tc>
          <w:tcPr>
            <w:tcW w:w="3337" w:type="dxa"/>
            <w:vAlign w:val="top"/>
          </w:tcPr>
          <w:p>
            <w:pPr>
              <w:spacing w:before="6" w:line="221" w:lineRule="auto"/>
              <w:ind w:left="14" w:firstLine="49"/>
              <w:rPr>
                <w:rFonts w:ascii="SimSun" w:eastAsia="SimSun" w:hAnsi="SimSun" w:cs="SimSun"/>
                <w:sz w:val="10"/>
                <w:szCs w:val="10"/>
              </w:rPr>
            </w:pPr>
            <w:r>
              <w:rPr>
                <w:rFonts w:ascii="SimSun" w:eastAsia="SimSun" w:hAnsi="SimSun" w:cs="SimSun"/>
                <w:spacing w:val="-1"/>
                <w:sz w:val="10"/>
                <w:szCs w:val="10"/>
              </w:rPr>
              <w:t>限行存款，同业存单，四债，政策性、开发性银行债券，地方政</w:t>
            </w:r>
            <w:r>
              <w:rPr>
                <w:rFonts w:ascii="SimSun" w:eastAsia="SimSun" w:hAnsi="SimSun" w:cs="SimSun"/>
                <w:spacing w:val="-2"/>
                <w:sz w:val="10"/>
                <w:szCs w:val="10"/>
              </w:rPr>
              <w:t>磨债券，政</w:t>
            </w:r>
            <w:r>
              <w:rPr>
                <w:rFonts w:ascii="SimSun" w:eastAsia="SimSun" w:hAnsi="SimSun" w:cs="SimSun"/>
                <w:sz w:val="10"/>
                <w:szCs w:val="10"/>
              </w:rPr>
              <w:t xml:space="preserve"> </w:t>
            </w:r>
            <w:r>
              <w:rPr>
                <w:rFonts w:ascii="SimSun" w:eastAsia="SimSun" w:hAnsi="SimSun" w:cs="SimSun"/>
                <w:sz w:val="10"/>
                <w:szCs w:val="10"/>
              </w:rPr>
              <w:t>磨债券回购，中国国家铁路集团有限公司发行的铁路债券</w:t>
            </w:r>
            <w:r>
              <w:rPr>
                <w:rFonts w:ascii="SimSun" w:eastAsia="SimSun" w:hAnsi="SimSun" w:cs="SimSun"/>
                <w:spacing w:val="-1"/>
                <w:sz w:val="10"/>
                <w:szCs w:val="10"/>
              </w:rPr>
              <w:t>、汇金债，不得低</w:t>
            </w:r>
            <w:r>
              <w:rPr>
                <w:rFonts w:ascii="SimSun" w:eastAsia="SimSun" w:hAnsi="SimSun" w:cs="SimSun"/>
                <w:sz w:val="10"/>
                <w:szCs w:val="10"/>
              </w:rPr>
              <w:t xml:space="preserve"> </w:t>
            </w:r>
            <w:r>
              <w:rPr>
                <w:rFonts w:ascii="SimSun" w:eastAsia="SimSun" w:hAnsi="SimSun" w:cs="SimSun"/>
                <w:sz w:val="10"/>
                <w:szCs w:val="10"/>
              </w:rPr>
              <w:t>于40%;其中，银行存款的比悯不得低于10%,在一家银行的存款不得高于全</w:t>
            </w:r>
          </w:p>
          <w:p>
            <w:pPr>
              <w:spacing w:line="190" w:lineRule="auto"/>
              <w:ind w:left="44"/>
              <w:rPr>
                <w:rFonts w:ascii="SimSun" w:eastAsia="SimSun" w:hAnsi="SimSun" w:cs="SimSun"/>
                <w:sz w:val="10"/>
                <w:szCs w:val="10"/>
              </w:rPr>
            </w:pPr>
            <w:r>
              <w:rPr>
                <w:rFonts w:ascii="SimSun" w:eastAsia="SimSun" w:hAnsi="SimSun" w:cs="SimSun"/>
                <w:spacing w:val="1"/>
                <w:sz w:val="10"/>
                <w:szCs w:val="10"/>
              </w:rPr>
              <w:t>国社保基金银行存款总额的25%;</w:t>
            </w:r>
          </w:p>
        </w:tc>
        <w:tc>
          <w:tcPr>
            <w:tcW w:w="2602" w:type="dxa"/>
            <w:vMerge w:val="restart"/>
            <w:tcBorders>
              <w:bottom w:val="nil"/>
            </w:tcBorders>
            <w:vAlign w:val="top"/>
          </w:tcPr>
          <w:p>
            <w:pPr>
              <w:spacing w:line="470" w:lineRule="auto"/>
              <w:rPr>
                <w:rFonts w:ascii="Arial"/>
                <w:sz w:val="21"/>
              </w:rPr>
            </w:pPr>
          </w:p>
          <w:p>
            <w:pPr>
              <w:spacing w:before="33" w:line="219" w:lineRule="auto"/>
              <w:ind w:left="16"/>
              <w:rPr>
                <w:rFonts w:ascii="SimSun" w:eastAsia="SimSun" w:hAnsi="SimSun" w:cs="SimSun"/>
                <w:sz w:val="10"/>
                <w:szCs w:val="10"/>
              </w:rPr>
            </w:pPr>
            <w:r>
              <w:rPr>
                <w:rFonts w:ascii="SimSun" w:eastAsia="SimSun" w:hAnsi="SimSun" w:cs="SimSun"/>
                <w:spacing w:val="1"/>
                <w:sz w:val="10"/>
                <w:szCs w:val="10"/>
              </w:rPr>
              <w:t>回收类和权益类资产配置比例保特不变：分别</w:t>
            </w:r>
            <w:r>
              <w:rPr>
                <w:rFonts w:ascii="SimSun" w:eastAsia="SimSun" w:hAnsi="SimSun" w:cs="SimSun"/>
                <w:sz w:val="10"/>
                <w:szCs w:val="10"/>
              </w:rPr>
              <w:t>60和40%;</w:t>
            </w:r>
          </w:p>
          <w:p>
            <w:pPr>
              <w:spacing w:before="31" w:line="203" w:lineRule="auto"/>
              <w:ind w:left="16"/>
              <w:rPr>
                <w:rFonts w:ascii="SimSun" w:eastAsia="SimSun" w:hAnsi="SimSun" w:cs="SimSun"/>
                <w:sz w:val="10"/>
                <w:szCs w:val="10"/>
              </w:rPr>
            </w:pPr>
            <w:r>
              <w:rPr>
                <w:rFonts w:ascii="SimSun" w:eastAsia="SimSun" w:hAnsi="SimSun" w:cs="SimSun"/>
                <w:spacing w:val="1"/>
                <w:sz w:val="10"/>
                <w:szCs w:val="10"/>
              </w:rPr>
              <w:t>银行和国债基无风险资产占比：50%+40</w:t>
            </w:r>
            <w:r>
              <w:rPr>
                <w:rFonts w:ascii="SimSun" w:eastAsia="SimSun" w:hAnsi="SimSun" w:cs="SimSun"/>
                <w:sz w:val="10"/>
                <w:szCs w:val="10"/>
              </w:rPr>
              <w:t>%;</w:t>
            </w:r>
          </w:p>
          <w:p>
            <w:pPr>
              <w:spacing w:line="219" w:lineRule="auto"/>
              <w:ind w:left="16"/>
              <w:rPr>
                <w:rFonts w:ascii="SimSun" w:eastAsia="SimSun" w:hAnsi="SimSun" w:cs="SimSun"/>
                <w:sz w:val="10"/>
                <w:szCs w:val="10"/>
              </w:rPr>
            </w:pPr>
            <w:r>
              <w:rPr>
                <w:rFonts w:ascii="SimSun" w:eastAsia="SimSun" w:hAnsi="SimSun" w:cs="SimSun"/>
                <w:sz w:val="10"/>
                <w:szCs w:val="10"/>
              </w:rPr>
              <w:t>信用债等(公司债、金融债、债券类投资基金国</w:t>
            </w:r>
            <w:r>
              <w:rPr>
                <w:rFonts w:ascii="SimSun" w:eastAsia="SimSun" w:hAnsi="SimSun" w:cs="SimSun"/>
                <w:spacing w:val="-1"/>
                <w:sz w:val="10"/>
                <w:szCs w:val="10"/>
              </w:rPr>
              <w:t>收类养老金</w:t>
            </w:r>
          </w:p>
          <w:p>
            <w:pPr>
              <w:spacing w:before="11" w:line="203" w:lineRule="auto"/>
              <w:ind w:left="16"/>
              <w:rPr>
                <w:rFonts w:ascii="SimSun" w:eastAsia="SimSun" w:hAnsi="SimSun" w:cs="SimSun"/>
                <w:sz w:val="10"/>
                <w:szCs w:val="10"/>
              </w:rPr>
            </w:pPr>
            <w:r>
              <w:rPr>
                <w:rFonts w:ascii="SimSun" w:eastAsia="SimSun" w:hAnsi="SimSun" w:cs="SimSun"/>
                <w:spacing w:val="1"/>
                <w:sz w:val="10"/>
                <w:szCs w:val="10"/>
              </w:rPr>
              <w:t>产品):10%→20%;</w:t>
            </w:r>
          </w:p>
          <w:p>
            <w:pPr>
              <w:spacing w:line="218" w:lineRule="auto"/>
              <w:ind w:left="16"/>
              <w:rPr>
                <w:rFonts w:ascii="SimSun" w:eastAsia="SimSun" w:hAnsi="SimSun" w:cs="SimSun"/>
                <w:sz w:val="10"/>
                <w:szCs w:val="10"/>
              </w:rPr>
            </w:pPr>
            <w:r>
              <w:rPr>
                <w:rFonts w:ascii="SimSun" w:eastAsia="SimSun" w:hAnsi="SimSun" w:cs="SimSun"/>
                <w:spacing w:val="2"/>
                <w:sz w:val="10"/>
                <w:szCs w:val="10"/>
              </w:rPr>
              <w:t>权益类投资比例：保持40%不变，细化权益类投资</w:t>
            </w:r>
            <w:r>
              <w:rPr>
                <w:rFonts w:ascii="SimSun" w:eastAsia="SimSun" w:hAnsi="SimSun" w:cs="SimSun"/>
                <w:spacing w:val="1"/>
                <w:sz w:val="10"/>
                <w:szCs w:val="10"/>
              </w:rPr>
              <w:t>品种；</w:t>
            </w:r>
          </w:p>
          <w:p>
            <w:pPr>
              <w:spacing w:line="237" w:lineRule="auto"/>
              <w:ind w:left="126" w:right="79" w:hanging="110"/>
              <w:rPr>
                <w:rFonts w:ascii="SimSun" w:eastAsia="SimSun" w:hAnsi="SimSun" w:cs="SimSun"/>
                <w:sz w:val="10"/>
                <w:szCs w:val="10"/>
              </w:rPr>
            </w:pPr>
            <w:r>
              <w:rPr>
                <w:rFonts w:ascii="SimSun" w:eastAsia="SimSun" w:hAnsi="SimSun" w:cs="SimSun"/>
                <w:color w:val="FF0000"/>
                <w:sz w:val="10"/>
                <w:szCs w:val="10"/>
              </w:rPr>
              <w:t>新增直接股权投资和非上市公司优先股占比≤2</w:t>
            </w:r>
            <w:r>
              <w:rPr>
                <w:rFonts w:ascii="SimSun" w:eastAsia="SimSun" w:hAnsi="SimSun" w:cs="SimSun"/>
                <w:color w:val="FF0000"/>
                <w:spacing w:val="-1"/>
                <w:sz w:val="10"/>
                <w:szCs w:val="10"/>
              </w:rPr>
              <w:t>0%,产业基</w:t>
            </w:r>
            <w:r>
              <w:rPr>
                <w:rFonts w:ascii="SimSun" w:eastAsia="SimSun" w:hAnsi="SimSun" w:cs="SimSun"/>
                <w:color w:val="FF0000"/>
                <w:sz w:val="10"/>
                <w:szCs w:val="10"/>
              </w:rPr>
              <w:t xml:space="preserve"> </w:t>
            </w:r>
            <w:r>
              <w:rPr>
                <w:rFonts w:ascii="SimSun" w:eastAsia="SimSun" w:hAnsi="SimSun" w:cs="SimSun"/>
                <w:color w:val="FE0000"/>
                <w:sz w:val="10"/>
                <w:szCs w:val="10"/>
              </w:rPr>
              <w:t>和股权投资基金≤10%,上市和非上市公司</w:t>
            </w:r>
            <w:r>
              <w:rPr>
                <w:rFonts w:ascii="SimSun" w:eastAsia="SimSun" w:hAnsi="SimSun" w:cs="SimSun"/>
                <w:color w:val="FE0000"/>
                <w:spacing w:val="-1"/>
                <w:sz w:val="10"/>
                <w:szCs w:val="10"/>
              </w:rPr>
              <w:t>优先股≤5%</w:t>
            </w:r>
          </w:p>
        </w:tc>
      </w:tr>
      <w:tr>
        <w:tblPrEx>
          <w:tblW w:w="10430" w:type="dxa"/>
          <w:tblInd w:w="10" w:type="dxa"/>
          <w:tblLayout w:type="fixed"/>
        </w:tblPrEx>
        <w:trPr>
          <w:trHeight w:val="619"/>
        </w:trPr>
        <w:tc>
          <w:tcPr>
            <w:tcW w:w="465" w:type="dxa"/>
            <w:vMerge/>
            <w:tcBorders>
              <w:top w:val="nil"/>
              <w:bottom w:val="nil"/>
            </w:tcBorders>
            <w:vAlign w:val="top"/>
          </w:tcPr>
          <w:p>
            <w:pPr>
              <w:rPr>
                <w:rFonts w:ascii="Arial"/>
                <w:sz w:val="21"/>
              </w:rPr>
            </w:pPr>
          </w:p>
        </w:tc>
        <w:tc>
          <w:tcPr>
            <w:tcW w:w="1089" w:type="dxa"/>
            <w:vMerge/>
            <w:tcBorders>
              <w:top w:val="nil"/>
            </w:tcBorders>
            <w:vAlign w:val="top"/>
          </w:tcPr>
          <w:p>
            <w:pPr>
              <w:rPr>
                <w:rFonts w:ascii="Arial"/>
                <w:sz w:val="21"/>
              </w:rPr>
            </w:pPr>
          </w:p>
        </w:tc>
        <w:tc>
          <w:tcPr>
            <w:tcW w:w="2937" w:type="dxa"/>
            <w:vAlign w:val="top"/>
          </w:tcPr>
          <w:p>
            <w:pPr>
              <w:spacing w:before="257" w:line="219" w:lineRule="auto"/>
              <w:ind w:left="20"/>
              <w:rPr>
                <w:rFonts w:ascii="SimSun" w:eastAsia="SimSun" w:hAnsi="SimSun" w:cs="SimSun"/>
                <w:sz w:val="10"/>
                <w:szCs w:val="10"/>
              </w:rPr>
            </w:pPr>
            <w:r>
              <w:rPr>
                <w:rFonts w:ascii="SimSun" w:eastAsia="SimSun" w:hAnsi="SimSun" w:cs="SimSun"/>
                <w:sz w:val="10"/>
                <w:szCs w:val="10"/>
              </w:rPr>
              <w:t>企业债、金融债不得高于10%。</w:t>
            </w:r>
          </w:p>
        </w:tc>
        <w:tc>
          <w:tcPr>
            <w:tcW w:w="3337" w:type="dxa"/>
            <w:vAlign w:val="top"/>
          </w:tcPr>
          <w:p>
            <w:pPr>
              <w:spacing w:before="27" w:line="219" w:lineRule="auto"/>
              <w:ind w:left="14" w:firstLine="79"/>
              <w:rPr>
                <w:rFonts w:ascii="SimSun" w:eastAsia="SimSun" w:hAnsi="SimSun" w:cs="SimSun"/>
                <w:sz w:val="9"/>
                <w:szCs w:val="9"/>
              </w:rPr>
            </w:pPr>
            <w:r>
              <w:rPr>
                <w:rFonts w:ascii="SimSun" w:eastAsia="SimSun" w:hAnsi="SimSun" w:cs="SimSun"/>
                <w:sz w:val="10"/>
                <w:szCs w:val="10"/>
              </w:rPr>
              <w:t>用等级在投资级以上的企业(公司》债、金融债、非金融</w:t>
            </w:r>
            <w:r>
              <w:rPr>
                <w:rFonts w:ascii="SimSun" w:eastAsia="SimSun" w:hAnsi="SimSun" w:cs="SimSun"/>
                <w:spacing w:val="-1"/>
                <w:sz w:val="10"/>
                <w:szCs w:val="10"/>
              </w:rPr>
              <w:t>企业债务融资工</w:t>
            </w:r>
            <w:r>
              <w:rPr>
                <w:rFonts w:ascii="SimSun" w:eastAsia="SimSun" w:hAnsi="SimSun" w:cs="SimSun"/>
                <w:sz w:val="10"/>
                <w:szCs w:val="10"/>
              </w:rPr>
              <w:t xml:space="preserve">   </w:t>
            </w:r>
            <w:r>
              <w:rPr>
                <w:rFonts w:ascii="SimSun" w:eastAsia="SimSun" w:hAnsi="SimSun" w:cs="SimSun"/>
                <w:sz w:val="10"/>
                <w:szCs w:val="10"/>
              </w:rPr>
              <w:t>具，货币市场基金、债券型证券投资基金、货币型养老金产品、园定收益型</w:t>
            </w:r>
            <w:r>
              <w:rPr>
                <w:rFonts w:ascii="SimSun" w:eastAsia="SimSun" w:hAnsi="SimSun" w:cs="SimSun"/>
                <w:spacing w:val="11"/>
                <w:sz w:val="10"/>
                <w:szCs w:val="10"/>
              </w:rPr>
              <w:t xml:space="preserve"> </w:t>
            </w:r>
            <w:r>
              <w:rPr>
                <w:rFonts w:ascii="SimSun" w:eastAsia="SimSun" w:hAnsi="SimSun" w:cs="SimSun"/>
                <w:sz w:val="10"/>
                <w:szCs w:val="10"/>
              </w:rPr>
              <w:t>养老金产品、资产证券化产品，合计不得高于20%;其中，资产证券化产品不</w:t>
            </w:r>
            <w:r>
              <w:rPr>
                <w:rFonts w:ascii="SimSun" w:eastAsia="SimSun" w:hAnsi="SimSun" w:cs="SimSun"/>
                <w:spacing w:val="3"/>
                <w:sz w:val="10"/>
                <w:szCs w:val="10"/>
              </w:rPr>
              <w:t xml:space="preserve"> </w:t>
            </w:r>
            <w:r>
              <w:rPr>
                <w:rFonts w:ascii="SimSun" w:eastAsia="SimSun" w:hAnsi="SimSun" w:cs="SimSun"/>
                <w:sz w:val="10"/>
                <w:szCs w:val="10"/>
              </w:rPr>
              <w:t>得高于10%;情券正回购的资金余额在每个交易日均不得高于</w:t>
            </w:r>
            <w:r>
              <w:rPr>
                <w:rFonts w:ascii="SimSun" w:eastAsia="SimSun" w:hAnsi="SimSun" w:cs="SimSun"/>
                <w:spacing w:val="-1"/>
                <w:sz w:val="10"/>
                <w:szCs w:val="10"/>
              </w:rPr>
              <w:t>全国社保基金资</w:t>
            </w:r>
            <w:r>
              <w:rPr>
                <w:rFonts w:ascii="SimSun" w:eastAsia="SimSun" w:hAnsi="SimSun" w:cs="SimSun"/>
                <w:sz w:val="10"/>
                <w:szCs w:val="10"/>
              </w:rPr>
              <w:t xml:space="preserve"> </w:t>
            </w:r>
            <w:r>
              <w:rPr>
                <w:rFonts w:ascii="SimSun" w:eastAsia="SimSun" w:hAnsi="SimSun" w:cs="SimSun"/>
                <w:spacing w:val="2"/>
                <w:sz w:val="9"/>
                <w:szCs w:val="9"/>
              </w:rPr>
              <w:t>产净值的40%。</w:t>
            </w:r>
          </w:p>
        </w:tc>
        <w:tc>
          <w:tcPr>
            <w:tcW w:w="2602" w:type="dxa"/>
            <w:vMerge/>
            <w:tcBorders>
              <w:top w:val="nil"/>
              <w:bottom w:val="nil"/>
            </w:tcBorders>
            <w:vAlign w:val="top"/>
          </w:tcPr>
          <w:p>
            <w:pPr>
              <w:rPr>
                <w:rFonts w:ascii="Arial"/>
                <w:sz w:val="21"/>
              </w:rPr>
            </w:pPr>
          </w:p>
        </w:tc>
      </w:tr>
      <w:tr>
        <w:tblPrEx>
          <w:tblW w:w="10430" w:type="dxa"/>
          <w:tblInd w:w="10" w:type="dxa"/>
          <w:tblLayout w:type="fixed"/>
        </w:tblPrEx>
        <w:trPr>
          <w:trHeight w:val="370"/>
        </w:trPr>
        <w:tc>
          <w:tcPr>
            <w:tcW w:w="465" w:type="dxa"/>
            <w:vMerge/>
            <w:tcBorders>
              <w:top w:val="nil"/>
              <w:bottom w:val="nil"/>
            </w:tcBorders>
            <w:vAlign w:val="top"/>
          </w:tcPr>
          <w:p>
            <w:pPr>
              <w:rPr>
                <w:rFonts w:ascii="Arial"/>
                <w:sz w:val="21"/>
              </w:rPr>
            </w:pPr>
          </w:p>
        </w:tc>
        <w:tc>
          <w:tcPr>
            <w:tcW w:w="1089" w:type="dxa"/>
            <w:vMerge w:val="restart"/>
            <w:tcBorders>
              <w:bottom w:val="nil"/>
            </w:tcBorders>
            <w:vAlign w:val="top"/>
          </w:tcPr>
          <w:p>
            <w:pPr>
              <w:spacing w:line="294" w:lineRule="auto"/>
              <w:rPr>
                <w:rFonts w:ascii="Arial"/>
                <w:sz w:val="21"/>
              </w:rPr>
            </w:pPr>
          </w:p>
          <w:p>
            <w:pPr>
              <w:spacing w:before="32" w:line="219" w:lineRule="auto"/>
              <w:ind w:left="39"/>
              <w:rPr>
                <w:rFonts w:ascii="SimSun" w:eastAsia="SimSun" w:hAnsi="SimSun" w:cs="SimSun"/>
                <w:sz w:val="10"/>
                <w:szCs w:val="10"/>
              </w:rPr>
            </w:pPr>
            <w:r>
              <w:rPr>
                <w:rFonts w:ascii="SimSun" w:eastAsia="SimSun" w:hAnsi="SimSun" w:cs="SimSun"/>
                <w:spacing w:val="-1"/>
                <w:sz w:val="10"/>
                <w:szCs w:val="10"/>
              </w:rPr>
              <w:t>权益类</w:t>
            </w:r>
          </w:p>
        </w:tc>
        <w:tc>
          <w:tcPr>
            <w:tcW w:w="2937" w:type="dxa"/>
            <w:vMerge w:val="restart"/>
            <w:tcBorders>
              <w:bottom w:val="nil"/>
            </w:tcBorders>
            <w:vAlign w:val="top"/>
          </w:tcPr>
          <w:p>
            <w:pPr>
              <w:spacing w:line="294" w:lineRule="auto"/>
              <w:rPr>
                <w:rFonts w:ascii="Arial"/>
                <w:sz w:val="21"/>
              </w:rPr>
            </w:pPr>
          </w:p>
          <w:p>
            <w:pPr>
              <w:spacing w:before="32" w:line="219" w:lineRule="auto"/>
              <w:ind w:left="20"/>
              <w:rPr>
                <w:rFonts w:ascii="SimSun" w:eastAsia="SimSun" w:hAnsi="SimSun" w:cs="SimSun"/>
                <w:sz w:val="10"/>
                <w:szCs w:val="10"/>
              </w:rPr>
            </w:pPr>
            <w:r>
              <w:rPr>
                <w:rFonts w:ascii="SimSun" w:eastAsia="SimSun" w:hAnsi="SimSun" w:cs="SimSun"/>
                <w:spacing w:val="-1"/>
                <w:sz w:val="10"/>
                <w:szCs w:val="10"/>
              </w:rPr>
              <w:t>证券投资基金、股票投资的比悯不得高于40%。</w:t>
            </w:r>
          </w:p>
        </w:tc>
        <w:tc>
          <w:tcPr>
            <w:tcW w:w="3337" w:type="dxa"/>
            <w:vAlign w:val="top"/>
          </w:tcPr>
          <w:p>
            <w:pPr>
              <w:spacing w:before="7" w:line="217" w:lineRule="auto"/>
              <w:ind w:left="24" w:right="6"/>
              <w:jc w:val="both"/>
              <w:rPr>
                <w:rFonts w:ascii="SimSun" w:eastAsia="SimSun" w:hAnsi="SimSun" w:cs="SimSun"/>
                <w:sz w:val="10"/>
                <w:szCs w:val="10"/>
              </w:rPr>
            </w:pPr>
            <w:r>
              <w:rPr>
                <w:rFonts w:ascii="SimSun" w:eastAsia="SimSun" w:hAnsi="SimSun" w:cs="SimSun"/>
                <w:sz w:val="10"/>
                <w:szCs w:val="10"/>
              </w:rPr>
              <w:t>股票、股票型证券报资基金、混合型证券投资基金、股票型养老</w:t>
            </w:r>
            <w:r>
              <w:rPr>
                <w:rFonts w:ascii="SimSun" w:eastAsia="SimSun" w:hAnsi="SimSun" w:cs="SimSun"/>
                <w:spacing w:val="-1"/>
                <w:sz w:val="10"/>
                <w:szCs w:val="10"/>
              </w:rPr>
              <w:t>金产品、混</w:t>
            </w:r>
            <w:r>
              <w:rPr>
                <w:rFonts w:ascii="SimSun" w:eastAsia="SimSun" w:hAnsi="SimSun" w:cs="SimSun"/>
                <w:sz w:val="10"/>
                <w:szCs w:val="10"/>
              </w:rPr>
              <w:t xml:space="preserve"> </w:t>
            </w:r>
            <w:r>
              <w:rPr>
                <w:rFonts w:ascii="SimSun" w:eastAsia="SimSun" w:hAnsi="SimSun" w:cs="SimSun"/>
                <w:sz w:val="10"/>
                <w:szCs w:val="10"/>
              </w:rPr>
              <w:t>合型养老金产品、公开募集基础设施证券投资基金、上市公司</w:t>
            </w:r>
            <w:r>
              <w:rPr>
                <w:rFonts w:ascii="SimSun" w:eastAsia="SimSun" w:hAnsi="SimSun" w:cs="SimSun"/>
                <w:spacing w:val="-1"/>
                <w:sz w:val="10"/>
                <w:szCs w:val="10"/>
              </w:rPr>
              <w:t>优先股、中国</w:t>
            </w:r>
            <w:r>
              <w:rPr>
                <w:rFonts w:ascii="SimSun" w:eastAsia="SimSun" w:hAnsi="SimSun" w:cs="SimSun"/>
                <w:sz w:val="10"/>
                <w:szCs w:val="10"/>
              </w:rPr>
              <w:t xml:space="preserve"> </w:t>
            </w:r>
            <w:r>
              <w:rPr>
                <w:rFonts w:ascii="SimSun" w:eastAsia="SimSun" w:hAnsi="SimSun" w:cs="SimSun"/>
                <w:spacing w:val="1"/>
                <w:sz w:val="10"/>
                <w:szCs w:val="10"/>
              </w:rPr>
              <w:t>存托凭证，合计不得高于40%;</w:t>
            </w:r>
          </w:p>
        </w:tc>
        <w:tc>
          <w:tcPr>
            <w:tcW w:w="2602" w:type="dxa"/>
            <w:vMerge/>
            <w:tcBorders>
              <w:top w:val="nil"/>
              <w:bottom w:val="nil"/>
            </w:tcBorders>
            <w:vAlign w:val="top"/>
          </w:tcPr>
          <w:p>
            <w:pPr>
              <w:rPr>
                <w:rFonts w:ascii="Arial"/>
                <w:sz w:val="21"/>
              </w:rPr>
            </w:pPr>
          </w:p>
        </w:tc>
      </w:tr>
      <w:tr>
        <w:tblPrEx>
          <w:tblW w:w="10430" w:type="dxa"/>
          <w:tblInd w:w="10" w:type="dxa"/>
          <w:tblLayout w:type="fixed"/>
        </w:tblPrEx>
        <w:trPr>
          <w:trHeight w:val="369"/>
        </w:trPr>
        <w:tc>
          <w:tcPr>
            <w:tcW w:w="465" w:type="dxa"/>
            <w:vMerge/>
            <w:tcBorders>
              <w:top w:val="nil"/>
            </w:tcBorders>
            <w:vAlign w:val="top"/>
          </w:tcPr>
          <w:p>
            <w:pPr>
              <w:rPr>
                <w:rFonts w:ascii="Arial"/>
                <w:sz w:val="21"/>
              </w:rPr>
            </w:pPr>
          </w:p>
        </w:tc>
        <w:tc>
          <w:tcPr>
            <w:tcW w:w="1089" w:type="dxa"/>
            <w:vMerge/>
            <w:tcBorders>
              <w:top w:val="nil"/>
            </w:tcBorders>
            <w:vAlign w:val="top"/>
          </w:tcPr>
          <w:p>
            <w:pPr>
              <w:rPr>
                <w:rFonts w:ascii="Arial"/>
                <w:sz w:val="21"/>
              </w:rPr>
            </w:pPr>
          </w:p>
        </w:tc>
        <w:tc>
          <w:tcPr>
            <w:tcW w:w="2937" w:type="dxa"/>
            <w:vMerge/>
            <w:tcBorders>
              <w:top w:val="nil"/>
            </w:tcBorders>
            <w:vAlign w:val="top"/>
          </w:tcPr>
          <w:p>
            <w:pPr>
              <w:rPr>
                <w:rFonts w:ascii="Arial"/>
                <w:sz w:val="21"/>
              </w:rPr>
            </w:pPr>
          </w:p>
        </w:tc>
        <w:tc>
          <w:tcPr>
            <w:tcW w:w="3337" w:type="dxa"/>
            <w:vAlign w:val="top"/>
          </w:tcPr>
          <w:p>
            <w:pPr>
              <w:spacing w:before="8" w:line="216" w:lineRule="auto"/>
              <w:ind w:left="44" w:right="17" w:hanging="30"/>
              <w:rPr>
                <w:rFonts w:ascii="SimSun" w:eastAsia="SimSun" w:hAnsi="SimSun" w:cs="SimSun"/>
                <w:sz w:val="10"/>
                <w:szCs w:val="10"/>
              </w:rPr>
            </w:pPr>
            <w:r>
              <w:rPr>
                <w:rFonts w:ascii="SimSun" w:eastAsia="SimSun" w:hAnsi="SimSun" w:cs="SimSun"/>
                <w:sz w:val="10"/>
                <w:szCs w:val="10"/>
              </w:rPr>
              <w:t>直接股权投资、非上市公司优先股合计不得高于20%;产业基金</w:t>
            </w:r>
            <w:r>
              <w:rPr>
                <w:rFonts w:ascii="SimSun" w:eastAsia="SimSun" w:hAnsi="SimSun" w:cs="SimSun"/>
                <w:spacing w:val="-1"/>
                <w:sz w:val="10"/>
                <w:szCs w:val="10"/>
              </w:rPr>
              <w:t>和股权投资基</w:t>
            </w:r>
            <w:r>
              <w:rPr>
                <w:rFonts w:ascii="SimSun" w:eastAsia="SimSun" w:hAnsi="SimSun" w:cs="SimSun"/>
                <w:sz w:val="10"/>
                <w:szCs w:val="10"/>
              </w:rPr>
              <w:t xml:space="preserve"> </w:t>
            </w:r>
            <w:r>
              <w:rPr>
                <w:rFonts w:ascii="SimSun" w:eastAsia="SimSun" w:hAnsi="SimSun" w:cs="SimSun"/>
                <w:sz w:val="10"/>
                <w:szCs w:val="10"/>
              </w:rPr>
              <w:t>金(含创业投资基金)不得高于10%;上市公</w:t>
            </w:r>
            <w:r>
              <w:rPr>
                <w:rFonts w:ascii="SimSun" w:eastAsia="SimSun" w:hAnsi="SimSun" w:cs="SimSun"/>
                <w:spacing w:val="-1"/>
                <w:sz w:val="10"/>
                <w:szCs w:val="10"/>
              </w:rPr>
              <w:t xml:space="preserve">司优先股和非上市公司优先股合  </w:t>
            </w:r>
            <w:r>
              <w:rPr>
                <w:rFonts w:ascii="SimSun" w:eastAsia="SimSun" w:hAnsi="SimSun" w:cs="SimSun"/>
                <w:spacing w:val="-2"/>
                <w:sz w:val="10"/>
                <w:szCs w:val="10"/>
              </w:rPr>
              <w:t>计不科品十强。</w:t>
            </w:r>
          </w:p>
        </w:tc>
        <w:tc>
          <w:tcPr>
            <w:tcW w:w="2602" w:type="dxa"/>
            <w:vMerge/>
            <w:tcBorders>
              <w:top w:val="nil"/>
            </w:tcBorders>
            <w:vAlign w:val="top"/>
          </w:tcPr>
          <w:p>
            <w:pPr>
              <w:rPr>
                <w:rFonts w:ascii="Arial"/>
                <w:sz w:val="21"/>
              </w:rPr>
            </w:pPr>
          </w:p>
        </w:tc>
      </w:tr>
      <w:tr>
        <w:tblPrEx>
          <w:tblW w:w="10430" w:type="dxa"/>
          <w:tblInd w:w="10" w:type="dxa"/>
          <w:tblLayout w:type="fixed"/>
        </w:tblPrEx>
        <w:trPr>
          <w:trHeight w:val="619"/>
        </w:trPr>
        <w:tc>
          <w:tcPr>
            <w:tcW w:w="465" w:type="dxa"/>
            <w:vMerge w:val="restart"/>
            <w:tcBorders>
              <w:bottom w:val="nil"/>
            </w:tcBorders>
            <w:vAlign w:val="top"/>
          </w:tcPr>
          <w:p>
            <w:pPr>
              <w:spacing w:line="473" w:lineRule="auto"/>
              <w:rPr>
                <w:rFonts w:ascii="Arial"/>
                <w:sz w:val="21"/>
              </w:rPr>
            </w:pPr>
          </w:p>
          <w:p>
            <w:pPr>
              <w:spacing w:before="33" w:line="219" w:lineRule="auto"/>
              <w:ind w:left="75"/>
              <w:rPr>
                <w:rFonts w:ascii="SimSun" w:eastAsia="SimSun" w:hAnsi="SimSun" w:cs="SimSun"/>
                <w:sz w:val="10"/>
                <w:szCs w:val="10"/>
              </w:rPr>
            </w:pPr>
            <w:r>
              <w:rPr>
                <w:rFonts w:ascii="SimSun" w:eastAsia="SimSun" w:hAnsi="SimSun" w:cs="SimSun"/>
                <w:spacing w:val="-1"/>
                <w:sz w:val="10"/>
                <w:szCs w:val="10"/>
              </w:rPr>
              <w:t>集中度</w:t>
            </w:r>
          </w:p>
        </w:tc>
        <w:tc>
          <w:tcPr>
            <w:tcW w:w="1089" w:type="dxa"/>
            <w:vMerge w:val="restart"/>
            <w:tcBorders>
              <w:bottom w:val="nil"/>
            </w:tcBorders>
            <w:vAlign w:val="top"/>
          </w:tcPr>
          <w:p>
            <w:pPr>
              <w:spacing w:line="354" w:lineRule="auto"/>
              <w:rPr>
                <w:rFonts w:ascii="Arial"/>
                <w:sz w:val="21"/>
              </w:rPr>
            </w:pPr>
          </w:p>
          <w:p>
            <w:pPr>
              <w:spacing w:before="33" w:line="220" w:lineRule="auto"/>
              <w:ind w:left="39"/>
              <w:rPr>
                <w:rFonts w:ascii="SimSun" w:eastAsia="SimSun" w:hAnsi="SimSun" w:cs="SimSun"/>
                <w:sz w:val="10"/>
                <w:szCs w:val="10"/>
              </w:rPr>
            </w:pPr>
            <w:r>
              <w:rPr>
                <w:rFonts w:ascii="SimSun" w:eastAsia="SimSun" w:hAnsi="SimSun" w:cs="SimSun"/>
                <w:spacing w:val="-1"/>
                <w:sz w:val="10"/>
                <w:szCs w:val="10"/>
              </w:rPr>
              <w:t>一投资标的果中屋</w:t>
            </w:r>
          </w:p>
        </w:tc>
        <w:tc>
          <w:tcPr>
            <w:tcW w:w="2937" w:type="dxa"/>
            <w:vAlign w:val="top"/>
          </w:tcPr>
          <w:p>
            <w:pPr>
              <w:spacing w:before="149" w:line="220" w:lineRule="auto"/>
              <w:ind w:left="20" w:right="11" w:hanging="9"/>
              <w:jc w:val="both"/>
              <w:rPr>
                <w:rFonts w:ascii="SimSun" w:eastAsia="SimSun" w:hAnsi="SimSun" w:cs="SimSun"/>
                <w:sz w:val="10"/>
                <w:szCs w:val="10"/>
              </w:rPr>
            </w:pPr>
            <w:r>
              <w:rPr>
                <w:rFonts w:ascii="SimSun" w:eastAsia="SimSun" w:hAnsi="SimSun" w:cs="SimSun"/>
                <w:sz w:val="10"/>
                <w:szCs w:val="10"/>
              </w:rPr>
              <w:t>单个投资管理人管理的社保基金资产投资于一家企业</w:t>
            </w:r>
            <w:r>
              <w:rPr>
                <w:rFonts w:ascii="SimSun" w:eastAsia="SimSun" w:hAnsi="SimSun" w:cs="SimSun"/>
                <w:spacing w:val="-1"/>
                <w:sz w:val="10"/>
                <w:szCs w:val="10"/>
              </w:rPr>
              <w:t>所发行的证券</w:t>
            </w:r>
            <w:r>
              <w:rPr>
                <w:rFonts w:ascii="SimSun" w:eastAsia="SimSun" w:hAnsi="SimSun" w:cs="SimSun"/>
                <w:sz w:val="10"/>
                <w:szCs w:val="10"/>
              </w:rPr>
              <w:t xml:space="preserve"> </w:t>
            </w:r>
            <w:r>
              <w:rPr>
                <w:rFonts w:ascii="SimSun" w:eastAsia="SimSun" w:hAnsi="SimSun" w:cs="SimSun"/>
                <w:sz w:val="10"/>
                <w:szCs w:val="10"/>
              </w:rPr>
              <w:t>或单只证券投资基金，不得超过该企业所发行证券</w:t>
            </w:r>
            <w:r>
              <w:rPr>
                <w:rFonts w:ascii="SimSun" w:eastAsia="SimSun" w:hAnsi="SimSun" w:cs="SimSun"/>
                <w:spacing w:val="-1"/>
                <w:sz w:val="10"/>
                <w:szCs w:val="10"/>
              </w:rPr>
              <w:t>或该基金份额的</w:t>
            </w:r>
            <w:r>
              <w:rPr>
                <w:rFonts w:ascii="SimSun" w:eastAsia="SimSun" w:hAnsi="SimSun" w:cs="SimSun"/>
                <w:sz w:val="10"/>
                <w:szCs w:val="10"/>
              </w:rPr>
              <w:t xml:space="preserve"> </w:t>
            </w:r>
            <w:r>
              <w:rPr>
                <w:rFonts w:ascii="SimSun" w:eastAsia="SimSun" w:hAnsi="SimSun" w:cs="SimSun"/>
                <w:b/>
                <w:bCs/>
                <w:sz w:val="10"/>
                <w:szCs w:val="10"/>
              </w:rPr>
              <w:t>6%;</w:t>
            </w:r>
            <w:r>
              <w:rPr>
                <w:rFonts w:ascii="SimSun" w:eastAsia="SimSun" w:hAnsi="SimSun" w:cs="SimSun"/>
                <w:sz w:val="10"/>
                <w:szCs w:val="10"/>
              </w:rPr>
              <w:t>按成本计算，不得超过其管理的社保基金资产总值</w:t>
            </w:r>
            <w:r>
              <w:rPr>
                <w:rFonts w:ascii="SimSun" w:eastAsia="SimSun" w:hAnsi="SimSun" w:cs="SimSun"/>
                <w:spacing w:val="-1"/>
                <w:sz w:val="10"/>
                <w:szCs w:val="10"/>
              </w:rPr>
              <w:t>的10%。</w:t>
            </w:r>
          </w:p>
        </w:tc>
        <w:tc>
          <w:tcPr>
            <w:tcW w:w="3337" w:type="dxa"/>
            <w:vAlign w:val="top"/>
          </w:tcPr>
          <w:p>
            <w:pPr>
              <w:spacing w:before="9" w:line="233" w:lineRule="auto"/>
              <w:ind w:left="44"/>
              <w:rPr>
                <w:rFonts w:ascii="SimSun" w:eastAsia="SimSun" w:hAnsi="SimSun" w:cs="SimSun"/>
                <w:sz w:val="10"/>
                <w:szCs w:val="10"/>
              </w:rPr>
            </w:pPr>
            <w:r>
              <w:rPr>
                <w:rFonts w:ascii="SimSun" w:eastAsia="SimSun" w:hAnsi="SimSun" w:cs="SimSun"/>
                <w:spacing w:val="-1"/>
                <w:sz w:val="10"/>
                <w:szCs w:val="10"/>
              </w:rPr>
              <w:t>单个投资管理人管理的全国社保基金资产投资于单一企业所发行的证券、单</w:t>
            </w:r>
            <w:r>
              <w:rPr>
                <w:rFonts w:ascii="SimSun" w:eastAsia="SimSun" w:hAnsi="SimSun" w:cs="SimSun"/>
                <w:spacing w:val="14"/>
                <w:w w:val="101"/>
                <w:sz w:val="10"/>
                <w:szCs w:val="10"/>
              </w:rPr>
              <w:t xml:space="preserve"> </w:t>
            </w:r>
            <w:r>
              <w:rPr>
                <w:rFonts w:ascii="SimSun" w:eastAsia="SimSun" w:hAnsi="SimSun" w:cs="SimSun"/>
                <w:sz w:val="10"/>
                <w:szCs w:val="10"/>
              </w:rPr>
              <w:t xml:space="preserve">一证券投资基金，不得超过该企业所发行证券或该基金份额的10%,不得超   </w:t>
            </w:r>
            <w:r>
              <w:rPr>
                <w:rFonts w:ascii="SimSun" w:eastAsia="SimSun" w:hAnsi="SimSun" w:cs="SimSun"/>
                <w:spacing w:val="-1"/>
                <w:sz w:val="10"/>
                <w:szCs w:val="10"/>
              </w:rPr>
              <w:t>过其管理的全国社保基金资产总值的10%;单个投资组合投资于单一企业所</w:t>
            </w:r>
          </w:p>
          <w:p>
            <w:pPr>
              <w:spacing w:before="1" w:line="219" w:lineRule="auto"/>
              <w:ind w:left="24"/>
              <w:rPr>
                <w:rFonts w:ascii="SimSun" w:eastAsia="SimSun" w:hAnsi="SimSun" w:cs="SimSun"/>
                <w:sz w:val="10"/>
                <w:szCs w:val="10"/>
              </w:rPr>
            </w:pPr>
            <w:r>
              <w:rPr>
                <w:rFonts w:ascii="SimSun" w:eastAsia="SimSun" w:hAnsi="SimSun" w:cs="SimSun"/>
                <w:sz w:val="10"/>
                <w:szCs w:val="10"/>
              </w:rPr>
              <w:t>发行的证券、单一证券投资基金，不得超过该企业所发行证</w:t>
            </w:r>
            <w:r>
              <w:rPr>
                <w:rFonts w:ascii="SimSun" w:eastAsia="SimSun" w:hAnsi="SimSun" w:cs="SimSun"/>
                <w:spacing w:val="-1"/>
                <w:sz w:val="10"/>
                <w:szCs w:val="10"/>
              </w:rPr>
              <w:t>券或该基金份额</w:t>
            </w:r>
          </w:p>
          <w:p>
            <w:pPr>
              <w:spacing w:before="1" w:line="184" w:lineRule="auto"/>
              <w:ind w:left="45"/>
              <w:rPr>
                <w:rFonts w:ascii="SimSun" w:eastAsia="SimSun" w:hAnsi="SimSun" w:cs="SimSun"/>
                <w:sz w:val="10"/>
                <w:szCs w:val="10"/>
              </w:rPr>
            </w:pPr>
            <w:r>
              <w:rPr>
                <w:rFonts w:ascii="SimSun" w:eastAsia="SimSun" w:hAnsi="SimSun" w:cs="SimSun"/>
                <w:b/>
                <w:bCs/>
                <w:spacing w:val="-2"/>
                <w:sz w:val="10"/>
                <w:szCs w:val="10"/>
              </w:rPr>
              <w:t>的5%。</w:t>
            </w:r>
          </w:p>
        </w:tc>
        <w:tc>
          <w:tcPr>
            <w:tcW w:w="2602" w:type="dxa"/>
            <w:vAlign w:val="top"/>
          </w:tcPr>
          <w:p>
            <w:pPr>
              <w:spacing w:before="69" w:line="219" w:lineRule="auto"/>
              <w:jc w:val="right"/>
              <w:rPr>
                <w:rFonts w:ascii="SimSun" w:eastAsia="SimSun" w:hAnsi="SimSun" w:cs="SimSun"/>
                <w:sz w:val="10"/>
                <w:szCs w:val="10"/>
              </w:rPr>
            </w:pPr>
            <w:r>
              <w:rPr>
                <w:rFonts w:ascii="SimSun" w:eastAsia="SimSun" w:hAnsi="SimSun" w:cs="SimSun"/>
                <w:color w:val="FE0000"/>
                <w:spacing w:val="-1"/>
                <w:sz w:val="10"/>
                <w:szCs w:val="10"/>
              </w:rPr>
              <w:t>高全四社保基金投资委托管理人单一企业发行资产份额上</w:t>
            </w:r>
          </w:p>
          <w:p>
            <w:pPr>
              <w:spacing w:before="56" w:line="175" w:lineRule="auto"/>
              <w:ind w:left="16"/>
              <w:rPr>
                <w:rFonts w:ascii="SimSun" w:eastAsia="SimSun" w:hAnsi="SimSun" w:cs="SimSun"/>
                <w:sz w:val="10"/>
                <w:szCs w:val="10"/>
              </w:rPr>
            </w:pPr>
            <w:r>
              <w:rPr>
                <w:rFonts w:ascii="SimSun" w:eastAsia="SimSun" w:hAnsi="SimSun" w:cs="SimSun"/>
                <w:color w:val="FF0008"/>
                <w:spacing w:val="-3"/>
                <w:sz w:val="10"/>
                <w:szCs w:val="10"/>
              </w:rPr>
              <w:t>:5%+10%</w:t>
            </w:r>
          </w:p>
          <w:p>
            <w:pPr>
              <w:spacing w:line="211" w:lineRule="auto"/>
              <w:ind w:left="16" w:firstLine="110"/>
              <w:rPr>
                <w:rFonts w:ascii="SimSun" w:eastAsia="SimSun" w:hAnsi="SimSun" w:cs="SimSun"/>
                <w:sz w:val="10"/>
                <w:szCs w:val="10"/>
              </w:rPr>
            </w:pPr>
            <w:r>
              <w:rPr>
                <w:rFonts w:ascii="SimSun" w:eastAsia="SimSun" w:hAnsi="SimSun" w:cs="SimSun"/>
                <w:color w:val="FF0008"/>
                <w:spacing w:val="-2"/>
                <w:sz w:val="10"/>
                <w:szCs w:val="10"/>
              </w:rPr>
              <w:t>增单个投资组合投资于单一企业所发行的证券、单一证券</w:t>
            </w:r>
            <w:r>
              <w:rPr>
                <w:rFonts w:ascii="SimSun" w:eastAsia="SimSun" w:hAnsi="SimSun" w:cs="SimSun"/>
                <w:color w:val="FF0008"/>
                <w:spacing w:val="13"/>
                <w:sz w:val="10"/>
                <w:szCs w:val="10"/>
              </w:rPr>
              <w:t xml:space="preserve"> </w:t>
            </w:r>
            <w:r>
              <w:rPr>
                <w:rFonts w:ascii="SimSun" w:eastAsia="SimSun" w:hAnsi="SimSun" w:cs="SimSun"/>
                <w:color w:val="FF0008"/>
                <w:sz w:val="10"/>
                <w:szCs w:val="10"/>
              </w:rPr>
              <w:t>投资基金，不得超过该企业所发行证券或该基</w:t>
            </w:r>
            <w:r>
              <w:rPr>
                <w:rFonts w:ascii="SimSun" w:eastAsia="SimSun" w:hAnsi="SimSun" w:cs="SimSun"/>
                <w:color w:val="FF0008"/>
                <w:spacing w:val="-1"/>
                <w:sz w:val="10"/>
                <w:szCs w:val="10"/>
              </w:rPr>
              <w:t>金份额的5%</w:t>
            </w:r>
          </w:p>
        </w:tc>
      </w:tr>
      <w:tr>
        <w:tblPrEx>
          <w:tblW w:w="10430" w:type="dxa"/>
          <w:tblInd w:w="10" w:type="dxa"/>
          <w:tblLayout w:type="fixed"/>
        </w:tblPrEx>
        <w:trPr>
          <w:trHeight w:val="240"/>
        </w:trPr>
        <w:tc>
          <w:tcPr>
            <w:tcW w:w="465" w:type="dxa"/>
            <w:vMerge/>
            <w:tcBorders>
              <w:top w:val="nil"/>
              <w:bottom w:val="nil"/>
            </w:tcBorders>
            <w:vAlign w:val="top"/>
          </w:tcPr>
          <w:p>
            <w:pPr>
              <w:rPr>
                <w:rFonts w:ascii="Arial"/>
                <w:sz w:val="21"/>
              </w:rPr>
            </w:pPr>
          </w:p>
        </w:tc>
        <w:tc>
          <w:tcPr>
            <w:tcW w:w="1089" w:type="dxa"/>
            <w:vMerge/>
            <w:tcBorders>
              <w:top w:val="nil"/>
            </w:tcBorders>
            <w:vAlign w:val="top"/>
          </w:tcPr>
          <w:p>
            <w:pPr>
              <w:rPr>
                <w:rFonts w:ascii="Arial"/>
                <w:sz w:val="21"/>
              </w:rPr>
            </w:pPr>
          </w:p>
        </w:tc>
        <w:tc>
          <w:tcPr>
            <w:tcW w:w="2937" w:type="dxa"/>
            <w:vAlign w:val="top"/>
          </w:tcPr>
          <w:p>
            <w:pPr>
              <w:spacing w:line="230" w:lineRule="exact"/>
              <w:rPr>
                <w:rFonts w:ascii="Arial"/>
                <w:sz w:val="20"/>
              </w:rPr>
            </w:pPr>
          </w:p>
        </w:tc>
        <w:tc>
          <w:tcPr>
            <w:tcW w:w="3337" w:type="dxa"/>
            <w:vAlign w:val="top"/>
          </w:tcPr>
          <w:p>
            <w:pPr>
              <w:spacing w:before="27" w:line="187" w:lineRule="auto"/>
              <w:ind w:left="63" w:right="68"/>
              <w:rPr>
                <w:rFonts w:ascii="SimSun" w:eastAsia="SimSun" w:hAnsi="SimSun" w:cs="SimSun"/>
                <w:sz w:val="10"/>
                <w:szCs w:val="10"/>
              </w:rPr>
            </w:pPr>
            <w:r>
              <w:rPr>
                <w:rFonts w:ascii="SimSun" w:eastAsia="SimSun" w:hAnsi="SimSun" w:cs="SimSun"/>
                <w:sz w:val="10"/>
                <w:szCs w:val="10"/>
              </w:rPr>
              <w:t>全国社保基金投资单一股权项日不高于该投资标的</w:t>
            </w:r>
            <w:r>
              <w:rPr>
                <w:rFonts w:ascii="SimSun" w:eastAsia="SimSun" w:hAnsi="SimSun" w:cs="SimSun"/>
                <w:spacing w:val="-1"/>
                <w:sz w:val="10"/>
                <w:szCs w:val="10"/>
              </w:rPr>
              <w:t>总规楼</w:t>
            </w:r>
            <w:r>
              <w:rPr>
                <w:rFonts w:ascii="SimSun" w:eastAsia="SimSun" w:hAnsi="SimSun" w:cs="SimSun"/>
                <w:b/>
                <w:bCs/>
                <w:spacing w:val="-1"/>
                <w:sz w:val="10"/>
                <w:szCs w:val="10"/>
              </w:rPr>
              <w:t>的30%,</w:t>
            </w:r>
            <w:r>
              <w:rPr>
                <w:rFonts w:ascii="SimSun" w:eastAsia="SimSun" w:hAnsi="SimSun" w:cs="SimSun"/>
                <w:spacing w:val="-1"/>
                <w:sz w:val="10"/>
                <w:szCs w:val="10"/>
              </w:rPr>
              <w:t>投资单一</w:t>
            </w:r>
            <w:r>
              <w:rPr>
                <w:rFonts w:ascii="SimSun" w:eastAsia="SimSun" w:hAnsi="SimSun" w:cs="SimSun"/>
                <w:sz w:val="10"/>
                <w:szCs w:val="10"/>
              </w:rPr>
              <w:t xml:space="preserve"> </w:t>
            </w:r>
            <w:r>
              <w:rPr>
                <w:rFonts w:ascii="SimSun" w:eastAsia="SimSun" w:hAnsi="SimSun" w:cs="SimSun"/>
                <w:spacing w:val="-1"/>
                <w:sz w:val="10"/>
                <w:szCs w:val="10"/>
              </w:rPr>
              <w:t>资产证券化产品、优先股不高于该投资标的总规模的</w:t>
            </w:r>
            <w:r>
              <w:rPr>
                <w:rFonts w:ascii="SimSun" w:eastAsia="SimSun" w:hAnsi="SimSun" w:cs="SimSun"/>
                <w:b/>
                <w:bCs/>
                <w:spacing w:val="-1"/>
                <w:sz w:val="10"/>
                <w:szCs w:val="10"/>
              </w:rPr>
              <w:t>20%</w:t>
            </w:r>
          </w:p>
        </w:tc>
        <w:tc>
          <w:tcPr>
            <w:tcW w:w="2602" w:type="dxa"/>
            <w:vAlign w:val="top"/>
          </w:tcPr>
          <w:p>
            <w:pPr>
              <w:spacing w:before="70" w:line="219" w:lineRule="auto"/>
              <w:ind w:left="16"/>
              <w:rPr>
                <w:rFonts w:ascii="SimSun" w:eastAsia="SimSun" w:hAnsi="SimSun" w:cs="SimSun"/>
                <w:sz w:val="10"/>
                <w:szCs w:val="10"/>
              </w:rPr>
            </w:pPr>
            <w:r>
              <w:rPr>
                <w:rFonts w:ascii="SimSun" w:eastAsia="SimSun" w:hAnsi="SimSun" w:cs="SimSun"/>
                <w:spacing w:val="-1"/>
                <w:sz w:val="10"/>
                <w:szCs w:val="10"/>
              </w:rPr>
              <w:t>新设全国社保基金平一股权项目等资产占比</w:t>
            </w:r>
          </w:p>
        </w:tc>
      </w:tr>
      <w:tr>
        <w:tblPrEx>
          <w:tblW w:w="10430" w:type="dxa"/>
          <w:tblInd w:w="10" w:type="dxa"/>
          <w:tblLayout w:type="fixed"/>
        </w:tblPrEx>
        <w:trPr>
          <w:trHeight w:val="240"/>
        </w:trPr>
        <w:tc>
          <w:tcPr>
            <w:tcW w:w="465" w:type="dxa"/>
            <w:vMerge/>
            <w:tcBorders>
              <w:top w:val="nil"/>
            </w:tcBorders>
            <w:vAlign w:val="top"/>
          </w:tcPr>
          <w:p>
            <w:pPr>
              <w:rPr>
                <w:rFonts w:ascii="Arial"/>
                <w:sz w:val="21"/>
              </w:rPr>
            </w:pPr>
          </w:p>
        </w:tc>
        <w:tc>
          <w:tcPr>
            <w:tcW w:w="1089" w:type="dxa"/>
            <w:vAlign w:val="top"/>
          </w:tcPr>
          <w:p>
            <w:pPr>
              <w:spacing w:before="70" w:line="219" w:lineRule="auto"/>
              <w:ind w:left="39"/>
              <w:rPr>
                <w:rFonts w:ascii="SimSun" w:eastAsia="SimSun" w:hAnsi="SimSun" w:cs="SimSun"/>
                <w:sz w:val="10"/>
                <w:szCs w:val="10"/>
              </w:rPr>
            </w:pPr>
            <w:r>
              <w:rPr>
                <w:rFonts w:ascii="SimSun" w:eastAsia="SimSun" w:hAnsi="SimSun" w:cs="SimSun"/>
                <w:spacing w:val="-1"/>
                <w:sz w:val="10"/>
                <w:szCs w:val="10"/>
              </w:rPr>
              <w:t>委托管理人集中度</w:t>
            </w:r>
          </w:p>
        </w:tc>
        <w:tc>
          <w:tcPr>
            <w:tcW w:w="2937" w:type="dxa"/>
            <w:vAlign w:val="top"/>
          </w:tcPr>
          <w:p>
            <w:pPr>
              <w:spacing w:before="10" w:line="203" w:lineRule="auto"/>
              <w:ind w:left="20" w:right="10"/>
              <w:rPr>
                <w:rFonts w:ascii="SimSun" w:eastAsia="SimSun" w:hAnsi="SimSun" w:cs="SimSun"/>
                <w:sz w:val="10"/>
                <w:szCs w:val="10"/>
              </w:rPr>
            </w:pPr>
            <w:r>
              <w:rPr>
                <w:rFonts w:ascii="SimSun" w:eastAsia="SimSun" w:hAnsi="SimSun" w:cs="SimSun"/>
                <w:sz w:val="10"/>
                <w:szCs w:val="10"/>
              </w:rPr>
              <w:t>要托单个社保基金投资管理人进行管理的资产，不得</w:t>
            </w:r>
            <w:r>
              <w:rPr>
                <w:rFonts w:ascii="SimSun" w:eastAsia="SimSun" w:hAnsi="SimSun" w:cs="SimSun"/>
                <w:spacing w:val="-1"/>
                <w:sz w:val="10"/>
                <w:szCs w:val="10"/>
              </w:rPr>
              <w:t>超过年度社保</w:t>
            </w:r>
            <w:r>
              <w:rPr>
                <w:rFonts w:ascii="SimSun" w:eastAsia="SimSun" w:hAnsi="SimSun" w:cs="SimSun"/>
                <w:sz w:val="10"/>
                <w:szCs w:val="10"/>
              </w:rPr>
              <w:t xml:space="preserve"> </w:t>
            </w:r>
            <w:r>
              <w:rPr>
                <w:rFonts w:ascii="SimSun" w:eastAsia="SimSun" w:hAnsi="SimSun" w:cs="SimSun"/>
                <w:spacing w:val="-2"/>
                <w:sz w:val="10"/>
                <w:szCs w:val="10"/>
              </w:rPr>
              <w:t>基金委托资产总值的20%。</w:t>
            </w:r>
          </w:p>
        </w:tc>
        <w:tc>
          <w:tcPr>
            <w:tcW w:w="3337" w:type="dxa"/>
            <w:vAlign w:val="top"/>
          </w:tcPr>
          <w:p>
            <w:pPr>
              <w:spacing w:before="10" w:line="203" w:lineRule="auto"/>
              <w:ind w:left="24" w:firstLine="19"/>
              <w:rPr>
                <w:rFonts w:ascii="SimSun" w:eastAsia="SimSun" w:hAnsi="SimSun" w:cs="SimSun"/>
                <w:sz w:val="10"/>
                <w:szCs w:val="10"/>
              </w:rPr>
            </w:pPr>
            <w:r>
              <w:rPr>
                <w:rFonts w:ascii="SimSun" w:eastAsia="SimSun" w:hAnsi="SimSun" w:cs="SimSun"/>
                <w:spacing w:val="-1"/>
                <w:sz w:val="10"/>
                <w:szCs w:val="10"/>
              </w:rPr>
              <w:t>委托单个投资管理人进行管理的资产，按成本计算不得超过年度全国社保基</w:t>
            </w:r>
            <w:r>
              <w:rPr>
                <w:rFonts w:ascii="SimSun" w:eastAsia="SimSun" w:hAnsi="SimSun" w:cs="SimSun"/>
                <w:spacing w:val="14"/>
                <w:w w:val="101"/>
                <w:sz w:val="10"/>
                <w:szCs w:val="10"/>
              </w:rPr>
              <w:t xml:space="preserve"> </w:t>
            </w:r>
            <w:r>
              <w:rPr>
                <w:rFonts w:ascii="SimSun" w:eastAsia="SimSun" w:hAnsi="SimSun" w:cs="SimSun"/>
                <w:spacing w:val="-5"/>
                <w:sz w:val="10"/>
                <w:szCs w:val="10"/>
              </w:rPr>
              <w:t>金委托资产总值的</w:t>
            </w:r>
            <w:r>
              <w:rPr>
                <w:rFonts w:ascii="SimSun" w:eastAsia="SimSun" w:hAnsi="SimSun" w:cs="SimSun"/>
                <w:b/>
                <w:bCs/>
                <w:spacing w:val="-5"/>
                <w:sz w:val="10"/>
                <w:szCs w:val="10"/>
              </w:rPr>
              <w:t>15%。</w:t>
            </w:r>
          </w:p>
        </w:tc>
        <w:tc>
          <w:tcPr>
            <w:tcW w:w="2602" w:type="dxa"/>
            <w:vAlign w:val="top"/>
          </w:tcPr>
          <w:p>
            <w:pPr>
              <w:spacing w:before="69" w:line="219" w:lineRule="auto"/>
              <w:ind w:left="16"/>
              <w:rPr>
                <w:rFonts w:ascii="SimSun" w:eastAsia="SimSun" w:hAnsi="SimSun" w:cs="SimSun"/>
                <w:sz w:val="10"/>
                <w:szCs w:val="10"/>
              </w:rPr>
            </w:pPr>
            <w:r>
              <w:rPr>
                <w:rFonts w:ascii="SimSun" w:eastAsia="SimSun" w:hAnsi="SimSun" w:cs="SimSun"/>
                <w:color w:val="FF0000"/>
                <w:spacing w:val="-1"/>
                <w:sz w:val="10"/>
                <w:szCs w:val="10"/>
              </w:rPr>
              <w:t>肇低单一委托管理人规模占比：20%→15%</w:t>
            </w:r>
          </w:p>
        </w:tc>
      </w:tr>
      <w:tr>
        <w:tblPrEx>
          <w:tblW w:w="10430" w:type="dxa"/>
          <w:tblInd w:w="10" w:type="dxa"/>
          <w:tblLayout w:type="fixed"/>
        </w:tblPrEx>
        <w:trPr>
          <w:trHeight w:val="1229"/>
        </w:trPr>
        <w:tc>
          <w:tcPr>
            <w:tcW w:w="465" w:type="dxa"/>
            <w:vMerge w:val="restart"/>
            <w:tcBorders>
              <w:bottom w:val="nil"/>
            </w:tcBorders>
            <w:vAlign w:val="top"/>
          </w:tcPr>
          <w:p>
            <w:pPr>
              <w:spacing w:line="331" w:lineRule="auto"/>
              <w:rPr>
                <w:rFonts w:ascii="Arial"/>
                <w:sz w:val="21"/>
              </w:rPr>
            </w:pPr>
          </w:p>
          <w:p>
            <w:pPr>
              <w:spacing w:line="332" w:lineRule="auto"/>
              <w:rPr>
                <w:rFonts w:ascii="Arial"/>
                <w:sz w:val="21"/>
              </w:rPr>
            </w:pPr>
          </w:p>
          <w:p>
            <w:pPr>
              <w:spacing w:before="33" w:line="219" w:lineRule="auto"/>
              <w:ind w:left="125"/>
              <w:rPr>
                <w:rFonts w:ascii="SimSun" w:eastAsia="SimSun" w:hAnsi="SimSun" w:cs="SimSun"/>
                <w:sz w:val="10"/>
                <w:szCs w:val="10"/>
              </w:rPr>
            </w:pPr>
            <w:r>
              <w:rPr>
                <w:rFonts w:ascii="SimSun" w:eastAsia="SimSun" w:hAnsi="SimSun" w:cs="SimSun"/>
                <w:spacing w:val="-3"/>
                <w:sz w:val="10"/>
                <w:szCs w:val="10"/>
              </w:rPr>
              <w:t>费率</w:t>
            </w:r>
          </w:p>
        </w:tc>
        <w:tc>
          <w:tcPr>
            <w:tcW w:w="1089" w:type="dxa"/>
            <w:vAlign w:val="top"/>
          </w:tcPr>
          <w:p>
            <w:pPr>
              <w:spacing w:line="267" w:lineRule="auto"/>
              <w:rPr>
                <w:rFonts w:ascii="Arial"/>
                <w:sz w:val="21"/>
              </w:rPr>
            </w:pPr>
          </w:p>
          <w:p>
            <w:pPr>
              <w:spacing w:line="267" w:lineRule="auto"/>
              <w:rPr>
                <w:rFonts w:ascii="Arial"/>
                <w:sz w:val="21"/>
              </w:rPr>
            </w:pPr>
          </w:p>
          <w:p>
            <w:pPr>
              <w:spacing w:before="32" w:line="219" w:lineRule="auto"/>
              <w:ind w:left="39"/>
              <w:rPr>
                <w:rFonts w:ascii="SimSun" w:eastAsia="SimSun" w:hAnsi="SimSun" w:cs="SimSun"/>
                <w:sz w:val="10"/>
                <w:szCs w:val="10"/>
              </w:rPr>
            </w:pPr>
            <w:r>
              <w:rPr>
                <w:rFonts w:ascii="SimSun" w:eastAsia="SimSun" w:hAnsi="SimSun" w:cs="SimSun"/>
                <w:spacing w:val="-2"/>
                <w:sz w:val="10"/>
                <w:szCs w:val="10"/>
              </w:rPr>
              <w:t>管理费率</w:t>
            </w:r>
          </w:p>
        </w:tc>
        <w:tc>
          <w:tcPr>
            <w:tcW w:w="2937" w:type="dxa"/>
            <w:vAlign w:val="top"/>
          </w:tcPr>
          <w:p>
            <w:pPr>
              <w:spacing w:line="414" w:lineRule="auto"/>
              <w:rPr>
                <w:rFonts w:ascii="Arial"/>
                <w:sz w:val="21"/>
              </w:rPr>
            </w:pPr>
          </w:p>
          <w:p>
            <w:pPr>
              <w:spacing w:before="33" w:line="227" w:lineRule="auto"/>
              <w:ind w:left="11" w:right="20"/>
              <w:jc w:val="both"/>
              <w:rPr>
                <w:rFonts w:ascii="SimSun" w:eastAsia="SimSun" w:hAnsi="SimSun" w:cs="SimSun"/>
                <w:sz w:val="10"/>
                <w:szCs w:val="10"/>
              </w:rPr>
            </w:pPr>
            <w:r>
              <w:rPr>
                <w:rFonts w:ascii="SimSun" w:eastAsia="SimSun" w:hAnsi="SimSun" w:cs="SimSun"/>
                <w:sz w:val="10"/>
                <w:szCs w:val="10"/>
              </w:rPr>
              <w:t>社保基金投资管理人提取的委托资产管理手续费的年</w:t>
            </w:r>
            <w:r>
              <w:rPr>
                <w:rFonts w:ascii="SimSun" w:eastAsia="SimSun" w:hAnsi="SimSun" w:cs="SimSun"/>
                <w:spacing w:val="-1"/>
                <w:sz w:val="10"/>
                <w:szCs w:val="10"/>
              </w:rPr>
              <w:t>费率不高于社</w:t>
            </w:r>
            <w:r>
              <w:rPr>
                <w:rFonts w:ascii="SimSun" w:eastAsia="SimSun" w:hAnsi="SimSun" w:cs="SimSun"/>
                <w:sz w:val="10"/>
                <w:szCs w:val="10"/>
              </w:rPr>
              <w:t xml:space="preserve"> </w:t>
            </w:r>
            <w:r>
              <w:rPr>
                <w:rFonts w:ascii="SimSun" w:eastAsia="SimSun" w:hAnsi="SimSun" w:cs="SimSun"/>
                <w:sz w:val="10"/>
                <w:szCs w:val="10"/>
              </w:rPr>
              <w:t>保基金委托资产净值的1.5%,理事会委托资产管理合</w:t>
            </w:r>
            <w:r>
              <w:rPr>
                <w:rFonts w:ascii="SimSun" w:eastAsia="SimSun" w:hAnsi="SimSun" w:cs="SimSun"/>
                <w:spacing w:val="-1"/>
                <w:sz w:val="10"/>
                <w:szCs w:val="10"/>
              </w:rPr>
              <w:t>同中规定对社</w:t>
            </w:r>
            <w:r>
              <w:rPr>
                <w:rFonts w:ascii="SimSun" w:eastAsia="SimSun" w:hAnsi="SimSun" w:cs="SimSun"/>
                <w:sz w:val="10"/>
                <w:szCs w:val="10"/>
              </w:rPr>
              <w:t xml:space="preserve">  </w:t>
            </w:r>
            <w:r>
              <w:rPr>
                <w:rFonts w:ascii="SimSun" w:eastAsia="SimSun" w:hAnsi="SimSun" w:cs="SimSun"/>
                <w:spacing w:val="-1"/>
                <w:sz w:val="10"/>
                <w:szCs w:val="10"/>
              </w:rPr>
              <w:t>保基金投资管理人的业绩奖励播施。</w:t>
            </w:r>
          </w:p>
        </w:tc>
        <w:tc>
          <w:tcPr>
            <w:tcW w:w="3337" w:type="dxa"/>
            <w:vAlign w:val="top"/>
          </w:tcPr>
          <w:p>
            <w:pPr>
              <w:spacing w:before="8" w:line="219" w:lineRule="auto"/>
              <w:ind w:left="44"/>
              <w:rPr>
                <w:rFonts w:ascii="SimSun" w:eastAsia="SimSun" w:hAnsi="SimSun" w:cs="SimSun"/>
                <w:sz w:val="10"/>
                <w:szCs w:val="10"/>
              </w:rPr>
            </w:pPr>
            <w:r>
              <w:rPr>
                <w:rFonts w:ascii="SimSun" w:eastAsia="SimSun" w:hAnsi="SimSun" w:cs="SimSun"/>
                <w:spacing w:val="-1"/>
                <w:sz w:val="10"/>
                <w:szCs w:val="10"/>
              </w:rPr>
              <w:t>全四社保基金委托资产的管理费</w:t>
            </w:r>
            <w:r>
              <w:rPr>
                <w:rFonts w:ascii="SimSun" w:eastAsia="SimSun" w:hAnsi="SimSun" w:cs="SimSun"/>
                <w:b/>
                <w:bCs/>
                <w:spacing w:val="-1"/>
                <w:sz w:val="10"/>
                <w:szCs w:val="10"/>
              </w:rPr>
              <w:t>由基础管覆费和浮动管理费血成</w:t>
            </w:r>
            <w:r>
              <w:rPr>
                <w:rFonts w:ascii="SimSun" w:eastAsia="SimSun" w:hAnsi="SimSun" w:cs="SimSun"/>
                <w:spacing w:val="-1"/>
                <w:sz w:val="10"/>
                <w:szCs w:val="10"/>
              </w:rPr>
              <w:t>。社保基</w:t>
            </w:r>
          </w:p>
          <w:p>
            <w:pPr>
              <w:spacing w:before="2" w:line="230" w:lineRule="auto"/>
              <w:ind w:left="24" w:right="7"/>
              <w:rPr>
                <w:rFonts w:ascii="SimSun" w:eastAsia="SimSun" w:hAnsi="SimSun" w:cs="SimSun"/>
                <w:sz w:val="10"/>
                <w:szCs w:val="10"/>
              </w:rPr>
            </w:pPr>
            <w:r>
              <w:rPr>
                <w:rFonts w:ascii="SimSun" w:eastAsia="SimSun" w:hAnsi="SimSun" w:cs="SimSun"/>
                <w:sz w:val="10"/>
                <w:szCs w:val="10"/>
              </w:rPr>
              <w:t>金会应根据委托资产规模设置阶梯式的基础管理费率，并根据</w:t>
            </w:r>
            <w:r>
              <w:rPr>
                <w:rFonts w:ascii="SimSun" w:eastAsia="SimSun" w:hAnsi="SimSun" w:cs="SimSun"/>
                <w:spacing w:val="-1"/>
                <w:sz w:val="10"/>
                <w:szCs w:val="10"/>
              </w:rPr>
              <w:t>投资业绩实施</w:t>
            </w:r>
            <w:r>
              <w:rPr>
                <w:rFonts w:ascii="SimSun" w:eastAsia="SimSun" w:hAnsi="SimSun" w:cs="SimSun"/>
                <w:sz w:val="10"/>
                <w:szCs w:val="10"/>
              </w:rPr>
              <w:t xml:space="preserve"> </w:t>
            </w:r>
            <w:r>
              <w:rPr>
                <w:rFonts w:ascii="SimSun" w:eastAsia="SimSun" w:hAnsi="SimSun" w:cs="SimSun"/>
                <w:spacing w:val="-2"/>
                <w:sz w:val="10"/>
                <w:szCs w:val="10"/>
              </w:rPr>
              <w:t>浮动管理费率，奖优罚劣。</w:t>
            </w:r>
          </w:p>
          <w:p>
            <w:pPr>
              <w:spacing w:before="110" w:line="245" w:lineRule="auto"/>
              <w:ind w:left="25" w:right="205" w:hanging="1"/>
              <w:rPr>
                <w:rFonts w:ascii="SimSun" w:eastAsia="SimSun" w:hAnsi="SimSun" w:cs="SimSun"/>
                <w:sz w:val="10"/>
                <w:szCs w:val="10"/>
              </w:rPr>
            </w:pPr>
            <w:r>
              <w:rPr>
                <w:rFonts w:ascii="SimSun" w:eastAsia="SimSun" w:hAnsi="SimSun" w:cs="SimSun"/>
                <w:spacing w:val="-1"/>
                <w:sz w:val="10"/>
                <w:szCs w:val="10"/>
              </w:rPr>
              <w:t>单个投资管理合同中，</w:t>
            </w:r>
            <w:r>
              <w:rPr>
                <w:rFonts w:ascii="SimSun" w:eastAsia="SimSun" w:hAnsi="SimSun" w:cs="SimSun"/>
                <w:b/>
                <w:bCs/>
                <w:spacing w:val="-1"/>
                <w:sz w:val="10"/>
                <w:szCs w:val="10"/>
              </w:rPr>
              <w:t>股果要产品骨理费的年费不高于去北贵产净值的</w:t>
            </w:r>
            <w:r>
              <w:rPr>
                <w:rFonts w:ascii="SimSun" w:eastAsia="SimSun" w:hAnsi="SimSun" w:cs="SimSun"/>
                <w:spacing w:val="5"/>
                <w:sz w:val="10"/>
                <w:szCs w:val="10"/>
              </w:rPr>
              <w:t xml:space="preserve"> </w:t>
            </w:r>
            <w:r>
              <w:rPr>
                <w:rFonts w:ascii="SimSun" w:eastAsia="SimSun" w:hAnsi="SimSun" w:cs="SimSun"/>
                <w:b/>
                <w:bCs/>
                <w:spacing w:val="-1"/>
                <w:sz w:val="10"/>
                <w:szCs w:val="10"/>
              </w:rPr>
              <w:t>0.8%,其中基础管理费率不高于0.5%;债泰臭产品管</w:t>
            </w:r>
            <w:r>
              <w:rPr>
                <w:rFonts w:ascii="SimSun" w:eastAsia="SimSun" w:hAnsi="SimSun" w:cs="SimSun"/>
                <w:b/>
                <w:bCs/>
                <w:spacing w:val="-2"/>
                <w:sz w:val="10"/>
                <w:szCs w:val="10"/>
              </w:rPr>
              <w:t>理费的年费不高于</w:t>
            </w:r>
          </w:p>
          <w:p>
            <w:pPr>
              <w:spacing w:before="3" w:line="233" w:lineRule="auto"/>
              <w:ind w:left="25" w:right="165" w:hanging="10"/>
              <w:rPr>
                <w:rFonts w:ascii="SimSun" w:eastAsia="SimSun" w:hAnsi="SimSun" w:cs="SimSun"/>
                <w:sz w:val="10"/>
                <w:szCs w:val="10"/>
              </w:rPr>
            </w:pPr>
            <w:r>
              <w:rPr>
                <w:rFonts w:ascii="SimSun" w:eastAsia="SimSun" w:hAnsi="SimSun" w:cs="SimSun"/>
                <w:b/>
                <w:bCs/>
                <w:spacing w:val="-1"/>
                <w:sz w:val="10"/>
                <w:szCs w:val="10"/>
              </w:rPr>
              <w:t>要把资产净值的0.3%;货币现金夹产品骨程费的年费不高</w:t>
            </w:r>
            <w:r>
              <w:rPr>
                <w:rFonts w:ascii="SimSun" w:eastAsia="SimSun" w:hAnsi="SimSun" w:cs="SimSun"/>
                <w:b/>
                <w:bCs/>
                <w:spacing w:val="-2"/>
                <w:sz w:val="10"/>
                <w:szCs w:val="10"/>
              </w:rPr>
              <w:t>于要把责产净位</w:t>
            </w:r>
            <w:r>
              <w:rPr>
                <w:rFonts w:ascii="SimSun" w:eastAsia="SimSun" w:hAnsi="SimSun" w:cs="SimSun"/>
                <w:sz w:val="10"/>
                <w:szCs w:val="10"/>
              </w:rPr>
              <w:t xml:space="preserve"> </w:t>
            </w:r>
            <w:r>
              <w:rPr>
                <w:rFonts w:ascii="SimSun" w:eastAsia="SimSun" w:hAnsi="SimSun" w:cs="SimSun"/>
                <w:b/>
                <w:bCs/>
                <w:spacing w:val="-2"/>
                <w:sz w:val="10"/>
                <w:szCs w:val="10"/>
              </w:rPr>
              <w:t>的0.1%。</w:t>
            </w:r>
          </w:p>
          <w:p>
            <w:pPr>
              <w:spacing w:before="97" w:line="204" w:lineRule="auto"/>
              <w:ind w:left="45"/>
              <w:rPr>
                <w:rFonts w:ascii="SimSun" w:eastAsia="SimSun" w:hAnsi="SimSun" w:cs="SimSun"/>
                <w:sz w:val="10"/>
                <w:szCs w:val="10"/>
              </w:rPr>
            </w:pPr>
            <w:r>
              <w:rPr>
                <w:rFonts w:ascii="SimSun" w:eastAsia="SimSun" w:hAnsi="SimSun" w:cs="SimSun"/>
                <w:b/>
                <w:bCs/>
                <w:spacing w:val="-2"/>
                <w:sz w:val="10"/>
                <w:szCs w:val="10"/>
              </w:rPr>
              <w:t>设贵股权教资差金的管理费年费不高于抗贵金额的1.5%。</w:t>
            </w:r>
          </w:p>
        </w:tc>
        <w:tc>
          <w:tcPr>
            <w:tcW w:w="2602" w:type="dxa"/>
            <w:vAlign w:val="top"/>
          </w:tcPr>
          <w:p>
            <w:pPr>
              <w:spacing w:line="415" w:lineRule="auto"/>
              <w:rPr>
                <w:rFonts w:ascii="Arial"/>
                <w:sz w:val="21"/>
              </w:rPr>
            </w:pPr>
          </w:p>
          <w:p>
            <w:pPr>
              <w:spacing w:before="32" w:line="219" w:lineRule="auto"/>
              <w:ind w:left="16"/>
              <w:rPr>
                <w:rFonts w:ascii="SimSun" w:eastAsia="SimSun" w:hAnsi="SimSun" w:cs="SimSun"/>
                <w:sz w:val="10"/>
                <w:szCs w:val="10"/>
              </w:rPr>
            </w:pPr>
            <w:r>
              <w:rPr>
                <w:rFonts w:ascii="SimSun" w:eastAsia="SimSun" w:hAnsi="SimSun" w:cs="SimSun"/>
                <w:color w:val="FF0000"/>
                <w:spacing w:val="2"/>
                <w:sz w:val="10"/>
                <w:szCs w:val="10"/>
              </w:rPr>
              <w:t>明确基础管理费+浮动管理费的费率模式；</w:t>
            </w:r>
          </w:p>
          <w:p>
            <w:pPr>
              <w:spacing w:line="219" w:lineRule="auto"/>
              <w:jc w:val="right"/>
              <w:rPr>
                <w:rFonts w:ascii="SimSun" w:eastAsia="SimSun" w:hAnsi="SimSun" w:cs="SimSun"/>
                <w:sz w:val="10"/>
                <w:szCs w:val="10"/>
              </w:rPr>
            </w:pPr>
            <w:r>
              <w:rPr>
                <w:rFonts w:ascii="SimSun" w:eastAsia="SimSun" w:hAnsi="SimSun" w:cs="SimSun"/>
                <w:color w:val="FF0000"/>
                <w:spacing w:val="-3"/>
                <w:sz w:val="10"/>
                <w:szCs w:val="10"/>
              </w:rPr>
              <w:t>月确股票类、债券类、货币现金类、股权投资基金类产品的</w:t>
            </w:r>
          </w:p>
          <w:p>
            <w:pPr>
              <w:spacing w:before="32" w:line="219" w:lineRule="auto"/>
              <w:rPr>
                <w:rFonts w:ascii="SimSun" w:eastAsia="SimSun" w:hAnsi="SimSun" w:cs="SimSun"/>
                <w:sz w:val="10"/>
                <w:szCs w:val="10"/>
              </w:rPr>
            </w:pPr>
            <w:r>
              <w:rPr>
                <w:rFonts w:ascii="SimSun" w:eastAsia="SimSun" w:hAnsi="SimSun" w:cs="SimSun"/>
                <w:color w:val="FF0900"/>
                <w:spacing w:val="5"/>
                <w:sz w:val="10"/>
                <w:szCs w:val="10"/>
              </w:rPr>
              <w:t>“理费率</w:t>
            </w:r>
          </w:p>
        </w:tc>
      </w:tr>
      <w:tr>
        <w:tblPrEx>
          <w:tblW w:w="10430" w:type="dxa"/>
          <w:tblInd w:w="10" w:type="dxa"/>
          <w:tblLayout w:type="fixed"/>
        </w:tblPrEx>
        <w:trPr>
          <w:trHeight w:val="250"/>
        </w:trPr>
        <w:tc>
          <w:tcPr>
            <w:tcW w:w="465" w:type="dxa"/>
            <w:vMerge/>
            <w:tcBorders>
              <w:top w:val="nil"/>
            </w:tcBorders>
            <w:vAlign w:val="top"/>
          </w:tcPr>
          <w:p>
            <w:pPr>
              <w:rPr>
                <w:rFonts w:ascii="Arial"/>
                <w:sz w:val="21"/>
              </w:rPr>
            </w:pPr>
          </w:p>
        </w:tc>
        <w:tc>
          <w:tcPr>
            <w:tcW w:w="1089" w:type="dxa"/>
            <w:vAlign w:val="top"/>
          </w:tcPr>
          <w:p>
            <w:pPr>
              <w:spacing w:before="81" w:line="219" w:lineRule="auto"/>
              <w:ind w:left="39"/>
              <w:rPr>
                <w:rFonts w:ascii="SimSun" w:eastAsia="SimSun" w:hAnsi="SimSun" w:cs="SimSun"/>
                <w:sz w:val="10"/>
                <w:szCs w:val="10"/>
              </w:rPr>
            </w:pPr>
            <w:r>
              <w:rPr>
                <w:rFonts w:ascii="SimSun" w:eastAsia="SimSun" w:hAnsi="SimSun" w:cs="SimSun"/>
                <w:spacing w:val="-1"/>
                <w:sz w:val="10"/>
                <w:szCs w:val="10"/>
              </w:rPr>
              <w:t>托管费率</w:t>
            </w:r>
          </w:p>
        </w:tc>
        <w:tc>
          <w:tcPr>
            <w:tcW w:w="2937" w:type="dxa"/>
            <w:vAlign w:val="top"/>
          </w:tcPr>
          <w:p>
            <w:pPr>
              <w:spacing w:before="11" w:line="219" w:lineRule="auto"/>
              <w:ind w:left="20"/>
              <w:rPr>
                <w:rFonts w:ascii="SimSun" w:eastAsia="SimSun" w:hAnsi="SimSun" w:cs="SimSun"/>
                <w:sz w:val="10"/>
                <w:szCs w:val="10"/>
              </w:rPr>
            </w:pPr>
            <w:r>
              <w:rPr>
                <w:rFonts w:ascii="SimSun" w:eastAsia="SimSun" w:hAnsi="SimSun" w:cs="SimSun"/>
                <w:sz w:val="10"/>
                <w:szCs w:val="10"/>
              </w:rPr>
              <w:t>社保基金托管人提取的托管费年费率不高于社保基金</w:t>
            </w:r>
            <w:r>
              <w:rPr>
                <w:rFonts w:ascii="SimSun" w:eastAsia="SimSun" w:hAnsi="SimSun" w:cs="SimSun"/>
                <w:spacing w:val="-1"/>
                <w:sz w:val="10"/>
                <w:szCs w:val="10"/>
              </w:rPr>
              <w:t>托管资产净值</w:t>
            </w:r>
          </w:p>
          <w:p>
            <w:pPr>
              <w:spacing w:before="1" w:line="201" w:lineRule="auto"/>
              <w:ind w:left="12"/>
              <w:rPr>
                <w:rFonts w:ascii="SimSun" w:eastAsia="SimSun" w:hAnsi="SimSun" w:cs="SimSun"/>
                <w:sz w:val="10"/>
                <w:szCs w:val="10"/>
              </w:rPr>
            </w:pPr>
            <w:r>
              <w:rPr>
                <w:rFonts w:ascii="SimSun" w:eastAsia="SimSun" w:hAnsi="SimSun" w:cs="SimSun"/>
                <w:b/>
                <w:bCs/>
                <w:spacing w:val="-2"/>
                <w:sz w:val="10"/>
                <w:szCs w:val="10"/>
              </w:rPr>
              <w:t>的0.25%。</w:t>
            </w:r>
          </w:p>
        </w:tc>
        <w:tc>
          <w:tcPr>
            <w:tcW w:w="3337" w:type="dxa"/>
            <w:vAlign w:val="top"/>
          </w:tcPr>
          <w:p>
            <w:pPr>
              <w:spacing w:before="81" w:line="219" w:lineRule="auto"/>
              <w:ind w:left="34"/>
              <w:rPr>
                <w:rFonts w:ascii="SimSun" w:eastAsia="SimSun" w:hAnsi="SimSun" w:cs="SimSun"/>
                <w:sz w:val="10"/>
                <w:szCs w:val="10"/>
              </w:rPr>
            </w:pPr>
            <w:r>
              <w:rPr>
                <w:rFonts w:ascii="SimSun" w:eastAsia="SimSun" w:hAnsi="SimSun" w:cs="SimSun"/>
                <w:spacing w:val="-2"/>
                <w:sz w:val="10"/>
                <w:szCs w:val="10"/>
              </w:rPr>
              <w:t>托管费年费不高于全四社保基金托管给该托管人资产净值的</w:t>
            </w:r>
            <w:r>
              <w:rPr>
                <w:rFonts w:ascii="SimSun" w:eastAsia="SimSun" w:hAnsi="SimSun" w:cs="SimSun"/>
                <w:b/>
                <w:bCs/>
                <w:spacing w:val="-3"/>
                <w:sz w:val="10"/>
                <w:szCs w:val="10"/>
              </w:rPr>
              <w:t>0.05%。</w:t>
            </w:r>
          </w:p>
        </w:tc>
        <w:tc>
          <w:tcPr>
            <w:tcW w:w="2602" w:type="dxa"/>
            <w:vAlign w:val="top"/>
          </w:tcPr>
          <w:p>
            <w:pPr>
              <w:spacing w:before="79" w:line="219" w:lineRule="auto"/>
              <w:ind w:left="18"/>
              <w:rPr>
                <w:rFonts w:ascii="SimSun" w:eastAsia="SimSun" w:hAnsi="SimSun" w:cs="SimSun"/>
                <w:sz w:val="10"/>
                <w:szCs w:val="10"/>
              </w:rPr>
            </w:pPr>
            <w:r>
              <w:rPr>
                <w:rFonts w:ascii="SimSun" w:eastAsia="SimSun" w:hAnsi="SimSun" w:cs="SimSun"/>
                <w:b/>
                <w:bCs/>
                <w:color w:val="FF0000"/>
                <w:spacing w:val="-2"/>
                <w:sz w:val="10"/>
                <w:szCs w:val="10"/>
              </w:rPr>
              <w:t>北管费率自0.25%降至0.05%</w:t>
            </w:r>
          </w:p>
        </w:tc>
      </w:tr>
      <w:tr>
        <w:tblPrEx>
          <w:tblW w:w="10430" w:type="dxa"/>
          <w:tblInd w:w="10" w:type="dxa"/>
          <w:tblLayout w:type="fixed"/>
        </w:tblPrEx>
        <w:trPr>
          <w:trHeight w:val="260"/>
        </w:trPr>
        <w:tc>
          <w:tcPr>
            <w:tcW w:w="465" w:type="dxa"/>
            <w:vMerge w:val="restart"/>
            <w:tcBorders>
              <w:bottom w:val="nil"/>
            </w:tcBorders>
            <w:vAlign w:val="top"/>
          </w:tcPr>
          <w:p>
            <w:pPr>
              <w:spacing w:line="297" w:lineRule="auto"/>
              <w:rPr>
                <w:rFonts w:ascii="Arial"/>
                <w:sz w:val="21"/>
              </w:rPr>
            </w:pPr>
          </w:p>
          <w:p>
            <w:pPr>
              <w:spacing w:before="32" w:line="220" w:lineRule="auto"/>
              <w:ind w:left="25"/>
              <w:rPr>
                <w:rFonts w:ascii="SimSun" w:eastAsia="SimSun" w:hAnsi="SimSun" w:cs="SimSun"/>
                <w:sz w:val="10"/>
                <w:szCs w:val="10"/>
              </w:rPr>
            </w:pPr>
            <w:r>
              <w:rPr>
                <w:rFonts w:ascii="SimSun" w:eastAsia="SimSun" w:hAnsi="SimSun" w:cs="SimSun"/>
                <w:spacing w:val="-1"/>
                <w:sz w:val="10"/>
                <w:szCs w:val="10"/>
              </w:rPr>
              <w:t>风险准备</w:t>
            </w:r>
          </w:p>
        </w:tc>
        <w:tc>
          <w:tcPr>
            <w:tcW w:w="1089" w:type="dxa"/>
            <w:vAlign w:val="top"/>
          </w:tcPr>
          <w:p>
            <w:pPr>
              <w:spacing w:before="81" w:line="219" w:lineRule="auto"/>
              <w:ind w:left="39"/>
              <w:rPr>
                <w:rFonts w:ascii="SimSun" w:eastAsia="SimSun" w:hAnsi="SimSun" w:cs="SimSun"/>
                <w:sz w:val="10"/>
                <w:szCs w:val="10"/>
              </w:rPr>
            </w:pPr>
            <w:r>
              <w:rPr>
                <w:rFonts w:ascii="SimSun" w:eastAsia="SimSun" w:hAnsi="SimSun" w:cs="SimSun"/>
                <w:spacing w:val="-1"/>
                <w:sz w:val="10"/>
                <w:szCs w:val="10"/>
              </w:rPr>
              <w:t>投资管理人风险准备</w:t>
            </w:r>
          </w:p>
        </w:tc>
        <w:tc>
          <w:tcPr>
            <w:tcW w:w="6274" w:type="dxa"/>
            <w:gridSpan w:val="2"/>
            <w:vAlign w:val="top"/>
          </w:tcPr>
          <w:p>
            <w:pPr>
              <w:spacing w:before="21" w:line="211" w:lineRule="auto"/>
              <w:ind w:left="11" w:right="8"/>
              <w:rPr>
                <w:rFonts w:ascii="SimSun" w:eastAsia="SimSun" w:hAnsi="SimSun" w:cs="SimSun"/>
                <w:sz w:val="10"/>
                <w:szCs w:val="10"/>
              </w:rPr>
            </w:pPr>
            <w:r>
              <w:rPr>
                <w:rFonts w:ascii="SimSun" w:eastAsia="SimSun" w:hAnsi="SimSun" w:cs="SimSun"/>
                <w:sz w:val="10"/>
                <w:szCs w:val="10"/>
              </w:rPr>
              <w:t>投资管理人按照当年收取管理费的20%提取全国社保基金投资管理风险准备金，专项用于弥补委托投资亏损。投资管理风险准备</w:t>
            </w:r>
            <w:r>
              <w:rPr>
                <w:rFonts w:ascii="SimSun" w:eastAsia="SimSun" w:hAnsi="SimSun" w:cs="SimSun"/>
                <w:spacing w:val="-1"/>
                <w:sz w:val="10"/>
                <w:szCs w:val="10"/>
              </w:rPr>
              <w:t>金余额达到全国</w:t>
            </w:r>
            <w:r>
              <w:rPr>
                <w:rFonts w:ascii="SimSun" w:eastAsia="SimSun" w:hAnsi="SimSun" w:cs="SimSun"/>
                <w:sz w:val="10"/>
                <w:szCs w:val="10"/>
              </w:rPr>
              <w:t xml:space="preserve"> </w:t>
            </w:r>
            <w:r>
              <w:rPr>
                <w:rFonts w:ascii="SimSun" w:eastAsia="SimSun" w:hAnsi="SimSun" w:cs="SimSun"/>
                <w:spacing w:val="-1"/>
                <w:sz w:val="10"/>
                <w:szCs w:val="10"/>
              </w:rPr>
              <w:t>社保基金委托资产净值的10%时可以不再提取。</w:t>
            </w:r>
          </w:p>
        </w:tc>
        <w:tc>
          <w:tcPr>
            <w:tcW w:w="2602" w:type="dxa"/>
            <w:vAlign w:val="top"/>
          </w:tcPr>
          <w:p>
            <w:pPr>
              <w:rPr>
                <w:rFonts w:ascii="Arial"/>
                <w:sz w:val="21"/>
              </w:rPr>
            </w:pPr>
          </w:p>
        </w:tc>
      </w:tr>
      <w:tr>
        <w:tblPrEx>
          <w:tblW w:w="10430" w:type="dxa"/>
          <w:tblInd w:w="10" w:type="dxa"/>
          <w:tblLayout w:type="fixed"/>
        </w:tblPrEx>
        <w:trPr>
          <w:trHeight w:val="489"/>
        </w:trPr>
        <w:tc>
          <w:tcPr>
            <w:tcW w:w="465" w:type="dxa"/>
            <w:vMerge/>
            <w:tcBorders>
              <w:top w:val="nil"/>
            </w:tcBorders>
            <w:vAlign w:val="top"/>
          </w:tcPr>
          <w:p>
            <w:pPr>
              <w:rPr>
                <w:rFonts w:ascii="Arial"/>
                <w:sz w:val="21"/>
              </w:rPr>
            </w:pPr>
          </w:p>
        </w:tc>
        <w:tc>
          <w:tcPr>
            <w:tcW w:w="1089" w:type="dxa"/>
            <w:vAlign w:val="top"/>
          </w:tcPr>
          <w:p>
            <w:pPr>
              <w:spacing w:before="200" w:line="219" w:lineRule="auto"/>
              <w:ind w:left="39"/>
              <w:rPr>
                <w:rFonts w:ascii="SimSun" w:eastAsia="SimSun" w:hAnsi="SimSun" w:cs="SimSun"/>
                <w:sz w:val="10"/>
                <w:szCs w:val="10"/>
              </w:rPr>
            </w:pPr>
            <w:r>
              <w:rPr>
                <w:rFonts w:ascii="SimSun" w:eastAsia="SimSun" w:hAnsi="SimSun" w:cs="SimSun"/>
                <w:spacing w:val="-1"/>
                <w:sz w:val="10"/>
                <w:szCs w:val="10"/>
              </w:rPr>
              <w:t>理事会风险准备</w:t>
            </w:r>
          </w:p>
        </w:tc>
        <w:tc>
          <w:tcPr>
            <w:tcW w:w="2937" w:type="dxa"/>
            <w:vAlign w:val="top"/>
          </w:tcPr>
          <w:p>
            <w:pPr>
              <w:spacing w:before="21" w:line="211" w:lineRule="auto"/>
              <w:ind w:left="11" w:right="19" w:firstLine="39"/>
              <w:jc w:val="both"/>
              <w:rPr>
                <w:rFonts w:ascii="SimSun" w:eastAsia="SimSun" w:hAnsi="SimSun" w:cs="SimSun"/>
                <w:sz w:val="10"/>
                <w:szCs w:val="10"/>
              </w:rPr>
            </w:pPr>
            <w:r>
              <w:rPr>
                <w:rFonts w:ascii="SimSun" w:eastAsia="SimSun" w:hAnsi="SimSun" w:cs="SimSun"/>
                <w:sz w:val="10"/>
                <w:szCs w:val="10"/>
              </w:rPr>
              <w:t>里事会按社保基金净收益的20%提取一般风险准备</w:t>
            </w:r>
            <w:r>
              <w:rPr>
                <w:rFonts w:ascii="SimSun" w:eastAsia="SimSun" w:hAnsi="SimSun" w:cs="SimSun"/>
                <w:spacing w:val="-1"/>
                <w:sz w:val="10"/>
                <w:szCs w:val="10"/>
              </w:rPr>
              <w:t>金，专项用于弥</w:t>
            </w:r>
            <w:r>
              <w:rPr>
                <w:rFonts w:ascii="SimSun" w:eastAsia="SimSun" w:hAnsi="SimSun" w:cs="SimSun"/>
                <w:sz w:val="10"/>
                <w:szCs w:val="10"/>
              </w:rPr>
              <w:t xml:space="preserve"> </w:t>
            </w:r>
            <w:r>
              <w:rPr>
                <w:rFonts w:ascii="SimSun" w:eastAsia="SimSun" w:hAnsi="SimSun" w:cs="SimSun"/>
                <w:sz w:val="10"/>
                <w:szCs w:val="10"/>
              </w:rPr>
              <w:t>补社保基金投资发生重大亏损时社保基金投资管理人所</w:t>
            </w:r>
            <w:r>
              <w:rPr>
                <w:rFonts w:ascii="SimSun" w:eastAsia="SimSun" w:hAnsi="SimSun" w:cs="SimSun"/>
                <w:spacing w:val="-1"/>
                <w:sz w:val="10"/>
                <w:szCs w:val="10"/>
              </w:rPr>
              <w:t>提管理风险</w:t>
            </w:r>
            <w:r>
              <w:rPr>
                <w:rFonts w:ascii="SimSun" w:eastAsia="SimSun" w:hAnsi="SimSun" w:cs="SimSun"/>
                <w:sz w:val="10"/>
                <w:szCs w:val="10"/>
              </w:rPr>
              <w:t xml:space="preserve"> </w:t>
            </w:r>
            <w:r>
              <w:rPr>
                <w:rFonts w:ascii="SimSun" w:eastAsia="SimSun" w:hAnsi="SimSun" w:cs="SimSun"/>
                <w:spacing w:val="-3"/>
                <w:sz w:val="10"/>
                <w:szCs w:val="10"/>
              </w:rPr>
              <w:t>准备金不足以弥补的亏损。</w:t>
            </w:r>
            <w:r>
              <w:rPr>
                <w:rFonts w:ascii="SimSun" w:eastAsia="SimSun" w:hAnsi="SimSun" w:cs="SimSun"/>
                <w:spacing w:val="31"/>
                <w:sz w:val="10"/>
                <w:szCs w:val="10"/>
              </w:rPr>
              <w:t xml:space="preserve"> </w:t>
            </w:r>
            <w:r>
              <w:rPr>
                <w:rFonts w:ascii="SimSun" w:eastAsia="SimSun" w:hAnsi="SimSun" w:cs="SimSun"/>
                <w:spacing w:val="-3"/>
                <w:sz w:val="10"/>
                <w:szCs w:val="10"/>
              </w:rPr>
              <w:t>一般风险准备金余额达到社保基金资产</w:t>
            </w:r>
            <w:r>
              <w:rPr>
                <w:rFonts w:ascii="SimSun" w:eastAsia="SimSun" w:hAnsi="SimSun" w:cs="SimSun"/>
                <w:sz w:val="10"/>
                <w:szCs w:val="10"/>
              </w:rPr>
              <w:t xml:space="preserve"> </w:t>
            </w:r>
            <w:r>
              <w:rPr>
                <w:rFonts w:ascii="SimSun" w:eastAsia="SimSun" w:hAnsi="SimSun" w:cs="SimSun"/>
                <w:spacing w:val="-2"/>
                <w:sz w:val="10"/>
                <w:szCs w:val="10"/>
              </w:rPr>
              <w:t>净值的20%时可不再提取。</w:t>
            </w:r>
          </w:p>
        </w:tc>
        <w:tc>
          <w:tcPr>
            <w:tcW w:w="3337" w:type="dxa"/>
            <w:vAlign w:val="top"/>
          </w:tcPr>
          <w:p>
            <w:pPr>
              <w:rPr>
                <w:rFonts w:ascii="Arial"/>
                <w:sz w:val="21"/>
              </w:rPr>
            </w:pPr>
          </w:p>
        </w:tc>
        <w:tc>
          <w:tcPr>
            <w:tcW w:w="2602" w:type="dxa"/>
            <w:vAlign w:val="top"/>
          </w:tcPr>
          <w:p>
            <w:pPr>
              <w:spacing w:before="200" w:line="219" w:lineRule="auto"/>
              <w:ind w:left="16"/>
              <w:rPr>
                <w:rFonts w:ascii="SimSun" w:eastAsia="SimSun" w:hAnsi="SimSun" w:cs="SimSun"/>
                <w:sz w:val="10"/>
                <w:szCs w:val="10"/>
              </w:rPr>
            </w:pPr>
            <w:r>
              <w:rPr>
                <w:rFonts w:ascii="SimSun" w:eastAsia="SimSun" w:hAnsi="SimSun" w:cs="SimSun"/>
                <w:sz w:val="10"/>
                <w:szCs w:val="10"/>
              </w:rPr>
              <w:t>未提及理事会基于社保基金净收温提取20</w:t>
            </w:r>
            <w:r>
              <w:rPr>
                <w:rFonts w:ascii="SimSun" w:eastAsia="SimSun" w:hAnsi="SimSun" w:cs="SimSun"/>
                <w:spacing w:val="-1"/>
                <w:sz w:val="10"/>
                <w:szCs w:val="10"/>
              </w:rPr>
              <w:t>%一般风险准备</w:t>
            </w:r>
          </w:p>
        </w:tc>
      </w:tr>
    </w:tbl>
    <w:p>
      <w:pPr>
        <w:sectPr>
          <w:footerReference w:type="default" r:id="rId60"/>
          <w:pgSz w:w="11910" w:h="16840"/>
          <w:pgMar w:top="167" w:right="660" w:bottom="1129" w:left="719" w:header="0" w:footer="858" w:gutter="0"/>
          <w:pgNumType w:start="33"/>
          <w:cols w:space="708"/>
        </w:sectPr>
      </w:pPr>
    </w:p>
    <w:tbl>
      <w:tblPr>
        <w:tblStyle w:val="TableNormal3"/>
        <w:tblW w:w="1043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65"/>
        <w:gridCol w:w="1089"/>
        <w:gridCol w:w="2937"/>
        <w:gridCol w:w="3337"/>
        <w:gridCol w:w="2602"/>
      </w:tblGrid>
      <w:tr>
        <w:tblPrEx>
          <w:tblW w:w="1043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69"/>
        </w:trPr>
        <w:tc>
          <w:tcPr>
            <w:tcW w:w="465" w:type="dxa"/>
            <w:vAlign w:val="top"/>
          </w:tcPr>
          <w:p>
            <w:pPr>
              <w:spacing w:line="302" w:lineRule="auto"/>
              <w:rPr>
                <w:rFonts w:ascii="Arial"/>
                <w:sz w:val="21"/>
              </w:rPr>
            </w:pPr>
          </w:p>
          <w:p>
            <w:pPr>
              <w:spacing w:line="303" w:lineRule="auto"/>
              <w:rPr>
                <w:rFonts w:ascii="Arial"/>
                <w:sz w:val="21"/>
              </w:rPr>
            </w:pPr>
          </w:p>
          <w:p>
            <w:pPr>
              <w:spacing w:before="32" w:line="218" w:lineRule="auto"/>
              <w:ind w:left="25"/>
              <w:rPr>
                <w:rFonts w:ascii="SimSun" w:eastAsia="SimSun" w:hAnsi="SimSun" w:cs="SimSun"/>
                <w:sz w:val="10"/>
                <w:szCs w:val="10"/>
              </w:rPr>
            </w:pPr>
            <w:r>
              <w:rPr>
                <w:rFonts w:ascii="SimSun" w:eastAsia="SimSun" w:hAnsi="SimSun" w:cs="SimSun"/>
                <w:spacing w:val="-1"/>
                <w:sz w:val="10"/>
                <w:szCs w:val="10"/>
              </w:rPr>
              <w:t>报告制度</w:t>
            </w:r>
          </w:p>
        </w:tc>
        <w:tc>
          <w:tcPr>
            <w:tcW w:w="1089" w:type="dxa"/>
            <w:vAlign w:val="top"/>
          </w:tcPr>
          <w:p>
            <w:pPr>
              <w:spacing w:line="303" w:lineRule="auto"/>
              <w:rPr>
                <w:rFonts w:ascii="Arial"/>
                <w:sz w:val="21"/>
              </w:rPr>
            </w:pPr>
          </w:p>
          <w:p>
            <w:pPr>
              <w:spacing w:line="303" w:lineRule="auto"/>
              <w:rPr>
                <w:rFonts w:ascii="Arial"/>
                <w:sz w:val="21"/>
              </w:rPr>
            </w:pPr>
          </w:p>
          <w:p>
            <w:pPr>
              <w:spacing w:before="32" w:line="219" w:lineRule="auto"/>
              <w:ind w:left="39"/>
              <w:rPr>
                <w:rFonts w:ascii="SimSun" w:eastAsia="SimSun" w:hAnsi="SimSun" w:cs="SimSun"/>
                <w:sz w:val="10"/>
                <w:szCs w:val="10"/>
              </w:rPr>
            </w:pPr>
            <w:r>
              <w:rPr>
                <w:rFonts w:ascii="SimSun" w:eastAsia="SimSun" w:hAnsi="SimSun" w:cs="SimSun"/>
                <w:spacing w:val="-1"/>
                <w:sz w:val="10"/>
                <w:szCs w:val="10"/>
              </w:rPr>
              <w:t>信息披露频次</w:t>
            </w:r>
          </w:p>
        </w:tc>
        <w:tc>
          <w:tcPr>
            <w:tcW w:w="2937" w:type="dxa"/>
            <w:vAlign w:val="top"/>
          </w:tcPr>
          <w:p>
            <w:pPr>
              <w:spacing w:before="181" w:line="219" w:lineRule="auto"/>
              <w:ind w:left="20" w:right="61" w:firstLine="40"/>
              <w:rPr>
                <w:rFonts w:ascii="SimSun" w:eastAsia="SimSun" w:hAnsi="SimSun" w:cs="SimSun"/>
                <w:sz w:val="6"/>
                <w:szCs w:val="6"/>
              </w:rPr>
            </w:pPr>
            <w:r>
              <w:rPr>
                <w:rFonts w:ascii="SimSun" w:eastAsia="SimSun" w:hAnsi="SimSun" w:cs="SimSun"/>
                <w:sz w:val="10"/>
                <w:szCs w:val="10"/>
              </w:rPr>
              <w:t>(一)母年一次向社会公布社保基金资产、收益。现金流量等财务</w:t>
            </w:r>
            <w:r>
              <w:rPr>
                <w:rFonts w:ascii="SimSun" w:eastAsia="SimSun" w:hAnsi="SimSun" w:cs="SimSun"/>
                <w:spacing w:val="3"/>
                <w:sz w:val="10"/>
                <w:szCs w:val="10"/>
              </w:rPr>
              <w:t xml:space="preserve"> </w:t>
            </w:r>
            <w:r>
              <w:rPr>
                <w:rFonts w:ascii="SimSun" w:eastAsia="SimSun" w:hAnsi="SimSun" w:cs="SimSun"/>
                <w:spacing w:val="-2"/>
                <w:sz w:val="6"/>
                <w:szCs w:val="6"/>
              </w:rPr>
              <w:t>式</w:t>
            </w:r>
            <w:r>
              <w:rPr>
                <w:rFonts w:ascii="SimSun" w:eastAsia="SimSun" w:hAnsi="SimSun" w:cs="SimSun"/>
                <w:spacing w:val="-5"/>
                <w:sz w:val="6"/>
                <w:szCs w:val="6"/>
              </w:rPr>
              <w:t xml:space="preserve"> </w:t>
            </w:r>
            <w:r>
              <w:rPr>
                <w:rFonts w:ascii="SimSun" w:eastAsia="SimSun" w:hAnsi="SimSun" w:cs="SimSun"/>
                <w:spacing w:val="-2"/>
                <w:sz w:val="6"/>
                <w:szCs w:val="6"/>
              </w:rPr>
              <w:t>机</w:t>
            </w:r>
            <w:r>
              <w:rPr>
                <w:rFonts w:ascii="SimSun" w:eastAsia="SimSun" w:hAnsi="SimSun" w:cs="SimSun"/>
                <w:spacing w:val="-6"/>
                <w:sz w:val="6"/>
                <w:szCs w:val="6"/>
              </w:rPr>
              <w:t xml:space="preserve"> </w:t>
            </w:r>
            <w:r>
              <w:rPr>
                <w:rFonts w:ascii="SimSun" w:eastAsia="SimSun" w:hAnsi="SimSun" w:cs="SimSun"/>
                <w:spacing w:val="-2"/>
                <w:sz w:val="6"/>
                <w:szCs w:val="6"/>
              </w:rPr>
              <w:t>；</w:t>
            </w:r>
          </w:p>
          <w:p>
            <w:pPr>
              <w:spacing w:before="30" w:line="219" w:lineRule="auto"/>
              <w:ind w:left="20" w:right="101"/>
              <w:rPr>
                <w:rFonts w:ascii="SimSun" w:eastAsia="SimSun" w:hAnsi="SimSun" w:cs="SimSun"/>
                <w:sz w:val="10"/>
                <w:szCs w:val="10"/>
              </w:rPr>
            </w:pPr>
            <w:r>
              <w:rPr>
                <w:rFonts w:ascii="SimSun" w:eastAsia="SimSun" w:hAnsi="SimSun" w:cs="SimSun"/>
                <w:sz w:val="10"/>
                <w:szCs w:val="10"/>
              </w:rPr>
              <w:t>(二)每季度一次向财政部、劳动和社会保障部提交社保基金财务</w:t>
            </w:r>
            <w:r>
              <w:rPr>
                <w:rFonts w:ascii="SimSun" w:eastAsia="SimSun" w:hAnsi="SimSun" w:cs="SimSun"/>
                <w:spacing w:val="3"/>
                <w:sz w:val="10"/>
                <w:szCs w:val="10"/>
              </w:rPr>
              <w:t xml:space="preserve"> </w:t>
            </w:r>
            <w:r>
              <w:rPr>
                <w:rFonts w:ascii="SimSun" w:eastAsia="SimSun" w:hAnsi="SimSun" w:cs="SimSun"/>
                <w:spacing w:val="4"/>
                <w:sz w:val="10"/>
                <w:szCs w:val="10"/>
              </w:rPr>
              <w:t>会计报告、投资管理报告；</w:t>
            </w:r>
          </w:p>
          <w:p>
            <w:pPr>
              <w:spacing w:before="12" w:line="227" w:lineRule="auto"/>
              <w:ind w:left="11" w:right="16" w:firstLine="19"/>
              <w:jc w:val="both"/>
              <w:rPr>
                <w:rFonts w:ascii="SimSun" w:eastAsia="SimSun" w:hAnsi="SimSun" w:cs="SimSun"/>
                <w:sz w:val="10"/>
                <w:szCs w:val="10"/>
              </w:rPr>
            </w:pPr>
            <w:r>
              <w:rPr>
                <w:rFonts w:ascii="SimSun" w:eastAsia="SimSun" w:hAnsi="SimSun" w:cs="SimSun"/>
                <w:sz w:val="10"/>
                <w:szCs w:val="10"/>
              </w:rPr>
              <w:t>(三)单个社保基金要托资产管理合同到期后，向财政部、劳动和</w:t>
            </w:r>
            <w:r>
              <w:rPr>
                <w:rFonts w:ascii="SimSun" w:eastAsia="SimSun" w:hAnsi="SimSun" w:cs="SimSun"/>
                <w:spacing w:val="-1"/>
                <w:sz w:val="10"/>
                <w:szCs w:val="10"/>
              </w:rPr>
              <w:t xml:space="preserve">  </w:t>
            </w:r>
            <w:r>
              <w:rPr>
                <w:rFonts w:ascii="SimSun" w:eastAsia="SimSun" w:hAnsi="SimSun" w:cs="SimSun"/>
                <w:sz w:val="10"/>
                <w:szCs w:val="10"/>
              </w:rPr>
              <w:t>社会保障部提交经具备证券从业资格的会计师事务所审计的报</w:t>
            </w:r>
            <w:r>
              <w:rPr>
                <w:rFonts w:ascii="SimSun" w:eastAsia="SimSun" w:hAnsi="SimSun" w:cs="SimSun"/>
                <w:spacing w:val="-1"/>
                <w:sz w:val="10"/>
                <w:szCs w:val="10"/>
              </w:rPr>
              <w:t>告，</w:t>
            </w:r>
            <w:r>
              <w:rPr>
                <w:rFonts w:ascii="SimSun" w:eastAsia="SimSun" w:hAnsi="SimSun" w:cs="SimSun"/>
                <w:sz w:val="10"/>
                <w:szCs w:val="10"/>
              </w:rPr>
              <w:t xml:space="preserve"> </w:t>
            </w:r>
            <w:r>
              <w:rPr>
                <w:rFonts w:ascii="SimSun" w:eastAsia="SimSun" w:hAnsi="SimSun" w:cs="SimSun"/>
                <w:spacing w:val="4"/>
                <w:sz w:val="10"/>
                <w:szCs w:val="10"/>
              </w:rPr>
              <w:t>对社保基金委托资产的投资情况作出说明；</w:t>
            </w:r>
          </w:p>
          <w:p>
            <w:pPr>
              <w:spacing w:before="10" w:line="220" w:lineRule="auto"/>
              <w:ind w:left="20" w:right="81" w:firstLine="20"/>
              <w:rPr>
                <w:rFonts w:ascii="SimSun" w:eastAsia="SimSun" w:hAnsi="SimSun" w:cs="SimSun"/>
                <w:sz w:val="10"/>
                <w:szCs w:val="10"/>
              </w:rPr>
            </w:pPr>
            <w:r>
              <w:rPr>
                <w:rFonts w:ascii="SimSun" w:eastAsia="SimSun" w:hAnsi="SimSun" w:cs="SimSun"/>
                <w:sz w:val="10"/>
                <w:szCs w:val="10"/>
              </w:rPr>
              <w:t>(四)社保基金发生重大事件，立即报告财政部、劳动和社会保障</w:t>
            </w:r>
            <w:r>
              <w:rPr>
                <w:rFonts w:ascii="SimSun" w:eastAsia="SimSun" w:hAnsi="SimSun" w:cs="SimSun"/>
                <w:spacing w:val="3"/>
                <w:sz w:val="10"/>
                <w:szCs w:val="10"/>
              </w:rPr>
              <w:t xml:space="preserve"> </w:t>
            </w:r>
            <w:r>
              <w:rPr>
                <w:rFonts w:ascii="SimSun" w:eastAsia="SimSun" w:hAnsi="SimSun" w:cs="SimSun"/>
                <w:spacing w:val="-1"/>
                <w:sz w:val="10"/>
                <w:szCs w:val="10"/>
              </w:rPr>
              <w:t>部，并编制临时报告书，经核准后予以公告。</w:t>
            </w:r>
          </w:p>
        </w:tc>
        <w:tc>
          <w:tcPr>
            <w:tcW w:w="3337" w:type="dxa"/>
            <w:vAlign w:val="top"/>
          </w:tcPr>
          <w:p>
            <w:pPr>
              <w:spacing w:before="12" w:line="229" w:lineRule="auto"/>
              <w:ind w:left="14" w:right="68" w:firstLine="39"/>
              <w:rPr>
                <w:rFonts w:ascii="SimSun" w:eastAsia="SimSun" w:hAnsi="SimSun" w:cs="SimSun"/>
                <w:sz w:val="10"/>
                <w:szCs w:val="10"/>
              </w:rPr>
            </w:pPr>
            <w:r>
              <w:rPr>
                <w:rFonts w:ascii="SimSun" w:eastAsia="SimSun" w:hAnsi="SimSun" w:cs="SimSun"/>
                <w:sz w:val="10"/>
                <w:szCs w:val="10"/>
              </w:rPr>
              <w:t>(一)每年一次向社会公布全国社保基金资产和收益等财务我现，并接受社</w:t>
            </w:r>
            <w:r>
              <w:rPr>
                <w:rFonts w:ascii="SimSun" w:eastAsia="SimSun" w:hAnsi="SimSun" w:cs="SimSun"/>
                <w:spacing w:val="3"/>
                <w:sz w:val="10"/>
                <w:szCs w:val="10"/>
              </w:rPr>
              <w:t xml:space="preserve"> </w:t>
            </w:r>
            <w:r>
              <w:rPr>
                <w:rFonts w:ascii="SimSun" w:eastAsia="SimSun" w:hAnsi="SimSun" w:cs="SimSun"/>
                <w:spacing w:val="11"/>
                <w:sz w:val="10"/>
                <w:szCs w:val="10"/>
              </w:rPr>
              <w:t>会监督</w:t>
            </w:r>
            <w:r>
              <w:rPr>
                <w:rFonts w:ascii="SimSun" w:eastAsia="SimSun" w:hAnsi="SimSun" w:cs="SimSun"/>
                <w:spacing w:val="-22"/>
                <w:sz w:val="10"/>
                <w:szCs w:val="10"/>
              </w:rPr>
              <w:t xml:space="preserve"> </w:t>
            </w:r>
            <w:r>
              <w:rPr>
                <w:rFonts w:ascii="SimSun" w:eastAsia="SimSun" w:hAnsi="SimSun" w:cs="SimSun"/>
                <w:spacing w:val="11"/>
                <w:sz w:val="10"/>
                <w:szCs w:val="10"/>
              </w:rPr>
              <w:t>；</w:t>
            </w:r>
          </w:p>
          <w:p>
            <w:pPr>
              <w:spacing w:before="1" w:line="219" w:lineRule="auto"/>
              <w:ind w:left="24"/>
              <w:rPr>
                <w:rFonts w:ascii="SimSun" w:eastAsia="SimSun" w:hAnsi="SimSun" w:cs="SimSun"/>
                <w:sz w:val="10"/>
                <w:szCs w:val="10"/>
              </w:rPr>
            </w:pPr>
            <w:r>
              <w:rPr>
                <w:rFonts w:ascii="SimSun" w:eastAsia="SimSun" w:hAnsi="SimSun" w:cs="SimSun"/>
                <w:sz w:val="10"/>
                <w:szCs w:val="10"/>
              </w:rPr>
              <w:t>(二)每季度一次向财政部、人力资源社会保障部提交全国社保基金财务会</w:t>
            </w:r>
          </w:p>
          <w:p>
            <w:pPr>
              <w:spacing w:before="31" w:line="218" w:lineRule="auto"/>
              <w:ind w:left="14"/>
              <w:rPr>
                <w:rFonts w:ascii="SimSun" w:eastAsia="SimSun" w:hAnsi="SimSun" w:cs="SimSun"/>
                <w:sz w:val="10"/>
                <w:szCs w:val="10"/>
              </w:rPr>
            </w:pPr>
            <w:r>
              <w:rPr>
                <w:rFonts w:ascii="SimSun" w:eastAsia="SimSun" w:hAnsi="SimSun" w:cs="SimSun"/>
                <w:spacing w:val="4"/>
                <w:sz w:val="10"/>
                <w:szCs w:val="10"/>
              </w:rPr>
              <w:t>计报告、投资管理报告；</w:t>
            </w:r>
          </w:p>
          <w:p>
            <w:pPr>
              <w:spacing w:line="214" w:lineRule="auto"/>
              <w:ind w:left="45" w:right="180"/>
              <w:rPr>
                <w:rFonts w:ascii="SimSun" w:eastAsia="SimSun" w:hAnsi="SimSun" w:cs="SimSun"/>
                <w:sz w:val="10"/>
                <w:szCs w:val="10"/>
              </w:rPr>
            </w:pPr>
            <w:r>
              <w:rPr>
                <w:rFonts w:ascii="SimSun" w:eastAsia="SimSun" w:hAnsi="SimSun" w:cs="SimSun"/>
                <w:b/>
                <w:bCs/>
                <w:spacing w:val="-1"/>
                <w:sz w:val="10"/>
                <w:szCs w:val="10"/>
              </w:rPr>
              <w:t>(三)奉月一次向财政部、人力资潭社会保障部提交全国社保基金投</w:t>
            </w:r>
            <w:r>
              <w:rPr>
                <w:rFonts w:ascii="SimSun" w:eastAsia="SimSun" w:hAnsi="SimSun" w:cs="SimSun"/>
                <w:b/>
                <w:bCs/>
                <w:spacing w:val="-2"/>
                <w:sz w:val="10"/>
                <w:szCs w:val="10"/>
              </w:rPr>
              <w:t>责进</w:t>
            </w:r>
            <w:r>
              <w:rPr>
                <w:rFonts w:ascii="SimSun" w:eastAsia="SimSun" w:hAnsi="SimSun" w:cs="SimSun"/>
                <w:sz w:val="10"/>
                <w:szCs w:val="10"/>
              </w:rPr>
              <w:t xml:space="preserve"> </w:t>
            </w:r>
            <w:r>
              <w:rPr>
                <w:rFonts w:ascii="SimSun" w:eastAsia="SimSun" w:hAnsi="SimSun" w:cs="SimSun"/>
                <w:b/>
                <w:bCs/>
                <w:spacing w:val="6"/>
                <w:sz w:val="10"/>
                <w:szCs w:val="10"/>
              </w:rPr>
              <w:t>管月度快报；</w:t>
            </w:r>
          </w:p>
          <w:p>
            <w:pPr>
              <w:spacing w:line="237" w:lineRule="auto"/>
              <w:ind w:left="24" w:right="11" w:firstLine="10"/>
              <w:rPr>
                <w:rFonts w:ascii="SimSun" w:eastAsia="SimSun" w:hAnsi="SimSun" w:cs="SimSun"/>
                <w:sz w:val="10"/>
                <w:szCs w:val="10"/>
              </w:rPr>
            </w:pPr>
            <w:r>
              <w:rPr>
                <w:rFonts w:ascii="SimSun" w:eastAsia="SimSun" w:hAnsi="SimSun" w:cs="SimSun"/>
                <w:sz w:val="10"/>
                <w:szCs w:val="10"/>
              </w:rPr>
              <w:t xml:space="preserve">(四)单个全四社保基金投资管理合同到期后，向财政部、人力资源社会保  </w:t>
            </w:r>
            <w:r>
              <w:rPr>
                <w:rFonts w:ascii="SimSun" w:eastAsia="SimSun" w:hAnsi="SimSun" w:cs="SimSun"/>
                <w:sz w:val="10"/>
                <w:szCs w:val="10"/>
              </w:rPr>
              <w:t>障部提交经会计师事务所审计的报告，对全国社保</w:t>
            </w:r>
            <w:r>
              <w:rPr>
                <w:rFonts w:ascii="SimSun" w:eastAsia="SimSun" w:hAnsi="SimSun" w:cs="SimSun"/>
                <w:spacing w:val="-1"/>
                <w:sz w:val="10"/>
                <w:szCs w:val="10"/>
              </w:rPr>
              <w:t>基金委托资产的投资情况</w:t>
            </w:r>
          </w:p>
          <w:p>
            <w:pPr>
              <w:spacing w:before="12" w:line="202" w:lineRule="auto"/>
              <w:ind w:left="44"/>
              <w:rPr>
                <w:rFonts w:ascii="SimSun" w:eastAsia="SimSun" w:hAnsi="SimSun" w:cs="SimSun"/>
                <w:sz w:val="10"/>
                <w:szCs w:val="10"/>
              </w:rPr>
            </w:pPr>
            <w:r>
              <w:rPr>
                <w:rFonts w:ascii="SimSun" w:eastAsia="SimSun" w:hAnsi="SimSun" w:cs="SimSun"/>
                <w:spacing w:val="9"/>
                <w:sz w:val="10"/>
                <w:szCs w:val="10"/>
              </w:rPr>
              <w:t>作出说明；</w:t>
            </w:r>
          </w:p>
          <w:p>
            <w:pPr>
              <w:spacing w:before="1" w:line="200" w:lineRule="auto"/>
              <w:ind w:left="44" w:right="178"/>
              <w:rPr>
                <w:rFonts w:ascii="SimSun" w:eastAsia="SimSun" w:hAnsi="SimSun" w:cs="SimSun"/>
                <w:sz w:val="10"/>
                <w:szCs w:val="10"/>
              </w:rPr>
            </w:pPr>
            <w:r>
              <w:rPr>
                <w:rFonts w:ascii="SimSun" w:eastAsia="SimSun" w:hAnsi="SimSun" w:cs="SimSun"/>
                <w:sz w:val="10"/>
                <w:szCs w:val="10"/>
              </w:rPr>
              <w:t>(五)全国社保基金发生重大事件，立即报告财政部、人力资源社会保障</w:t>
            </w:r>
            <w:r>
              <w:rPr>
                <w:rFonts w:ascii="SimSun" w:eastAsia="SimSun" w:hAnsi="SimSun" w:cs="SimSun"/>
                <w:spacing w:val="3"/>
                <w:sz w:val="10"/>
                <w:szCs w:val="10"/>
              </w:rPr>
              <w:t xml:space="preserve"> </w:t>
            </w:r>
            <w:r>
              <w:rPr>
                <w:rFonts w:ascii="SimSun" w:eastAsia="SimSun" w:hAnsi="SimSun" w:cs="SimSun"/>
                <w:spacing w:val="-1"/>
                <w:sz w:val="10"/>
                <w:szCs w:val="10"/>
              </w:rPr>
              <w:t>部，并编制临时报告书，经核准后予以公告。</w:t>
            </w:r>
          </w:p>
        </w:tc>
        <w:tc>
          <w:tcPr>
            <w:tcW w:w="2602" w:type="dxa"/>
            <w:vAlign w:val="top"/>
          </w:tcPr>
          <w:p>
            <w:pPr>
              <w:spacing w:line="272" w:lineRule="auto"/>
              <w:rPr>
                <w:rFonts w:ascii="Arial"/>
                <w:sz w:val="21"/>
              </w:rPr>
            </w:pPr>
          </w:p>
          <w:p>
            <w:pPr>
              <w:spacing w:line="273" w:lineRule="auto"/>
              <w:rPr>
                <w:rFonts w:ascii="Arial"/>
                <w:sz w:val="21"/>
              </w:rPr>
            </w:pPr>
          </w:p>
          <w:p>
            <w:pPr>
              <w:spacing w:before="33" w:line="211" w:lineRule="auto"/>
              <w:ind w:left="16" w:firstLine="10"/>
              <w:rPr>
                <w:rFonts w:ascii="SimSun" w:eastAsia="SimSun" w:hAnsi="SimSun" w:cs="SimSun"/>
                <w:sz w:val="10"/>
                <w:szCs w:val="10"/>
              </w:rPr>
            </w:pPr>
            <w:r>
              <w:rPr>
                <w:rFonts w:ascii="SimSun" w:eastAsia="SimSun" w:hAnsi="SimSun" w:cs="SimSun"/>
                <w:spacing w:val="-2"/>
                <w:sz w:val="10"/>
                <w:szCs w:val="10"/>
              </w:rPr>
              <w:t>是高信息披露频次为月度，每月一次向财政部、人力资源社</w:t>
            </w:r>
            <w:r>
              <w:rPr>
                <w:rFonts w:ascii="SimSun" w:eastAsia="SimSun" w:hAnsi="SimSun" w:cs="SimSun"/>
                <w:spacing w:val="15"/>
                <w:sz w:val="10"/>
                <w:szCs w:val="10"/>
              </w:rPr>
              <w:t xml:space="preserve"> </w:t>
            </w:r>
            <w:r>
              <w:rPr>
                <w:rFonts w:ascii="SimSun" w:eastAsia="SimSun" w:hAnsi="SimSun" w:cs="SimSun"/>
                <w:spacing w:val="-1"/>
                <w:sz w:val="10"/>
                <w:szCs w:val="10"/>
              </w:rPr>
              <w:t>会保障部提交全国社保基金投资运营月度快报</w:t>
            </w:r>
          </w:p>
        </w:tc>
      </w:tr>
      <w:tr>
        <w:tblPrEx>
          <w:tblW w:w="10430" w:type="dxa"/>
          <w:tblInd w:w="10" w:type="dxa"/>
          <w:tblLayout w:type="fixed"/>
        </w:tblPrEx>
        <w:trPr>
          <w:trHeight w:val="1244"/>
        </w:trPr>
        <w:tc>
          <w:tcPr>
            <w:tcW w:w="465" w:type="dxa"/>
            <w:vAlign w:val="top"/>
          </w:tcPr>
          <w:p>
            <w:pPr>
              <w:spacing w:line="268" w:lineRule="auto"/>
              <w:rPr>
                <w:rFonts w:ascii="Arial"/>
                <w:sz w:val="21"/>
              </w:rPr>
            </w:pPr>
          </w:p>
          <w:p>
            <w:pPr>
              <w:spacing w:line="269" w:lineRule="auto"/>
              <w:rPr>
                <w:rFonts w:ascii="Arial"/>
                <w:sz w:val="21"/>
              </w:rPr>
            </w:pPr>
          </w:p>
          <w:p>
            <w:pPr>
              <w:spacing w:before="32" w:line="219" w:lineRule="auto"/>
              <w:ind w:left="25"/>
              <w:rPr>
                <w:rFonts w:ascii="SimSun" w:eastAsia="SimSun" w:hAnsi="SimSun" w:cs="SimSun"/>
                <w:sz w:val="10"/>
                <w:szCs w:val="10"/>
              </w:rPr>
            </w:pPr>
            <w:r>
              <w:rPr>
                <w:rFonts w:ascii="SimSun" w:eastAsia="SimSun" w:hAnsi="SimSun" w:cs="SimSun"/>
                <w:spacing w:val="-1"/>
                <w:sz w:val="10"/>
                <w:szCs w:val="10"/>
              </w:rPr>
              <w:t>法律责任</w:t>
            </w:r>
          </w:p>
        </w:tc>
        <w:tc>
          <w:tcPr>
            <w:tcW w:w="1089" w:type="dxa"/>
            <w:vAlign w:val="top"/>
          </w:tcPr>
          <w:p>
            <w:pPr>
              <w:spacing w:line="268" w:lineRule="auto"/>
              <w:rPr>
                <w:rFonts w:ascii="Arial"/>
                <w:sz w:val="21"/>
              </w:rPr>
            </w:pPr>
          </w:p>
          <w:p>
            <w:pPr>
              <w:spacing w:line="269" w:lineRule="auto"/>
              <w:rPr>
                <w:rFonts w:ascii="Arial"/>
                <w:sz w:val="21"/>
              </w:rPr>
            </w:pPr>
          </w:p>
          <w:p>
            <w:pPr>
              <w:spacing w:before="32" w:line="219" w:lineRule="auto"/>
              <w:ind w:left="39"/>
              <w:rPr>
                <w:rFonts w:ascii="SimSun" w:eastAsia="SimSun" w:hAnsi="SimSun" w:cs="SimSun"/>
                <w:sz w:val="10"/>
                <w:szCs w:val="10"/>
              </w:rPr>
            </w:pPr>
            <w:r>
              <w:rPr>
                <w:rFonts w:ascii="SimSun" w:eastAsia="SimSun" w:hAnsi="SimSun" w:cs="SimSun"/>
                <w:spacing w:val="-1"/>
                <w:sz w:val="10"/>
                <w:szCs w:val="10"/>
              </w:rPr>
              <w:t>委托投资管理人罚则</w:t>
            </w:r>
          </w:p>
        </w:tc>
        <w:tc>
          <w:tcPr>
            <w:tcW w:w="2937" w:type="dxa"/>
            <w:vAlign w:val="top"/>
          </w:tcPr>
          <w:p>
            <w:pPr>
              <w:spacing w:before="153" w:line="219" w:lineRule="auto"/>
              <w:ind w:left="11"/>
              <w:rPr>
                <w:rFonts w:ascii="SimSun" w:eastAsia="SimSun" w:hAnsi="SimSun" w:cs="SimSun"/>
                <w:sz w:val="10"/>
                <w:szCs w:val="10"/>
              </w:rPr>
            </w:pPr>
            <w:r>
              <w:rPr>
                <w:rFonts w:ascii="SimSun" w:eastAsia="SimSun" w:hAnsi="SimSun" w:cs="SimSun"/>
                <w:spacing w:val="-1"/>
                <w:sz w:val="10"/>
                <w:szCs w:val="10"/>
              </w:rPr>
              <w:t xml:space="preserve">社保基金投资管理人违反本办法第十二条规定，不及时或者未向理 </w:t>
            </w:r>
            <w:r>
              <w:rPr>
                <w:rFonts w:ascii="SimSun" w:eastAsia="SimSun" w:hAnsi="SimSun" w:cs="SimSun"/>
                <w:spacing w:val="-1"/>
                <w:sz w:val="10"/>
                <w:szCs w:val="10"/>
              </w:rPr>
              <w:t>事会报告该条所列情形之一的，责令改正，给予警告，</w:t>
            </w:r>
            <w:r>
              <w:rPr>
                <w:rFonts w:ascii="SimSun" w:eastAsia="SimSun" w:hAnsi="SimSun" w:cs="SimSun"/>
                <w:spacing w:val="-2"/>
                <w:sz w:val="10"/>
                <w:szCs w:val="10"/>
              </w:rPr>
              <w:t>并处5万元以</w:t>
            </w:r>
          </w:p>
          <w:p>
            <w:pPr>
              <w:spacing w:before="23" w:line="201" w:lineRule="auto"/>
              <w:ind w:left="20"/>
              <w:rPr>
                <w:rFonts w:ascii="SimSun" w:eastAsia="SimSun" w:hAnsi="SimSun" w:cs="SimSun"/>
                <w:sz w:val="10"/>
                <w:szCs w:val="10"/>
              </w:rPr>
            </w:pPr>
            <w:r>
              <w:rPr>
                <w:rFonts w:ascii="SimSun" w:eastAsia="SimSun" w:hAnsi="SimSun" w:cs="SimSun"/>
                <w:spacing w:val="10"/>
                <w:sz w:val="10"/>
                <w:szCs w:val="10"/>
              </w:rPr>
              <w:t>下的罚款；</w:t>
            </w:r>
          </w:p>
          <w:p>
            <w:pPr>
              <w:spacing w:line="233" w:lineRule="auto"/>
              <w:ind w:left="11" w:right="10" w:firstLine="9"/>
              <w:rPr>
                <w:rFonts w:ascii="SimSun" w:eastAsia="SimSun" w:hAnsi="SimSun" w:cs="SimSun"/>
                <w:sz w:val="10"/>
                <w:szCs w:val="10"/>
              </w:rPr>
            </w:pPr>
            <w:r>
              <w:rPr>
                <w:rFonts w:ascii="SimSun" w:eastAsia="SimSun" w:hAnsi="SimSun" w:cs="SimSun"/>
                <w:sz w:val="10"/>
                <w:szCs w:val="10"/>
              </w:rPr>
              <w:t>社保基金投资管理人或者托管人有本办法第十六条和</w:t>
            </w:r>
            <w:r>
              <w:rPr>
                <w:rFonts w:ascii="SimSun" w:eastAsia="SimSun" w:hAnsi="SimSun" w:cs="SimSun"/>
                <w:spacing w:val="-1"/>
                <w:sz w:val="10"/>
                <w:szCs w:val="10"/>
              </w:rPr>
              <w:t>第二十四条所</w:t>
            </w:r>
            <w:r>
              <w:rPr>
                <w:rFonts w:ascii="SimSun" w:eastAsia="SimSun" w:hAnsi="SimSun" w:cs="SimSun"/>
                <w:sz w:val="10"/>
                <w:szCs w:val="10"/>
              </w:rPr>
              <w:t xml:space="preserve"> </w:t>
            </w:r>
            <w:r>
              <w:rPr>
                <w:rFonts w:ascii="SimSun" w:eastAsia="SimSun" w:hAnsi="SimSun" w:cs="SimSun"/>
                <w:sz w:val="10"/>
                <w:szCs w:val="10"/>
              </w:rPr>
              <w:t>列行为之一的应退任，有违法所得的，没收违法所</w:t>
            </w:r>
            <w:r>
              <w:rPr>
                <w:rFonts w:ascii="SimSun" w:eastAsia="SimSun" w:hAnsi="SimSun" w:cs="SimSun"/>
                <w:spacing w:val="-1"/>
                <w:sz w:val="10"/>
                <w:szCs w:val="10"/>
              </w:rPr>
              <w:t>得，处以违法所</w:t>
            </w:r>
            <w:r>
              <w:rPr>
                <w:rFonts w:ascii="SimSun" w:eastAsia="SimSun" w:hAnsi="SimSun" w:cs="SimSun"/>
                <w:sz w:val="10"/>
                <w:szCs w:val="10"/>
              </w:rPr>
              <w:t xml:space="preserve"> </w:t>
            </w:r>
            <w:r>
              <w:rPr>
                <w:rFonts w:ascii="SimSun" w:eastAsia="SimSun" w:hAnsi="SimSun" w:cs="SimSun"/>
                <w:sz w:val="10"/>
                <w:szCs w:val="10"/>
              </w:rPr>
              <w:t>得1倍以上5倍以下的罚款；没有违法所得的，处50万</w:t>
            </w:r>
            <w:r>
              <w:rPr>
                <w:rFonts w:ascii="SimSun" w:eastAsia="SimSun" w:hAnsi="SimSun" w:cs="SimSun"/>
                <w:spacing w:val="-1"/>
                <w:sz w:val="10"/>
                <w:szCs w:val="10"/>
              </w:rPr>
              <w:t>元以下的罚款</w:t>
            </w:r>
          </w:p>
        </w:tc>
        <w:tc>
          <w:tcPr>
            <w:tcW w:w="3337" w:type="dxa"/>
            <w:vAlign w:val="top"/>
          </w:tcPr>
          <w:p>
            <w:pPr>
              <w:spacing w:before="12" w:line="219" w:lineRule="auto"/>
              <w:jc w:val="right"/>
              <w:rPr>
                <w:rFonts w:ascii="SimSun" w:eastAsia="SimSun" w:hAnsi="SimSun" w:cs="SimSun"/>
                <w:sz w:val="10"/>
                <w:szCs w:val="10"/>
              </w:rPr>
            </w:pPr>
            <w:r>
              <w:rPr>
                <w:rFonts w:ascii="SimSun" w:eastAsia="SimSun" w:hAnsi="SimSun" w:cs="SimSun"/>
                <w:sz w:val="10"/>
                <w:szCs w:val="10"/>
              </w:rPr>
              <w:t>投资管理人和批管人违反本办法第十二条独立性规定的</w:t>
            </w:r>
            <w:r>
              <w:rPr>
                <w:rFonts w:ascii="SimSun" w:eastAsia="SimSun" w:hAnsi="SimSun" w:cs="SimSun"/>
                <w:spacing w:val="-1"/>
                <w:sz w:val="10"/>
                <w:szCs w:val="10"/>
              </w:rPr>
              <w:t>，责令其限期改正，</w:t>
            </w:r>
          </w:p>
          <w:p>
            <w:pPr>
              <w:spacing w:before="22" w:line="202" w:lineRule="auto"/>
              <w:ind w:left="14"/>
              <w:rPr>
                <w:rFonts w:ascii="SimSun" w:eastAsia="SimSun" w:hAnsi="SimSun" w:cs="SimSun"/>
                <w:sz w:val="10"/>
                <w:szCs w:val="10"/>
              </w:rPr>
            </w:pPr>
            <w:r>
              <w:rPr>
                <w:rFonts w:ascii="SimSun" w:eastAsia="SimSun" w:hAnsi="SimSun" w:cs="SimSun"/>
                <w:spacing w:val="2"/>
                <w:sz w:val="10"/>
                <w:szCs w:val="10"/>
              </w:rPr>
              <w:t>并处以10万元以上100万元以下的罚款；</w:t>
            </w:r>
          </w:p>
          <w:p>
            <w:pPr>
              <w:spacing w:line="203" w:lineRule="auto"/>
              <w:ind w:left="53" w:right="8" w:hanging="29"/>
              <w:rPr>
                <w:rFonts w:ascii="SimSun" w:eastAsia="SimSun" w:hAnsi="SimSun" w:cs="SimSun"/>
                <w:sz w:val="10"/>
                <w:szCs w:val="10"/>
              </w:rPr>
            </w:pPr>
            <w:r>
              <w:rPr>
                <w:rFonts w:ascii="SimSun" w:eastAsia="SimSun" w:hAnsi="SimSun" w:cs="SimSun"/>
                <w:sz w:val="10"/>
                <w:szCs w:val="10"/>
              </w:rPr>
              <w:t>投资管理人违反本办法第十三条规定，超出范围进行投资的</w:t>
            </w:r>
            <w:r>
              <w:rPr>
                <w:rFonts w:ascii="SimSun" w:eastAsia="SimSun" w:hAnsi="SimSun" w:cs="SimSun"/>
                <w:spacing w:val="-1"/>
                <w:sz w:val="10"/>
                <w:szCs w:val="10"/>
              </w:rPr>
              <w:t>，责令其限期改</w:t>
            </w:r>
            <w:r>
              <w:rPr>
                <w:rFonts w:ascii="SimSun" w:eastAsia="SimSun" w:hAnsi="SimSun" w:cs="SimSun"/>
                <w:sz w:val="10"/>
                <w:szCs w:val="10"/>
              </w:rPr>
              <w:t xml:space="preserve"> </w:t>
            </w:r>
            <w:r>
              <w:rPr>
                <w:rFonts w:ascii="SimSun" w:eastAsia="SimSun" w:hAnsi="SimSun" w:cs="SimSun"/>
                <w:spacing w:val="2"/>
                <w:sz w:val="10"/>
                <w:szCs w:val="10"/>
              </w:rPr>
              <w:t>正，并处以10万元以上100万元以下的罚款；</w:t>
            </w:r>
          </w:p>
          <w:p>
            <w:pPr>
              <w:spacing w:line="218" w:lineRule="auto"/>
              <w:ind w:left="24"/>
              <w:rPr>
                <w:rFonts w:ascii="SimSun" w:eastAsia="SimSun" w:hAnsi="SimSun" w:cs="SimSun"/>
                <w:sz w:val="10"/>
                <w:szCs w:val="10"/>
              </w:rPr>
            </w:pPr>
            <w:r>
              <w:rPr>
                <w:rFonts w:ascii="SimSun" w:eastAsia="SimSun" w:hAnsi="SimSun" w:cs="SimSun"/>
                <w:sz w:val="10"/>
                <w:szCs w:val="10"/>
              </w:rPr>
              <w:t>投资管理人违反本办法第十五条规定，责令其限期改正，并处以</w:t>
            </w:r>
            <w:r>
              <w:rPr>
                <w:rFonts w:ascii="SimSun" w:eastAsia="SimSun" w:hAnsi="SimSun" w:cs="SimSun"/>
                <w:spacing w:val="-1"/>
                <w:sz w:val="10"/>
                <w:szCs w:val="10"/>
              </w:rPr>
              <w:t>10万元以上</w:t>
            </w:r>
          </w:p>
          <w:p>
            <w:pPr>
              <w:spacing w:before="72" w:line="201" w:lineRule="auto"/>
              <w:ind w:left="63"/>
              <w:rPr>
                <w:rFonts w:ascii="SimSun" w:eastAsia="SimSun" w:hAnsi="SimSun" w:cs="SimSun"/>
                <w:sz w:val="10"/>
                <w:szCs w:val="10"/>
              </w:rPr>
            </w:pPr>
            <w:r>
              <w:rPr>
                <w:rFonts w:ascii="SimSun" w:eastAsia="SimSun" w:hAnsi="SimSun" w:cs="SimSun"/>
                <w:sz w:val="10"/>
                <w:szCs w:val="10"/>
              </w:rPr>
              <w:t>00万元以下的罚款：</w:t>
            </w:r>
          </w:p>
          <w:p>
            <w:pPr>
              <w:spacing w:line="220" w:lineRule="auto"/>
              <w:ind w:left="14" w:firstLine="29"/>
              <w:rPr>
                <w:rFonts w:ascii="SimSun" w:eastAsia="SimSun" w:hAnsi="SimSun" w:cs="SimSun"/>
                <w:sz w:val="10"/>
                <w:szCs w:val="10"/>
              </w:rPr>
            </w:pPr>
            <w:r>
              <w:rPr>
                <w:rFonts w:ascii="SimSun" w:eastAsia="SimSun" w:hAnsi="SimSun" w:cs="SimSun"/>
                <w:spacing w:val="-1"/>
                <w:sz w:val="10"/>
                <w:szCs w:val="10"/>
              </w:rPr>
              <w:t>投资管理人违反本办法第二十四条规定，不及时或者未向社保基金会报告该</w:t>
            </w:r>
            <w:r>
              <w:rPr>
                <w:rFonts w:ascii="SimSun" w:eastAsia="SimSun" w:hAnsi="SimSun" w:cs="SimSun"/>
                <w:spacing w:val="15"/>
                <w:sz w:val="10"/>
                <w:szCs w:val="10"/>
              </w:rPr>
              <w:t xml:space="preserve"> </w:t>
            </w:r>
            <w:r>
              <w:rPr>
                <w:rFonts w:ascii="SimSun" w:eastAsia="SimSun" w:hAnsi="SimSun" w:cs="SimSun"/>
                <w:spacing w:val="-1"/>
                <w:sz w:val="10"/>
                <w:szCs w:val="10"/>
              </w:rPr>
              <w:t>条所列情形之一的，责令其限期改正，并处以10万元</w:t>
            </w:r>
            <w:r>
              <w:rPr>
                <w:rFonts w:ascii="SimSun" w:eastAsia="SimSun" w:hAnsi="SimSun" w:cs="SimSun"/>
                <w:spacing w:val="-2"/>
                <w:sz w:val="10"/>
                <w:szCs w:val="10"/>
              </w:rPr>
              <w:t>以上100万元以下的罚款</w:t>
            </w:r>
          </w:p>
        </w:tc>
        <w:tc>
          <w:tcPr>
            <w:tcW w:w="2602" w:type="dxa"/>
            <w:vAlign w:val="top"/>
          </w:tcPr>
          <w:p>
            <w:pPr>
              <w:spacing w:line="268" w:lineRule="auto"/>
              <w:rPr>
                <w:rFonts w:ascii="Arial"/>
                <w:sz w:val="21"/>
              </w:rPr>
            </w:pPr>
          </w:p>
          <w:p>
            <w:pPr>
              <w:spacing w:line="269" w:lineRule="auto"/>
              <w:rPr>
                <w:rFonts w:ascii="Arial"/>
                <w:sz w:val="21"/>
              </w:rPr>
            </w:pPr>
          </w:p>
          <w:p>
            <w:pPr>
              <w:spacing w:before="32" w:line="219" w:lineRule="auto"/>
              <w:ind w:left="16"/>
              <w:rPr>
                <w:rFonts w:ascii="SimSun" w:eastAsia="SimSun" w:hAnsi="SimSun" w:cs="SimSun"/>
                <w:sz w:val="10"/>
                <w:szCs w:val="10"/>
              </w:rPr>
            </w:pPr>
            <w:r>
              <w:rPr>
                <w:rFonts w:ascii="SimSun" w:eastAsia="SimSun" w:hAnsi="SimSun" w:cs="SimSun"/>
                <w:spacing w:val="-1"/>
                <w:sz w:val="10"/>
                <w:szCs w:val="10"/>
              </w:rPr>
              <w:t>提高投资管理人违规罚款上限</w:t>
            </w:r>
          </w:p>
        </w:tc>
      </w:tr>
    </w:tbl>
    <w:p>
      <w:pPr>
        <w:pStyle w:val="BodyText"/>
        <w:spacing w:before="80" w:line="224" w:lineRule="auto"/>
        <w:ind w:left="20"/>
        <w:rPr>
          <w:sz w:val="20"/>
          <w:szCs w:val="20"/>
        </w:rPr>
      </w:pPr>
      <w:r>
        <w:rPr>
          <w:spacing w:val="-19"/>
          <w:w w:val="99"/>
          <w:sz w:val="20"/>
          <w:szCs w:val="20"/>
        </w:rPr>
        <w:t>资料来源：全国社保基金理事会、财政部、开源证券研究所</w:t>
      </w:r>
    </w:p>
    <w:p>
      <w:pPr>
        <w:spacing w:line="224" w:lineRule="auto"/>
        <w:rPr>
          <w:sz w:val="20"/>
          <w:szCs w:val="20"/>
        </w:rPr>
        <w:sectPr>
          <w:footerReference w:type="default" r:id="rId61"/>
          <w:type w:val="nextPage"/>
          <w:pgSz w:w="11910" w:h="16840"/>
          <w:pgMar w:top="167" w:right="660" w:bottom="1129" w:left="719" w:header="0" w:footer="858" w:gutter="0"/>
          <w:pgNumType w:start="34"/>
          <w:cols w:space="708"/>
          <w:titlePg w:val="0"/>
        </w:sectPr>
      </w:pPr>
    </w:p>
    <w:p>
      <w:pPr>
        <w:spacing w:before="152" w:line="235" w:lineRule="auto"/>
        <w:ind w:left="229"/>
        <w:rPr>
          <w:rFonts w:ascii="YouYuan" w:eastAsia="YouYuan" w:hAnsi="YouYuan" w:cs="YouYuan"/>
          <w:sz w:val="58"/>
          <w:szCs w:val="58"/>
        </w:rPr>
      </w:pPr>
      <w:r>
        <w:drawing>
          <wp:anchor distT="0" distB="0" distL="0" distR="0" simplePos="0" relativeHeight="251682816" behindDoc="0" locked="0" layoutInCell="0" allowOverlap="1">
            <wp:simplePos x="0" y="0"/>
            <wp:positionH relativeFrom="page">
              <wp:posOffset>444468</wp:posOffset>
            </wp:positionH>
            <wp:positionV relativeFrom="page">
              <wp:posOffset>6089657</wp:posOffset>
            </wp:positionV>
            <wp:extent cx="3276605" cy="6350"/>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33"/>
                    <a:stretch>
                      <a:fillRect/>
                    </a:stretch>
                  </pic:blipFill>
                  <pic:spPr>
                    <a:xfrm>
                      <a:off x="0" y="0"/>
                      <a:ext cx="3276605" cy="6350"/>
                    </a:xfrm>
                    <a:prstGeom prst="rect">
                      <a:avLst/>
                    </a:prstGeom>
                  </pic:spPr>
                </pic:pic>
              </a:graphicData>
            </a:graphic>
          </wp:anchor>
        </w:drawing>
      </w:r>
      <w:r>
        <w:drawing>
          <wp:anchor distT="0" distB="0" distL="0" distR="0" simplePos="0" relativeHeight="251681792" behindDoc="0" locked="0" layoutInCell="0" allowOverlap="1">
            <wp:simplePos x="0" y="0"/>
            <wp:positionH relativeFrom="page">
              <wp:posOffset>3841776</wp:posOffset>
            </wp:positionH>
            <wp:positionV relativeFrom="page">
              <wp:posOffset>3308324</wp:posOffset>
            </wp:positionV>
            <wp:extent cx="3282957" cy="641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62"/>
                    <a:stretch>
                      <a:fillRect/>
                    </a:stretch>
                  </pic:blipFill>
                  <pic:spPr>
                    <a:xfrm>
                      <a:off x="0" y="0"/>
                      <a:ext cx="3282957" cy="6415"/>
                    </a:xfrm>
                    <a:prstGeom prst="rect">
                      <a:avLst/>
                    </a:prstGeom>
                  </pic:spPr>
                </pic:pic>
              </a:graphicData>
            </a:graphic>
          </wp:anchor>
        </w:drawing>
      </w:r>
      <w:r>
        <w:drawing>
          <wp:anchor distT="0" distB="0" distL="0" distR="0" simplePos="0" relativeHeight="251683840" behindDoc="0" locked="0" layoutInCell="0" allowOverlap="1">
            <wp:simplePos x="0" y="0"/>
            <wp:positionH relativeFrom="page">
              <wp:posOffset>3848129</wp:posOffset>
            </wp:positionH>
            <wp:positionV relativeFrom="page">
              <wp:posOffset>6089657</wp:posOffset>
            </wp:positionV>
            <wp:extent cx="3276604" cy="635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33"/>
                    <a:stretch>
                      <a:fillRect/>
                    </a:stretch>
                  </pic:blipFill>
                  <pic:spPr>
                    <a:xfrm>
                      <a:off x="0" y="0"/>
                      <a:ext cx="3276604" cy="6350"/>
                    </a:xfrm>
                    <a:prstGeom prst="rect">
                      <a:avLst/>
                    </a:prstGeom>
                  </pic:spPr>
                </pic:pic>
              </a:graphicData>
            </a:graphic>
          </wp:anchor>
        </w:drawing>
      </w:r>
      <w:bookmarkStart w:id="15" w:name="bookmark26"/>
      <w:bookmarkEnd w:id="15"/>
      <w:bookmarkStart w:id="16" w:name="bookmark27"/>
      <w:bookmarkEnd w:id="16"/>
      <w:bookmarkStart w:id="17" w:name="bookmark28"/>
      <w:bookmarkEnd w:id="17"/>
      <w:bookmarkStart w:id="18" w:name="bookmark29"/>
      <w:bookmarkEnd w:id="18"/>
      <w:bookmarkStart w:id="19" w:name="bookmark76"/>
      <w:bookmarkEnd w:id="19"/>
      <w:r>
        <w:rPr>
          <w:rFonts w:ascii="YouYuan" w:eastAsia="YouYuan" w:hAnsi="YouYuan" w:cs="YouYuan"/>
          <w:position w:val="-19"/>
          <w:sz w:val="58"/>
          <w:szCs w:val="58"/>
        </w:rPr>
        <w:drawing>
          <wp:inline distT="0" distB="0" distL="0" distR="0">
            <wp:extent cx="571449" cy="482593"/>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15"/>
                    <a:stretch>
                      <a:fillRect/>
                    </a:stretch>
                  </pic:blipFill>
                  <pic:spPr>
                    <a:xfrm>
                      <a:off x="0" y="0"/>
                      <a:ext cx="571449" cy="482593"/>
                    </a:xfrm>
                    <a:prstGeom prst="rect">
                      <a:avLst/>
                    </a:prstGeom>
                  </pic:spPr>
                </pic:pic>
              </a:graphicData>
            </a:graphic>
          </wp:inline>
        </w:drawing>
      </w:r>
      <w:r>
        <w:rPr>
          <w:rFonts w:ascii="YouYuan" w:eastAsia="YouYuan" w:hAnsi="YouYuan" w:cs="YouYuan"/>
          <w:b/>
          <w:bCs/>
          <w:spacing w:val="54"/>
          <w:sz w:val="58"/>
          <w:szCs w:val="58"/>
        </w:rPr>
        <w:t>开源证券</w:t>
      </w:r>
    </w:p>
    <w:p>
      <w:pPr>
        <w:pStyle w:val="BodyText"/>
        <w:spacing w:before="47" w:line="229" w:lineRule="auto"/>
        <w:ind w:left="8499"/>
        <w:rPr>
          <w:sz w:val="22"/>
          <w:szCs w:val="22"/>
        </w:rPr>
      </w:pPr>
      <w:r>
        <w:pict>
          <v:rect id="_x0000_s1049" style="width:516.8pt;height:0.55pt;margin-top:12.79pt;margin-left:3pt;position:absolute;z-index:251684864" filled="t" fillcolor="black" stroked="f"/>
        </w:pict>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spacing w:line="87" w:lineRule="exact"/>
      </w:pPr>
    </w:p>
    <w:p>
      <w:pPr>
        <w:spacing w:line="87" w:lineRule="exact"/>
        <w:sectPr>
          <w:footerReference w:type="default" r:id="rId63"/>
          <w:pgSz w:w="11910" w:h="16840"/>
          <w:pgMar w:top="158" w:right="650" w:bottom="400" w:left="670" w:header="0" w:footer="0" w:gutter="0"/>
          <w:pgNumType w:start="35"/>
          <w:cols w:num="1" w:space="708" w:equalWidth="0">
            <w:col w:w="10590" w:space="0"/>
          </w:cols>
        </w:sectPr>
      </w:pPr>
    </w:p>
    <w:p>
      <w:pPr>
        <w:pStyle w:val="BodyText"/>
        <w:spacing w:before="39" w:line="184" w:lineRule="auto"/>
        <w:ind w:left="62"/>
        <w:rPr>
          <w:sz w:val="19"/>
          <w:szCs w:val="19"/>
        </w:rPr>
      </w:pPr>
      <w:r>
        <w:rPr>
          <w:b/>
          <w:bCs/>
          <w:color w:val="000080"/>
          <w:spacing w:val="26"/>
          <w:sz w:val="19"/>
          <w:szCs w:val="19"/>
        </w:rPr>
        <w:t>图10:2022年全国社保基金2</w:t>
      </w:r>
      <w:r>
        <w:rPr>
          <w:color w:val="000080"/>
          <w:spacing w:val="-45"/>
          <w:sz w:val="19"/>
          <w:szCs w:val="19"/>
        </w:rPr>
        <w:t xml:space="preserve"> </w:t>
      </w:r>
      <w:r>
        <w:rPr>
          <w:b/>
          <w:bCs/>
          <w:color w:val="000080"/>
          <w:spacing w:val="26"/>
          <w:sz w:val="19"/>
          <w:szCs w:val="19"/>
        </w:rPr>
        <w:t>.</w:t>
      </w:r>
      <w:r>
        <w:rPr>
          <w:color w:val="000080"/>
          <w:spacing w:val="-56"/>
          <w:sz w:val="19"/>
          <w:szCs w:val="19"/>
        </w:rPr>
        <w:t xml:space="preserve"> </w:t>
      </w:r>
      <w:r>
        <w:rPr>
          <w:b/>
          <w:bCs/>
          <w:color w:val="000080"/>
          <w:spacing w:val="26"/>
          <w:sz w:val="19"/>
          <w:szCs w:val="19"/>
        </w:rPr>
        <w:t>9万亿</w:t>
      </w:r>
      <w:r>
        <w:rPr>
          <w:b/>
          <w:bCs/>
          <w:color w:val="000080"/>
          <w:spacing w:val="25"/>
          <w:sz w:val="19"/>
          <w:szCs w:val="19"/>
        </w:rPr>
        <w:t>元，同比</w:t>
      </w:r>
      <w:r>
        <w:rPr>
          <w:color w:val="000080"/>
          <w:spacing w:val="-55"/>
          <w:sz w:val="19"/>
          <w:szCs w:val="19"/>
        </w:rPr>
        <w:t xml:space="preserve"> </w:t>
      </w:r>
      <w:r>
        <w:rPr>
          <w:b/>
          <w:bCs/>
          <w:color w:val="000080"/>
          <w:spacing w:val="25"/>
          <w:sz w:val="19"/>
          <w:szCs w:val="19"/>
        </w:rPr>
        <w:t>-</w:t>
      </w:r>
      <w:r>
        <w:rPr>
          <w:color w:val="000080"/>
          <w:spacing w:val="-55"/>
          <w:sz w:val="19"/>
          <w:szCs w:val="19"/>
        </w:rPr>
        <w:t xml:space="preserve"> </w:t>
      </w:r>
      <w:r>
        <w:rPr>
          <w:b/>
          <w:bCs/>
          <w:color w:val="000080"/>
          <w:spacing w:val="25"/>
          <w:sz w:val="19"/>
          <w:szCs w:val="19"/>
        </w:rPr>
        <w:t>5%</w:t>
      </w:r>
    </w:p>
    <w:tbl>
      <w:tblPr>
        <w:tblStyle w:val="TableNormal4"/>
        <w:tblW w:w="5170" w:type="dxa"/>
        <w:tblInd w:w="19" w:type="dxa"/>
        <w:tblBorders>
          <w:top w:val="nil"/>
          <w:left w:val="nil"/>
          <w:bottom w:val="nil"/>
          <w:right w:val="nil"/>
          <w:insideH w:val="nil"/>
          <w:insideV w:val="nil"/>
        </w:tblBorders>
        <w:tblLayout w:type="fixed"/>
      </w:tblPr>
      <w:tblGrid>
        <w:gridCol w:w="3169"/>
        <w:gridCol w:w="2001"/>
      </w:tblGrid>
      <w:tr>
        <w:tblPrEx>
          <w:tblW w:w="5170" w:type="dxa"/>
          <w:tblInd w:w="19" w:type="dxa"/>
          <w:tblBorders>
            <w:top w:val="nil"/>
            <w:left w:val="nil"/>
            <w:bottom w:val="nil"/>
            <w:right w:val="nil"/>
            <w:insideH w:val="nil"/>
            <w:insideV w:val="nil"/>
          </w:tblBorders>
          <w:tblLayout w:type="fixed"/>
        </w:tblPrEx>
        <w:trPr>
          <w:trHeight w:val="2941"/>
        </w:trPr>
        <w:tc>
          <w:tcPr>
            <w:tcW w:w="5170" w:type="dxa"/>
            <w:gridSpan w:val="2"/>
            <w:tcBorders>
              <w:top w:val="single" w:sz="2" w:space="0" w:color="000080"/>
            </w:tcBorders>
            <w:vAlign w:val="top"/>
          </w:tcPr>
          <w:p>
            <w:pPr>
              <w:spacing w:before="138" w:line="2792" w:lineRule="exact"/>
              <w:ind w:firstLine="160"/>
            </w:pPr>
            <w:r>
              <w:rPr>
                <w:position w:val="-55"/>
              </w:rPr>
              <w:drawing>
                <wp:inline distT="0" distB="0" distL="0" distR="0">
                  <wp:extent cx="3022568" cy="1773242"/>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64"/>
                          <a:stretch>
                            <a:fillRect/>
                          </a:stretch>
                        </pic:blipFill>
                        <pic:spPr>
                          <a:xfrm>
                            <a:off x="0" y="0"/>
                            <a:ext cx="3022568" cy="1773242"/>
                          </a:xfrm>
                          <a:prstGeom prst="rect">
                            <a:avLst/>
                          </a:prstGeom>
                        </pic:spPr>
                      </pic:pic>
                    </a:graphicData>
                  </a:graphic>
                </wp:inline>
              </w:drawing>
            </w:r>
          </w:p>
        </w:tc>
      </w:tr>
      <w:tr>
        <w:tblPrEx>
          <w:tblW w:w="5170" w:type="dxa"/>
          <w:tblInd w:w="19" w:type="dxa"/>
          <w:tblLayout w:type="fixed"/>
        </w:tblPrEx>
        <w:trPr>
          <w:trHeight w:val="557"/>
        </w:trPr>
        <w:tc>
          <w:tcPr>
            <w:tcW w:w="3169" w:type="dxa"/>
            <w:tcBorders>
              <w:bottom w:val="single" w:sz="4" w:space="0" w:color="000000"/>
            </w:tcBorders>
            <w:vAlign w:val="top"/>
          </w:tcPr>
          <w:p>
            <w:pPr>
              <w:spacing w:before="118" w:line="230" w:lineRule="auto"/>
              <w:ind w:left="1090"/>
              <w:rPr>
                <w:rFonts w:ascii="KaiTi" w:eastAsia="KaiTi" w:hAnsi="KaiTi" w:cs="KaiTi"/>
                <w:sz w:val="19"/>
                <w:szCs w:val="19"/>
              </w:rPr>
            </w:pPr>
            <w:r>
              <w:rPr>
                <w:rFonts w:ascii="KaiTi" w:eastAsia="KaiTi" w:hAnsi="KaiTi" w:cs="KaiTi"/>
                <w:spacing w:val="-9"/>
                <w:sz w:val="19"/>
                <w:szCs w:val="19"/>
              </w:rPr>
              <w:t>■社保基金规模(亿元)</w:t>
            </w:r>
          </w:p>
        </w:tc>
        <w:tc>
          <w:tcPr>
            <w:tcW w:w="2001" w:type="dxa"/>
            <w:tcBorders>
              <w:bottom w:val="single" w:sz="4" w:space="0" w:color="000000"/>
            </w:tcBorders>
            <w:vAlign w:val="top"/>
          </w:tcPr>
          <w:p>
            <w:pPr>
              <w:spacing w:before="121" w:line="234" w:lineRule="auto"/>
              <w:ind w:left="321"/>
              <w:rPr>
                <w:rFonts w:ascii="KaiTi" w:eastAsia="KaiTi" w:hAnsi="KaiTi" w:cs="KaiTi"/>
                <w:sz w:val="19"/>
                <w:szCs w:val="19"/>
              </w:rPr>
            </w:pPr>
            <w:r>
              <w:rPr>
                <w:rFonts w:ascii="KaiTi" w:eastAsia="KaiTi" w:hAnsi="KaiTi" w:cs="KaiTi"/>
                <w:color w:val="F27900"/>
                <w:spacing w:val="-7"/>
                <w:sz w:val="19"/>
                <w:szCs w:val="19"/>
              </w:rPr>
              <w:t>一</w:t>
            </w:r>
            <w:r>
              <w:rPr>
                <w:rFonts w:ascii="SimSun" w:eastAsia="SimSun" w:hAnsi="SimSun" w:cs="SimSun"/>
                <w:spacing w:val="-7"/>
                <w:sz w:val="19"/>
                <w:szCs w:val="19"/>
              </w:rPr>
              <w:t xml:space="preserve">YOY- </w:t>
            </w:r>
            <w:r>
              <w:rPr>
                <w:rFonts w:ascii="KaiTi" w:eastAsia="KaiTi" w:hAnsi="KaiTi" w:cs="KaiTi"/>
                <w:spacing w:val="-7"/>
                <w:sz w:val="19"/>
                <w:szCs w:val="19"/>
              </w:rPr>
              <w:t>右轴</w:t>
            </w:r>
          </w:p>
        </w:tc>
      </w:tr>
    </w:tbl>
    <w:p>
      <w:pPr>
        <w:pStyle w:val="BodyText"/>
        <w:spacing w:before="55" w:line="224" w:lineRule="auto"/>
        <w:ind w:left="59"/>
        <w:rPr>
          <w:sz w:val="19"/>
          <w:szCs w:val="19"/>
        </w:rPr>
      </w:pPr>
      <w:r>
        <w:rPr>
          <w:spacing w:val="-10"/>
          <w:sz w:val="19"/>
          <w:szCs w:val="19"/>
        </w:rPr>
        <w:t>数据来源：社保基金理事会、开源证券研究所</w:t>
      </w:r>
    </w:p>
    <w:p>
      <w:pPr>
        <w:spacing w:line="340" w:lineRule="auto"/>
        <w:rPr>
          <w:rFonts w:ascii="Arial"/>
          <w:sz w:val="21"/>
        </w:rPr>
      </w:pPr>
    </w:p>
    <w:p>
      <w:pPr>
        <w:pStyle w:val="BodyText"/>
        <w:spacing w:before="62" w:line="194" w:lineRule="auto"/>
        <w:ind w:left="62"/>
        <w:rPr>
          <w:sz w:val="19"/>
          <w:szCs w:val="19"/>
        </w:rPr>
      </w:pPr>
      <w:r>
        <w:rPr>
          <w:b/>
          <w:bCs/>
          <w:color w:val="000080"/>
          <w:spacing w:val="21"/>
          <w:sz w:val="19"/>
          <w:szCs w:val="19"/>
        </w:rPr>
        <w:t>图12:全国社保基金委托管理规模占比快速提升</w:t>
      </w:r>
    </w:p>
    <w:p>
      <w:pPr>
        <w:spacing w:line="2940" w:lineRule="exact"/>
      </w:pPr>
      <w:r>
        <w:rPr>
          <w:position w:val="-58"/>
        </w:rPr>
        <w:drawing>
          <wp:inline distT="0" distB="0" distL="0" distR="0">
            <wp:extent cx="3314645" cy="1866853"/>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65"/>
                    <a:stretch>
                      <a:fillRect/>
                    </a:stretch>
                  </pic:blipFill>
                  <pic:spPr>
                    <a:xfrm>
                      <a:off x="0" y="0"/>
                      <a:ext cx="3314645" cy="1866853"/>
                    </a:xfrm>
                    <a:prstGeom prst="rect">
                      <a:avLst/>
                    </a:prstGeom>
                  </pic:spPr>
                </pic:pic>
              </a:graphicData>
            </a:graphic>
          </wp:inline>
        </w:drawing>
      </w:r>
    </w:p>
    <w:p>
      <w:pPr>
        <w:pStyle w:val="BodyText"/>
        <w:spacing w:before="186" w:line="226" w:lineRule="auto"/>
        <w:ind w:left="1209"/>
        <w:rPr>
          <w:sz w:val="19"/>
          <w:szCs w:val="19"/>
        </w:rPr>
      </w:pPr>
      <w:r>
        <w:rPr>
          <w:spacing w:val="2"/>
          <w:sz w:val="19"/>
          <w:szCs w:val="19"/>
        </w:rPr>
        <w:t>■直接投资规模</w:t>
      </w:r>
      <w:r>
        <w:rPr>
          <w:spacing w:val="37"/>
          <w:sz w:val="19"/>
          <w:szCs w:val="19"/>
        </w:rPr>
        <w:t xml:space="preserve">  </w:t>
      </w:r>
      <w:r>
        <w:rPr>
          <w:spacing w:val="2"/>
          <w:sz w:val="19"/>
          <w:szCs w:val="19"/>
        </w:rPr>
        <w:t>■委托投资规模</w:t>
      </w:r>
    </w:p>
    <w:p>
      <w:pPr>
        <w:pStyle w:val="BodyText"/>
        <w:spacing w:before="196" w:line="192" w:lineRule="auto"/>
        <w:ind w:left="59"/>
        <w:rPr>
          <w:sz w:val="19"/>
          <w:szCs w:val="19"/>
        </w:rPr>
      </w:pPr>
      <w:r>
        <w:rPr>
          <w:spacing w:val="-11"/>
          <w:sz w:val="19"/>
          <w:szCs w:val="19"/>
        </w:rPr>
        <w:t>数据来源：人社部、开源证券研究所</w:t>
      </w:r>
    </w:p>
    <w:p>
      <w:pPr>
        <w:spacing w:line="14" w:lineRule="auto"/>
        <w:rPr>
          <w:rFonts w:ascii="Arial"/>
          <w:sz w:val="2"/>
        </w:rPr>
      </w:pPr>
      <w:r>
        <w:rPr>
          <w:rFonts w:ascii="Arial" w:eastAsia="Arial" w:hAnsi="Arial" w:cs="Arial"/>
          <w:sz w:val="2"/>
          <w:szCs w:val="2"/>
        </w:rPr>
        <w:br w:type="column"/>
      </w:r>
    </w:p>
    <w:p>
      <w:pPr>
        <w:pStyle w:val="BodyText"/>
        <w:spacing w:before="43" w:line="192" w:lineRule="auto"/>
        <w:ind w:left="72"/>
        <w:rPr>
          <w:sz w:val="19"/>
          <w:szCs w:val="19"/>
        </w:rPr>
      </w:pPr>
      <w:r>
        <w:rPr>
          <w:b/>
          <w:bCs/>
          <w:color w:val="000080"/>
          <w:spacing w:val="21"/>
          <w:sz w:val="19"/>
          <w:szCs w:val="19"/>
        </w:rPr>
        <w:t>图11:全国社保基金成立以来年均收益率7</w:t>
      </w:r>
      <w:r>
        <w:rPr>
          <w:color w:val="000080"/>
          <w:spacing w:val="-54"/>
          <w:sz w:val="19"/>
          <w:szCs w:val="19"/>
        </w:rPr>
        <w:t xml:space="preserve"> </w:t>
      </w:r>
      <w:r>
        <w:rPr>
          <w:b/>
          <w:bCs/>
          <w:color w:val="000080"/>
          <w:spacing w:val="21"/>
          <w:sz w:val="19"/>
          <w:szCs w:val="19"/>
        </w:rPr>
        <w:t>.</w:t>
      </w:r>
      <w:r>
        <w:rPr>
          <w:b/>
          <w:bCs/>
          <w:color w:val="000080"/>
          <w:spacing w:val="20"/>
          <w:sz w:val="19"/>
          <w:szCs w:val="19"/>
        </w:rPr>
        <w:t>66%</w:t>
      </w:r>
    </w:p>
    <w:p>
      <w:pPr>
        <w:spacing w:line="3290" w:lineRule="exact"/>
      </w:pPr>
      <w:r>
        <w:rPr>
          <w:position w:val="-65"/>
        </w:rPr>
        <w:drawing>
          <wp:inline distT="0" distB="0" distL="0" distR="0">
            <wp:extent cx="3320997" cy="2089169"/>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66"/>
                    <a:stretch>
                      <a:fillRect/>
                    </a:stretch>
                  </pic:blipFill>
                  <pic:spPr>
                    <a:xfrm>
                      <a:off x="0" y="0"/>
                      <a:ext cx="3320997" cy="2089169"/>
                    </a:xfrm>
                    <a:prstGeom prst="rect">
                      <a:avLst/>
                    </a:prstGeom>
                  </pic:spPr>
                </pic:pic>
              </a:graphicData>
            </a:graphic>
          </wp:inline>
        </w:drawing>
      </w:r>
    </w:p>
    <w:p>
      <w:pPr>
        <w:pStyle w:val="BodyText"/>
        <w:spacing w:before="265" w:line="224" w:lineRule="auto"/>
        <w:ind w:left="70"/>
        <w:rPr>
          <w:sz w:val="19"/>
          <w:szCs w:val="19"/>
        </w:rPr>
      </w:pPr>
      <w:r>
        <w:rPr>
          <w:spacing w:val="-11"/>
          <w:sz w:val="19"/>
          <w:szCs w:val="19"/>
        </w:rPr>
        <w:t>数据来源：社保基金理事会、开源证券研究所</w:t>
      </w:r>
    </w:p>
    <w:p>
      <w:pPr>
        <w:spacing w:line="337" w:lineRule="auto"/>
        <w:rPr>
          <w:rFonts w:ascii="Arial"/>
          <w:sz w:val="21"/>
        </w:rPr>
      </w:pPr>
    </w:p>
    <w:p>
      <w:pPr>
        <w:pStyle w:val="BodyText"/>
        <w:spacing w:before="62" w:line="197" w:lineRule="auto"/>
        <w:ind w:left="72"/>
        <w:rPr>
          <w:sz w:val="19"/>
          <w:szCs w:val="19"/>
        </w:rPr>
      </w:pPr>
      <w:r>
        <w:rPr>
          <w:b/>
          <w:bCs/>
          <w:color w:val="000080"/>
          <w:spacing w:val="24"/>
          <w:sz w:val="19"/>
          <w:szCs w:val="19"/>
        </w:rPr>
        <w:t>图13:全国社保基金以境内资产为主，2022占比90%</w:t>
      </w:r>
    </w:p>
    <w:p>
      <w:pPr>
        <w:spacing w:line="2800" w:lineRule="exact"/>
        <w:ind w:firstLine="10"/>
      </w:pPr>
      <w:r>
        <w:rPr>
          <w:position w:val="-55"/>
        </w:rPr>
        <w:drawing>
          <wp:inline distT="0" distB="0" distL="0" distR="0">
            <wp:extent cx="3320998" cy="1777991"/>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67"/>
                    <a:stretch>
                      <a:fillRect/>
                    </a:stretch>
                  </pic:blipFill>
                  <pic:spPr>
                    <a:xfrm>
                      <a:off x="0" y="0"/>
                      <a:ext cx="3320998" cy="1777991"/>
                    </a:xfrm>
                    <a:prstGeom prst="rect">
                      <a:avLst/>
                    </a:prstGeom>
                  </pic:spPr>
                </pic:pic>
              </a:graphicData>
            </a:graphic>
          </wp:inline>
        </w:drawing>
      </w:r>
    </w:p>
    <w:p>
      <w:pPr>
        <w:spacing w:before="66" w:line="317" w:lineRule="exact"/>
        <w:ind w:left="880"/>
        <w:rPr>
          <w:rFonts w:ascii="SimSun" w:eastAsia="SimSun" w:hAnsi="SimSun" w:cs="SimSun"/>
          <w:sz w:val="19"/>
          <w:szCs w:val="19"/>
        </w:rPr>
      </w:pPr>
      <w:r>
        <w:rPr>
          <w:rFonts w:ascii="SimSun" w:eastAsia="SimSun" w:hAnsi="SimSun" w:cs="SimSun"/>
          <w:position w:val="12"/>
          <w:sz w:val="19"/>
          <w:szCs w:val="19"/>
        </w:rPr>
        <w:t>2014201520162017201820192</w:t>
      </w:r>
      <w:r>
        <w:rPr>
          <w:rFonts w:ascii="SimSun" w:eastAsia="SimSun" w:hAnsi="SimSun" w:cs="SimSun"/>
          <w:spacing w:val="-1"/>
          <w:position w:val="12"/>
          <w:sz w:val="19"/>
          <w:szCs w:val="19"/>
        </w:rPr>
        <w:t>02020212022</w:t>
      </w:r>
    </w:p>
    <w:p>
      <w:pPr>
        <w:pStyle w:val="BodyText"/>
        <w:spacing w:before="1" w:line="222" w:lineRule="auto"/>
        <w:ind w:left="1249"/>
        <w:rPr>
          <w:sz w:val="19"/>
          <w:szCs w:val="19"/>
        </w:rPr>
      </w:pPr>
      <w:r>
        <w:rPr>
          <w:spacing w:val="6"/>
          <w:sz w:val="19"/>
          <w:szCs w:val="19"/>
        </w:rPr>
        <w:t>■境内投资资产</w:t>
      </w:r>
      <w:r>
        <w:rPr>
          <w:spacing w:val="30"/>
          <w:sz w:val="19"/>
          <w:szCs w:val="19"/>
        </w:rPr>
        <w:t xml:space="preserve">  </w:t>
      </w:r>
      <w:r>
        <w:rPr>
          <w:color w:val="CC6600"/>
          <w:spacing w:val="6"/>
          <w:sz w:val="19"/>
          <w:szCs w:val="19"/>
        </w:rPr>
        <w:t>■</w:t>
      </w:r>
      <w:r>
        <w:rPr>
          <w:spacing w:val="6"/>
          <w:sz w:val="19"/>
          <w:szCs w:val="19"/>
        </w:rPr>
        <w:t>境外投资资产</w:t>
      </w:r>
    </w:p>
    <w:p>
      <w:pPr>
        <w:pStyle w:val="BodyText"/>
        <w:spacing w:before="142" w:line="192" w:lineRule="auto"/>
        <w:ind w:left="70"/>
        <w:rPr>
          <w:sz w:val="19"/>
          <w:szCs w:val="19"/>
        </w:rPr>
      </w:pPr>
      <w:r>
        <w:rPr>
          <w:spacing w:val="-11"/>
          <w:sz w:val="19"/>
          <w:szCs w:val="19"/>
        </w:rPr>
        <w:t>数据来源：人社部、开源证券研究所</w:t>
      </w:r>
    </w:p>
    <w:p>
      <w:pPr>
        <w:spacing w:line="192" w:lineRule="auto"/>
        <w:rPr>
          <w:sz w:val="19"/>
          <w:szCs w:val="19"/>
        </w:rPr>
        <w:sectPr>
          <w:footerReference w:type="default" r:id="rId68"/>
          <w:type w:val="continuous"/>
          <w:pgSz w:w="11910" w:h="16840"/>
          <w:pgMar w:top="158" w:right="650" w:bottom="400" w:left="670" w:header="0" w:footer="0" w:gutter="0"/>
          <w:pgNumType w:start="36"/>
          <w:cols w:num="2" w:space="708" w:equalWidth="0">
            <w:col w:w="5250" w:space="100"/>
            <w:col w:w="5240" w:space="0"/>
          </w:cols>
        </w:sectPr>
      </w:pPr>
    </w:p>
    <w:p>
      <w:pPr>
        <w:spacing w:line="346" w:lineRule="auto"/>
        <w:rPr>
          <w:rFonts w:ascii="Arial"/>
          <w:sz w:val="21"/>
        </w:rPr>
      </w:pPr>
    </w:p>
    <w:p>
      <w:pPr>
        <w:pStyle w:val="BodyText"/>
        <w:spacing w:before="62" w:line="269" w:lineRule="auto"/>
        <w:ind w:left="2869" w:right="112" w:firstLine="2"/>
        <w:rPr>
          <w:sz w:val="19"/>
          <w:szCs w:val="19"/>
        </w:rPr>
      </w:pPr>
      <w:r>
        <w:rPr>
          <w:b/>
          <w:bCs/>
          <w:spacing w:val="14"/>
          <w:sz w:val="19"/>
          <w:szCs w:val="19"/>
        </w:rPr>
        <w:t>我们用两个维度测算2022年全国社保基金权益配置比例预计约23%~35%。</w:t>
      </w:r>
      <w:r>
        <w:rPr>
          <w:spacing w:val="14"/>
          <w:sz w:val="19"/>
          <w:szCs w:val="19"/>
        </w:rPr>
        <w:t>考虑全国社</w:t>
      </w:r>
      <w:r>
        <w:rPr>
          <w:spacing w:val="6"/>
          <w:sz w:val="19"/>
          <w:szCs w:val="19"/>
        </w:rPr>
        <w:t xml:space="preserve"> </w:t>
      </w:r>
      <w:r>
        <w:rPr>
          <w:spacing w:val="8"/>
          <w:sz w:val="19"/>
          <w:szCs w:val="19"/>
        </w:rPr>
        <w:t>保基金未披露资产配置结构明细，我们从两个维度测算社保基金权益配置比例。</w:t>
      </w:r>
    </w:p>
    <w:p>
      <w:pPr>
        <w:spacing w:line="321" w:lineRule="auto"/>
        <w:rPr>
          <w:rFonts w:ascii="Arial"/>
          <w:sz w:val="21"/>
        </w:rPr>
      </w:pPr>
    </w:p>
    <w:p>
      <w:pPr>
        <w:pStyle w:val="BodyText"/>
        <w:spacing w:before="63" w:line="282" w:lineRule="auto"/>
        <w:ind w:left="2869" w:right="103" w:firstLine="2"/>
        <w:rPr>
          <w:sz w:val="19"/>
          <w:szCs w:val="19"/>
        </w:rPr>
      </w:pPr>
      <w:r>
        <w:rPr>
          <w:b/>
          <w:bCs/>
          <w:spacing w:val="12"/>
          <w:sz w:val="19"/>
          <w:szCs w:val="19"/>
        </w:rPr>
        <w:t>维度一</w:t>
      </w:r>
      <w:r>
        <w:rPr>
          <w:spacing w:val="-42"/>
          <w:sz w:val="19"/>
          <w:szCs w:val="19"/>
        </w:rPr>
        <w:t xml:space="preserve"> </w:t>
      </w:r>
      <w:r>
        <w:rPr>
          <w:b/>
          <w:bCs/>
          <w:spacing w:val="12"/>
          <w:sz w:val="19"/>
          <w:szCs w:val="19"/>
        </w:rPr>
        <w:t>：交易性金融资产(权益类)+长期股权投资规模。</w:t>
      </w:r>
      <w:r>
        <w:rPr>
          <w:spacing w:val="12"/>
          <w:sz w:val="19"/>
          <w:szCs w:val="19"/>
        </w:rPr>
        <w:t>我们根据上市险企交易性金</w:t>
      </w:r>
      <w:r>
        <w:rPr>
          <w:sz w:val="19"/>
          <w:szCs w:val="19"/>
        </w:rPr>
        <w:t xml:space="preserve">  </w:t>
      </w:r>
      <w:r>
        <w:rPr>
          <w:spacing w:val="13"/>
          <w:sz w:val="19"/>
          <w:szCs w:val="19"/>
        </w:rPr>
        <w:t>融资产结构假设社保基金披露的“交易性金融资产</w:t>
      </w:r>
      <w:r>
        <w:rPr>
          <w:spacing w:val="12"/>
          <w:sz w:val="19"/>
          <w:szCs w:val="19"/>
        </w:rPr>
        <w:t>”中约50%为权益类资产，叠加长期</w:t>
      </w:r>
      <w:r>
        <w:rPr>
          <w:sz w:val="19"/>
          <w:szCs w:val="19"/>
        </w:rPr>
        <w:t xml:space="preserve"> </w:t>
      </w:r>
      <w:r>
        <w:rPr>
          <w:spacing w:val="10"/>
          <w:sz w:val="19"/>
          <w:szCs w:val="19"/>
        </w:rPr>
        <w:t>股权投资合计占可投资资产比重为35.4%。</w:t>
      </w:r>
    </w:p>
    <w:p>
      <w:pPr>
        <w:spacing w:line="316" w:lineRule="auto"/>
        <w:rPr>
          <w:rFonts w:ascii="Arial"/>
          <w:sz w:val="21"/>
        </w:rPr>
      </w:pPr>
    </w:p>
    <w:p>
      <w:pPr>
        <w:pStyle w:val="BodyText"/>
        <w:spacing w:before="62" w:line="282" w:lineRule="auto"/>
        <w:ind w:left="2869" w:right="106" w:firstLine="2"/>
        <w:rPr>
          <w:sz w:val="19"/>
          <w:szCs w:val="19"/>
        </w:rPr>
      </w:pPr>
      <w:r>
        <w:rPr>
          <w:b/>
          <w:bCs/>
          <w:spacing w:val="9"/>
          <w:sz w:val="19"/>
          <w:szCs w:val="19"/>
        </w:rPr>
        <w:t>维度二：社保基金重仓股流通市值+长期股权投资规模。</w:t>
      </w:r>
      <w:r>
        <w:rPr>
          <w:spacing w:val="9"/>
          <w:sz w:val="19"/>
          <w:szCs w:val="19"/>
        </w:rPr>
        <w:t>各</w:t>
      </w:r>
      <w:r>
        <w:rPr>
          <w:spacing w:val="8"/>
          <w:sz w:val="19"/>
          <w:szCs w:val="19"/>
        </w:rPr>
        <w:t>公司披露的社保基金作为前</w:t>
      </w:r>
      <w:r>
        <w:rPr>
          <w:sz w:val="19"/>
          <w:szCs w:val="19"/>
        </w:rPr>
        <w:t xml:space="preserve">  </w:t>
      </w:r>
      <w:r>
        <w:rPr>
          <w:spacing w:val="9"/>
          <w:sz w:val="19"/>
          <w:szCs w:val="19"/>
        </w:rPr>
        <w:t>十大股东的重仓股流通市值规模，我们测算2022年社保基金权益持仓规模在39</w:t>
      </w:r>
      <w:r>
        <w:rPr>
          <w:spacing w:val="8"/>
          <w:sz w:val="19"/>
          <w:szCs w:val="19"/>
        </w:rPr>
        <w:t>00亿元，</w:t>
      </w:r>
      <w:r>
        <w:rPr>
          <w:sz w:val="19"/>
          <w:szCs w:val="19"/>
        </w:rPr>
        <w:t xml:space="preserve"> </w:t>
      </w:r>
      <w:r>
        <w:rPr>
          <w:spacing w:val="20"/>
          <w:sz w:val="19"/>
          <w:szCs w:val="19"/>
        </w:rPr>
        <w:t>叠加长股投2700亿元，占2022年可投资资产规模比重约23%,较监管上限比例40%仍</w:t>
      </w:r>
      <w:r>
        <w:rPr>
          <w:spacing w:val="7"/>
          <w:sz w:val="19"/>
          <w:szCs w:val="19"/>
        </w:rPr>
        <w:t xml:space="preserve"> </w:t>
      </w:r>
      <w:r>
        <w:rPr>
          <w:spacing w:val="5"/>
          <w:sz w:val="19"/>
          <w:szCs w:val="19"/>
        </w:rPr>
        <w:t>有较大提升空间。</w:t>
      </w:r>
    </w:p>
    <w:p>
      <w:pPr>
        <w:spacing w:line="330" w:lineRule="auto"/>
        <w:rPr>
          <w:rFonts w:ascii="Arial"/>
          <w:sz w:val="21"/>
        </w:rPr>
        <w:sectPr>
          <w:footerReference w:type="default" r:id="rId69"/>
          <w:type w:val="continuous"/>
          <w:pgSz w:w="11910" w:h="16840"/>
          <w:pgMar w:top="158" w:right="650" w:bottom="400" w:left="670" w:header="0" w:footer="0" w:gutter="0"/>
          <w:pgNumType w:start="37"/>
          <w:cols w:num="1" w:space="708" w:equalWidth="0">
            <w:col w:w="10590" w:space="0"/>
          </w:cols>
        </w:sectPr>
      </w:pPr>
    </w:p>
    <w:p>
      <w:pPr>
        <w:spacing w:before="69" w:line="211" w:lineRule="auto"/>
        <w:ind w:left="2902"/>
        <w:rPr>
          <w:rFonts w:ascii="SimSun" w:eastAsia="SimSun" w:hAnsi="SimSun" w:cs="SimSun"/>
          <w:sz w:val="21"/>
          <w:szCs w:val="21"/>
        </w:rPr>
      </w:pPr>
      <w:r>
        <w:rPr>
          <w:rFonts w:ascii="SimSun" w:eastAsia="SimSun" w:hAnsi="SimSun" w:cs="SimSun"/>
          <w:b/>
          <w:bCs/>
          <w:spacing w:val="-3"/>
          <w:sz w:val="21"/>
          <w:szCs w:val="21"/>
        </w:rPr>
        <w:t>表5:我们测算2022年全国社保基金和基本养老保险权益配置占比较低</w:t>
      </w:r>
    </w:p>
    <w:tbl>
      <w:tblPr>
        <w:tblStyle w:val="TableNormal5"/>
        <w:tblW w:w="7650" w:type="dxa"/>
        <w:tblInd w:w="2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261"/>
        <w:gridCol w:w="2267"/>
        <w:gridCol w:w="2122"/>
      </w:tblGrid>
      <w:tr>
        <w:tblPrEx>
          <w:tblW w:w="7650" w:type="dxa"/>
          <w:tblInd w:w="2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2"/>
        </w:trPr>
        <w:tc>
          <w:tcPr>
            <w:tcW w:w="7650" w:type="dxa"/>
            <w:gridSpan w:val="3"/>
            <w:shd w:val="clear" w:color="auto" w:fill="000080"/>
            <w:vAlign w:val="top"/>
          </w:tcPr>
          <w:p>
            <w:pPr>
              <w:spacing w:before="61" w:line="227" w:lineRule="auto"/>
              <w:ind w:left="1427"/>
              <w:rPr>
                <w:rFonts w:ascii="SimSun" w:eastAsia="SimSun" w:hAnsi="SimSun" w:cs="SimSun"/>
                <w:sz w:val="18"/>
                <w:szCs w:val="18"/>
              </w:rPr>
            </w:pPr>
            <w:r>
              <w:rPr>
                <w:rFonts w:ascii="SimSun" w:eastAsia="SimSun" w:hAnsi="SimSun" w:cs="SimSun"/>
                <w:b/>
                <w:bCs/>
                <w:color w:val="FFFFFF"/>
                <w:spacing w:val="-1"/>
                <w:sz w:val="18"/>
                <w:szCs w:val="18"/>
              </w:rPr>
              <w:t>名称</w:t>
            </w:r>
            <w:r>
              <w:rPr>
                <w:rFonts w:ascii="SimSun" w:eastAsia="SimSun" w:hAnsi="SimSun" w:cs="SimSun"/>
                <w:color w:val="FFFFFF"/>
                <w:spacing w:val="-1"/>
                <w:sz w:val="18"/>
                <w:szCs w:val="18"/>
              </w:rPr>
              <w:t xml:space="preserve">                       </w:t>
            </w:r>
            <w:r>
              <w:rPr>
                <w:rFonts w:ascii="SimSun" w:eastAsia="SimSun" w:hAnsi="SimSun" w:cs="SimSun"/>
                <w:b/>
                <w:bCs/>
                <w:color w:val="FFFFFF"/>
                <w:spacing w:val="-1"/>
                <w:sz w:val="18"/>
                <w:szCs w:val="18"/>
              </w:rPr>
              <w:t>全国社保基金</w:t>
            </w:r>
            <w:r>
              <w:rPr>
                <w:rFonts w:ascii="SimSun" w:eastAsia="SimSun" w:hAnsi="SimSun" w:cs="SimSun"/>
                <w:color w:val="FFFFFF"/>
                <w:spacing w:val="3"/>
                <w:sz w:val="18"/>
                <w:szCs w:val="18"/>
              </w:rPr>
              <w:t xml:space="preserve">            </w:t>
            </w:r>
            <w:r>
              <w:rPr>
                <w:rFonts w:ascii="SimSun" w:eastAsia="SimSun" w:hAnsi="SimSun" w:cs="SimSun"/>
                <w:b/>
                <w:bCs/>
                <w:color w:val="FFFFFF"/>
                <w:spacing w:val="-1"/>
                <w:sz w:val="18"/>
                <w:szCs w:val="18"/>
              </w:rPr>
              <w:t>基本</w:t>
            </w:r>
            <w:r>
              <w:rPr>
                <w:rFonts w:ascii="SimSun" w:eastAsia="SimSun" w:hAnsi="SimSun" w:cs="SimSun"/>
                <w:b/>
                <w:bCs/>
                <w:color w:val="FFFFFF"/>
                <w:spacing w:val="-2"/>
                <w:sz w:val="18"/>
                <w:szCs w:val="18"/>
              </w:rPr>
              <w:t>养老保险</w:t>
            </w:r>
          </w:p>
        </w:tc>
      </w:tr>
      <w:tr>
        <w:tblPrEx>
          <w:tblW w:w="7650" w:type="dxa"/>
          <w:tblInd w:w="2889" w:type="dxa"/>
          <w:tblLayout w:type="fixed"/>
        </w:tblPrEx>
        <w:trPr>
          <w:trHeight w:val="308"/>
        </w:trPr>
        <w:tc>
          <w:tcPr>
            <w:tcW w:w="3261" w:type="dxa"/>
            <w:vAlign w:val="top"/>
          </w:tcPr>
          <w:p>
            <w:pPr>
              <w:spacing w:before="72" w:line="221" w:lineRule="auto"/>
              <w:ind w:left="1444"/>
              <w:rPr>
                <w:rFonts w:ascii="SimSun" w:eastAsia="SimSun" w:hAnsi="SimSun" w:cs="SimSun"/>
                <w:sz w:val="18"/>
                <w:szCs w:val="18"/>
              </w:rPr>
            </w:pPr>
            <w:r>
              <w:rPr>
                <w:rFonts w:ascii="SimSun" w:eastAsia="SimSun" w:hAnsi="SimSun" w:cs="SimSun"/>
                <w:spacing w:val="8"/>
                <w:sz w:val="18"/>
                <w:szCs w:val="18"/>
              </w:rPr>
              <w:t>时间</w:t>
            </w:r>
          </w:p>
        </w:tc>
        <w:tc>
          <w:tcPr>
            <w:tcW w:w="2267" w:type="dxa"/>
            <w:vAlign w:val="top"/>
          </w:tcPr>
          <w:p>
            <w:pPr>
              <w:spacing w:before="70" w:line="219" w:lineRule="auto"/>
              <w:ind w:left="854"/>
              <w:rPr>
                <w:rFonts w:ascii="SimSun" w:eastAsia="SimSun" w:hAnsi="SimSun" w:cs="SimSun"/>
                <w:sz w:val="18"/>
                <w:szCs w:val="18"/>
              </w:rPr>
            </w:pPr>
            <w:r>
              <w:rPr>
                <w:rFonts w:ascii="SimSun" w:eastAsia="SimSun" w:hAnsi="SimSun" w:cs="SimSun"/>
                <w:spacing w:val="-2"/>
                <w:sz w:val="18"/>
                <w:szCs w:val="18"/>
              </w:rPr>
              <w:t>2022年</w:t>
            </w:r>
          </w:p>
        </w:tc>
        <w:tc>
          <w:tcPr>
            <w:tcW w:w="2122" w:type="dxa"/>
            <w:vAlign w:val="top"/>
          </w:tcPr>
          <w:p>
            <w:pPr>
              <w:spacing w:before="70" w:line="219" w:lineRule="auto"/>
              <w:ind w:left="786"/>
              <w:rPr>
                <w:rFonts w:ascii="SimSun" w:eastAsia="SimSun" w:hAnsi="SimSun" w:cs="SimSun"/>
                <w:sz w:val="18"/>
                <w:szCs w:val="18"/>
              </w:rPr>
            </w:pPr>
            <w:r>
              <w:rPr>
                <w:rFonts w:ascii="SimSun" w:eastAsia="SimSun" w:hAnsi="SimSun" w:cs="SimSun"/>
                <w:spacing w:val="-2"/>
                <w:sz w:val="18"/>
                <w:szCs w:val="18"/>
              </w:rPr>
              <w:t>2022年</w:t>
            </w:r>
          </w:p>
        </w:tc>
      </w:tr>
      <w:tr>
        <w:tblPrEx>
          <w:tblW w:w="7650" w:type="dxa"/>
          <w:tblInd w:w="2889" w:type="dxa"/>
          <w:tblLayout w:type="fixed"/>
        </w:tblPrEx>
        <w:trPr>
          <w:trHeight w:val="317"/>
        </w:trPr>
        <w:tc>
          <w:tcPr>
            <w:tcW w:w="3261" w:type="dxa"/>
            <w:vAlign w:val="top"/>
          </w:tcPr>
          <w:p>
            <w:pPr>
              <w:spacing w:before="72" w:line="220" w:lineRule="auto"/>
              <w:ind w:left="1444"/>
              <w:rPr>
                <w:rFonts w:ascii="SimSun" w:eastAsia="SimSun" w:hAnsi="SimSun" w:cs="SimSun"/>
                <w:sz w:val="18"/>
                <w:szCs w:val="18"/>
              </w:rPr>
            </w:pPr>
            <w:r>
              <w:rPr>
                <w:rFonts w:ascii="SimSun" w:eastAsia="SimSun" w:hAnsi="SimSun" w:cs="SimSun"/>
                <w:spacing w:val="-3"/>
                <w:sz w:val="18"/>
                <w:szCs w:val="18"/>
              </w:rPr>
              <w:t>单位</w:t>
            </w:r>
          </w:p>
        </w:tc>
        <w:tc>
          <w:tcPr>
            <w:tcW w:w="2267" w:type="dxa"/>
            <w:vAlign w:val="top"/>
          </w:tcPr>
          <w:p>
            <w:pPr>
              <w:spacing w:before="71" w:line="219" w:lineRule="auto"/>
              <w:ind w:left="673"/>
              <w:rPr>
                <w:rFonts w:ascii="SimSun" w:eastAsia="SimSun" w:hAnsi="SimSun" w:cs="SimSun"/>
                <w:sz w:val="18"/>
                <w:szCs w:val="18"/>
              </w:rPr>
            </w:pPr>
            <w:r>
              <w:rPr>
                <w:rFonts w:ascii="SimSun" w:eastAsia="SimSun" w:hAnsi="SimSun" w:cs="SimSun"/>
                <w:spacing w:val="4"/>
                <w:sz w:val="18"/>
                <w:szCs w:val="18"/>
              </w:rPr>
              <w:t>万亿人民币</w:t>
            </w:r>
          </w:p>
        </w:tc>
        <w:tc>
          <w:tcPr>
            <w:tcW w:w="2122" w:type="dxa"/>
            <w:vAlign w:val="top"/>
          </w:tcPr>
          <w:p>
            <w:pPr>
              <w:spacing w:before="71" w:line="219" w:lineRule="auto"/>
              <w:ind w:left="606"/>
              <w:rPr>
                <w:rFonts w:ascii="SimSun" w:eastAsia="SimSun" w:hAnsi="SimSun" w:cs="SimSun"/>
                <w:sz w:val="18"/>
                <w:szCs w:val="18"/>
              </w:rPr>
            </w:pPr>
            <w:r>
              <w:rPr>
                <w:rFonts w:ascii="SimSun" w:eastAsia="SimSun" w:hAnsi="SimSun" w:cs="SimSun"/>
                <w:spacing w:val="4"/>
                <w:sz w:val="18"/>
                <w:szCs w:val="18"/>
              </w:rPr>
              <w:t>万亿人民币</w:t>
            </w:r>
          </w:p>
        </w:tc>
      </w:tr>
      <w:tr>
        <w:tblPrEx>
          <w:tblW w:w="7650" w:type="dxa"/>
          <w:tblInd w:w="2889" w:type="dxa"/>
          <w:tblLayout w:type="fixed"/>
        </w:tblPrEx>
        <w:trPr>
          <w:trHeight w:val="302"/>
        </w:trPr>
        <w:tc>
          <w:tcPr>
            <w:tcW w:w="3261" w:type="dxa"/>
            <w:vAlign w:val="top"/>
          </w:tcPr>
          <w:p>
            <w:pPr>
              <w:spacing w:before="65" w:line="219" w:lineRule="auto"/>
              <w:ind w:left="35"/>
              <w:rPr>
                <w:rFonts w:ascii="SimSun" w:eastAsia="SimSun" w:hAnsi="SimSun" w:cs="SimSun"/>
                <w:sz w:val="18"/>
                <w:szCs w:val="18"/>
              </w:rPr>
            </w:pPr>
            <w:r>
              <w:rPr>
                <w:rFonts w:ascii="SimSun" w:eastAsia="SimSun" w:hAnsi="SimSun" w:cs="SimSun"/>
                <w:spacing w:val="-2"/>
                <w:sz w:val="18"/>
                <w:szCs w:val="18"/>
              </w:rPr>
              <w:t>总资产规模</w:t>
            </w:r>
          </w:p>
        </w:tc>
        <w:tc>
          <w:tcPr>
            <w:tcW w:w="2267" w:type="dxa"/>
            <w:vAlign w:val="top"/>
          </w:tcPr>
          <w:p>
            <w:pPr>
              <w:spacing w:before="111" w:line="183" w:lineRule="auto"/>
              <w:ind w:left="943"/>
              <w:rPr>
                <w:rFonts w:ascii="SimSun" w:eastAsia="SimSun" w:hAnsi="SimSun" w:cs="SimSun"/>
                <w:sz w:val="18"/>
                <w:szCs w:val="18"/>
              </w:rPr>
            </w:pPr>
            <w:r>
              <w:rPr>
                <w:rFonts w:ascii="SimSun" w:eastAsia="SimSun" w:hAnsi="SimSun" w:cs="SimSun"/>
                <w:spacing w:val="-2"/>
                <w:sz w:val="18"/>
                <w:szCs w:val="18"/>
              </w:rPr>
              <w:t>2.88</w:t>
            </w:r>
          </w:p>
        </w:tc>
        <w:tc>
          <w:tcPr>
            <w:tcW w:w="2122" w:type="dxa"/>
            <w:vAlign w:val="top"/>
          </w:tcPr>
          <w:p>
            <w:pPr>
              <w:spacing w:before="111" w:line="183" w:lineRule="auto"/>
              <w:ind w:left="876"/>
              <w:rPr>
                <w:rFonts w:ascii="SimSun" w:eastAsia="SimSun" w:hAnsi="SimSun" w:cs="SimSun"/>
                <w:sz w:val="18"/>
                <w:szCs w:val="18"/>
              </w:rPr>
            </w:pPr>
            <w:r>
              <w:rPr>
                <w:rFonts w:ascii="SimSun" w:eastAsia="SimSun" w:hAnsi="SimSun" w:cs="SimSun"/>
                <w:spacing w:val="-2"/>
                <w:sz w:val="18"/>
                <w:szCs w:val="18"/>
              </w:rPr>
              <w:t>6.98</w:t>
            </w:r>
          </w:p>
        </w:tc>
      </w:tr>
    </w:tbl>
    <w:p>
      <w:pPr>
        <w:spacing w:line="138" w:lineRule="exact"/>
        <w:rPr>
          <w:rFonts w:ascii="Arial"/>
          <w:sz w:val="12"/>
        </w:rPr>
      </w:pPr>
    </w:p>
    <w:p>
      <w:pPr>
        <w:spacing w:line="138" w:lineRule="exact"/>
        <w:rPr>
          <w:rFonts w:ascii="Arial" w:eastAsia="Arial" w:hAnsi="Arial" w:cs="Arial"/>
          <w:sz w:val="12"/>
          <w:szCs w:val="12"/>
        </w:rPr>
        <w:sectPr>
          <w:footerReference w:type="default" r:id="rId70"/>
          <w:type w:val="nextPage"/>
          <w:pgSz w:w="11910" w:h="16840"/>
          <w:pgMar w:top="158" w:right="650" w:bottom="400" w:left="670" w:header="0" w:footer="0" w:gutter="0"/>
          <w:pgNumType w:start="38"/>
          <w:cols w:num="1" w:space="708" w:equalWidth="0">
            <w:col w:w="10590" w:space="0"/>
          </w:cols>
          <w:titlePg w:val="0"/>
        </w:sectPr>
      </w:pPr>
    </w:p>
    <w:p>
      <w:pPr>
        <w:pStyle w:val="BodyText"/>
        <w:spacing w:before="49" w:line="192" w:lineRule="auto"/>
        <w:ind w:left="59"/>
        <w:rPr>
          <w:sz w:val="19"/>
          <w:szCs w:val="19"/>
        </w:rPr>
      </w:pPr>
      <w:r>
        <w:rPr>
          <w:spacing w:val="9"/>
          <w:sz w:val="19"/>
          <w:szCs w:val="19"/>
        </w:rPr>
        <w:t>请务必参阅正文后面的信息披露和法律声明</w:t>
      </w:r>
    </w:p>
    <w:p>
      <w:pPr>
        <w:spacing w:line="14" w:lineRule="auto"/>
        <w:rPr>
          <w:rFonts w:ascii="Arial"/>
          <w:sz w:val="2"/>
        </w:rPr>
      </w:pPr>
      <w:r>
        <w:rPr>
          <w:rFonts w:ascii="Arial" w:eastAsia="Arial" w:hAnsi="Arial" w:cs="Arial"/>
          <w:sz w:val="2"/>
          <w:szCs w:val="2"/>
        </w:rPr>
        <w:br w:type="column"/>
      </w:r>
    </w:p>
    <w:p>
      <w:pPr>
        <w:spacing w:before="39" w:line="201" w:lineRule="auto"/>
        <w:ind w:left="90"/>
        <w:rPr>
          <w:rFonts w:ascii="SimSun" w:eastAsia="SimSun" w:hAnsi="SimSun" w:cs="SimSun"/>
          <w:sz w:val="19"/>
          <w:szCs w:val="19"/>
        </w:rPr>
      </w:pPr>
      <w:r>
        <w:rPr>
          <w:rFonts w:ascii="SimSun" w:eastAsia="SimSun" w:hAnsi="SimSun" w:cs="SimSun"/>
          <w:spacing w:val="-4"/>
          <w:sz w:val="19"/>
          <w:szCs w:val="19"/>
        </w:rPr>
        <w:t>11/37</w:t>
      </w:r>
    </w:p>
    <w:p>
      <w:pPr>
        <w:spacing w:line="201" w:lineRule="auto"/>
        <w:rPr>
          <w:rFonts w:ascii="SimSun" w:eastAsia="SimSun" w:hAnsi="SimSun" w:cs="SimSun"/>
          <w:sz w:val="19"/>
          <w:szCs w:val="19"/>
        </w:rPr>
        <w:sectPr>
          <w:footerReference w:type="default" r:id="rId71"/>
          <w:type w:val="continuous"/>
          <w:pgSz w:w="11910" w:h="16840"/>
          <w:pgMar w:top="158" w:right="650" w:bottom="400" w:left="670" w:header="0" w:footer="0" w:gutter="0"/>
          <w:pgNumType w:start="39"/>
          <w:cols w:num="2" w:space="708" w:equalWidth="0">
            <w:col w:w="9770" w:space="100"/>
            <w:col w:w="720" w:space="0"/>
          </w:cols>
        </w:sectPr>
      </w:pPr>
    </w:p>
    <w:p>
      <w:pPr>
        <w:spacing w:before="154" w:line="229" w:lineRule="auto"/>
        <w:ind w:left="239"/>
        <w:rPr>
          <w:rFonts w:ascii="YouYuan" w:eastAsia="YouYuan" w:hAnsi="YouYuan" w:cs="YouYuan"/>
          <w:sz w:val="60"/>
          <w:szCs w:val="60"/>
        </w:rPr>
      </w:pPr>
      <w:r>
        <w:drawing>
          <wp:anchor distT="0" distB="0" distL="0" distR="0" simplePos="0" relativeHeight="251685888" behindDoc="1" locked="0" layoutInCell="0" allowOverlap="1">
            <wp:simplePos x="0" y="0"/>
            <wp:positionH relativeFrom="page">
              <wp:posOffset>412780</wp:posOffset>
            </wp:positionH>
            <wp:positionV relativeFrom="page">
              <wp:posOffset>7010379</wp:posOffset>
            </wp:positionV>
            <wp:extent cx="3314646" cy="2019341"/>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72"/>
                    <a:stretch>
                      <a:fillRect/>
                    </a:stretch>
                  </pic:blipFill>
                  <pic:spPr>
                    <a:xfrm>
                      <a:off x="0" y="0"/>
                      <a:ext cx="3314646" cy="2019341"/>
                    </a:xfrm>
                    <a:prstGeom prst="rect">
                      <a:avLst/>
                    </a:prstGeom>
                  </pic:spPr>
                </pic:pic>
              </a:graphicData>
            </a:graphic>
          </wp:anchor>
        </w:drawing>
      </w:r>
      <w:r>
        <w:drawing>
          <wp:anchor distT="0" distB="0" distL="0" distR="0" simplePos="0" relativeHeight="251686912" behindDoc="1" locked="0" layoutInCell="0" allowOverlap="1">
            <wp:simplePos x="0" y="0"/>
            <wp:positionH relativeFrom="page">
              <wp:posOffset>3841776</wp:posOffset>
            </wp:positionH>
            <wp:positionV relativeFrom="page">
              <wp:posOffset>7029413</wp:posOffset>
            </wp:positionV>
            <wp:extent cx="3194018" cy="207013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73"/>
                    <a:stretch>
                      <a:fillRect/>
                    </a:stretch>
                  </pic:blipFill>
                  <pic:spPr>
                    <a:xfrm>
                      <a:off x="0" y="0"/>
                      <a:ext cx="3194018" cy="2070135"/>
                    </a:xfrm>
                    <a:prstGeom prst="rect">
                      <a:avLst/>
                    </a:prstGeom>
                  </pic:spPr>
                </pic:pic>
              </a:graphicData>
            </a:graphic>
          </wp:anchor>
        </w:drawing>
      </w:r>
      <w:r>
        <w:drawing>
          <wp:anchor distT="0" distB="0" distL="0" distR="0" simplePos="0" relativeHeight="25168793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xmlns:r="http://schemas.openxmlformats.org/officeDocument/2006/relationships" r:embed="rId50"/>
                    <a:stretch>
                      <a:fillRect/>
                    </a:stretch>
                  </pic:blipFill>
                  <pic:spPr>
                    <a:xfrm>
                      <a:off x="0" y="0"/>
                      <a:ext cx="6686543" cy="6350"/>
                    </a:xfrm>
                    <a:prstGeom prst="rect">
                      <a:avLst/>
                    </a:prstGeom>
                  </pic:spPr>
                </pic:pic>
              </a:graphicData>
            </a:graphic>
          </wp:anchor>
        </w:drawing>
      </w:r>
      <w:bookmarkStart w:id="20" w:name="bookmark30"/>
      <w:bookmarkEnd w:id="20"/>
      <w:bookmarkStart w:id="21" w:name="bookmark31"/>
      <w:bookmarkEnd w:id="21"/>
      <w:bookmarkStart w:id="22" w:name="bookmark5"/>
      <w:bookmarkEnd w:id="22"/>
      <w:r>
        <w:rPr>
          <w:rFonts w:ascii="YouYuan" w:eastAsia="YouYuan" w:hAnsi="YouYuan" w:cs="YouYuan"/>
          <w:position w:val="-20"/>
          <w:sz w:val="60"/>
          <w:szCs w:val="60"/>
        </w:rPr>
        <w:drawing>
          <wp:inline distT="0" distB="0" distL="0" distR="0">
            <wp:extent cx="577801" cy="488901"/>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28"/>
          <w:sz w:val="60"/>
          <w:szCs w:val="60"/>
        </w:rPr>
        <w:t>开源证券</w:t>
      </w:r>
    </w:p>
    <w:p>
      <w:pPr>
        <w:pStyle w:val="BodyText"/>
        <w:spacing w:before="37" w:line="229" w:lineRule="auto"/>
        <w:ind w:left="8519"/>
        <w:rPr>
          <w:sz w:val="22"/>
          <w:szCs w:val="22"/>
        </w:rPr>
      </w:pPr>
      <w:r>
        <w:pict>
          <v:rect id="_x0000_s1050" style="width:516.8pt;height:0.55pt;margin-top:12.3pt;margin-left:4pt;position:absolute;z-index:251688960" filled="t" fillcolor="black" stroked="f"/>
        </w:pict>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spacing w:line="54" w:lineRule="exact"/>
      </w:pPr>
    </w:p>
    <w:tbl>
      <w:tblPr>
        <w:tblStyle w:val="TableNormal6"/>
        <w:tblW w:w="7640" w:type="dxa"/>
        <w:tblInd w:w="2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241"/>
        <w:gridCol w:w="2277"/>
        <w:gridCol w:w="2122"/>
      </w:tblGrid>
      <w:tr>
        <w:tblPrEx>
          <w:tblW w:w="7640" w:type="dxa"/>
          <w:tblInd w:w="2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15"/>
        </w:trPr>
        <w:tc>
          <w:tcPr>
            <w:tcW w:w="7640" w:type="dxa"/>
            <w:gridSpan w:val="3"/>
            <w:shd w:val="clear" w:color="auto" w:fill="000080"/>
            <w:vAlign w:val="top"/>
          </w:tcPr>
          <w:p>
            <w:pPr>
              <w:spacing w:before="51" w:line="227" w:lineRule="auto"/>
              <w:ind w:left="1417"/>
              <w:rPr>
                <w:rFonts w:ascii="SimSun" w:eastAsia="SimSun" w:hAnsi="SimSun" w:cs="SimSun"/>
                <w:sz w:val="18"/>
                <w:szCs w:val="18"/>
              </w:rPr>
            </w:pPr>
            <w:r>
              <w:rPr>
                <w:rFonts w:ascii="SimSun" w:eastAsia="SimSun" w:hAnsi="SimSun" w:cs="SimSun"/>
                <w:b/>
                <w:bCs/>
                <w:color w:val="FFFFFF"/>
                <w:spacing w:val="-1"/>
                <w:position w:val="1"/>
                <w:sz w:val="18"/>
                <w:szCs w:val="18"/>
              </w:rPr>
              <w:t>名称</w:t>
            </w:r>
            <w:r>
              <w:rPr>
                <w:rFonts w:ascii="SimSun" w:eastAsia="SimSun" w:hAnsi="SimSun" w:cs="SimSun"/>
                <w:color w:val="FFFFFF"/>
                <w:spacing w:val="-1"/>
                <w:position w:val="1"/>
                <w:sz w:val="18"/>
                <w:szCs w:val="18"/>
              </w:rPr>
              <w:t xml:space="preserve">                     </w:t>
            </w:r>
            <w:r>
              <w:rPr>
                <w:rFonts w:ascii="SimSun" w:eastAsia="SimSun" w:hAnsi="SimSun" w:cs="SimSun"/>
                <w:color w:val="FFFFFF"/>
                <w:spacing w:val="-2"/>
                <w:position w:val="1"/>
                <w:sz w:val="18"/>
                <w:szCs w:val="18"/>
              </w:rPr>
              <w:t xml:space="preserve">  </w:t>
            </w:r>
            <w:r>
              <w:rPr>
                <w:rFonts w:ascii="SimSun" w:eastAsia="SimSun" w:hAnsi="SimSun" w:cs="SimSun"/>
                <w:b/>
                <w:bCs/>
                <w:color w:val="FFFFFF"/>
                <w:spacing w:val="-2"/>
                <w:sz w:val="18"/>
                <w:szCs w:val="18"/>
              </w:rPr>
              <w:t>全国社保基金</w:t>
            </w:r>
            <w:r>
              <w:rPr>
                <w:rFonts w:ascii="SimSun" w:eastAsia="SimSun" w:hAnsi="SimSun" w:cs="SimSun"/>
                <w:color w:val="FFFFFF"/>
                <w:spacing w:val="3"/>
                <w:sz w:val="18"/>
                <w:szCs w:val="18"/>
              </w:rPr>
              <w:t xml:space="preserve">            </w:t>
            </w:r>
            <w:r>
              <w:rPr>
                <w:rFonts w:ascii="SimSun" w:eastAsia="SimSun" w:hAnsi="SimSun" w:cs="SimSun"/>
                <w:b/>
                <w:bCs/>
                <w:color w:val="FFFFFF"/>
                <w:spacing w:val="-2"/>
                <w:sz w:val="18"/>
                <w:szCs w:val="18"/>
              </w:rPr>
              <w:t>基本养老保险</w:t>
            </w:r>
          </w:p>
        </w:tc>
      </w:tr>
      <w:tr>
        <w:tblPrEx>
          <w:tblW w:w="7640" w:type="dxa"/>
          <w:tblInd w:w="2919" w:type="dxa"/>
          <w:tblLayout w:type="fixed"/>
        </w:tblPrEx>
        <w:trPr>
          <w:trHeight w:val="299"/>
        </w:trPr>
        <w:tc>
          <w:tcPr>
            <w:tcW w:w="3241" w:type="dxa"/>
            <w:vAlign w:val="top"/>
          </w:tcPr>
          <w:p>
            <w:pPr>
              <w:spacing w:before="57" w:line="219" w:lineRule="auto"/>
              <w:ind w:left="254"/>
              <w:rPr>
                <w:rFonts w:ascii="SimSun" w:eastAsia="SimSun" w:hAnsi="SimSun" w:cs="SimSun"/>
                <w:sz w:val="18"/>
                <w:szCs w:val="18"/>
              </w:rPr>
            </w:pPr>
            <w:r>
              <w:rPr>
                <w:rFonts w:ascii="SimSun" w:eastAsia="SimSun" w:hAnsi="SimSun" w:cs="SimSun"/>
                <w:spacing w:val="-2"/>
                <w:sz w:val="18"/>
                <w:szCs w:val="18"/>
              </w:rPr>
              <w:t>可投资规模</w:t>
            </w:r>
          </w:p>
        </w:tc>
        <w:tc>
          <w:tcPr>
            <w:tcW w:w="2277" w:type="dxa"/>
            <w:vAlign w:val="top"/>
          </w:tcPr>
          <w:p>
            <w:pPr>
              <w:spacing w:before="103" w:line="183" w:lineRule="auto"/>
              <w:ind w:left="953"/>
              <w:rPr>
                <w:rFonts w:ascii="SimSun" w:eastAsia="SimSun" w:hAnsi="SimSun" w:cs="SimSun"/>
                <w:sz w:val="18"/>
                <w:szCs w:val="18"/>
              </w:rPr>
            </w:pPr>
            <w:r>
              <w:rPr>
                <w:rFonts w:ascii="SimSun" w:eastAsia="SimSun" w:hAnsi="SimSun" w:cs="SimSun"/>
                <w:spacing w:val="-2"/>
                <w:sz w:val="18"/>
                <w:szCs w:val="18"/>
              </w:rPr>
              <w:t>2.88</w:t>
            </w:r>
          </w:p>
        </w:tc>
        <w:tc>
          <w:tcPr>
            <w:tcW w:w="2122" w:type="dxa"/>
            <w:vAlign w:val="top"/>
          </w:tcPr>
          <w:p>
            <w:pPr>
              <w:spacing w:before="102" w:line="184" w:lineRule="auto"/>
              <w:ind w:left="876"/>
              <w:rPr>
                <w:rFonts w:ascii="SimSun" w:eastAsia="SimSun" w:hAnsi="SimSun" w:cs="SimSun"/>
                <w:sz w:val="18"/>
                <w:szCs w:val="18"/>
              </w:rPr>
            </w:pPr>
            <w:r>
              <w:rPr>
                <w:rFonts w:ascii="SimSun" w:eastAsia="SimSun" w:hAnsi="SimSun" w:cs="SimSun"/>
                <w:spacing w:val="-4"/>
                <w:sz w:val="18"/>
                <w:szCs w:val="18"/>
              </w:rPr>
              <w:t>1.62</w:t>
            </w:r>
          </w:p>
        </w:tc>
      </w:tr>
      <w:tr>
        <w:tblPrEx>
          <w:tblW w:w="7640" w:type="dxa"/>
          <w:tblInd w:w="2919" w:type="dxa"/>
          <w:tblLayout w:type="fixed"/>
        </w:tblPrEx>
        <w:trPr>
          <w:trHeight w:val="309"/>
        </w:trPr>
        <w:tc>
          <w:tcPr>
            <w:tcW w:w="3241" w:type="dxa"/>
            <w:vAlign w:val="top"/>
          </w:tcPr>
          <w:p>
            <w:pPr>
              <w:spacing w:before="68" w:line="219" w:lineRule="auto"/>
              <w:ind w:left="434"/>
              <w:rPr>
                <w:rFonts w:ascii="SimSun" w:eastAsia="SimSun" w:hAnsi="SimSun" w:cs="SimSun"/>
                <w:sz w:val="18"/>
                <w:szCs w:val="18"/>
              </w:rPr>
            </w:pPr>
            <w:r>
              <w:rPr>
                <w:rFonts w:ascii="SimSun" w:eastAsia="SimSun" w:hAnsi="SimSun" w:cs="SimSun"/>
                <w:spacing w:val="-2"/>
                <w:sz w:val="18"/>
                <w:szCs w:val="18"/>
              </w:rPr>
              <w:t>交易性金融资产规模</w:t>
            </w:r>
          </w:p>
        </w:tc>
        <w:tc>
          <w:tcPr>
            <w:tcW w:w="2277" w:type="dxa"/>
            <w:vAlign w:val="top"/>
          </w:tcPr>
          <w:p>
            <w:pPr>
              <w:spacing w:before="113" w:line="184" w:lineRule="auto"/>
              <w:ind w:left="953"/>
              <w:rPr>
                <w:rFonts w:ascii="SimSun" w:eastAsia="SimSun" w:hAnsi="SimSun" w:cs="SimSun"/>
                <w:sz w:val="18"/>
                <w:szCs w:val="18"/>
              </w:rPr>
            </w:pPr>
            <w:r>
              <w:rPr>
                <w:rFonts w:ascii="SimSun" w:eastAsia="SimSun" w:hAnsi="SimSun" w:cs="SimSun"/>
                <w:spacing w:val="-4"/>
                <w:sz w:val="18"/>
                <w:szCs w:val="18"/>
              </w:rPr>
              <w:t>1.49</w:t>
            </w:r>
          </w:p>
        </w:tc>
        <w:tc>
          <w:tcPr>
            <w:tcW w:w="2122" w:type="dxa"/>
            <w:vAlign w:val="top"/>
          </w:tcPr>
          <w:p>
            <w:pPr>
              <w:spacing w:before="114" w:line="183" w:lineRule="auto"/>
              <w:ind w:left="876"/>
              <w:rPr>
                <w:rFonts w:ascii="SimSun" w:eastAsia="SimSun" w:hAnsi="SimSun" w:cs="SimSun"/>
                <w:sz w:val="18"/>
                <w:szCs w:val="18"/>
              </w:rPr>
            </w:pPr>
            <w:r>
              <w:rPr>
                <w:rFonts w:ascii="SimSun" w:eastAsia="SimSun" w:hAnsi="SimSun" w:cs="SimSun"/>
                <w:spacing w:val="-2"/>
                <w:sz w:val="18"/>
                <w:szCs w:val="18"/>
              </w:rPr>
              <w:t>0.76</w:t>
            </w:r>
          </w:p>
        </w:tc>
      </w:tr>
      <w:tr>
        <w:tblPrEx>
          <w:tblW w:w="7640" w:type="dxa"/>
          <w:tblInd w:w="2919" w:type="dxa"/>
          <w:tblLayout w:type="fixed"/>
        </w:tblPrEx>
        <w:trPr>
          <w:trHeight w:val="319"/>
        </w:trPr>
        <w:tc>
          <w:tcPr>
            <w:tcW w:w="3241" w:type="dxa"/>
            <w:vAlign w:val="top"/>
          </w:tcPr>
          <w:p>
            <w:pPr>
              <w:spacing w:before="68" w:line="219" w:lineRule="auto"/>
              <w:ind w:left="2024"/>
              <w:rPr>
                <w:rFonts w:ascii="SimSun" w:eastAsia="SimSun" w:hAnsi="SimSun" w:cs="SimSun"/>
                <w:sz w:val="18"/>
                <w:szCs w:val="18"/>
              </w:rPr>
            </w:pPr>
            <w:r>
              <w:rPr>
                <w:rFonts w:ascii="SimSun" w:eastAsia="SimSun" w:hAnsi="SimSun" w:cs="SimSun"/>
                <w:spacing w:val="-1"/>
                <w:sz w:val="18"/>
                <w:szCs w:val="18"/>
              </w:rPr>
              <w:t>假设权益占比</w:t>
            </w:r>
          </w:p>
        </w:tc>
        <w:tc>
          <w:tcPr>
            <w:tcW w:w="2277" w:type="dxa"/>
            <w:vAlign w:val="top"/>
          </w:tcPr>
          <w:p>
            <w:pPr>
              <w:spacing w:before="115" w:line="183" w:lineRule="auto"/>
              <w:ind w:left="993"/>
              <w:rPr>
                <w:rFonts w:ascii="SimSun" w:eastAsia="SimSun" w:hAnsi="SimSun" w:cs="SimSun"/>
                <w:sz w:val="18"/>
                <w:szCs w:val="18"/>
              </w:rPr>
            </w:pPr>
            <w:r>
              <w:rPr>
                <w:rFonts w:ascii="SimSun" w:eastAsia="SimSun" w:hAnsi="SimSun" w:cs="SimSun"/>
                <w:color w:val="FF0011"/>
                <w:spacing w:val="-3"/>
                <w:sz w:val="18"/>
                <w:szCs w:val="18"/>
              </w:rPr>
              <w:t>50%</w:t>
            </w:r>
          </w:p>
        </w:tc>
        <w:tc>
          <w:tcPr>
            <w:tcW w:w="2122" w:type="dxa"/>
            <w:vAlign w:val="top"/>
          </w:tcPr>
          <w:p>
            <w:pPr>
              <w:spacing w:before="115" w:line="183" w:lineRule="auto"/>
              <w:ind w:left="916"/>
              <w:rPr>
                <w:rFonts w:ascii="SimSun" w:eastAsia="SimSun" w:hAnsi="SimSun" w:cs="SimSun"/>
                <w:sz w:val="18"/>
                <w:szCs w:val="18"/>
              </w:rPr>
            </w:pPr>
            <w:r>
              <w:rPr>
                <w:rFonts w:ascii="SimSun" w:eastAsia="SimSun" w:hAnsi="SimSun" w:cs="SimSun"/>
                <w:color w:val="FF0011"/>
                <w:spacing w:val="-2"/>
                <w:sz w:val="18"/>
                <w:szCs w:val="18"/>
              </w:rPr>
              <w:t>40%</w:t>
            </w:r>
          </w:p>
        </w:tc>
      </w:tr>
      <w:tr>
        <w:tblPrEx>
          <w:tblW w:w="7640" w:type="dxa"/>
          <w:tblInd w:w="2919" w:type="dxa"/>
          <w:tblLayout w:type="fixed"/>
        </w:tblPrEx>
        <w:trPr>
          <w:trHeight w:val="310"/>
        </w:trPr>
        <w:tc>
          <w:tcPr>
            <w:tcW w:w="3241" w:type="dxa"/>
            <w:vAlign w:val="top"/>
          </w:tcPr>
          <w:p>
            <w:pPr>
              <w:spacing w:before="70" w:line="219" w:lineRule="auto"/>
              <w:ind w:left="1254"/>
              <w:rPr>
                <w:rFonts w:ascii="SimSun" w:eastAsia="SimSun" w:hAnsi="SimSun" w:cs="SimSun"/>
                <w:sz w:val="18"/>
                <w:szCs w:val="18"/>
              </w:rPr>
            </w:pPr>
            <w:r>
              <w:rPr>
                <w:rFonts w:ascii="SimSun" w:eastAsia="SimSun" w:hAnsi="SimSun" w:cs="SimSun"/>
                <w:spacing w:val="-2"/>
                <w:sz w:val="18"/>
                <w:szCs w:val="18"/>
              </w:rPr>
              <w:t>权益规模</w:t>
            </w:r>
          </w:p>
        </w:tc>
        <w:tc>
          <w:tcPr>
            <w:tcW w:w="2277" w:type="dxa"/>
            <w:vAlign w:val="top"/>
          </w:tcPr>
          <w:p>
            <w:pPr>
              <w:spacing w:before="116" w:line="183" w:lineRule="auto"/>
              <w:ind w:left="953"/>
              <w:rPr>
                <w:rFonts w:ascii="SimSun" w:eastAsia="SimSun" w:hAnsi="SimSun" w:cs="SimSun"/>
                <w:sz w:val="18"/>
                <w:szCs w:val="18"/>
              </w:rPr>
            </w:pPr>
            <w:r>
              <w:rPr>
                <w:rFonts w:ascii="SimSun" w:eastAsia="SimSun" w:hAnsi="SimSun" w:cs="SimSun"/>
                <w:spacing w:val="-2"/>
                <w:sz w:val="18"/>
                <w:szCs w:val="18"/>
              </w:rPr>
              <w:t>0.75</w:t>
            </w:r>
          </w:p>
        </w:tc>
        <w:tc>
          <w:tcPr>
            <w:tcW w:w="2122" w:type="dxa"/>
            <w:vAlign w:val="top"/>
          </w:tcPr>
          <w:p>
            <w:pPr>
              <w:spacing w:before="115" w:line="184" w:lineRule="auto"/>
              <w:ind w:left="876"/>
              <w:rPr>
                <w:rFonts w:ascii="SimSun" w:eastAsia="SimSun" w:hAnsi="SimSun" w:cs="SimSun"/>
                <w:sz w:val="18"/>
                <w:szCs w:val="18"/>
              </w:rPr>
            </w:pPr>
            <w:r>
              <w:rPr>
                <w:rFonts w:ascii="SimSun" w:eastAsia="SimSun" w:hAnsi="SimSun" w:cs="SimSun"/>
                <w:spacing w:val="-2"/>
                <w:sz w:val="18"/>
                <w:szCs w:val="18"/>
              </w:rPr>
              <w:t>0.31</w:t>
            </w:r>
          </w:p>
        </w:tc>
      </w:tr>
      <w:tr>
        <w:tblPrEx>
          <w:tblW w:w="7640" w:type="dxa"/>
          <w:tblInd w:w="2919" w:type="dxa"/>
          <w:tblLayout w:type="fixed"/>
        </w:tblPrEx>
        <w:trPr>
          <w:trHeight w:val="309"/>
        </w:trPr>
        <w:tc>
          <w:tcPr>
            <w:tcW w:w="3241" w:type="dxa"/>
            <w:vAlign w:val="top"/>
          </w:tcPr>
          <w:p>
            <w:pPr>
              <w:spacing w:before="70" w:line="219" w:lineRule="auto"/>
              <w:ind w:left="1844"/>
              <w:rPr>
                <w:rFonts w:ascii="SimSun" w:eastAsia="SimSun" w:hAnsi="SimSun" w:cs="SimSun"/>
                <w:sz w:val="18"/>
                <w:szCs w:val="18"/>
              </w:rPr>
            </w:pPr>
            <w:r>
              <w:rPr>
                <w:rFonts w:ascii="SimSun" w:eastAsia="SimSun" w:hAnsi="SimSun" w:cs="SimSun"/>
                <w:spacing w:val="1"/>
                <w:sz w:val="18"/>
                <w:szCs w:val="18"/>
              </w:rPr>
              <w:t>占可投资产比重</w:t>
            </w:r>
          </w:p>
        </w:tc>
        <w:tc>
          <w:tcPr>
            <w:tcW w:w="2277" w:type="dxa"/>
            <w:vAlign w:val="top"/>
          </w:tcPr>
          <w:p>
            <w:pPr>
              <w:spacing w:before="116" w:line="183" w:lineRule="auto"/>
              <w:ind w:left="903"/>
              <w:rPr>
                <w:rFonts w:ascii="SimSun" w:eastAsia="SimSun" w:hAnsi="SimSun" w:cs="SimSun"/>
                <w:sz w:val="18"/>
                <w:szCs w:val="18"/>
              </w:rPr>
            </w:pPr>
            <w:r>
              <w:rPr>
                <w:rFonts w:ascii="SimSun" w:eastAsia="SimSun" w:hAnsi="SimSun" w:cs="SimSun"/>
                <w:spacing w:val="-2"/>
                <w:sz w:val="18"/>
                <w:szCs w:val="18"/>
              </w:rPr>
              <w:t>25.9%</w:t>
            </w:r>
          </w:p>
        </w:tc>
        <w:tc>
          <w:tcPr>
            <w:tcW w:w="2122" w:type="dxa"/>
            <w:vAlign w:val="top"/>
          </w:tcPr>
          <w:p>
            <w:pPr>
              <w:spacing w:before="115" w:line="184" w:lineRule="auto"/>
              <w:ind w:left="826"/>
              <w:rPr>
                <w:rFonts w:ascii="SimSun" w:eastAsia="SimSun" w:hAnsi="SimSun" w:cs="SimSun"/>
                <w:sz w:val="18"/>
                <w:szCs w:val="18"/>
              </w:rPr>
            </w:pPr>
            <w:r>
              <w:rPr>
                <w:rFonts w:ascii="SimSun" w:eastAsia="SimSun" w:hAnsi="SimSun" w:cs="SimSun"/>
                <w:spacing w:val="-5"/>
                <w:sz w:val="18"/>
                <w:szCs w:val="18"/>
              </w:rPr>
              <w:t>18.9%</w:t>
            </w:r>
          </w:p>
        </w:tc>
      </w:tr>
      <w:tr>
        <w:tblPrEx>
          <w:tblW w:w="7640" w:type="dxa"/>
          <w:tblInd w:w="2919" w:type="dxa"/>
          <w:tblLayout w:type="fixed"/>
        </w:tblPrEx>
        <w:trPr>
          <w:trHeight w:val="319"/>
        </w:trPr>
        <w:tc>
          <w:tcPr>
            <w:tcW w:w="3241" w:type="dxa"/>
            <w:vAlign w:val="top"/>
          </w:tcPr>
          <w:p>
            <w:pPr>
              <w:spacing w:before="71" w:line="219" w:lineRule="auto"/>
              <w:ind w:left="394"/>
              <w:rPr>
                <w:rFonts w:ascii="SimSun" w:eastAsia="SimSun" w:hAnsi="SimSun" w:cs="SimSun"/>
                <w:sz w:val="18"/>
                <w:szCs w:val="18"/>
              </w:rPr>
            </w:pPr>
            <w:r>
              <w:rPr>
                <w:rFonts w:ascii="SimSun" w:eastAsia="SimSun" w:hAnsi="SimSun" w:cs="SimSun"/>
                <w:spacing w:val="2"/>
                <w:sz w:val="18"/>
                <w:szCs w:val="18"/>
              </w:rPr>
              <w:t>长期股权投资</w:t>
            </w:r>
          </w:p>
        </w:tc>
        <w:tc>
          <w:tcPr>
            <w:tcW w:w="2277" w:type="dxa"/>
            <w:vAlign w:val="top"/>
          </w:tcPr>
          <w:p>
            <w:pPr>
              <w:spacing w:before="117" w:line="183" w:lineRule="auto"/>
              <w:ind w:left="953"/>
              <w:rPr>
                <w:rFonts w:ascii="SimSun" w:eastAsia="SimSun" w:hAnsi="SimSun" w:cs="SimSun"/>
                <w:sz w:val="18"/>
                <w:szCs w:val="18"/>
              </w:rPr>
            </w:pPr>
            <w:r>
              <w:rPr>
                <w:rFonts w:ascii="SimSun" w:eastAsia="SimSun" w:hAnsi="SimSun" w:cs="SimSun"/>
                <w:spacing w:val="-2"/>
                <w:sz w:val="18"/>
                <w:szCs w:val="18"/>
              </w:rPr>
              <w:t>0.27</w:t>
            </w:r>
          </w:p>
        </w:tc>
        <w:tc>
          <w:tcPr>
            <w:tcW w:w="2122" w:type="dxa"/>
            <w:vAlign w:val="top"/>
          </w:tcPr>
          <w:p>
            <w:pPr>
              <w:rPr>
                <w:rFonts w:ascii="Arial"/>
                <w:sz w:val="21"/>
              </w:rPr>
            </w:pPr>
          </w:p>
        </w:tc>
      </w:tr>
      <w:tr>
        <w:tblPrEx>
          <w:tblW w:w="7640" w:type="dxa"/>
          <w:tblInd w:w="2919" w:type="dxa"/>
          <w:tblLayout w:type="fixed"/>
        </w:tblPrEx>
        <w:trPr>
          <w:trHeight w:val="300"/>
        </w:trPr>
        <w:tc>
          <w:tcPr>
            <w:tcW w:w="3241" w:type="dxa"/>
            <w:vAlign w:val="top"/>
          </w:tcPr>
          <w:p>
            <w:pPr>
              <w:spacing w:before="62" w:line="219" w:lineRule="auto"/>
              <w:ind w:left="1844"/>
              <w:rPr>
                <w:rFonts w:ascii="SimSun" w:eastAsia="SimSun" w:hAnsi="SimSun" w:cs="SimSun"/>
                <w:sz w:val="18"/>
                <w:szCs w:val="18"/>
              </w:rPr>
            </w:pPr>
            <w:r>
              <w:rPr>
                <w:rFonts w:ascii="SimSun" w:eastAsia="SimSun" w:hAnsi="SimSun" w:cs="SimSun"/>
                <w:spacing w:val="1"/>
                <w:sz w:val="18"/>
                <w:szCs w:val="18"/>
              </w:rPr>
              <w:t>占可投资产比重</w:t>
            </w:r>
          </w:p>
        </w:tc>
        <w:tc>
          <w:tcPr>
            <w:tcW w:w="2277" w:type="dxa"/>
            <w:vAlign w:val="top"/>
          </w:tcPr>
          <w:p>
            <w:pPr>
              <w:spacing w:before="108" w:line="183" w:lineRule="auto"/>
              <w:ind w:left="903"/>
              <w:rPr>
                <w:rFonts w:ascii="SimSun" w:eastAsia="SimSun" w:hAnsi="SimSun" w:cs="SimSun"/>
                <w:sz w:val="18"/>
                <w:szCs w:val="18"/>
              </w:rPr>
            </w:pPr>
            <w:r>
              <w:rPr>
                <w:rFonts w:ascii="SimSun" w:eastAsia="SimSun" w:hAnsi="SimSun" w:cs="SimSun"/>
                <w:spacing w:val="-2"/>
                <w:sz w:val="18"/>
                <w:szCs w:val="18"/>
              </w:rPr>
              <w:t>9.54%</w:t>
            </w:r>
          </w:p>
        </w:tc>
        <w:tc>
          <w:tcPr>
            <w:tcW w:w="2122" w:type="dxa"/>
            <w:vAlign w:val="top"/>
          </w:tcPr>
          <w:p>
            <w:pPr>
              <w:rPr>
                <w:rFonts w:ascii="Arial"/>
                <w:sz w:val="21"/>
              </w:rPr>
            </w:pPr>
          </w:p>
        </w:tc>
      </w:tr>
      <w:tr>
        <w:tblPrEx>
          <w:tblW w:w="7640" w:type="dxa"/>
          <w:tblInd w:w="2919" w:type="dxa"/>
          <w:tblLayout w:type="fixed"/>
        </w:tblPrEx>
        <w:trPr>
          <w:trHeight w:val="639"/>
        </w:trPr>
        <w:tc>
          <w:tcPr>
            <w:tcW w:w="3241" w:type="dxa"/>
            <w:shd w:val="clear" w:color="auto" w:fill="DAE4F0"/>
            <w:vAlign w:val="top"/>
          </w:tcPr>
          <w:p>
            <w:pPr>
              <w:spacing w:before="80" w:line="268" w:lineRule="auto"/>
              <w:ind w:left="137" w:right="38" w:firstLine="2340"/>
              <w:rPr>
                <w:rFonts w:ascii="SimSun" w:eastAsia="SimSun" w:hAnsi="SimSun" w:cs="SimSun"/>
                <w:sz w:val="18"/>
                <w:szCs w:val="18"/>
              </w:rPr>
            </w:pPr>
            <w:r>
              <w:rPr>
                <w:rFonts w:ascii="SimSun" w:eastAsia="SimSun" w:hAnsi="SimSun" w:cs="SimSun"/>
                <w:b/>
                <w:bCs/>
                <w:spacing w:val="-4"/>
                <w:sz w:val="18"/>
                <w:szCs w:val="18"/>
              </w:rPr>
              <w:t>维度一：</w:t>
            </w:r>
            <w:r>
              <w:rPr>
                <w:rFonts w:ascii="SimSun" w:eastAsia="SimSun" w:hAnsi="SimSun" w:cs="SimSun"/>
                <w:spacing w:val="2"/>
                <w:sz w:val="18"/>
                <w:szCs w:val="18"/>
              </w:rPr>
              <w:t xml:space="preserve"> </w:t>
            </w:r>
            <w:r>
              <w:rPr>
                <w:rFonts w:ascii="SimSun" w:eastAsia="SimSun" w:hAnsi="SimSun" w:cs="SimSun"/>
                <w:b/>
                <w:bCs/>
                <w:spacing w:val="-3"/>
                <w:sz w:val="18"/>
                <w:szCs w:val="18"/>
              </w:rPr>
              <w:t>交易性金融资产(权益类)+长股投占比</w:t>
            </w:r>
          </w:p>
        </w:tc>
        <w:tc>
          <w:tcPr>
            <w:tcW w:w="2277" w:type="dxa"/>
            <w:shd w:val="clear" w:color="auto" w:fill="DBE5F1"/>
            <w:vAlign w:val="top"/>
          </w:tcPr>
          <w:p>
            <w:pPr>
              <w:spacing w:before="278" w:line="183" w:lineRule="auto"/>
              <w:ind w:left="903"/>
              <w:rPr>
                <w:rFonts w:ascii="SimSun" w:eastAsia="SimSun" w:hAnsi="SimSun" w:cs="SimSun"/>
                <w:sz w:val="18"/>
                <w:szCs w:val="18"/>
              </w:rPr>
            </w:pPr>
            <w:r>
              <w:rPr>
                <w:rFonts w:ascii="SimSun" w:eastAsia="SimSun" w:hAnsi="SimSun" w:cs="SimSun"/>
                <w:spacing w:val="-3"/>
                <w:sz w:val="18"/>
                <w:szCs w:val="18"/>
              </w:rPr>
              <w:t>35.4%</w:t>
            </w:r>
          </w:p>
        </w:tc>
        <w:tc>
          <w:tcPr>
            <w:tcW w:w="2122" w:type="dxa"/>
            <w:shd w:val="clear" w:color="auto" w:fill="DBE5F1"/>
            <w:vAlign w:val="top"/>
          </w:tcPr>
          <w:p>
            <w:pPr>
              <w:spacing w:before="277" w:line="184" w:lineRule="auto"/>
              <w:ind w:left="826"/>
              <w:rPr>
                <w:rFonts w:ascii="SimSun" w:eastAsia="SimSun" w:hAnsi="SimSun" w:cs="SimSun"/>
                <w:sz w:val="18"/>
                <w:szCs w:val="18"/>
              </w:rPr>
            </w:pPr>
            <w:r>
              <w:rPr>
                <w:rFonts w:ascii="SimSun" w:eastAsia="SimSun" w:hAnsi="SimSun" w:cs="SimSun"/>
                <w:spacing w:val="-5"/>
                <w:sz w:val="18"/>
                <w:szCs w:val="18"/>
              </w:rPr>
              <w:t>18.9%</w:t>
            </w:r>
          </w:p>
        </w:tc>
      </w:tr>
      <w:tr>
        <w:tblPrEx>
          <w:tblW w:w="7640" w:type="dxa"/>
          <w:tblInd w:w="2919" w:type="dxa"/>
          <w:tblLayout w:type="fixed"/>
        </w:tblPrEx>
        <w:trPr>
          <w:trHeight w:val="300"/>
        </w:trPr>
        <w:tc>
          <w:tcPr>
            <w:tcW w:w="3241" w:type="dxa"/>
            <w:vAlign w:val="top"/>
          </w:tcPr>
          <w:p>
            <w:pPr>
              <w:rPr>
                <w:rFonts w:ascii="Arial"/>
                <w:sz w:val="21"/>
              </w:rPr>
            </w:pPr>
          </w:p>
        </w:tc>
        <w:tc>
          <w:tcPr>
            <w:tcW w:w="2277" w:type="dxa"/>
            <w:vAlign w:val="top"/>
          </w:tcPr>
          <w:p>
            <w:pPr>
              <w:rPr>
                <w:rFonts w:ascii="Arial"/>
                <w:sz w:val="21"/>
              </w:rPr>
            </w:pPr>
          </w:p>
        </w:tc>
        <w:tc>
          <w:tcPr>
            <w:tcW w:w="2122" w:type="dxa"/>
            <w:vAlign w:val="top"/>
          </w:tcPr>
          <w:p>
            <w:pPr>
              <w:rPr>
                <w:rFonts w:ascii="Arial"/>
                <w:sz w:val="21"/>
              </w:rPr>
            </w:pPr>
          </w:p>
        </w:tc>
      </w:tr>
      <w:tr>
        <w:tblPrEx>
          <w:tblW w:w="7640" w:type="dxa"/>
          <w:tblInd w:w="2919" w:type="dxa"/>
          <w:tblLayout w:type="fixed"/>
        </w:tblPrEx>
        <w:trPr>
          <w:trHeight w:val="309"/>
        </w:trPr>
        <w:tc>
          <w:tcPr>
            <w:tcW w:w="3241" w:type="dxa"/>
            <w:vAlign w:val="top"/>
          </w:tcPr>
          <w:p>
            <w:pPr>
              <w:spacing w:before="73" w:line="219" w:lineRule="auto"/>
              <w:ind w:left="974"/>
              <w:rPr>
                <w:rFonts w:ascii="SimSun" w:eastAsia="SimSun" w:hAnsi="SimSun" w:cs="SimSun"/>
                <w:sz w:val="18"/>
                <w:szCs w:val="18"/>
              </w:rPr>
            </w:pPr>
            <w:r>
              <w:rPr>
                <w:rFonts w:ascii="SimSun" w:eastAsia="SimSun" w:hAnsi="SimSun" w:cs="SimSun"/>
                <w:spacing w:val="-1"/>
                <w:sz w:val="18"/>
                <w:szCs w:val="18"/>
              </w:rPr>
              <w:t>重仓股流通市值</w:t>
            </w:r>
          </w:p>
        </w:tc>
        <w:tc>
          <w:tcPr>
            <w:tcW w:w="2277" w:type="dxa"/>
            <w:vAlign w:val="top"/>
          </w:tcPr>
          <w:p>
            <w:pPr>
              <w:spacing w:before="120" w:line="183" w:lineRule="auto"/>
              <w:ind w:left="953"/>
              <w:rPr>
                <w:rFonts w:ascii="SimSun" w:eastAsia="SimSun" w:hAnsi="SimSun" w:cs="SimSun"/>
                <w:sz w:val="18"/>
                <w:szCs w:val="18"/>
              </w:rPr>
            </w:pPr>
            <w:r>
              <w:rPr>
                <w:rFonts w:ascii="SimSun" w:eastAsia="SimSun" w:hAnsi="SimSun" w:cs="SimSun"/>
                <w:spacing w:val="-2"/>
                <w:sz w:val="18"/>
                <w:szCs w:val="18"/>
              </w:rPr>
              <w:t>0.39</w:t>
            </w:r>
          </w:p>
        </w:tc>
        <w:tc>
          <w:tcPr>
            <w:tcW w:w="2122" w:type="dxa"/>
            <w:vAlign w:val="top"/>
          </w:tcPr>
          <w:p>
            <w:pPr>
              <w:spacing w:before="120" w:line="183" w:lineRule="auto"/>
              <w:ind w:left="826"/>
              <w:rPr>
                <w:rFonts w:ascii="SimSun" w:eastAsia="SimSun" w:hAnsi="SimSun" w:cs="SimSun"/>
                <w:sz w:val="18"/>
                <w:szCs w:val="18"/>
              </w:rPr>
            </w:pPr>
            <w:r>
              <w:rPr>
                <w:rFonts w:ascii="SimSun" w:eastAsia="SimSun" w:hAnsi="SimSun" w:cs="SimSun"/>
                <w:spacing w:val="-2"/>
                <w:sz w:val="18"/>
                <w:szCs w:val="18"/>
              </w:rPr>
              <w:t>0.034</w:t>
            </w:r>
          </w:p>
        </w:tc>
      </w:tr>
      <w:tr>
        <w:tblPrEx>
          <w:tblW w:w="7640" w:type="dxa"/>
          <w:tblInd w:w="2919" w:type="dxa"/>
          <w:tblLayout w:type="fixed"/>
        </w:tblPrEx>
        <w:trPr>
          <w:trHeight w:val="310"/>
        </w:trPr>
        <w:tc>
          <w:tcPr>
            <w:tcW w:w="3241" w:type="dxa"/>
            <w:vAlign w:val="top"/>
          </w:tcPr>
          <w:p>
            <w:pPr>
              <w:spacing w:before="74" w:line="219" w:lineRule="auto"/>
              <w:ind w:left="1844"/>
              <w:rPr>
                <w:rFonts w:ascii="SimSun" w:eastAsia="SimSun" w:hAnsi="SimSun" w:cs="SimSun"/>
                <w:sz w:val="18"/>
                <w:szCs w:val="18"/>
              </w:rPr>
            </w:pPr>
            <w:r>
              <w:rPr>
                <w:rFonts w:ascii="SimSun" w:eastAsia="SimSun" w:hAnsi="SimSun" w:cs="SimSun"/>
                <w:spacing w:val="1"/>
                <w:sz w:val="18"/>
                <w:szCs w:val="18"/>
              </w:rPr>
              <w:t>占可投资产比重</w:t>
            </w:r>
          </w:p>
        </w:tc>
        <w:tc>
          <w:tcPr>
            <w:tcW w:w="2277" w:type="dxa"/>
            <w:vAlign w:val="top"/>
          </w:tcPr>
          <w:p>
            <w:pPr>
              <w:spacing w:before="119" w:line="184" w:lineRule="auto"/>
              <w:ind w:left="903"/>
              <w:rPr>
                <w:rFonts w:ascii="SimSun" w:eastAsia="SimSun" w:hAnsi="SimSun" w:cs="SimSun"/>
                <w:sz w:val="18"/>
                <w:szCs w:val="18"/>
              </w:rPr>
            </w:pPr>
            <w:r>
              <w:rPr>
                <w:rFonts w:ascii="SimSun" w:eastAsia="SimSun" w:hAnsi="SimSun" w:cs="SimSun"/>
                <w:spacing w:val="-5"/>
                <w:sz w:val="18"/>
                <w:szCs w:val="18"/>
              </w:rPr>
              <w:t>13.4%</w:t>
            </w:r>
          </w:p>
        </w:tc>
        <w:tc>
          <w:tcPr>
            <w:tcW w:w="2122" w:type="dxa"/>
            <w:vAlign w:val="top"/>
          </w:tcPr>
          <w:p>
            <w:pPr>
              <w:spacing w:before="119" w:line="184" w:lineRule="auto"/>
              <w:ind w:left="876"/>
              <w:rPr>
                <w:rFonts w:ascii="SimSun" w:eastAsia="SimSun" w:hAnsi="SimSun" w:cs="SimSun"/>
                <w:sz w:val="18"/>
                <w:szCs w:val="18"/>
              </w:rPr>
            </w:pPr>
            <w:r>
              <w:rPr>
                <w:rFonts w:ascii="SimSun" w:eastAsia="SimSun" w:hAnsi="SimSun" w:cs="SimSun"/>
                <w:spacing w:val="-3"/>
                <w:sz w:val="18"/>
                <w:szCs w:val="18"/>
              </w:rPr>
              <w:t>2.1%</w:t>
            </w:r>
          </w:p>
        </w:tc>
      </w:tr>
      <w:tr>
        <w:tblPrEx>
          <w:tblW w:w="7640" w:type="dxa"/>
          <w:tblInd w:w="2919" w:type="dxa"/>
          <w:tblLayout w:type="fixed"/>
        </w:tblPrEx>
        <w:trPr>
          <w:trHeight w:val="629"/>
        </w:trPr>
        <w:tc>
          <w:tcPr>
            <w:tcW w:w="3241" w:type="dxa"/>
            <w:shd w:val="clear" w:color="auto" w:fill="DAE4F0"/>
            <w:vAlign w:val="top"/>
          </w:tcPr>
          <w:p>
            <w:pPr>
              <w:spacing w:before="72" w:line="269" w:lineRule="auto"/>
              <w:ind w:left="1577" w:right="38" w:firstLine="900"/>
              <w:rPr>
                <w:rFonts w:ascii="SimSun" w:eastAsia="SimSun" w:hAnsi="SimSun" w:cs="SimSun"/>
                <w:sz w:val="18"/>
                <w:szCs w:val="18"/>
              </w:rPr>
            </w:pPr>
            <w:r>
              <w:rPr>
                <w:rFonts w:ascii="SimSun" w:eastAsia="SimSun" w:hAnsi="SimSun" w:cs="SimSun"/>
                <w:b/>
                <w:bCs/>
                <w:spacing w:val="-4"/>
                <w:sz w:val="18"/>
                <w:szCs w:val="18"/>
              </w:rPr>
              <w:t>维度二：</w:t>
            </w:r>
            <w:r>
              <w:rPr>
                <w:rFonts w:ascii="SimSun" w:eastAsia="SimSun" w:hAnsi="SimSun" w:cs="SimSun"/>
                <w:spacing w:val="2"/>
                <w:sz w:val="18"/>
                <w:szCs w:val="18"/>
              </w:rPr>
              <w:t xml:space="preserve"> </w:t>
            </w:r>
            <w:r>
              <w:rPr>
                <w:rFonts w:ascii="SimSun" w:eastAsia="SimSun" w:hAnsi="SimSun" w:cs="SimSun"/>
                <w:b/>
                <w:bCs/>
                <w:spacing w:val="-3"/>
                <w:sz w:val="18"/>
                <w:szCs w:val="18"/>
              </w:rPr>
              <w:t>重仓股+长股投占比</w:t>
            </w:r>
          </w:p>
        </w:tc>
        <w:tc>
          <w:tcPr>
            <w:tcW w:w="2277" w:type="dxa"/>
            <w:shd w:val="clear" w:color="auto" w:fill="DBE5F1"/>
            <w:vAlign w:val="top"/>
          </w:tcPr>
          <w:p>
            <w:pPr>
              <w:spacing w:before="280" w:line="183" w:lineRule="auto"/>
              <w:ind w:left="903"/>
              <w:rPr>
                <w:rFonts w:ascii="SimSun" w:eastAsia="SimSun" w:hAnsi="SimSun" w:cs="SimSun"/>
                <w:sz w:val="18"/>
                <w:szCs w:val="18"/>
              </w:rPr>
            </w:pPr>
            <w:r>
              <w:rPr>
                <w:rFonts w:ascii="SimSun" w:eastAsia="SimSun" w:hAnsi="SimSun" w:cs="SimSun"/>
                <w:spacing w:val="-2"/>
                <w:sz w:val="18"/>
                <w:szCs w:val="18"/>
              </w:rPr>
              <w:t>23.0%</w:t>
            </w:r>
          </w:p>
        </w:tc>
        <w:tc>
          <w:tcPr>
            <w:tcW w:w="2122" w:type="dxa"/>
            <w:shd w:val="clear" w:color="auto" w:fill="DBE5F1"/>
            <w:vAlign w:val="top"/>
          </w:tcPr>
          <w:p>
            <w:pPr>
              <w:spacing w:before="279" w:line="184" w:lineRule="auto"/>
              <w:ind w:left="876"/>
              <w:rPr>
                <w:rFonts w:ascii="SimSun" w:eastAsia="SimSun" w:hAnsi="SimSun" w:cs="SimSun"/>
                <w:sz w:val="18"/>
                <w:szCs w:val="18"/>
              </w:rPr>
            </w:pPr>
            <w:r>
              <w:rPr>
                <w:rFonts w:ascii="SimSun" w:eastAsia="SimSun" w:hAnsi="SimSun" w:cs="SimSun"/>
                <w:spacing w:val="-3"/>
                <w:sz w:val="18"/>
                <w:szCs w:val="18"/>
              </w:rPr>
              <w:t>2.1%</w:t>
            </w:r>
          </w:p>
        </w:tc>
      </w:tr>
      <w:tr>
        <w:tblPrEx>
          <w:tblW w:w="7640" w:type="dxa"/>
          <w:tblInd w:w="2919" w:type="dxa"/>
          <w:tblLayout w:type="fixed"/>
        </w:tblPrEx>
        <w:trPr>
          <w:trHeight w:val="933"/>
        </w:trPr>
        <w:tc>
          <w:tcPr>
            <w:tcW w:w="3241" w:type="dxa"/>
            <w:vAlign w:val="top"/>
          </w:tcPr>
          <w:p>
            <w:pPr>
              <w:spacing w:line="325" w:lineRule="auto"/>
              <w:rPr>
                <w:rFonts w:ascii="Arial"/>
                <w:sz w:val="21"/>
              </w:rPr>
            </w:pPr>
          </w:p>
          <w:p>
            <w:pPr>
              <w:spacing w:before="58" w:line="219" w:lineRule="auto"/>
              <w:ind w:left="1254"/>
              <w:rPr>
                <w:rFonts w:ascii="SimSun" w:eastAsia="SimSun" w:hAnsi="SimSun" w:cs="SimSun"/>
                <w:sz w:val="18"/>
                <w:szCs w:val="18"/>
              </w:rPr>
            </w:pPr>
            <w:r>
              <w:rPr>
                <w:rFonts w:ascii="SimSun" w:eastAsia="SimSun" w:hAnsi="SimSun" w:cs="SimSun"/>
                <w:spacing w:val="-2"/>
                <w:sz w:val="18"/>
                <w:szCs w:val="18"/>
              </w:rPr>
              <w:t>监管上限</w:t>
            </w:r>
          </w:p>
        </w:tc>
        <w:tc>
          <w:tcPr>
            <w:tcW w:w="2277" w:type="dxa"/>
            <w:vAlign w:val="top"/>
          </w:tcPr>
          <w:p>
            <w:pPr>
              <w:spacing w:before="235" w:line="219" w:lineRule="auto"/>
              <w:ind w:left="183"/>
              <w:rPr>
                <w:rFonts w:ascii="SimSun" w:eastAsia="SimSun" w:hAnsi="SimSun" w:cs="SimSun"/>
                <w:sz w:val="18"/>
                <w:szCs w:val="18"/>
              </w:rPr>
            </w:pPr>
            <w:r>
              <w:rPr>
                <w:rFonts w:ascii="SimSun" w:eastAsia="SimSun" w:hAnsi="SimSun" w:cs="SimSun"/>
                <w:spacing w:val="1"/>
                <w:sz w:val="18"/>
                <w:szCs w:val="18"/>
              </w:rPr>
              <w:t>权益类资产投资比例(≤</w:t>
            </w:r>
          </w:p>
          <w:p>
            <w:pPr>
              <w:spacing w:before="109" w:line="222" w:lineRule="auto"/>
              <w:ind w:left="953"/>
              <w:rPr>
                <w:rFonts w:ascii="SimSun" w:eastAsia="SimSun" w:hAnsi="SimSun" w:cs="SimSun"/>
                <w:sz w:val="18"/>
                <w:szCs w:val="18"/>
              </w:rPr>
            </w:pPr>
            <w:r>
              <w:rPr>
                <w:rFonts w:ascii="SimSun" w:eastAsia="SimSun" w:hAnsi="SimSun" w:cs="SimSun"/>
                <w:spacing w:val="-2"/>
                <w:sz w:val="18"/>
                <w:szCs w:val="18"/>
              </w:rPr>
              <w:t>40%)</w:t>
            </w:r>
          </w:p>
        </w:tc>
        <w:tc>
          <w:tcPr>
            <w:tcW w:w="2122" w:type="dxa"/>
            <w:vAlign w:val="top"/>
          </w:tcPr>
          <w:p>
            <w:pPr>
              <w:spacing w:before="95" w:line="219" w:lineRule="auto"/>
              <w:ind w:left="66"/>
              <w:rPr>
                <w:rFonts w:ascii="SimSun" w:eastAsia="SimSun" w:hAnsi="SimSun" w:cs="SimSun"/>
                <w:sz w:val="18"/>
                <w:szCs w:val="18"/>
              </w:rPr>
            </w:pPr>
            <w:r>
              <w:rPr>
                <w:rFonts w:ascii="SimSun" w:eastAsia="SimSun" w:hAnsi="SimSun" w:cs="SimSun"/>
                <w:spacing w:val="-1"/>
                <w:sz w:val="18"/>
                <w:szCs w:val="18"/>
              </w:rPr>
              <w:t>投资股票、股票基金、混</w:t>
            </w:r>
          </w:p>
          <w:p>
            <w:pPr>
              <w:spacing w:before="86" w:line="219" w:lineRule="auto"/>
              <w:ind w:left="66"/>
              <w:rPr>
                <w:rFonts w:ascii="SimSun" w:eastAsia="SimSun" w:hAnsi="SimSun" w:cs="SimSun"/>
                <w:sz w:val="18"/>
                <w:szCs w:val="18"/>
              </w:rPr>
            </w:pPr>
            <w:r>
              <w:rPr>
                <w:rFonts w:ascii="SimSun" w:eastAsia="SimSun" w:hAnsi="SimSun" w:cs="SimSun"/>
                <w:spacing w:val="-1"/>
                <w:sz w:val="18"/>
                <w:szCs w:val="18"/>
              </w:rPr>
              <w:t>合基金、股票型养老金产</w:t>
            </w:r>
          </w:p>
          <w:p>
            <w:pPr>
              <w:spacing w:before="87" w:line="221" w:lineRule="auto"/>
              <w:ind w:left="376"/>
              <w:rPr>
                <w:rFonts w:ascii="SimSun" w:eastAsia="SimSun" w:hAnsi="SimSun" w:cs="SimSun"/>
                <w:sz w:val="18"/>
                <w:szCs w:val="18"/>
              </w:rPr>
            </w:pPr>
            <w:r>
              <w:rPr>
                <w:rFonts w:ascii="SimSun" w:eastAsia="SimSun" w:hAnsi="SimSun" w:cs="SimSun"/>
                <w:sz w:val="18"/>
                <w:szCs w:val="18"/>
              </w:rPr>
              <w:t>品的比例(≤30</w:t>
            </w:r>
            <w:r>
              <w:rPr>
                <w:rFonts w:ascii="SimSun" w:eastAsia="SimSun" w:hAnsi="SimSun" w:cs="SimSun"/>
                <w:color w:val="002C94"/>
                <w:sz w:val="18"/>
                <w:szCs w:val="18"/>
              </w:rPr>
              <w:t>%)</w:t>
            </w:r>
          </w:p>
        </w:tc>
      </w:tr>
    </w:tbl>
    <w:p>
      <w:pPr>
        <w:pStyle w:val="BodyText"/>
        <w:spacing w:before="50" w:line="224" w:lineRule="auto"/>
        <w:ind w:left="2879"/>
        <w:rPr>
          <w:sz w:val="20"/>
          <w:szCs w:val="20"/>
        </w:rPr>
      </w:pPr>
      <w:r>
        <w:rPr>
          <w:spacing w:val="-19"/>
          <w:sz w:val="20"/>
          <w:szCs w:val="20"/>
        </w:rPr>
        <w:t>数据来源：人社部、</w:t>
      </w:r>
      <w:r>
        <w:rPr>
          <w:rFonts w:ascii="Times New Roman" w:eastAsia="Times New Roman" w:hAnsi="Times New Roman" w:cs="Times New Roman"/>
          <w:spacing w:val="-19"/>
          <w:sz w:val="20"/>
          <w:szCs w:val="20"/>
        </w:rPr>
        <w:t>Wind</w:t>
      </w:r>
      <w:r>
        <w:rPr>
          <w:rFonts w:ascii="SimSun" w:eastAsia="SimSun" w:hAnsi="SimSun" w:cs="SimSun"/>
          <w:spacing w:val="-19"/>
          <w:sz w:val="20"/>
          <w:szCs w:val="20"/>
        </w:rPr>
        <w:t>、</w:t>
      </w:r>
      <w:r>
        <w:rPr>
          <w:spacing w:val="-19"/>
          <w:sz w:val="20"/>
          <w:szCs w:val="20"/>
        </w:rPr>
        <w:t>开源证券研究所</w:t>
      </w:r>
    </w:p>
    <w:p>
      <w:pPr>
        <w:spacing w:line="445" w:lineRule="auto"/>
        <w:rPr>
          <w:rFonts w:ascii="Arial"/>
          <w:sz w:val="21"/>
        </w:rPr>
      </w:pPr>
    </w:p>
    <w:p>
      <w:pPr>
        <w:pStyle w:val="BodyText"/>
        <w:spacing w:before="82" w:line="222" w:lineRule="auto"/>
        <w:ind w:left="2883"/>
        <w:outlineLvl w:val="1"/>
        <w:rPr>
          <w:sz w:val="25"/>
          <w:szCs w:val="25"/>
        </w:rPr>
      </w:pPr>
      <w:r>
        <w:rPr>
          <w:b/>
          <w:bCs/>
          <w:color w:val="000080"/>
          <w:spacing w:val="-5"/>
          <w:sz w:val="25"/>
          <w:szCs w:val="25"/>
        </w:rPr>
        <w:t>2.3、</w:t>
      </w:r>
      <w:r>
        <w:rPr>
          <w:color w:val="000080"/>
          <w:spacing w:val="-56"/>
          <w:sz w:val="25"/>
          <w:szCs w:val="25"/>
        </w:rPr>
        <w:t xml:space="preserve"> </w:t>
      </w:r>
      <w:r>
        <w:rPr>
          <w:b/>
          <w:bCs/>
          <w:color w:val="000080"/>
          <w:spacing w:val="-5"/>
          <w:sz w:val="25"/>
          <w:szCs w:val="25"/>
        </w:rPr>
        <w:t>养老金第二支柱：实际权益比例低于10%,委托和考核机制待完善</w:t>
      </w:r>
    </w:p>
    <w:p>
      <w:pPr>
        <w:pStyle w:val="BodyText"/>
        <w:spacing w:before="180" w:line="281" w:lineRule="auto"/>
        <w:ind w:left="2879" w:right="98" w:firstLine="2"/>
        <w:jc w:val="both"/>
        <w:rPr>
          <w:sz w:val="20"/>
          <w:szCs w:val="20"/>
        </w:rPr>
      </w:pPr>
      <w:r>
        <w:rPr>
          <w:b/>
          <w:bCs/>
          <w:spacing w:val="11"/>
          <w:sz w:val="20"/>
          <w:szCs w:val="20"/>
        </w:rPr>
        <w:t>第二支柱包括企业年金和职业年金，2022年末占养老金三支柱比重约33%</w:t>
      </w:r>
      <w:r>
        <w:rPr>
          <w:spacing w:val="11"/>
          <w:sz w:val="20"/>
          <w:szCs w:val="20"/>
        </w:rPr>
        <w:t>。企业年</w:t>
      </w:r>
      <w:r>
        <w:rPr>
          <w:spacing w:val="3"/>
          <w:sz w:val="20"/>
          <w:szCs w:val="20"/>
        </w:rPr>
        <w:t xml:space="preserve"> </w:t>
      </w:r>
      <w:r>
        <w:rPr>
          <w:spacing w:val="11"/>
          <w:sz w:val="20"/>
          <w:szCs w:val="20"/>
        </w:rPr>
        <w:t>金主要适用于企业职工，企业根据自身建设情况自愿选择为本企业职工</w:t>
      </w:r>
      <w:r>
        <w:rPr>
          <w:spacing w:val="10"/>
          <w:sz w:val="20"/>
          <w:szCs w:val="20"/>
        </w:rPr>
        <w:t>建立的一种</w:t>
      </w:r>
      <w:r>
        <w:rPr>
          <w:sz w:val="20"/>
          <w:szCs w:val="20"/>
        </w:rPr>
        <w:t xml:space="preserve"> </w:t>
      </w:r>
      <w:r>
        <w:rPr>
          <w:spacing w:val="11"/>
          <w:sz w:val="20"/>
          <w:szCs w:val="20"/>
        </w:rPr>
        <w:t>补充性养老金制度，由雇主和个人双方共同缴费；职业年金制度</w:t>
      </w:r>
      <w:r>
        <w:rPr>
          <w:spacing w:val="10"/>
          <w:sz w:val="20"/>
          <w:szCs w:val="20"/>
        </w:rPr>
        <w:t>面向机关事业单位</w:t>
      </w:r>
      <w:r>
        <w:rPr>
          <w:sz w:val="20"/>
          <w:szCs w:val="20"/>
        </w:rPr>
        <w:t xml:space="preserve"> </w:t>
      </w:r>
      <w:r>
        <w:rPr>
          <w:spacing w:val="11"/>
          <w:sz w:val="20"/>
          <w:szCs w:val="20"/>
        </w:rPr>
        <w:t>职工，具有一定强制性，同样由单位和个人共同缴费，采取基金累积的方式。2022</w:t>
      </w:r>
      <w:r>
        <w:rPr>
          <w:spacing w:val="2"/>
          <w:sz w:val="20"/>
          <w:szCs w:val="20"/>
        </w:rPr>
        <w:t xml:space="preserve"> </w:t>
      </w:r>
      <w:r>
        <w:rPr>
          <w:spacing w:val="12"/>
          <w:sz w:val="20"/>
          <w:szCs w:val="20"/>
        </w:rPr>
        <w:t>年全国职业年金和企业年金分别2.11和2.87万亿元，分别占养老金三支柱的13.8%</w:t>
      </w:r>
      <w:r>
        <w:rPr>
          <w:spacing w:val="12"/>
          <w:sz w:val="20"/>
          <w:szCs w:val="20"/>
        </w:rPr>
        <w:t xml:space="preserve"> </w:t>
      </w:r>
      <w:r>
        <w:rPr>
          <w:spacing w:val="11"/>
          <w:sz w:val="20"/>
          <w:szCs w:val="20"/>
        </w:rPr>
        <w:t>和18.8%。</w:t>
      </w:r>
    </w:p>
    <w:p>
      <w:pPr>
        <w:spacing w:before="88"/>
      </w:pPr>
    </w:p>
    <w:p>
      <w:pPr>
        <w:sectPr>
          <w:footerReference w:type="default" r:id="rId74"/>
          <w:pgSz w:w="11910" w:h="16840"/>
          <w:pgMar w:top="156" w:right="660" w:bottom="400" w:left="650" w:header="0" w:footer="0" w:gutter="0"/>
          <w:pgNumType w:start="40"/>
          <w:cols w:num="1" w:space="708" w:equalWidth="0">
            <w:col w:w="10600" w:space="0"/>
          </w:cols>
        </w:sectPr>
      </w:pPr>
    </w:p>
    <w:p>
      <w:pPr>
        <w:pStyle w:val="BodyText"/>
        <w:spacing w:before="52" w:line="184" w:lineRule="auto"/>
        <w:ind w:left="82"/>
        <w:rPr>
          <w:sz w:val="20"/>
          <w:szCs w:val="20"/>
        </w:rPr>
        <w:sectPr>
          <w:footerReference w:type="default" r:id="rId75"/>
          <w:type w:val="continuous"/>
          <w:pgSz w:w="11910" w:h="16840"/>
          <w:pgMar w:top="156" w:right="660" w:bottom="400" w:left="650" w:header="0" w:footer="0" w:gutter="0"/>
          <w:pgNumType w:start="41"/>
          <w:cols w:num="2" w:space="708" w:equalWidth="0">
            <w:col w:w="5300" w:space="100"/>
            <w:col w:w="5200" w:space="0"/>
          </w:cols>
        </w:sectPr>
      </w:pPr>
      <w:r>
        <w:rPr>
          <w:b/>
          <w:bCs/>
          <w:color w:val="000080"/>
          <w:spacing w:val="19"/>
          <w:sz w:val="20"/>
          <w:szCs w:val="20"/>
        </w:rPr>
        <w:t>图14:2022年全国职业年金2.</w:t>
      </w:r>
      <w:r>
        <w:rPr>
          <w:color w:val="000080"/>
          <w:spacing w:val="-58"/>
          <w:sz w:val="20"/>
          <w:szCs w:val="20"/>
        </w:rPr>
        <w:t xml:space="preserve"> </w:t>
      </w:r>
      <w:r>
        <w:rPr>
          <w:b/>
          <w:bCs/>
          <w:color w:val="000080"/>
          <w:spacing w:val="19"/>
          <w:sz w:val="20"/>
          <w:szCs w:val="20"/>
        </w:rPr>
        <w:t>11万亿元，同比+</w:t>
      </w:r>
      <w:r>
        <w:rPr>
          <w:b/>
          <w:bCs/>
          <w:color w:val="000080"/>
          <w:spacing w:val="18"/>
          <w:sz w:val="20"/>
          <w:szCs w:val="20"/>
        </w:rPr>
        <w:t>18%</w:t>
      </w:r>
    </w:p>
    <w:p>
      <w:pPr>
        <w:spacing w:line="3493" w:lineRule="exact"/>
        <w:ind w:firstLine="49"/>
      </w:pPr>
      <w:r>
        <w:rPr>
          <w:position w:val="-69"/>
        </w:rPr>
        <w:pict>
          <v:group id="_x0000_i1051" style="width:257.55pt;height:174.7pt;mso-position-horizontal-relative:char;mso-position-vertical-relative:line" coordorigin="0,0" coordsize="5150,3493" filled="f" stroked="f">
            <v:rect id="_x0000_s1052" style="width:5150;height:11;position:absolute;top:3483" filled="t" fillcolor="black" stroked="f"/>
            <v:rect id="_x0000_s1053" style="width:5110;height:10;position:absolute;top:-9" filled="t" fillcolor="navy" stroked="f"/>
            <w10:wrap type="none"/>
          </v:group>
        </w:pict>
      </w:r>
    </w:p>
    <w:p>
      <w:pPr>
        <w:pStyle w:val="BodyText"/>
        <w:spacing w:before="46" w:line="192" w:lineRule="auto"/>
        <w:ind w:left="79"/>
        <w:rPr>
          <w:sz w:val="20"/>
          <w:szCs w:val="20"/>
        </w:rPr>
      </w:pPr>
      <w:r>
        <w:rPr>
          <w:spacing w:val="-19"/>
          <w:sz w:val="20"/>
          <w:szCs w:val="20"/>
        </w:rPr>
        <w:t>数据来源：人社部、</w:t>
      </w:r>
      <w:r>
        <w:rPr>
          <w:rFonts w:ascii="Times New Roman" w:eastAsia="Times New Roman" w:hAnsi="Times New Roman" w:cs="Times New Roman"/>
          <w:spacing w:val="-19"/>
          <w:sz w:val="20"/>
          <w:szCs w:val="20"/>
        </w:rPr>
        <w:t>Wind</w:t>
      </w:r>
      <w:r>
        <w:rPr>
          <w:rFonts w:ascii="SimSun" w:eastAsia="SimSun" w:hAnsi="SimSun" w:cs="SimSun"/>
          <w:spacing w:val="-19"/>
          <w:sz w:val="20"/>
          <w:szCs w:val="20"/>
        </w:rPr>
        <w:t>、</w:t>
      </w:r>
      <w:r>
        <w:rPr>
          <w:spacing w:val="-19"/>
          <w:sz w:val="20"/>
          <w:szCs w:val="20"/>
        </w:rPr>
        <w:t>开源证券研究所</w:t>
      </w:r>
    </w:p>
    <w:p>
      <w:pPr>
        <w:spacing w:line="14" w:lineRule="auto"/>
        <w:rPr>
          <w:rFonts w:ascii="Arial"/>
          <w:sz w:val="2"/>
        </w:rPr>
      </w:pPr>
      <w:r>
        <w:rPr>
          <w:rFonts w:ascii="Arial" w:eastAsia="Arial" w:hAnsi="Arial" w:cs="Arial"/>
          <w:sz w:val="2"/>
          <w:szCs w:val="2"/>
        </w:rPr>
        <w:br w:type="column"/>
      </w:r>
    </w:p>
    <w:p>
      <w:pPr>
        <w:pStyle w:val="BodyText"/>
        <w:spacing w:before="40" w:line="184" w:lineRule="auto"/>
        <w:ind w:left="62"/>
        <w:rPr>
          <w:sz w:val="20"/>
          <w:szCs w:val="20"/>
        </w:rPr>
      </w:pPr>
      <w:r>
        <w:rPr>
          <w:b/>
          <w:bCs/>
          <w:color w:val="000080"/>
          <w:spacing w:val="23"/>
          <w:sz w:val="20"/>
          <w:szCs w:val="20"/>
        </w:rPr>
        <w:t>图15:2022年全国企业年金2</w:t>
      </w:r>
      <w:r>
        <w:rPr>
          <w:color w:val="000080"/>
          <w:spacing w:val="-56"/>
          <w:sz w:val="20"/>
          <w:szCs w:val="20"/>
        </w:rPr>
        <w:t xml:space="preserve"> </w:t>
      </w:r>
      <w:r>
        <w:rPr>
          <w:b/>
          <w:bCs/>
          <w:color w:val="000080"/>
          <w:spacing w:val="23"/>
          <w:sz w:val="20"/>
          <w:szCs w:val="20"/>
        </w:rPr>
        <w:t>.87万亿元，同比+9%</w:t>
      </w:r>
    </w:p>
    <w:p>
      <w:pPr>
        <w:spacing w:line="3504" w:lineRule="exact"/>
        <w:ind w:firstLine="10"/>
      </w:pPr>
      <w:r>
        <w:rPr>
          <w:position w:val="-70"/>
        </w:rPr>
        <w:pict>
          <v:group id="_x0000_i1054" style="width:258.05pt;height:175.2pt;mso-position-horizontal-relative:char;mso-position-vertical-relative:line" coordorigin="0,0" coordsize="5160,3503" filled="f" stroked="f">
            <v:rect id="_x0000_s1055" style="width:5160;height:11;position:absolute;top:3493" filled="t" fillcolor="black" stroked="f"/>
            <v:rect id="_x0000_s1056" style="width:5110;height:10;left:20;position:absolute;top:-9" filled="t" fillcolor="navy" stroked="f"/>
            <w10:wrap type="none"/>
          </v:group>
        </w:pict>
      </w:r>
    </w:p>
    <w:p>
      <w:pPr>
        <w:pStyle w:val="BodyText"/>
        <w:spacing w:before="45" w:line="192" w:lineRule="auto"/>
        <w:ind w:left="40"/>
        <w:rPr>
          <w:sz w:val="20"/>
          <w:szCs w:val="20"/>
        </w:rPr>
      </w:pPr>
      <w:r>
        <w:rPr>
          <w:spacing w:val="-19"/>
          <w:sz w:val="20"/>
          <w:szCs w:val="20"/>
        </w:rPr>
        <w:t>数据来源：人社部、</w:t>
      </w:r>
      <w:r>
        <w:rPr>
          <w:rFonts w:ascii="Times New Roman" w:eastAsia="Times New Roman" w:hAnsi="Times New Roman" w:cs="Times New Roman"/>
          <w:spacing w:val="-19"/>
          <w:sz w:val="20"/>
          <w:szCs w:val="20"/>
        </w:rPr>
        <w:t>Wind</w:t>
      </w:r>
      <w:r>
        <w:rPr>
          <w:rFonts w:ascii="SimSun" w:eastAsia="SimSun" w:hAnsi="SimSun" w:cs="SimSun"/>
          <w:spacing w:val="-19"/>
          <w:sz w:val="20"/>
          <w:szCs w:val="20"/>
        </w:rPr>
        <w:t>、</w:t>
      </w:r>
      <w:r>
        <w:rPr>
          <w:spacing w:val="-19"/>
          <w:sz w:val="20"/>
          <w:szCs w:val="20"/>
        </w:rPr>
        <w:t>开源证券研究所</w:t>
      </w:r>
    </w:p>
    <w:p>
      <w:pPr>
        <w:spacing w:line="192" w:lineRule="auto"/>
        <w:rPr>
          <w:sz w:val="20"/>
          <w:szCs w:val="20"/>
        </w:rPr>
        <w:sectPr>
          <w:footerReference w:type="default" r:id="rId76"/>
          <w:type w:val="nextPage"/>
          <w:pgSz w:w="11910" w:h="16840"/>
          <w:pgMar w:top="156" w:right="660" w:bottom="400" w:left="650" w:header="0" w:footer="0" w:gutter="0"/>
          <w:pgNumType w:start="42"/>
          <w:cols w:num="2" w:space="708" w:equalWidth="0">
            <w:col w:w="5300" w:space="100"/>
            <w:col w:w="5200" w:space="0"/>
          </w:cols>
          <w:titlePg w:val="0"/>
        </w:sectPr>
      </w:pPr>
    </w:p>
    <w:p>
      <w:pPr>
        <w:spacing w:line="366" w:lineRule="auto"/>
        <w:rPr>
          <w:rFonts w:ascii="Arial"/>
          <w:sz w:val="21"/>
        </w:rPr>
      </w:pPr>
    </w:p>
    <w:p>
      <w:pPr>
        <w:pStyle w:val="BodyText"/>
        <w:spacing w:before="65" w:line="259" w:lineRule="auto"/>
        <w:ind w:left="2879" w:right="98" w:firstLine="2"/>
        <w:rPr>
          <w:sz w:val="20"/>
          <w:szCs w:val="20"/>
        </w:rPr>
      </w:pPr>
      <w:r>
        <w:rPr>
          <w:b/>
          <w:bCs/>
          <w:spacing w:val="9"/>
          <w:sz w:val="20"/>
          <w:szCs w:val="20"/>
        </w:rPr>
        <w:t>委托投资管理人23</w:t>
      </w:r>
      <w:r>
        <w:rPr>
          <w:spacing w:val="47"/>
          <w:sz w:val="20"/>
          <w:szCs w:val="20"/>
        </w:rPr>
        <w:t xml:space="preserve"> </w:t>
      </w:r>
      <w:r>
        <w:rPr>
          <w:b/>
          <w:bCs/>
          <w:spacing w:val="9"/>
          <w:sz w:val="20"/>
          <w:szCs w:val="20"/>
        </w:rPr>
        <w:t>家，权益上限比例提高，但实际权益配置比重偏低。(</w:t>
      </w:r>
      <w:r>
        <w:rPr>
          <w:spacing w:val="9"/>
          <w:sz w:val="20"/>
          <w:szCs w:val="20"/>
        </w:rPr>
        <w:t>1)2020</w:t>
      </w:r>
      <w:r>
        <w:rPr>
          <w:sz w:val="20"/>
          <w:szCs w:val="20"/>
        </w:rPr>
        <w:t xml:space="preserve">   </w:t>
      </w:r>
      <w:r>
        <w:rPr>
          <w:spacing w:val="10"/>
          <w:sz w:val="20"/>
          <w:szCs w:val="20"/>
        </w:rPr>
        <w:t>年《关于调整年金基金投资范围的通知》允许年金基金投</w:t>
      </w:r>
      <w:r>
        <w:rPr>
          <w:spacing w:val="9"/>
          <w:sz w:val="20"/>
          <w:szCs w:val="20"/>
        </w:rPr>
        <w:t>资港股通标的，</w:t>
      </w:r>
      <w:r>
        <w:rPr>
          <w:spacing w:val="-29"/>
          <w:sz w:val="20"/>
          <w:szCs w:val="20"/>
        </w:rPr>
        <w:t xml:space="preserve"> </w:t>
      </w:r>
      <w:r>
        <w:rPr>
          <w:spacing w:val="9"/>
          <w:sz w:val="20"/>
          <w:szCs w:val="20"/>
          <w:u w:val="single" w:color="auto"/>
        </w:rPr>
        <w:t>并将权益</w:t>
      </w:r>
    </w:p>
    <w:p>
      <w:pPr>
        <w:spacing w:line="44" w:lineRule="exact"/>
      </w:pPr>
    </w:p>
    <w:p>
      <w:pPr>
        <w:spacing w:line="44" w:lineRule="exact"/>
        <w:sectPr>
          <w:footerReference w:type="default" r:id="rId77"/>
          <w:type w:val="continuous"/>
          <w:pgSz w:w="11910" w:h="16840"/>
          <w:pgMar w:top="156" w:right="660" w:bottom="400" w:left="650" w:header="0" w:footer="0" w:gutter="0"/>
          <w:pgNumType w:start="43"/>
          <w:cols w:num="1" w:space="708" w:equalWidth="0">
            <w:col w:w="10600" w:space="0"/>
          </w:cols>
        </w:sectPr>
      </w:pPr>
    </w:p>
    <w:p>
      <w:pPr>
        <w:pStyle w:val="BodyText"/>
        <w:spacing w:before="50" w:line="192" w:lineRule="auto"/>
        <w:ind w:left="79"/>
        <w:rPr>
          <w:sz w:val="20"/>
          <w:szCs w:val="20"/>
        </w:rPr>
      </w:pPr>
      <w:r>
        <w:rPr>
          <w:spacing w:val="-1"/>
          <w:sz w:val="20"/>
          <w:szCs w:val="20"/>
        </w:rPr>
        <w:t>请务必参阅正文后面的信息披露和法律声明</w:t>
      </w:r>
    </w:p>
    <w:p>
      <w:pPr>
        <w:spacing w:line="14" w:lineRule="auto"/>
        <w:rPr>
          <w:rFonts w:ascii="Arial"/>
          <w:sz w:val="2"/>
        </w:rPr>
      </w:pPr>
      <w:r>
        <w:rPr>
          <w:rFonts w:ascii="Arial" w:eastAsia="Arial" w:hAnsi="Arial" w:cs="Arial"/>
          <w:sz w:val="2"/>
          <w:szCs w:val="2"/>
        </w:rPr>
        <w:br w:type="column"/>
      </w:r>
    </w:p>
    <w:p>
      <w:pPr>
        <w:spacing w:before="40" w:line="200" w:lineRule="auto"/>
        <w:ind w:left="80"/>
        <w:rPr>
          <w:rFonts w:ascii="SimSun" w:eastAsia="SimSun" w:hAnsi="SimSun" w:cs="SimSun"/>
          <w:sz w:val="20"/>
          <w:szCs w:val="20"/>
        </w:rPr>
      </w:pPr>
      <w:r>
        <w:rPr>
          <w:rFonts w:ascii="SimSun" w:eastAsia="SimSun" w:hAnsi="SimSun" w:cs="SimSun"/>
          <w:spacing w:val="-4"/>
          <w:sz w:val="20"/>
          <w:szCs w:val="20"/>
        </w:rPr>
        <w:t>12/37</w:t>
      </w:r>
    </w:p>
    <w:p>
      <w:pPr>
        <w:spacing w:line="200" w:lineRule="auto"/>
        <w:rPr>
          <w:rFonts w:ascii="SimSun" w:eastAsia="SimSun" w:hAnsi="SimSun" w:cs="SimSun"/>
          <w:sz w:val="20"/>
          <w:szCs w:val="20"/>
        </w:rPr>
        <w:sectPr>
          <w:footerReference w:type="default" r:id="rId78"/>
          <w:type w:val="continuous"/>
          <w:pgSz w:w="11910" w:h="16840"/>
          <w:pgMar w:top="156" w:right="660" w:bottom="400" w:left="650" w:header="0" w:footer="0" w:gutter="0"/>
          <w:pgNumType w:start="44"/>
          <w:cols w:num="2" w:space="708" w:equalWidth="0">
            <w:col w:w="9780" w:space="100"/>
            <w:col w:w="720" w:space="0"/>
          </w:cols>
        </w:sectPr>
      </w:pPr>
    </w:p>
    <w:p>
      <w:pPr>
        <w:spacing w:before="154" w:line="238" w:lineRule="auto"/>
        <w:ind w:left="205"/>
        <w:rPr>
          <w:rFonts w:ascii="YouYuan" w:eastAsia="YouYuan" w:hAnsi="YouYuan" w:cs="YouYuan"/>
          <w:sz w:val="58"/>
          <w:szCs w:val="58"/>
        </w:rPr>
      </w:pPr>
      <w:r>
        <w:drawing>
          <wp:anchor distT="0" distB="0" distL="0" distR="0" simplePos="0" relativeHeight="251691008" behindDoc="0" locked="0" layoutInCell="0" allowOverlap="1">
            <wp:simplePos x="0" y="0"/>
            <wp:positionH relativeFrom="page">
              <wp:posOffset>438115</wp:posOffset>
            </wp:positionH>
            <wp:positionV relativeFrom="page">
              <wp:posOffset>6908772</wp:posOffset>
            </wp:positionV>
            <wp:extent cx="3282957" cy="635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xmlns:r="http://schemas.openxmlformats.org/officeDocument/2006/relationships" r:embed="rId79"/>
                    <a:stretch>
                      <a:fillRect/>
                    </a:stretch>
                  </pic:blipFill>
                  <pic:spPr>
                    <a:xfrm>
                      <a:off x="0" y="0"/>
                      <a:ext cx="3282957" cy="6350"/>
                    </a:xfrm>
                    <a:prstGeom prst="rect">
                      <a:avLst/>
                    </a:prstGeom>
                  </pic:spPr>
                </pic:pic>
              </a:graphicData>
            </a:graphic>
          </wp:anchor>
        </w:drawing>
      </w:r>
      <w:r>
        <w:drawing>
          <wp:anchor distT="0" distB="0" distL="0" distR="0" simplePos="0" relativeHeight="251693056" behindDoc="0" locked="0" layoutInCell="0" allowOverlap="1">
            <wp:simplePos x="0" y="0"/>
            <wp:positionH relativeFrom="page">
              <wp:posOffset>3848129</wp:posOffset>
            </wp:positionH>
            <wp:positionV relativeFrom="page">
              <wp:posOffset>5111746</wp:posOffset>
            </wp:positionV>
            <wp:extent cx="3276604" cy="635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xmlns:r="http://schemas.openxmlformats.org/officeDocument/2006/relationships" r:embed="rId33"/>
                    <a:stretch>
                      <a:fillRect/>
                    </a:stretch>
                  </pic:blipFill>
                  <pic:spPr>
                    <a:xfrm>
                      <a:off x="0" y="0"/>
                      <a:ext cx="3276604" cy="6350"/>
                    </a:xfrm>
                    <a:prstGeom prst="rect">
                      <a:avLst/>
                    </a:prstGeom>
                  </pic:spPr>
                </pic:pic>
              </a:graphicData>
            </a:graphic>
          </wp:anchor>
        </w:drawing>
      </w:r>
      <w:r>
        <w:drawing>
          <wp:anchor distT="0" distB="0" distL="0" distR="0" simplePos="0" relativeHeight="251692032" behindDoc="0" locked="0" layoutInCell="0" allowOverlap="1">
            <wp:simplePos x="0" y="0"/>
            <wp:positionH relativeFrom="page">
              <wp:posOffset>3841776</wp:posOffset>
            </wp:positionH>
            <wp:positionV relativeFrom="page">
              <wp:posOffset>6908772</wp:posOffset>
            </wp:positionV>
            <wp:extent cx="3282957" cy="635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xmlns:r="http://schemas.openxmlformats.org/officeDocument/2006/relationships" r:embed="rId79"/>
                    <a:stretch>
                      <a:fillRect/>
                    </a:stretch>
                  </pic:blipFill>
                  <pic:spPr>
                    <a:xfrm>
                      <a:off x="0" y="0"/>
                      <a:ext cx="3282957" cy="6350"/>
                    </a:xfrm>
                    <a:prstGeom prst="rect">
                      <a:avLst/>
                    </a:prstGeom>
                  </pic:spPr>
                </pic:pic>
              </a:graphicData>
            </a:graphic>
          </wp:anchor>
        </w:drawing>
      </w:r>
      <w:r>
        <w:pict>
          <v:shape id="_x0000_s1057" type="#_x0000_t202" style="width:71.4pt;height:11.85pt;margin-top:344.79pt;margin-left:392.35pt;mso-position-horizontal-relative:page;mso-position-vertical-relative:page;position:absolute;z-index:-251626496" o:allowincell="f" filled="f" stroked="f">
            <o:lock v:ext="edit" aspectratio="f"/>
            <v:textbox inset="0,0,0,0">
              <w:txbxContent>
                <w:p>
                  <w:pPr>
                    <w:pStyle w:val="BodyText"/>
                    <w:spacing w:before="19" w:line="227" w:lineRule="auto"/>
                    <w:ind w:left="20"/>
                    <w:rPr>
                      <w:sz w:val="16"/>
                      <w:szCs w:val="16"/>
                    </w:rPr>
                  </w:pPr>
                  <w:r>
                    <w:rPr>
                      <w:spacing w:val="-7"/>
                      <w:sz w:val="16"/>
                      <w:szCs w:val="16"/>
                    </w:rPr>
                    <w:t>净</w:t>
                  </w:r>
                  <w:r>
                    <w:rPr>
                      <w:spacing w:val="63"/>
                      <w:sz w:val="16"/>
                      <w:szCs w:val="16"/>
                    </w:rPr>
                    <w:t xml:space="preserve"> </w:t>
                  </w:r>
                  <w:r>
                    <w:rPr>
                      <w:spacing w:val="-7"/>
                      <w:sz w:val="16"/>
                      <w:szCs w:val="16"/>
                    </w:rPr>
                    <w:t>值</w:t>
                  </w:r>
                  <w:r>
                    <w:rPr>
                      <w:spacing w:val="-7"/>
                      <w:sz w:val="16"/>
                      <w:szCs w:val="16"/>
                    </w:rPr>
                    <w:t xml:space="preserve">  </w:t>
                  </w:r>
                  <w:r>
                    <w:rPr>
                      <w:spacing w:val="-7"/>
                      <w:sz w:val="16"/>
                      <w:szCs w:val="16"/>
                    </w:rPr>
                    <w:t>的</w:t>
                  </w:r>
                  <w:r>
                    <w:rPr>
                      <w:spacing w:val="62"/>
                      <w:sz w:val="16"/>
                      <w:szCs w:val="16"/>
                    </w:rPr>
                    <w:t xml:space="preserve"> </w:t>
                  </w:r>
                  <w:r>
                    <w:rPr>
                      <w:spacing w:val="-7"/>
                      <w:sz w:val="16"/>
                      <w:szCs w:val="16"/>
                    </w:rPr>
                    <w:t>3</w:t>
                  </w:r>
                  <w:r>
                    <w:rPr>
                      <w:spacing w:val="61"/>
                      <w:sz w:val="16"/>
                      <w:szCs w:val="16"/>
                    </w:rPr>
                    <w:t xml:space="preserve"> </w:t>
                  </w:r>
                  <w:r>
                    <w:rPr>
                      <w:spacing w:val="-7"/>
                      <w:sz w:val="16"/>
                      <w:szCs w:val="16"/>
                    </w:rPr>
                    <w:t>0</w:t>
                  </w:r>
                  <w:r>
                    <w:rPr>
                      <w:spacing w:val="60"/>
                      <w:sz w:val="16"/>
                      <w:szCs w:val="16"/>
                    </w:rPr>
                    <w:t xml:space="preserve"> </w:t>
                  </w:r>
                  <w:r>
                    <w:rPr>
                      <w:spacing w:val="-7"/>
                      <w:sz w:val="16"/>
                      <w:szCs w:val="16"/>
                    </w:rPr>
                    <w:t>%</w:t>
                  </w:r>
                </w:p>
              </w:txbxContent>
            </v:textbox>
          </v:shape>
        </w:pict>
      </w:r>
      <w:bookmarkStart w:id="23" w:name="bookmark32"/>
      <w:bookmarkEnd w:id="23"/>
      <w:bookmarkStart w:id="24" w:name="bookmark33"/>
      <w:bookmarkEnd w:id="24"/>
      <w:bookmarkStart w:id="25" w:name="bookmark77"/>
      <w:bookmarkEnd w:id="25"/>
      <w:bookmarkStart w:id="26" w:name="bookmark78"/>
      <w:bookmarkEnd w:id="26"/>
      <w:r>
        <w:rPr>
          <w:rFonts w:ascii="YouYuan" w:eastAsia="YouYuan" w:hAnsi="YouYuan" w:cs="YouYuan"/>
          <w:position w:val="-19"/>
          <w:sz w:val="58"/>
          <w:szCs w:val="58"/>
        </w:rPr>
        <w:drawing>
          <wp:inline distT="0" distB="0" distL="0" distR="0">
            <wp:extent cx="577801" cy="488901"/>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51"/>
          <w:sz w:val="58"/>
          <w:szCs w:val="58"/>
        </w:rPr>
        <w:t>开源证券</w:t>
      </w:r>
    </w:p>
    <w:p>
      <w:pPr>
        <w:pStyle w:val="BodyText"/>
        <w:spacing w:before="87" w:line="229" w:lineRule="auto"/>
        <w:ind w:left="8636"/>
        <w:rPr>
          <w:sz w:val="17"/>
          <w:szCs w:val="17"/>
        </w:rPr>
      </w:pPr>
      <w:r>
        <w:drawing>
          <wp:anchor distT="0" distB="0" distL="0" distR="0" simplePos="0" relativeHeight="251694080" behindDoc="0" locked="0" layoutInCell="1" allowOverlap="1">
            <wp:simplePos x="0" y="0"/>
            <wp:positionH relativeFrom="column">
              <wp:posOffset>28586</wp:posOffset>
            </wp:positionH>
            <wp:positionV relativeFrom="paragraph">
              <wp:posOffset>157828</wp:posOffset>
            </wp:positionV>
            <wp:extent cx="6563772" cy="635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xmlns:r="http://schemas.openxmlformats.org/officeDocument/2006/relationships" r:embed="rId80"/>
                    <a:stretch>
                      <a:fillRect/>
                    </a:stretch>
                  </pic:blipFill>
                  <pic:spPr>
                    <a:xfrm>
                      <a:off x="0" y="0"/>
                      <a:ext cx="6563772" cy="6350"/>
                    </a:xfrm>
                    <a:prstGeom prst="rect">
                      <a:avLst/>
                    </a:prstGeom>
                  </pic:spPr>
                </pic:pic>
              </a:graphicData>
            </a:graphic>
          </wp:anchor>
        </w:drawing>
      </w:r>
      <w:r>
        <w:rPr>
          <w:spacing w:val="-8"/>
          <w:sz w:val="17"/>
          <w:szCs w:val="17"/>
        </w:rPr>
        <w:t>行</w:t>
      </w:r>
      <w:r>
        <w:rPr>
          <w:spacing w:val="76"/>
          <w:sz w:val="17"/>
          <w:szCs w:val="17"/>
        </w:rPr>
        <w:t xml:space="preserve"> </w:t>
      </w:r>
      <w:r>
        <w:rPr>
          <w:spacing w:val="-8"/>
          <w:sz w:val="17"/>
          <w:szCs w:val="17"/>
        </w:rPr>
        <w:t>业</w:t>
      </w:r>
      <w:r>
        <w:rPr>
          <w:spacing w:val="74"/>
          <w:sz w:val="17"/>
          <w:szCs w:val="17"/>
        </w:rPr>
        <w:t xml:space="preserve"> </w:t>
      </w:r>
      <w:r>
        <w:rPr>
          <w:spacing w:val="-8"/>
          <w:sz w:val="17"/>
          <w:szCs w:val="17"/>
        </w:rPr>
        <w:t>深</w:t>
      </w:r>
      <w:r>
        <w:rPr>
          <w:spacing w:val="68"/>
          <w:w w:val="101"/>
          <w:sz w:val="17"/>
          <w:szCs w:val="17"/>
        </w:rPr>
        <w:t xml:space="preserve"> </w:t>
      </w:r>
      <w:r>
        <w:rPr>
          <w:spacing w:val="-8"/>
          <w:sz w:val="17"/>
          <w:szCs w:val="17"/>
        </w:rPr>
        <w:t>度</w:t>
      </w:r>
      <w:r>
        <w:rPr>
          <w:spacing w:val="65"/>
          <w:w w:val="101"/>
          <w:sz w:val="17"/>
          <w:szCs w:val="17"/>
        </w:rPr>
        <w:t xml:space="preserve"> </w:t>
      </w:r>
      <w:r>
        <w:rPr>
          <w:spacing w:val="-8"/>
          <w:sz w:val="17"/>
          <w:szCs w:val="17"/>
        </w:rPr>
        <w:t>报</w:t>
      </w:r>
      <w:r>
        <w:rPr>
          <w:spacing w:val="65"/>
          <w:sz w:val="17"/>
          <w:szCs w:val="17"/>
        </w:rPr>
        <w:t xml:space="preserve"> </w:t>
      </w:r>
      <w:r>
        <w:rPr>
          <w:spacing w:val="-8"/>
          <w:sz w:val="17"/>
          <w:szCs w:val="17"/>
        </w:rPr>
        <w:t>告</w:t>
      </w:r>
    </w:p>
    <w:p>
      <w:pPr>
        <w:pStyle w:val="BodyText"/>
        <w:spacing w:before="142" w:line="319" w:lineRule="auto"/>
        <w:ind w:left="2845" w:right="112"/>
        <w:jc w:val="both"/>
        <w:rPr>
          <w:sz w:val="17"/>
          <w:szCs w:val="17"/>
        </w:rPr>
      </w:pPr>
      <w:r>
        <w:rPr>
          <w:spacing w:val="-10"/>
          <w:sz w:val="17"/>
          <w:szCs w:val="17"/>
          <w:u w:val="single" w:color="auto"/>
        </w:rPr>
        <w:t>类</w:t>
      </w:r>
      <w:r>
        <w:rPr>
          <w:spacing w:val="-17"/>
          <w:sz w:val="17"/>
          <w:szCs w:val="17"/>
          <w:u w:val="single" w:color="auto"/>
        </w:rPr>
        <w:t xml:space="preserve"> </w:t>
      </w:r>
      <w:r>
        <w:rPr>
          <w:spacing w:val="-10"/>
          <w:sz w:val="17"/>
          <w:szCs w:val="17"/>
          <w:u w:val="single" w:color="auto"/>
        </w:rPr>
        <w:t>资</w:t>
      </w:r>
      <w:r>
        <w:rPr>
          <w:spacing w:val="-30"/>
          <w:sz w:val="17"/>
          <w:szCs w:val="17"/>
          <w:u w:val="single" w:color="auto"/>
        </w:rPr>
        <w:t xml:space="preserve"> </w:t>
      </w:r>
      <w:r>
        <w:rPr>
          <w:spacing w:val="-10"/>
          <w:sz w:val="17"/>
          <w:szCs w:val="17"/>
          <w:u w:val="single" w:color="auto"/>
        </w:rPr>
        <w:t>产</w:t>
      </w:r>
      <w:r>
        <w:rPr>
          <w:spacing w:val="-25"/>
          <w:sz w:val="17"/>
          <w:szCs w:val="17"/>
          <w:u w:val="single" w:color="auto"/>
        </w:rPr>
        <w:t xml:space="preserve"> </w:t>
      </w:r>
      <w:r>
        <w:rPr>
          <w:spacing w:val="-10"/>
          <w:sz w:val="17"/>
          <w:szCs w:val="17"/>
          <w:u w:val="single" w:color="auto"/>
        </w:rPr>
        <w:t>投</w:t>
      </w:r>
      <w:r>
        <w:rPr>
          <w:spacing w:val="-21"/>
          <w:sz w:val="17"/>
          <w:szCs w:val="17"/>
          <w:u w:val="single" w:color="auto"/>
        </w:rPr>
        <w:t xml:space="preserve"> </w:t>
      </w:r>
      <w:r>
        <w:rPr>
          <w:spacing w:val="-10"/>
          <w:sz w:val="17"/>
          <w:szCs w:val="17"/>
          <w:u w:val="single" w:color="auto"/>
        </w:rPr>
        <w:t>资</w:t>
      </w:r>
      <w:r>
        <w:rPr>
          <w:spacing w:val="-10"/>
          <w:sz w:val="17"/>
          <w:szCs w:val="17"/>
          <w:u w:val="single" w:color="auto"/>
        </w:rPr>
        <w:t xml:space="preserve"> </w:t>
      </w:r>
      <w:r>
        <w:rPr>
          <w:spacing w:val="-10"/>
          <w:sz w:val="17"/>
          <w:szCs w:val="17"/>
          <w:u w:val="single" w:color="auto"/>
        </w:rPr>
        <w:t>比</w:t>
      </w:r>
      <w:r>
        <w:rPr>
          <w:spacing w:val="-31"/>
          <w:sz w:val="17"/>
          <w:szCs w:val="17"/>
          <w:u w:val="single" w:color="auto"/>
        </w:rPr>
        <w:t xml:space="preserve"> </w:t>
      </w:r>
      <w:r>
        <w:rPr>
          <w:spacing w:val="-10"/>
          <w:sz w:val="17"/>
          <w:szCs w:val="17"/>
          <w:u w:val="single" w:color="auto"/>
        </w:rPr>
        <w:t>例</w:t>
      </w:r>
      <w:r>
        <w:rPr>
          <w:spacing w:val="-25"/>
          <w:sz w:val="17"/>
          <w:szCs w:val="17"/>
          <w:u w:val="single" w:color="auto"/>
        </w:rPr>
        <w:t xml:space="preserve"> </w:t>
      </w:r>
      <w:r>
        <w:rPr>
          <w:spacing w:val="-10"/>
          <w:sz w:val="17"/>
          <w:szCs w:val="17"/>
          <w:u w:val="single" w:color="auto"/>
        </w:rPr>
        <w:t>上</w:t>
      </w:r>
      <w:r>
        <w:rPr>
          <w:spacing w:val="-10"/>
          <w:sz w:val="17"/>
          <w:szCs w:val="17"/>
          <w:u w:val="single" w:color="auto"/>
        </w:rPr>
        <w:t xml:space="preserve"> </w:t>
      </w:r>
      <w:r>
        <w:rPr>
          <w:spacing w:val="-10"/>
          <w:sz w:val="17"/>
          <w:szCs w:val="17"/>
          <w:u w:val="single" w:color="auto"/>
        </w:rPr>
        <w:t>限</w:t>
      </w:r>
      <w:r>
        <w:rPr>
          <w:spacing w:val="-31"/>
          <w:sz w:val="17"/>
          <w:szCs w:val="17"/>
          <w:u w:val="single" w:color="auto"/>
        </w:rPr>
        <w:t xml:space="preserve"> </w:t>
      </w:r>
      <w:r>
        <w:rPr>
          <w:spacing w:val="-10"/>
          <w:sz w:val="17"/>
          <w:szCs w:val="17"/>
          <w:u w:val="single" w:color="auto"/>
        </w:rPr>
        <w:t>提</w:t>
      </w:r>
      <w:r>
        <w:rPr>
          <w:spacing w:val="-10"/>
          <w:sz w:val="17"/>
          <w:szCs w:val="17"/>
          <w:u w:val="single" w:color="auto"/>
        </w:rPr>
        <w:t xml:space="preserve"> </w:t>
      </w:r>
      <w:r>
        <w:rPr>
          <w:spacing w:val="-10"/>
          <w:sz w:val="17"/>
          <w:szCs w:val="17"/>
          <w:u w:val="single" w:color="auto"/>
        </w:rPr>
        <w:t>高</w:t>
      </w:r>
      <w:r>
        <w:rPr>
          <w:spacing w:val="-21"/>
          <w:sz w:val="17"/>
          <w:szCs w:val="17"/>
          <w:u w:val="single" w:color="auto"/>
        </w:rPr>
        <w:t xml:space="preserve"> </w:t>
      </w:r>
      <w:r>
        <w:rPr>
          <w:spacing w:val="-10"/>
          <w:sz w:val="17"/>
          <w:szCs w:val="17"/>
          <w:u w:val="single" w:color="auto"/>
        </w:rPr>
        <w:t>至</w:t>
      </w:r>
      <w:r>
        <w:rPr>
          <w:spacing w:val="-32"/>
          <w:sz w:val="17"/>
          <w:szCs w:val="17"/>
          <w:u w:val="single" w:color="auto"/>
        </w:rPr>
        <w:t xml:space="preserve"> </w:t>
      </w:r>
      <w:r>
        <w:rPr>
          <w:spacing w:val="-10"/>
          <w:sz w:val="17"/>
          <w:szCs w:val="17"/>
          <w:u w:val="single" w:color="auto"/>
        </w:rPr>
        <w:t>4</w:t>
      </w:r>
      <w:r>
        <w:rPr>
          <w:spacing w:val="-28"/>
          <w:sz w:val="17"/>
          <w:szCs w:val="17"/>
          <w:u w:val="single" w:color="auto"/>
        </w:rPr>
        <w:t xml:space="preserve"> </w:t>
      </w:r>
      <w:r>
        <w:rPr>
          <w:spacing w:val="-10"/>
          <w:sz w:val="17"/>
          <w:szCs w:val="17"/>
          <w:u w:val="single" w:color="auto"/>
        </w:rPr>
        <w:t>0</w:t>
      </w:r>
      <w:r>
        <w:rPr>
          <w:spacing w:val="-30"/>
          <w:sz w:val="17"/>
          <w:szCs w:val="17"/>
          <w:u w:val="single" w:color="auto"/>
        </w:rPr>
        <w:t xml:space="preserve"> </w:t>
      </w:r>
      <w:r>
        <w:rPr>
          <w:spacing w:val="-10"/>
          <w:sz w:val="17"/>
          <w:szCs w:val="17"/>
          <w:u w:val="single" w:color="auto"/>
        </w:rPr>
        <w:t>%</w:t>
      </w:r>
      <w:r>
        <w:rPr>
          <w:spacing w:val="-10"/>
          <w:sz w:val="17"/>
          <w:szCs w:val="17"/>
        </w:rPr>
        <w:t>。</w:t>
      </w:r>
      <w:r>
        <w:rPr>
          <w:spacing w:val="-36"/>
          <w:sz w:val="17"/>
          <w:szCs w:val="17"/>
        </w:rPr>
        <w:t xml:space="preserve"> </w:t>
      </w:r>
      <w:r>
        <w:rPr>
          <w:spacing w:val="-10"/>
          <w:sz w:val="17"/>
          <w:szCs w:val="17"/>
        </w:rPr>
        <w:t>考</w:t>
      </w:r>
      <w:r>
        <w:rPr>
          <w:spacing w:val="-34"/>
          <w:sz w:val="17"/>
          <w:szCs w:val="17"/>
        </w:rPr>
        <w:t xml:space="preserve"> </w:t>
      </w:r>
      <w:r>
        <w:rPr>
          <w:spacing w:val="-10"/>
          <w:sz w:val="17"/>
          <w:szCs w:val="17"/>
        </w:rPr>
        <w:t>虑</w:t>
      </w:r>
      <w:r>
        <w:rPr>
          <w:spacing w:val="-39"/>
          <w:sz w:val="17"/>
          <w:szCs w:val="17"/>
        </w:rPr>
        <w:t xml:space="preserve"> </w:t>
      </w:r>
      <w:r>
        <w:rPr>
          <w:spacing w:val="-10"/>
          <w:sz w:val="17"/>
          <w:szCs w:val="17"/>
        </w:rPr>
        <w:t>企</w:t>
      </w:r>
      <w:r>
        <w:rPr>
          <w:spacing w:val="-29"/>
          <w:sz w:val="17"/>
          <w:szCs w:val="17"/>
        </w:rPr>
        <w:t xml:space="preserve"> </w:t>
      </w:r>
      <w:r>
        <w:rPr>
          <w:spacing w:val="-10"/>
          <w:sz w:val="17"/>
          <w:szCs w:val="17"/>
        </w:rPr>
        <w:t>业</w:t>
      </w:r>
      <w:r>
        <w:rPr>
          <w:spacing w:val="-36"/>
          <w:sz w:val="17"/>
          <w:szCs w:val="17"/>
        </w:rPr>
        <w:t xml:space="preserve"> </w:t>
      </w:r>
      <w:r>
        <w:rPr>
          <w:spacing w:val="-10"/>
          <w:sz w:val="17"/>
          <w:szCs w:val="17"/>
        </w:rPr>
        <w:t>年</w:t>
      </w:r>
      <w:r>
        <w:rPr>
          <w:spacing w:val="-43"/>
          <w:sz w:val="17"/>
          <w:szCs w:val="17"/>
        </w:rPr>
        <w:t xml:space="preserve"> </w:t>
      </w:r>
      <w:r>
        <w:rPr>
          <w:spacing w:val="-10"/>
          <w:sz w:val="17"/>
          <w:szCs w:val="17"/>
        </w:rPr>
        <w:t>金</w:t>
      </w:r>
      <w:r>
        <w:rPr>
          <w:spacing w:val="-31"/>
          <w:sz w:val="17"/>
          <w:szCs w:val="17"/>
        </w:rPr>
        <w:t xml:space="preserve"> </w:t>
      </w:r>
      <w:r>
        <w:rPr>
          <w:spacing w:val="-10"/>
          <w:sz w:val="17"/>
          <w:szCs w:val="17"/>
        </w:rPr>
        <w:t>业</w:t>
      </w:r>
      <w:r>
        <w:rPr>
          <w:spacing w:val="-32"/>
          <w:sz w:val="17"/>
          <w:szCs w:val="17"/>
        </w:rPr>
        <w:t xml:space="preserve"> </w:t>
      </w:r>
      <w:r>
        <w:rPr>
          <w:spacing w:val="-10"/>
          <w:sz w:val="17"/>
          <w:szCs w:val="17"/>
        </w:rPr>
        <w:t>务</w:t>
      </w:r>
      <w:r>
        <w:rPr>
          <w:spacing w:val="-35"/>
          <w:sz w:val="17"/>
          <w:szCs w:val="17"/>
        </w:rPr>
        <w:t xml:space="preserve"> </w:t>
      </w:r>
      <w:r>
        <w:rPr>
          <w:spacing w:val="-10"/>
          <w:sz w:val="17"/>
          <w:szCs w:val="17"/>
        </w:rPr>
        <w:t>分</w:t>
      </w:r>
      <w:r>
        <w:rPr>
          <w:spacing w:val="-25"/>
          <w:sz w:val="17"/>
          <w:szCs w:val="17"/>
        </w:rPr>
        <w:t xml:space="preserve"> </w:t>
      </w:r>
      <w:r>
        <w:rPr>
          <w:spacing w:val="-10"/>
          <w:sz w:val="17"/>
          <w:szCs w:val="17"/>
        </w:rPr>
        <w:t>类</w:t>
      </w:r>
      <w:r>
        <w:rPr>
          <w:spacing w:val="-17"/>
          <w:sz w:val="17"/>
          <w:szCs w:val="17"/>
        </w:rPr>
        <w:t xml:space="preserve"> </w:t>
      </w:r>
      <w:r>
        <w:rPr>
          <w:spacing w:val="-10"/>
          <w:sz w:val="17"/>
          <w:szCs w:val="17"/>
        </w:rPr>
        <w:t>中</w:t>
      </w:r>
      <w:r>
        <w:rPr>
          <w:spacing w:val="-44"/>
          <w:sz w:val="17"/>
          <w:szCs w:val="17"/>
        </w:rPr>
        <w:t xml:space="preserve"> </w:t>
      </w:r>
      <w:r>
        <w:rPr>
          <w:spacing w:val="-10"/>
          <w:sz w:val="17"/>
          <w:szCs w:val="17"/>
        </w:rPr>
        <w:t>“</w:t>
      </w:r>
      <w:r>
        <w:rPr>
          <w:spacing w:val="-45"/>
          <w:sz w:val="17"/>
          <w:szCs w:val="17"/>
        </w:rPr>
        <w:t xml:space="preserve"> </w:t>
      </w:r>
      <w:r>
        <w:rPr>
          <w:spacing w:val="-10"/>
          <w:sz w:val="17"/>
          <w:szCs w:val="17"/>
        </w:rPr>
        <w:t>含</w:t>
      </w:r>
      <w:r>
        <w:rPr>
          <w:spacing w:val="-41"/>
          <w:sz w:val="17"/>
          <w:szCs w:val="17"/>
        </w:rPr>
        <w:t xml:space="preserve"> </w:t>
      </w:r>
      <w:r>
        <w:rPr>
          <w:spacing w:val="-10"/>
          <w:sz w:val="17"/>
          <w:szCs w:val="17"/>
        </w:rPr>
        <w:t>权</w:t>
      </w:r>
      <w:r>
        <w:rPr>
          <w:spacing w:val="-36"/>
          <w:sz w:val="17"/>
          <w:szCs w:val="17"/>
        </w:rPr>
        <w:t xml:space="preserve"> </w:t>
      </w:r>
      <w:r>
        <w:rPr>
          <w:spacing w:val="-10"/>
          <w:sz w:val="17"/>
          <w:szCs w:val="17"/>
        </w:rPr>
        <w:t>益</w:t>
      </w:r>
      <w:r>
        <w:rPr>
          <w:spacing w:val="-26"/>
          <w:sz w:val="17"/>
          <w:szCs w:val="17"/>
        </w:rPr>
        <w:t xml:space="preserve"> </w:t>
      </w:r>
      <w:r>
        <w:rPr>
          <w:spacing w:val="-10"/>
          <w:sz w:val="17"/>
          <w:szCs w:val="17"/>
        </w:rPr>
        <w:t>类</w:t>
      </w:r>
      <w:r>
        <w:rPr>
          <w:spacing w:val="-30"/>
          <w:sz w:val="17"/>
          <w:szCs w:val="17"/>
        </w:rPr>
        <w:t xml:space="preserve"> </w:t>
      </w:r>
      <w:r>
        <w:rPr>
          <w:spacing w:val="-10"/>
          <w:sz w:val="17"/>
          <w:szCs w:val="17"/>
        </w:rPr>
        <w:t>资</w:t>
      </w:r>
      <w:r>
        <w:rPr>
          <w:spacing w:val="-39"/>
          <w:sz w:val="17"/>
          <w:szCs w:val="17"/>
        </w:rPr>
        <w:t xml:space="preserve"> </w:t>
      </w:r>
      <w:r>
        <w:rPr>
          <w:spacing w:val="-10"/>
          <w:sz w:val="17"/>
          <w:szCs w:val="17"/>
        </w:rPr>
        <w:t>产</w:t>
      </w:r>
      <w:r>
        <w:rPr>
          <w:spacing w:val="-21"/>
          <w:sz w:val="17"/>
          <w:szCs w:val="17"/>
        </w:rPr>
        <w:t xml:space="preserve"> </w:t>
      </w:r>
      <w:r>
        <w:rPr>
          <w:spacing w:val="-10"/>
          <w:sz w:val="17"/>
          <w:szCs w:val="17"/>
        </w:rPr>
        <w:t>”</w:t>
      </w:r>
      <w:r>
        <w:rPr>
          <w:spacing w:val="-56"/>
          <w:sz w:val="17"/>
          <w:szCs w:val="17"/>
        </w:rPr>
        <w:t xml:space="preserve"> </w:t>
      </w:r>
      <w:r>
        <w:rPr>
          <w:spacing w:val="-10"/>
          <w:sz w:val="17"/>
          <w:szCs w:val="17"/>
        </w:rPr>
        <w:t>指</w:t>
      </w:r>
      <w:r>
        <w:rPr>
          <w:spacing w:val="-36"/>
          <w:sz w:val="17"/>
          <w:szCs w:val="17"/>
        </w:rPr>
        <w:t xml:space="preserve"> </w:t>
      </w:r>
      <w:r>
        <w:rPr>
          <w:spacing w:val="-10"/>
          <w:sz w:val="17"/>
          <w:szCs w:val="17"/>
        </w:rPr>
        <w:t>年</w:t>
      </w:r>
      <w:r>
        <w:rPr>
          <w:sz w:val="17"/>
          <w:szCs w:val="17"/>
        </w:rPr>
        <w:t xml:space="preserve"> </w:t>
      </w:r>
      <w:r>
        <w:rPr>
          <w:spacing w:val="-11"/>
          <w:sz w:val="17"/>
          <w:szCs w:val="17"/>
        </w:rPr>
        <w:t>金</w:t>
      </w:r>
      <w:r>
        <w:rPr>
          <w:spacing w:val="-40"/>
          <w:sz w:val="17"/>
          <w:szCs w:val="17"/>
        </w:rPr>
        <w:t xml:space="preserve"> </w:t>
      </w:r>
      <w:r>
        <w:rPr>
          <w:spacing w:val="-11"/>
          <w:sz w:val="17"/>
          <w:szCs w:val="17"/>
        </w:rPr>
        <w:t>产</w:t>
      </w:r>
      <w:r>
        <w:rPr>
          <w:spacing w:val="-28"/>
          <w:sz w:val="17"/>
          <w:szCs w:val="17"/>
        </w:rPr>
        <w:t xml:space="preserve"> </w:t>
      </w:r>
      <w:r>
        <w:rPr>
          <w:spacing w:val="-11"/>
          <w:sz w:val="17"/>
          <w:szCs w:val="17"/>
        </w:rPr>
        <w:t>品</w:t>
      </w:r>
      <w:r>
        <w:rPr>
          <w:spacing w:val="-11"/>
          <w:sz w:val="17"/>
          <w:szCs w:val="17"/>
        </w:rPr>
        <w:t xml:space="preserve"> </w:t>
      </w:r>
      <w:r>
        <w:rPr>
          <w:spacing w:val="-11"/>
          <w:sz w:val="17"/>
          <w:szCs w:val="17"/>
        </w:rPr>
        <w:t>中</w:t>
      </w:r>
      <w:r>
        <w:rPr>
          <w:spacing w:val="-44"/>
          <w:sz w:val="17"/>
          <w:szCs w:val="17"/>
        </w:rPr>
        <w:t xml:space="preserve"> </w:t>
      </w:r>
      <w:r>
        <w:rPr>
          <w:spacing w:val="-11"/>
          <w:sz w:val="17"/>
          <w:szCs w:val="17"/>
        </w:rPr>
        <w:t>含</w:t>
      </w:r>
      <w:r>
        <w:rPr>
          <w:spacing w:val="-35"/>
          <w:sz w:val="17"/>
          <w:szCs w:val="17"/>
        </w:rPr>
        <w:t xml:space="preserve"> </w:t>
      </w:r>
      <w:r>
        <w:rPr>
          <w:spacing w:val="-11"/>
          <w:sz w:val="17"/>
          <w:szCs w:val="17"/>
        </w:rPr>
        <w:t>有</w:t>
      </w:r>
      <w:r>
        <w:rPr>
          <w:spacing w:val="-40"/>
          <w:sz w:val="17"/>
          <w:szCs w:val="17"/>
        </w:rPr>
        <w:t xml:space="preserve"> </w:t>
      </w:r>
      <w:r>
        <w:rPr>
          <w:spacing w:val="-11"/>
          <w:sz w:val="17"/>
          <w:szCs w:val="17"/>
        </w:rPr>
        <w:t>权</w:t>
      </w:r>
      <w:r>
        <w:rPr>
          <w:spacing w:val="-35"/>
          <w:sz w:val="17"/>
          <w:szCs w:val="17"/>
        </w:rPr>
        <w:t xml:space="preserve"> </w:t>
      </w:r>
      <w:r>
        <w:rPr>
          <w:spacing w:val="-11"/>
          <w:sz w:val="17"/>
          <w:szCs w:val="17"/>
        </w:rPr>
        <w:t>益</w:t>
      </w:r>
      <w:r>
        <w:rPr>
          <w:spacing w:val="-25"/>
          <w:sz w:val="17"/>
          <w:szCs w:val="17"/>
        </w:rPr>
        <w:t xml:space="preserve"> </w:t>
      </w:r>
      <w:r>
        <w:rPr>
          <w:spacing w:val="-11"/>
          <w:sz w:val="17"/>
          <w:szCs w:val="17"/>
        </w:rPr>
        <w:t>类</w:t>
      </w:r>
      <w:r>
        <w:rPr>
          <w:spacing w:val="-29"/>
          <w:sz w:val="17"/>
          <w:szCs w:val="17"/>
        </w:rPr>
        <w:t xml:space="preserve"> </w:t>
      </w:r>
      <w:r>
        <w:rPr>
          <w:spacing w:val="-11"/>
          <w:sz w:val="17"/>
          <w:szCs w:val="17"/>
        </w:rPr>
        <w:t>资</w:t>
      </w:r>
      <w:r>
        <w:rPr>
          <w:spacing w:val="-38"/>
          <w:sz w:val="17"/>
          <w:szCs w:val="17"/>
        </w:rPr>
        <w:t xml:space="preserve"> </w:t>
      </w:r>
      <w:r>
        <w:rPr>
          <w:spacing w:val="-11"/>
          <w:sz w:val="17"/>
          <w:szCs w:val="17"/>
        </w:rPr>
        <w:t>产</w:t>
      </w:r>
      <w:r>
        <w:rPr>
          <w:spacing w:val="-26"/>
          <w:sz w:val="17"/>
          <w:szCs w:val="17"/>
        </w:rPr>
        <w:t xml:space="preserve"> </w:t>
      </w:r>
      <w:r>
        <w:rPr>
          <w:spacing w:val="-11"/>
          <w:sz w:val="17"/>
          <w:szCs w:val="17"/>
        </w:rPr>
        <w:t>的</w:t>
      </w:r>
      <w:r>
        <w:rPr>
          <w:spacing w:val="-39"/>
          <w:sz w:val="17"/>
          <w:szCs w:val="17"/>
        </w:rPr>
        <w:t xml:space="preserve"> </w:t>
      </w:r>
      <w:r>
        <w:rPr>
          <w:spacing w:val="-11"/>
          <w:sz w:val="17"/>
          <w:szCs w:val="17"/>
        </w:rPr>
        <w:t>产</w:t>
      </w:r>
      <w:r>
        <w:rPr>
          <w:spacing w:val="-27"/>
          <w:sz w:val="17"/>
          <w:szCs w:val="17"/>
        </w:rPr>
        <w:t xml:space="preserve"> </w:t>
      </w:r>
      <w:r>
        <w:rPr>
          <w:spacing w:val="-11"/>
          <w:sz w:val="17"/>
          <w:szCs w:val="17"/>
        </w:rPr>
        <w:t>品</w:t>
      </w:r>
      <w:r>
        <w:rPr>
          <w:spacing w:val="-24"/>
          <w:sz w:val="17"/>
          <w:szCs w:val="17"/>
        </w:rPr>
        <w:t xml:space="preserve"> </w:t>
      </w:r>
      <w:r>
        <w:rPr>
          <w:spacing w:val="-11"/>
          <w:sz w:val="17"/>
          <w:szCs w:val="17"/>
        </w:rPr>
        <w:t>，</w:t>
      </w:r>
      <w:r>
        <w:rPr>
          <w:spacing w:val="-38"/>
          <w:sz w:val="17"/>
          <w:szCs w:val="17"/>
        </w:rPr>
        <w:t xml:space="preserve"> </w:t>
      </w:r>
      <w:r>
        <w:rPr>
          <w:spacing w:val="-11"/>
          <w:sz w:val="17"/>
          <w:szCs w:val="17"/>
        </w:rPr>
        <w:t>按</w:t>
      </w:r>
      <w:r>
        <w:rPr>
          <w:spacing w:val="-39"/>
          <w:sz w:val="17"/>
          <w:szCs w:val="17"/>
        </w:rPr>
        <w:t xml:space="preserve"> </w:t>
      </w:r>
      <w:r>
        <w:rPr>
          <w:spacing w:val="-11"/>
          <w:sz w:val="17"/>
          <w:szCs w:val="17"/>
        </w:rPr>
        <w:t>产</w:t>
      </w:r>
      <w:r>
        <w:rPr>
          <w:spacing w:val="-28"/>
          <w:sz w:val="17"/>
          <w:szCs w:val="17"/>
        </w:rPr>
        <w:t xml:space="preserve"> </w:t>
      </w:r>
      <w:r>
        <w:rPr>
          <w:spacing w:val="-11"/>
          <w:sz w:val="17"/>
          <w:szCs w:val="17"/>
        </w:rPr>
        <w:t>品</w:t>
      </w:r>
      <w:r>
        <w:rPr>
          <w:spacing w:val="-32"/>
          <w:sz w:val="17"/>
          <w:szCs w:val="17"/>
        </w:rPr>
        <w:t xml:space="preserve"> </w:t>
      </w:r>
      <w:r>
        <w:rPr>
          <w:spacing w:val="-11"/>
          <w:sz w:val="17"/>
          <w:szCs w:val="17"/>
        </w:rPr>
        <w:t>整</w:t>
      </w:r>
      <w:r>
        <w:rPr>
          <w:spacing w:val="-39"/>
          <w:sz w:val="17"/>
          <w:szCs w:val="17"/>
        </w:rPr>
        <w:t xml:space="preserve"> </w:t>
      </w:r>
      <w:r>
        <w:rPr>
          <w:spacing w:val="-11"/>
          <w:sz w:val="17"/>
          <w:szCs w:val="17"/>
        </w:rPr>
        <w:t>体</w:t>
      </w:r>
      <w:r>
        <w:rPr>
          <w:spacing w:val="-29"/>
          <w:sz w:val="17"/>
          <w:szCs w:val="17"/>
        </w:rPr>
        <w:t xml:space="preserve"> </w:t>
      </w:r>
      <w:r>
        <w:rPr>
          <w:spacing w:val="-11"/>
          <w:sz w:val="17"/>
          <w:szCs w:val="17"/>
        </w:rPr>
        <w:t>净</w:t>
      </w:r>
      <w:r>
        <w:rPr>
          <w:spacing w:val="-40"/>
          <w:sz w:val="17"/>
          <w:szCs w:val="17"/>
        </w:rPr>
        <w:t xml:space="preserve"> </w:t>
      </w:r>
      <w:r>
        <w:rPr>
          <w:spacing w:val="-11"/>
          <w:sz w:val="17"/>
          <w:szCs w:val="17"/>
        </w:rPr>
        <w:t>值</w:t>
      </w:r>
      <w:r>
        <w:rPr>
          <w:spacing w:val="-39"/>
          <w:sz w:val="17"/>
          <w:szCs w:val="17"/>
        </w:rPr>
        <w:t xml:space="preserve"> </w:t>
      </w:r>
      <w:r>
        <w:rPr>
          <w:spacing w:val="-11"/>
          <w:sz w:val="17"/>
          <w:szCs w:val="17"/>
        </w:rPr>
        <w:t>合</w:t>
      </w:r>
      <w:r>
        <w:rPr>
          <w:spacing w:val="-34"/>
          <w:sz w:val="17"/>
          <w:szCs w:val="17"/>
        </w:rPr>
        <w:t xml:space="preserve"> </w:t>
      </w:r>
      <w:r>
        <w:rPr>
          <w:spacing w:val="-11"/>
          <w:sz w:val="17"/>
          <w:szCs w:val="17"/>
        </w:rPr>
        <w:t>计</w:t>
      </w:r>
      <w:r>
        <w:rPr>
          <w:spacing w:val="-21"/>
          <w:sz w:val="17"/>
          <w:szCs w:val="17"/>
        </w:rPr>
        <w:t xml:space="preserve"> </w:t>
      </w:r>
      <w:r>
        <w:rPr>
          <w:spacing w:val="-11"/>
          <w:sz w:val="17"/>
          <w:szCs w:val="17"/>
        </w:rPr>
        <w:t>而</w:t>
      </w:r>
      <w:r>
        <w:rPr>
          <w:spacing w:val="-21"/>
          <w:sz w:val="17"/>
          <w:szCs w:val="17"/>
        </w:rPr>
        <w:t xml:space="preserve"> </w:t>
      </w:r>
      <w:r>
        <w:rPr>
          <w:spacing w:val="-11"/>
          <w:sz w:val="17"/>
          <w:szCs w:val="17"/>
        </w:rPr>
        <w:t>明</w:t>
      </w:r>
      <w:r>
        <w:rPr>
          <w:spacing w:val="-30"/>
          <w:sz w:val="17"/>
          <w:szCs w:val="17"/>
        </w:rPr>
        <w:t xml:space="preserve"> </w:t>
      </w:r>
      <w:r>
        <w:rPr>
          <w:spacing w:val="-11"/>
          <w:sz w:val="17"/>
          <w:szCs w:val="17"/>
        </w:rPr>
        <w:t>显</w:t>
      </w:r>
      <w:r>
        <w:rPr>
          <w:spacing w:val="-39"/>
          <w:sz w:val="17"/>
          <w:szCs w:val="17"/>
        </w:rPr>
        <w:t xml:space="preserve"> </w:t>
      </w:r>
      <w:r>
        <w:rPr>
          <w:spacing w:val="-11"/>
          <w:sz w:val="17"/>
          <w:szCs w:val="17"/>
        </w:rPr>
        <w:t>虚</w:t>
      </w:r>
      <w:r>
        <w:rPr>
          <w:spacing w:val="-20"/>
          <w:sz w:val="17"/>
          <w:szCs w:val="17"/>
        </w:rPr>
        <w:t xml:space="preserve"> </w:t>
      </w:r>
      <w:r>
        <w:rPr>
          <w:spacing w:val="-11"/>
          <w:sz w:val="17"/>
          <w:szCs w:val="17"/>
        </w:rPr>
        <w:t>高</w:t>
      </w:r>
      <w:r>
        <w:rPr>
          <w:spacing w:val="-24"/>
          <w:sz w:val="17"/>
          <w:szCs w:val="17"/>
        </w:rPr>
        <w:t xml:space="preserve"> </w:t>
      </w:r>
      <w:r>
        <w:rPr>
          <w:spacing w:val="-11"/>
          <w:sz w:val="17"/>
          <w:szCs w:val="17"/>
        </w:rPr>
        <w:t>，</w:t>
      </w:r>
      <w:r>
        <w:rPr>
          <w:spacing w:val="-11"/>
          <w:sz w:val="17"/>
          <w:szCs w:val="17"/>
        </w:rPr>
        <w:t xml:space="preserve"> </w:t>
      </w:r>
      <w:r>
        <w:rPr>
          <w:spacing w:val="-11"/>
          <w:sz w:val="17"/>
          <w:szCs w:val="17"/>
        </w:rPr>
        <w:t>由</w:t>
      </w:r>
      <w:r>
        <w:rPr>
          <w:spacing w:val="-33"/>
          <w:sz w:val="17"/>
          <w:szCs w:val="17"/>
        </w:rPr>
        <w:t xml:space="preserve"> </w:t>
      </w:r>
      <w:r>
        <w:rPr>
          <w:spacing w:val="-11"/>
          <w:sz w:val="17"/>
          <w:szCs w:val="17"/>
        </w:rPr>
        <w:t>此</w:t>
      </w:r>
      <w:r>
        <w:rPr>
          <w:spacing w:val="-30"/>
          <w:sz w:val="17"/>
          <w:szCs w:val="17"/>
        </w:rPr>
        <w:t xml:space="preserve"> </w:t>
      </w:r>
      <w:r>
        <w:rPr>
          <w:spacing w:val="-12"/>
          <w:sz w:val="17"/>
          <w:szCs w:val="17"/>
        </w:rPr>
        <w:t>我</w:t>
      </w:r>
      <w:r>
        <w:rPr>
          <w:spacing w:val="-39"/>
          <w:sz w:val="17"/>
          <w:szCs w:val="17"/>
        </w:rPr>
        <w:t xml:space="preserve"> </w:t>
      </w:r>
      <w:r>
        <w:rPr>
          <w:spacing w:val="-12"/>
          <w:sz w:val="17"/>
          <w:szCs w:val="17"/>
        </w:rPr>
        <w:t>们</w:t>
      </w:r>
      <w:r>
        <w:rPr>
          <w:spacing w:val="-39"/>
          <w:sz w:val="17"/>
          <w:szCs w:val="17"/>
        </w:rPr>
        <w:t xml:space="preserve"> </w:t>
      </w:r>
      <w:r>
        <w:rPr>
          <w:spacing w:val="-12"/>
          <w:sz w:val="17"/>
          <w:szCs w:val="17"/>
        </w:rPr>
        <w:t>采</w:t>
      </w:r>
      <w:r>
        <w:rPr>
          <w:spacing w:val="-23"/>
          <w:sz w:val="17"/>
          <w:szCs w:val="17"/>
        </w:rPr>
        <w:t xml:space="preserve"> </w:t>
      </w:r>
      <w:r>
        <w:rPr>
          <w:spacing w:val="-12"/>
          <w:sz w:val="17"/>
          <w:szCs w:val="17"/>
        </w:rPr>
        <w:t>用</w:t>
      </w:r>
      <w:r>
        <w:rPr>
          <w:sz w:val="17"/>
          <w:szCs w:val="17"/>
        </w:rPr>
        <w:t xml:space="preserve"> </w:t>
      </w:r>
      <w:r>
        <w:rPr>
          <w:spacing w:val="-8"/>
          <w:sz w:val="17"/>
          <w:szCs w:val="17"/>
        </w:rPr>
        <w:t>2020</w:t>
      </w:r>
      <w:r>
        <w:rPr>
          <w:spacing w:val="-8"/>
          <w:sz w:val="17"/>
          <w:szCs w:val="17"/>
        </w:rPr>
        <w:t xml:space="preserve">  </w:t>
      </w:r>
      <w:r>
        <w:rPr>
          <w:spacing w:val="-8"/>
          <w:sz w:val="17"/>
          <w:szCs w:val="17"/>
        </w:rPr>
        <w:t>年</w:t>
      </w:r>
      <w:r>
        <w:rPr>
          <w:spacing w:val="-35"/>
          <w:sz w:val="17"/>
          <w:szCs w:val="17"/>
        </w:rPr>
        <w:t xml:space="preserve"> </w:t>
      </w:r>
      <w:r>
        <w:rPr>
          <w:spacing w:val="-8"/>
          <w:sz w:val="17"/>
          <w:szCs w:val="17"/>
        </w:rPr>
        <w:t>《</w:t>
      </w:r>
      <w:r>
        <w:rPr>
          <w:spacing w:val="-23"/>
          <w:sz w:val="17"/>
          <w:szCs w:val="17"/>
        </w:rPr>
        <w:t xml:space="preserve"> </w:t>
      </w:r>
      <w:r>
        <w:rPr>
          <w:spacing w:val="-8"/>
          <w:sz w:val="17"/>
          <w:szCs w:val="17"/>
        </w:rPr>
        <w:t>全</w:t>
      </w:r>
      <w:r>
        <w:rPr>
          <w:spacing w:val="-8"/>
          <w:sz w:val="17"/>
          <w:szCs w:val="17"/>
        </w:rPr>
        <w:t xml:space="preserve"> </w:t>
      </w:r>
      <w:r>
        <w:rPr>
          <w:spacing w:val="-8"/>
          <w:sz w:val="17"/>
          <w:szCs w:val="17"/>
        </w:rPr>
        <w:t>国</w:t>
      </w:r>
      <w:r>
        <w:rPr>
          <w:spacing w:val="-41"/>
          <w:sz w:val="17"/>
          <w:szCs w:val="17"/>
        </w:rPr>
        <w:t xml:space="preserve"> </w:t>
      </w:r>
      <w:r>
        <w:rPr>
          <w:spacing w:val="-8"/>
          <w:sz w:val="17"/>
          <w:szCs w:val="17"/>
        </w:rPr>
        <w:t>企</w:t>
      </w:r>
      <w:r>
        <w:rPr>
          <w:spacing w:val="-30"/>
          <w:sz w:val="17"/>
          <w:szCs w:val="17"/>
        </w:rPr>
        <w:t xml:space="preserve"> </w:t>
      </w:r>
      <w:r>
        <w:rPr>
          <w:spacing w:val="-8"/>
          <w:sz w:val="17"/>
          <w:szCs w:val="17"/>
        </w:rPr>
        <w:t>业</w:t>
      </w:r>
      <w:r>
        <w:rPr>
          <w:spacing w:val="-37"/>
          <w:sz w:val="17"/>
          <w:szCs w:val="17"/>
        </w:rPr>
        <w:t xml:space="preserve"> </w:t>
      </w:r>
      <w:r>
        <w:rPr>
          <w:spacing w:val="-8"/>
          <w:sz w:val="17"/>
          <w:szCs w:val="17"/>
        </w:rPr>
        <w:t>年</w:t>
      </w:r>
      <w:r>
        <w:rPr>
          <w:spacing w:val="-45"/>
          <w:sz w:val="17"/>
          <w:szCs w:val="17"/>
        </w:rPr>
        <w:t xml:space="preserve"> </w:t>
      </w:r>
      <w:r>
        <w:rPr>
          <w:spacing w:val="-8"/>
          <w:sz w:val="17"/>
          <w:szCs w:val="17"/>
        </w:rPr>
        <w:t>金</w:t>
      </w:r>
      <w:r>
        <w:rPr>
          <w:spacing w:val="-42"/>
          <w:sz w:val="17"/>
          <w:szCs w:val="17"/>
        </w:rPr>
        <w:t xml:space="preserve"> </w:t>
      </w:r>
      <w:r>
        <w:rPr>
          <w:spacing w:val="-8"/>
          <w:sz w:val="17"/>
          <w:szCs w:val="17"/>
        </w:rPr>
        <w:t>基</w:t>
      </w:r>
      <w:r>
        <w:rPr>
          <w:spacing w:val="-45"/>
          <w:sz w:val="17"/>
          <w:szCs w:val="17"/>
        </w:rPr>
        <w:t xml:space="preserve"> </w:t>
      </w:r>
      <w:r>
        <w:rPr>
          <w:spacing w:val="-8"/>
          <w:sz w:val="17"/>
          <w:szCs w:val="17"/>
        </w:rPr>
        <w:t>金</w:t>
      </w:r>
      <w:r>
        <w:rPr>
          <w:spacing w:val="-31"/>
          <w:sz w:val="17"/>
          <w:szCs w:val="17"/>
        </w:rPr>
        <w:t xml:space="preserve"> </w:t>
      </w:r>
      <w:r>
        <w:rPr>
          <w:spacing w:val="-8"/>
          <w:sz w:val="17"/>
          <w:szCs w:val="17"/>
        </w:rPr>
        <w:t>业</w:t>
      </w:r>
      <w:r>
        <w:rPr>
          <w:spacing w:val="-34"/>
          <w:sz w:val="17"/>
          <w:szCs w:val="17"/>
        </w:rPr>
        <w:t xml:space="preserve"> </w:t>
      </w:r>
      <w:r>
        <w:rPr>
          <w:spacing w:val="-8"/>
          <w:sz w:val="17"/>
          <w:szCs w:val="17"/>
        </w:rPr>
        <w:t>务</w:t>
      </w:r>
      <w:r>
        <w:rPr>
          <w:spacing w:val="-40"/>
          <w:sz w:val="17"/>
          <w:szCs w:val="17"/>
        </w:rPr>
        <w:t xml:space="preserve"> </w:t>
      </w:r>
      <w:r>
        <w:rPr>
          <w:spacing w:val="-8"/>
          <w:sz w:val="17"/>
          <w:szCs w:val="17"/>
        </w:rPr>
        <w:t>数</w:t>
      </w:r>
      <w:r>
        <w:rPr>
          <w:spacing w:val="-39"/>
          <w:sz w:val="17"/>
          <w:szCs w:val="17"/>
        </w:rPr>
        <w:t xml:space="preserve"> </w:t>
      </w:r>
      <w:r>
        <w:rPr>
          <w:spacing w:val="-8"/>
          <w:sz w:val="17"/>
          <w:szCs w:val="17"/>
        </w:rPr>
        <w:t>据</w:t>
      </w:r>
      <w:r>
        <w:rPr>
          <w:spacing w:val="-40"/>
          <w:sz w:val="17"/>
          <w:szCs w:val="17"/>
        </w:rPr>
        <w:t xml:space="preserve"> </w:t>
      </w:r>
      <w:r>
        <w:rPr>
          <w:spacing w:val="-8"/>
          <w:sz w:val="17"/>
          <w:szCs w:val="17"/>
        </w:rPr>
        <w:t>摘</w:t>
      </w:r>
      <w:r>
        <w:rPr>
          <w:spacing w:val="-37"/>
          <w:sz w:val="17"/>
          <w:szCs w:val="17"/>
        </w:rPr>
        <w:t xml:space="preserve"> </w:t>
      </w:r>
      <w:r>
        <w:rPr>
          <w:spacing w:val="-8"/>
          <w:sz w:val="17"/>
          <w:szCs w:val="17"/>
        </w:rPr>
        <w:t>要</w:t>
      </w:r>
      <w:r>
        <w:rPr>
          <w:spacing w:val="-33"/>
          <w:sz w:val="17"/>
          <w:szCs w:val="17"/>
        </w:rPr>
        <w:t xml:space="preserve"> </w:t>
      </w:r>
      <w:r>
        <w:rPr>
          <w:spacing w:val="-8"/>
          <w:sz w:val="17"/>
          <w:szCs w:val="17"/>
        </w:rPr>
        <w:t>》</w:t>
      </w:r>
      <w:r>
        <w:rPr>
          <w:spacing w:val="-19"/>
          <w:sz w:val="17"/>
          <w:szCs w:val="17"/>
        </w:rPr>
        <w:t xml:space="preserve"> </w:t>
      </w:r>
      <w:r>
        <w:rPr>
          <w:spacing w:val="-8"/>
          <w:sz w:val="17"/>
          <w:szCs w:val="17"/>
        </w:rPr>
        <w:t>中</w:t>
      </w:r>
      <w:r>
        <w:rPr>
          <w:spacing w:val="-40"/>
          <w:sz w:val="17"/>
          <w:szCs w:val="17"/>
        </w:rPr>
        <w:t xml:space="preserve"> </w:t>
      </w:r>
      <w:r>
        <w:rPr>
          <w:spacing w:val="-8"/>
          <w:sz w:val="17"/>
          <w:szCs w:val="17"/>
        </w:rPr>
        <w:t>企</w:t>
      </w:r>
      <w:r>
        <w:rPr>
          <w:spacing w:val="-30"/>
          <w:sz w:val="17"/>
          <w:szCs w:val="17"/>
        </w:rPr>
        <w:t xml:space="preserve"> </w:t>
      </w:r>
      <w:r>
        <w:rPr>
          <w:spacing w:val="-8"/>
          <w:sz w:val="17"/>
          <w:szCs w:val="17"/>
        </w:rPr>
        <w:t>业</w:t>
      </w:r>
      <w:r>
        <w:rPr>
          <w:spacing w:val="-38"/>
          <w:sz w:val="17"/>
          <w:szCs w:val="17"/>
        </w:rPr>
        <w:t xml:space="preserve"> </w:t>
      </w:r>
      <w:r>
        <w:rPr>
          <w:spacing w:val="-8"/>
          <w:sz w:val="17"/>
          <w:szCs w:val="17"/>
        </w:rPr>
        <w:t>年</w:t>
      </w:r>
      <w:r>
        <w:rPr>
          <w:spacing w:val="-45"/>
          <w:sz w:val="17"/>
          <w:szCs w:val="17"/>
        </w:rPr>
        <w:t xml:space="preserve"> </w:t>
      </w:r>
      <w:r>
        <w:rPr>
          <w:spacing w:val="-8"/>
          <w:sz w:val="17"/>
          <w:szCs w:val="17"/>
        </w:rPr>
        <w:t>金</w:t>
      </w:r>
      <w:r>
        <w:rPr>
          <w:spacing w:val="-29"/>
          <w:sz w:val="17"/>
          <w:szCs w:val="17"/>
        </w:rPr>
        <w:t xml:space="preserve"> </w:t>
      </w:r>
      <w:r>
        <w:rPr>
          <w:spacing w:val="-8"/>
          <w:sz w:val="17"/>
          <w:szCs w:val="17"/>
        </w:rPr>
        <w:t>的</w:t>
      </w:r>
      <w:r>
        <w:rPr>
          <w:spacing w:val="-33"/>
          <w:sz w:val="17"/>
          <w:szCs w:val="17"/>
        </w:rPr>
        <w:t xml:space="preserve"> </w:t>
      </w:r>
      <w:r>
        <w:rPr>
          <w:spacing w:val="-8"/>
          <w:sz w:val="17"/>
          <w:szCs w:val="17"/>
        </w:rPr>
        <w:t>养</w:t>
      </w:r>
      <w:r>
        <w:rPr>
          <w:spacing w:val="-39"/>
          <w:sz w:val="17"/>
          <w:szCs w:val="17"/>
        </w:rPr>
        <w:t xml:space="preserve"> </w:t>
      </w:r>
      <w:r>
        <w:rPr>
          <w:spacing w:val="-8"/>
          <w:sz w:val="17"/>
          <w:szCs w:val="17"/>
        </w:rPr>
        <w:t>老</w:t>
      </w:r>
      <w:r>
        <w:rPr>
          <w:spacing w:val="-45"/>
          <w:sz w:val="17"/>
          <w:szCs w:val="17"/>
        </w:rPr>
        <w:t xml:space="preserve"> </w:t>
      </w:r>
      <w:r>
        <w:rPr>
          <w:spacing w:val="-8"/>
          <w:sz w:val="17"/>
          <w:szCs w:val="17"/>
        </w:rPr>
        <w:t>金</w:t>
      </w:r>
      <w:r>
        <w:rPr>
          <w:spacing w:val="-42"/>
          <w:sz w:val="17"/>
          <w:szCs w:val="17"/>
        </w:rPr>
        <w:t xml:space="preserve"> </w:t>
      </w:r>
      <w:r>
        <w:rPr>
          <w:spacing w:val="-8"/>
          <w:sz w:val="17"/>
          <w:szCs w:val="17"/>
        </w:rPr>
        <w:t>产</w:t>
      </w:r>
      <w:r>
        <w:rPr>
          <w:spacing w:val="-30"/>
          <w:sz w:val="17"/>
          <w:szCs w:val="17"/>
        </w:rPr>
        <w:t xml:space="preserve"> </w:t>
      </w:r>
      <w:r>
        <w:rPr>
          <w:spacing w:val="-8"/>
          <w:sz w:val="17"/>
          <w:szCs w:val="17"/>
        </w:rPr>
        <w:t>品</w:t>
      </w:r>
      <w:r>
        <w:rPr>
          <w:spacing w:val="-42"/>
          <w:sz w:val="17"/>
          <w:szCs w:val="17"/>
        </w:rPr>
        <w:t xml:space="preserve"> </w:t>
      </w:r>
      <w:r>
        <w:rPr>
          <w:spacing w:val="-8"/>
          <w:sz w:val="17"/>
          <w:szCs w:val="17"/>
        </w:rPr>
        <w:t>观</w:t>
      </w:r>
      <w:r>
        <w:rPr>
          <w:spacing w:val="-32"/>
          <w:sz w:val="17"/>
          <w:szCs w:val="17"/>
        </w:rPr>
        <w:t xml:space="preserve"> </w:t>
      </w:r>
      <w:r>
        <w:rPr>
          <w:spacing w:val="-8"/>
          <w:sz w:val="17"/>
          <w:szCs w:val="17"/>
        </w:rPr>
        <w:t>测</w:t>
      </w:r>
      <w:r>
        <w:rPr>
          <w:spacing w:val="-40"/>
          <w:sz w:val="17"/>
          <w:szCs w:val="17"/>
        </w:rPr>
        <w:t xml:space="preserve"> </w:t>
      </w:r>
      <w:r>
        <w:rPr>
          <w:spacing w:val="-8"/>
          <w:sz w:val="17"/>
          <w:szCs w:val="17"/>
        </w:rPr>
        <w:t>企</w:t>
      </w:r>
      <w:r>
        <w:rPr>
          <w:spacing w:val="-30"/>
          <w:sz w:val="17"/>
          <w:szCs w:val="17"/>
        </w:rPr>
        <w:t xml:space="preserve"> </w:t>
      </w:r>
      <w:r>
        <w:rPr>
          <w:spacing w:val="-8"/>
          <w:sz w:val="17"/>
          <w:szCs w:val="17"/>
        </w:rPr>
        <w:t>业</w:t>
      </w:r>
      <w:r>
        <w:rPr>
          <w:spacing w:val="-38"/>
          <w:sz w:val="17"/>
          <w:szCs w:val="17"/>
        </w:rPr>
        <w:t xml:space="preserve"> </w:t>
      </w:r>
      <w:r>
        <w:rPr>
          <w:spacing w:val="-8"/>
          <w:sz w:val="17"/>
          <w:szCs w:val="17"/>
        </w:rPr>
        <w:t>年</w:t>
      </w:r>
      <w:r>
        <w:rPr>
          <w:spacing w:val="-45"/>
          <w:sz w:val="17"/>
          <w:szCs w:val="17"/>
        </w:rPr>
        <w:t xml:space="preserve"> </w:t>
      </w:r>
      <w:r>
        <w:rPr>
          <w:spacing w:val="-8"/>
          <w:sz w:val="17"/>
          <w:szCs w:val="17"/>
        </w:rPr>
        <w:t>金</w:t>
      </w:r>
      <w:r>
        <w:rPr>
          <w:sz w:val="17"/>
          <w:szCs w:val="17"/>
        </w:rPr>
        <w:t xml:space="preserve"> </w:t>
      </w:r>
      <w:r>
        <w:rPr>
          <w:spacing w:val="27"/>
          <w:sz w:val="17"/>
          <w:szCs w:val="17"/>
        </w:rPr>
        <w:t>权益类资产配置结构，2023</w:t>
      </w:r>
      <w:r>
        <w:rPr>
          <w:rFonts w:ascii="Times New Roman" w:eastAsia="Times New Roman" w:hAnsi="Times New Roman" w:cs="Times New Roman"/>
          <w:spacing w:val="27"/>
          <w:sz w:val="17"/>
          <w:szCs w:val="17"/>
        </w:rPr>
        <w:t xml:space="preserve">Q3  </w:t>
      </w:r>
      <w:r>
        <w:rPr>
          <w:spacing w:val="27"/>
          <w:sz w:val="17"/>
          <w:szCs w:val="17"/>
        </w:rPr>
        <w:t>末权益类资产配置占比6</w:t>
      </w:r>
      <w:r>
        <w:rPr>
          <w:spacing w:val="-37"/>
          <w:sz w:val="17"/>
          <w:szCs w:val="17"/>
        </w:rPr>
        <w:t xml:space="preserve"> </w:t>
      </w:r>
      <w:r>
        <w:rPr>
          <w:spacing w:val="27"/>
          <w:sz w:val="17"/>
          <w:szCs w:val="17"/>
        </w:rPr>
        <w:t>.</w:t>
      </w:r>
      <w:r>
        <w:rPr>
          <w:spacing w:val="-42"/>
          <w:sz w:val="17"/>
          <w:szCs w:val="17"/>
        </w:rPr>
        <w:t xml:space="preserve"> </w:t>
      </w:r>
      <w:r>
        <w:rPr>
          <w:spacing w:val="27"/>
          <w:sz w:val="17"/>
          <w:szCs w:val="17"/>
        </w:rPr>
        <w:t>3%,配置占比明显偏低。(2)</w:t>
      </w:r>
      <w:r>
        <w:rPr>
          <w:sz w:val="17"/>
          <w:szCs w:val="17"/>
        </w:rPr>
        <w:t xml:space="preserve"> </w:t>
      </w:r>
      <w:r>
        <w:rPr>
          <w:spacing w:val="-8"/>
          <w:sz w:val="17"/>
          <w:szCs w:val="17"/>
        </w:rPr>
        <w:t>企</w:t>
      </w:r>
      <w:r>
        <w:rPr>
          <w:spacing w:val="-27"/>
          <w:sz w:val="17"/>
          <w:szCs w:val="17"/>
        </w:rPr>
        <w:t xml:space="preserve"> </w:t>
      </w:r>
      <w:r>
        <w:rPr>
          <w:spacing w:val="-8"/>
          <w:sz w:val="17"/>
          <w:szCs w:val="17"/>
        </w:rPr>
        <w:t>业</w:t>
      </w:r>
      <w:r>
        <w:rPr>
          <w:spacing w:val="-34"/>
          <w:sz w:val="17"/>
          <w:szCs w:val="17"/>
        </w:rPr>
        <w:t xml:space="preserve"> </w:t>
      </w:r>
      <w:r>
        <w:rPr>
          <w:spacing w:val="-8"/>
          <w:sz w:val="17"/>
          <w:szCs w:val="17"/>
        </w:rPr>
        <w:t>年</w:t>
      </w:r>
      <w:r>
        <w:rPr>
          <w:spacing w:val="-42"/>
          <w:sz w:val="17"/>
          <w:szCs w:val="17"/>
        </w:rPr>
        <w:t xml:space="preserve"> </w:t>
      </w:r>
      <w:r>
        <w:rPr>
          <w:spacing w:val="-8"/>
          <w:sz w:val="17"/>
          <w:szCs w:val="17"/>
        </w:rPr>
        <w:t>金</w:t>
      </w:r>
      <w:r>
        <w:rPr>
          <w:spacing w:val="-37"/>
          <w:sz w:val="17"/>
          <w:szCs w:val="17"/>
        </w:rPr>
        <w:t xml:space="preserve"> </w:t>
      </w:r>
      <w:r>
        <w:rPr>
          <w:spacing w:val="-8"/>
          <w:sz w:val="17"/>
          <w:szCs w:val="17"/>
        </w:rPr>
        <w:t>和</w:t>
      </w:r>
      <w:r>
        <w:rPr>
          <w:spacing w:val="-37"/>
          <w:sz w:val="17"/>
          <w:szCs w:val="17"/>
        </w:rPr>
        <w:t xml:space="preserve"> </w:t>
      </w:r>
      <w:r>
        <w:rPr>
          <w:spacing w:val="-8"/>
          <w:sz w:val="17"/>
          <w:szCs w:val="17"/>
        </w:rPr>
        <w:t>职</w:t>
      </w:r>
      <w:r>
        <w:rPr>
          <w:spacing w:val="-27"/>
          <w:sz w:val="17"/>
          <w:szCs w:val="17"/>
        </w:rPr>
        <w:t xml:space="preserve"> </w:t>
      </w:r>
      <w:r>
        <w:rPr>
          <w:spacing w:val="-8"/>
          <w:sz w:val="17"/>
          <w:szCs w:val="17"/>
        </w:rPr>
        <w:t>业</w:t>
      </w:r>
      <w:r>
        <w:rPr>
          <w:spacing w:val="-34"/>
          <w:sz w:val="17"/>
          <w:szCs w:val="17"/>
        </w:rPr>
        <w:t xml:space="preserve"> </w:t>
      </w:r>
      <w:r>
        <w:rPr>
          <w:spacing w:val="-8"/>
          <w:sz w:val="17"/>
          <w:szCs w:val="17"/>
        </w:rPr>
        <w:t>年</w:t>
      </w:r>
      <w:r>
        <w:rPr>
          <w:spacing w:val="-41"/>
          <w:sz w:val="17"/>
          <w:szCs w:val="17"/>
        </w:rPr>
        <w:t xml:space="preserve"> </w:t>
      </w:r>
      <w:r>
        <w:rPr>
          <w:spacing w:val="-8"/>
          <w:sz w:val="17"/>
          <w:szCs w:val="17"/>
        </w:rPr>
        <w:t>金</w:t>
      </w:r>
      <w:r>
        <w:rPr>
          <w:spacing w:val="-40"/>
          <w:sz w:val="17"/>
          <w:szCs w:val="17"/>
        </w:rPr>
        <w:t xml:space="preserve"> </w:t>
      </w:r>
      <w:r>
        <w:rPr>
          <w:spacing w:val="-8"/>
          <w:sz w:val="17"/>
          <w:szCs w:val="17"/>
        </w:rPr>
        <w:t>采</w:t>
      </w:r>
      <w:r>
        <w:rPr>
          <w:spacing w:val="-22"/>
          <w:sz w:val="17"/>
          <w:szCs w:val="17"/>
        </w:rPr>
        <w:t xml:space="preserve"> </w:t>
      </w:r>
      <w:r>
        <w:rPr>
          <w:spacing w:val="-8"/>
          <w:sz w:val="17"/>
          <w:szCs w:val="17"/>
        </w:rPr>
        <w:t>用</w:t>
      </w:r>
      <w:r>
        <w:rPr>
          <w:spacing w:val="-35"/>
          <w:sz w:val="17"/>
          <w:szCs w:val="17"/>
        </w:rPr>
        <w:t xml:space="preserve"> </w:t>
      </w:r>
      <w:r>
        <w:rPr>
          <w:spacing w:val="-8"/>
          <w:sz w:val="17"/>
          <w:szCs w:val="17"/>
        </w:rPr>
        <w:t>委</w:t>
      </w:r>
      <w:r>
        <w:rPr>
          <w:spacing w:val="-33"/>
          <w:sz w:val="17"/>
          <w:szCs w:val="17"/>
        </w:rPr>
        <w:t xml:space="preserve"> </w:t>
      </w:r>
      <w:r>
        <w:rPr>
          <w:spacing w:val="-8"/>
          <w:sz w:val="17"/>
          <w:szCs w:val="17"/>
        </w:rPr>
        <w:t>托</w:t>
      </w:r>
      <w:r>
        <w:rPr>
          <w:spacing w:val="-26"/>
          <w:sz w:val="17"/>
          <w:szCs w:val="17"/>
        </w:rPr>
        <w:t xml:space="preserve"> </w:t>
      </w:r>
      <w:r>
        <w:rPr>
          <w:spacing w:val="-8"/>
          <w:sz w:val="17"/>
          <w:szCs w:val="17"/>
        </w:rPr>
        <w:t>管</w:t>
      </w:r>
      <w:r>
        <w:rPr>
          <w:spacing w:val="-34"/>
          <w:sz w:val="17"/>
          <w:szCs w:val="17"/>
        </w:rPr>
        <w:t xml:space="preserve"> </w:t>
      </w:r>
      <w:r>
        <w:rPr>
          <w:spacing w:val="-8"/>
          <w:sz w:val="17"/>
          <w:szCs w:val="17"/>
        </w:rPr>
        <w:t>理</w:t>
      </w:r>
      <w:r>
        <w:rPr>
          <w:spacing w:val="-41"/>
          <w:sz w:val="17"/>
          <w:szCs w:val="17"/>
        </w:rPr>
        <w:t xml:space="preserve"> </w:t>
      </w:r>
      <w:r>
        <w:rPr>
          <w:spacing w:val="-8"/>
          <w:sz w:val="17"/>
          <w:szCs w:val="17"/>
        </w:rPr>
        <w:t>模</w:t>
      </w:r>
      <w:r>
        <w:rPr>
          <w:spacing w:val="-23"/>
          <w:sz w:val="17"/>
          <w:szCs w:val="17"/>
        </w:rPr>
        <w:t xml:space="preserve"> </w:t>
      </w:r>
      <w:r>
        <w:rPr>
          <w:spacing w:val="-8"/>
          <w:sz w:val="17"/>
          <w:szCs w:val="17"/>
        </w:rPr>
        <w:t>式</w:t>
      </w:r>
      <w:r>
        <w:rPr>
          <w:spacing w:val="-23"/>
          <w:sz w:val="17"/>
          <w:szCs w:val="17"/>
        </w:rPr>
        <w:t xml:space="preserve"> </w:t>
      </w:r>
      <w:r>
        <w:rPr>
          <w:spacing w:val="-8"/>
          <w:sz w:val="17"/>
          <w:szCs w:val="17"/>
        </w:rPr>
        <w:t>，</w:t>
      </w:r>
      <w:r>
        <w:rPr>
          <w:spacing w:val="-36"/>
          <w:sz w:val="17"/>
          <w:szCs w:val="17"/>
        </w:rPr>
        <w:t xml:space="preserve"> </w:t>
      </w:r>
      <w:r>
        <w:rPr>
          <w:spacing w:val="-8"/>
          <w:sz w:val="17"/>
          <w:szCs w:val="17"/>
        </w:rPr>
        <w:t>截</w:t>
      </w:r>
      <w:r>
        <w:rPr>
          <w:spacing w:val="-29"/>
          <w:sz w:val="17"/>
          <w:szCs w:val="17"/>
        </w:rPr>
        <w:t xml:space="preserve"> </w:t>
      </w:r>
      <w:r>
        <w:rPr>
          <w:spacing w:val="-8"/>
          <w:sz w:val="17"/>
          <w:szCs w:val="17"/>
        </w:rPr>
        <w:t>至</w:t>
      </w:r>
      <w:r>
        <w:rPr>
          <w:spacing w:val="-36"/>
          <w:sz w:val="17"/>
          <w:szCs w:val="17"/>
        </w:rPr>
        <w:t xml:space="preserve"> </w:t>
      </w:r>
      <w:r>
        <w:rPr>
          <w:spacing w:val="-8"/>
          <w:sz w:val="17"/>
          <w:szCs w:val="17"/>
        </w:rPr>
        <w:t>2</w:t>
      </w:r>
      <w:r>
        <w:rPr>
          <w:spacing w:val="-36"/>
          <w:sz w:val="17"/>
          <w:szCs w:val="17"/>
        </w:rPr>
        <w:t xml:space="preserve"> </w:t>
      </w:r>
      <w:r>
        <w:rPr>
          <w:spacing w:val="-8"/>
          <w:sz w:val="17"/>
          <w:szCs w:val="17"/>
        </w:rPr>
        <w:t>0</w:t>
      </w:r>
      <w:r>
        <w:rPr>
          <w:spacing w:val="-37"/>
          <w:sz w:val="17"/>
          <w:szCs w:val="17"/>
        </w:rPr>
        <w:t xml:space="preserve"> </w:t>
      </w:r>
      <w:r>
        <w:rPr>
          <w:spacing w:val="-8"/>
          <w:sz w:val="17"/>
          <w:szCs w:val="17"/>
        </w:rPr>
        <w:t>2</w:t>
      </w:r>
      <w:r>
        <w:rPr>
          <w:spacing w:val="-36"/>
          <w:sz w:val="17"/>
          <w:szCs w:val="17"/>
        </w:rPr>
        <w:t xml:space="preserve"> </w:t>
      </w:r>
      <w:r>
        <w:rPr>
          <w:spacing w:val="-8"/>
          <w:sz w:val="17"/>
          <w:szCs w:val="17"/>
        </w:rPr>
        <w:t>2</w:t>
      </w:r>
      <w:r>
        <w:rPr>
          <w:spacing w:val="-34"/>
          <w:sz w:val="17"/>
          <w:szCs w:val="17"/>
        </w:rPr>
        <w:t xml:space="preserve"> </w:t>
      </w:r>
      <w:r>
        <w:rPr>
          <w:spacing w:val="-8"/>
          <w:sz w:val="17"/>
          <w:szCs w:val="17"/>
        </w:rPr>
        <w:t>年</w:t>
      </w:r>
      <w:r>
        <w:rPr>
          <w:spacing w:val="-38"/>
          <w:sz w:val="17"/>
          <w:szCs w:val="17"/>
        </w:rPr>
        <w:t xml:space="preserve"> </w:t>
      </w:r>
      <w:r>
        <w:rPr>
          <w:spacing w:val="-8"/>
          <w:sz w:val="17"/>
          <w:szCs w:val="17"/>
        </w:rPr>
        <w:t>末</w:t>
      </w:r>
      <w:r>
        <w:rPr>
          <w:spacing w:val="-37"/>
          <w:sz w:val="17"/>
          <w:szCs w:val="17"/>
        </w:rPr>
        <w:t xml:space="preserve"> </w:t>
      </w:r>
      <w:r>
        <w:rPr>
          <w:spacing w:val="-8"/>
          <w:sz w:val="17"/>
          <w:szCs w:val="17"/>
        </w:rPr>
        <w:t>共</w:t>
      </w:r>
      <w:r>
        <w:rPr>
          <w:spacing w:val="-34"/>
          <w:sz w:val="17"/>
          <w:szCs w:val="17"/>
        </w:rPr>
        <w:t xml:space="preserve"> </w:t>
      </w:r>
      <w:r>
        <w:rPr>
          <w:spacing w:val="-8"/>
          <w:sz w:val="17"/>
          <w:szCs w:val="17"/>
        </w:rPr>
        <w:t>有</w:t>
      </w:r>
      <w:r>
        <w:rPr>
          <w:spacing w:val="-36"/>
          <w:sz w:val="17"/>
          <w:szCs w:val="17"/>
        </w:rPr>
        <w:t xml:space="preserve"> </w:t>
      </w:r>
      <w:r>
        <w:rPr>
          <w:spacing w:val="-8"/>
          <w:sz w:val="17"/>
          <w:szCs w:val="17"/>
        </w:rPr>
        <w:t>2</w:t>
      </w:r>
      <w:r>
        <w:rPr>
          <w:spacing w:val="-35"/>
          <w:sz w:val="17"/>
          <w:szCs w:val="17"/>
        </w:rPr>
        <w:t xml:space="preserve"> </w:t>
      </w:r>
      <w:r>
        <w:rPr>
          <w:spacing w:val="-9"/>
          <w:sz w:val="17"/>
          <w:szCs w:val="17"/>
        </w:rPr>
        <w:t>3</w:t>
      </w:r>
      <w:r>
        <w:rPr>
          <w:spacing w:val="16"/>
          <w:sz w:val="17"/>
          <w:szCs w:val="17"/>
        </w:rPr>
        <w:t xml:space="preserve"> </w:t>
      </w:r>
      <w:r>
        <w:rPr>
          <w:spacing w:val="-9"/>
          <w:sz w:val="17"/>
          <w:szCs w:val="17"/>
        </w:rPr>
        <w:t>家</w:t>
      </w:r>
      <w:r>
        <w:rPr>
          <w:spacing w:val="-34"/>
          <w:sz w:val="17"/>
          <w:szCs w:val="17"/>
        </w:rPr>
        <w:t xml:space="preserve"> </w:t>
      </w:r>
      <w:r>
        <w:rPr>
          <w:spacing w:val="-9"/>
          <w:sz w:val="17"/>
          <w:szCs w:val="17"/>
        </w:rPr>
        <w:t>投</w:t>
      </w:r>
      <w:r>
        <w:rPr>
          <w:spacing w:val="-30"/>
          <w:sz w:val="17"/>
          <w:szCs w:val="17"/>
        </w:rPr>
        <w:t xml:space="preserve"> </w:t>
      </w:r>
      <w:r>
        <w:rPr>
          <w:spacing w:val="-9"/>
          <w:sz w:val="17"/>
          <w:szCs w:val="17"/>
        </w:rPr>
        <w:t>资</w:t>
      </w:r>
      <w:r>
        <w:rPr>
          <w:spacing w:val="-27"/>
          <w:sz w:val="17"/>
          <w:szCs w:val="17"/>
        </w:rPr>
        <w:t xml:space="preserve"> </w:t>
      </w:r>
      <w:r>
        <w:rPr>
          <w:spacing w:val="-9"/>
          <w:sz w:val="17"/>
          <w:szCs w:val="17"/>
        </w:rPr>
        <w:t>管</w:t>
      </w:r>
      <w:r>
        <w:rPr>
          <w:spacing w:val="-36"/>
          <w:sz w:val="17"/>
          <w:szCs w:val="17"/>
        </w:rPr>
        <w:t xml:space="preserve"> </w:t>
      </w:r>
      <w:r>
        <w:rPr>
          <w:spacing w:val="-9"/>
          <w:sz w:val="17"/>
          <w:szCs w:val="17"/>
        </w:rPr>
        <w:t>理</w:t>
      </w:r>
      <w:r>
        <w:rPr>
          <w:spacing w:val="-37"/>
          <w:sz w:val="17"/>
          <w:szCs w:val="17"/>
        </w:rPr>
        <w:t xml:space="preserve"> </w:t>
      </w:r>
      <w:r>
        <w:rPr>
          <w:spacing w:val="-9"/>
          <w:sz w:val="17"/>
          <w:szCs w:val="17"/>
        </w:rPr>
        <w:t>机</w:t>
      </w:r>
      <w:r>
        <w:rPr>
          <w:spacing w:val="-35"/>
          <w:sz w:val="17"/>
          <w:szCs w:val="17"/>
        </w:rPr>
        <w:t xml:space="preserve"> </w:t>
      </w:r>
      <w:r>
        <w:rPr>
          <w:spacing w:val="-9"/>
          <w:sz w:val="17"/>
          <w:szCs w:val="17"/>
        </w:rPr>
        <w:t>构</w:t>
      </w:r>
      <w:r>
        <w:rPr>
          <w:spacing w:val="-38"/>
          <w:sz w:val="17"/>
          <w:szCs w:val="17"/>
        </w:rPr>
        <w:t xml:space="preserve"> </w:t>
      </w:r>
      <w:r>
        <w:rPr>
          <w:spacing w:val="-9"/>
          <w:sz w:val="17"/>
          <w:szCs w:val="17"/>
        </w:rPr>
        <w:t>参</w:t>
      </w:r>
      <w:r>
        <w:rPr>
          <w:sz w:val="17"/>
          <w:szCs w:val="17"/>
        </w:rPr>
        <w:t xml:space="preserve"> </w:t>
      </w:r>
      <w:r>
        <w:rPr>
          <w:spacing w:val="27"/>
          <w:sz w:val="17"/>
          <w:szCs w:val="17"/>
        </w:rPr>
        <w:t>与市场化投资</w:t>
      </w:r>
      <w:r>
        <w:rPr>
          <w:spacing w:val="-39"/>
          <w:sz w:val="17"/>
          <w:szCs w:val="17"/>
        </w:rPr>
        <w:t xml:space="preserve"> </w:t>
      </w:r>
      <w:r>
        <w:rPr>
          <w:spacing w:val="27"/>
          <w:sz w:val="17"/>
          <w:szCs w:val="17"/>
        </w:rPr>
        <w:t>。</w:t>
      </w:r>
    </w:p>
    <w:p>
      <w:pPr>
        <w:spacing w:before="167"/>
      </w:pPr>
    </w:p>
    <w:p>
      <w:pPr>
        <w:sectPr>
          <w:footerReference w:type="default" r:id="rId81"/>
          <w:pgSz w:w="11910" w:h="16840"/>
          <w:pgMar w:top="156" w:right="660" w:bottom="1129" w:left="684" w:header="0" w:footer="864" w:gutter="0"/>
          <w:pgNumType w:start="45"/>
          <w:cols w:num="1" w:space="708" w:equalWidth="0">
            <w:col w:w="10566" w:space="0"/>
          </w:cols>
        </w:sectPr>
      </w:pPr>
    </w:p>
    <w:p>
      <w:pPr>
        <w:pStyle w:val="BodyText"/>
        <w:spacing w:before="35" w:line="220" w:lineRule="auto"/>
        <w:ind w:left="47"/>
        <w:rPr>
          <w:sz w:val="17"/>
          <w:szCs w:val="17"/>
        </w:rPr>
      </w:pPr>
      <w:r>
        <w:rPr>
          <w:b/>
          <w:bCs/>
          <w:color w:val="000080"/>
          <w:spacing w:val="-11"/>
          <w:sz w:val="17"/>
          <w:szCs w:val="17"/>
        </w:rPr>
        <w:t>表</w:t>
      </w:r>
      <w:r>
        <w:rPr>
          <w:color w:val="000080"/>
          <w:spacing w:val="-33"/>
          <w:sz w:val="17"/>
          <w:szCs w:val="17"/>
        </w:rPr>
        <w:t xml:space="preserve"> </w:t>
      </w:r>
      <w:r>
        <w:rPr>
          <w:b/>
          <w:bCs/>
          <w:color w:val="000080"/>
          <w:spacing w:val="-11"/>
          <w:sz w:val="17"/>
          <w:szCs w:val="17"/>
        </w:rPr>
        <w:t>6</w:t>
      </w:r>
      <w:r>
        <w:rPr>
          <w:color w:val="000080"/>
          <w:spacing w:val="-11"/>
          <w:sz w:val="17"/>
          <w:szCs w:val="17"/>
        </w:rPr>
        <w:t xml:space="preserve"> </w:t>
      </w:r>
      <w:r>
        <w:rPr>
          <w:b/>
          <w:bCs/>
          <w:color w:val="000080"/>
          <w:spacing w:val="-11"/>
          <w:sz w:val="17"/>
          <w:szCs w:val="17"/>
        </w:rPr>
        <w:t>:</w:t>
      </w:r>
      <w:r>
        <w:rPr>
          <w:color w:val="000080"/>
          <w:spacing w:val="-35"/>
          <w:sz w:val="17"/>
          <w:szCs w:val="17"/>
        </w:rPr>
        <w:t xml:space="preserve"> </w:t>
      </w:r>
      <w:r>
        <w:rPr>
          <w:b/>
          <w:bCs/>
          <w:color w:val="000080"/>
          <w:spacing w:val="-11"/>
          <w:sz w:val="17"/>
          <w:szCs w:val="17"/>
        </w:rPr>
        <w:t>企</w:t>
      </w:r>
      <w:r>
        <w:rPr>
          <w:color w:val="000080"/>
          <w:spacing w:val="-24"/>
          <w:sz w:val="17"/>
          <w:szCs w:val="17"/>
        </w:rPr>
        <w:t xml:space="preserve"> </w:t>
      </w:r>
      <w:r>
        <w:rPr>
          <w:b/>
          <w:bCs/>
          <w:color w:val="000080"/>
          <w:spacing w:val="-11"/>
          <w:sz w:val="17"/>
          <w:szCs w:val="17"/>
        </w:rPr>
        <w:t>业</w:t>
      </w:r>
      <w:r>
        <w:rPr>
          <w:color w:val="000080"/>
          <w:spacing w:val="-32"/>
          <w:sz w:val="17"/>
          <w:szCs w:val="17"/>
        </w:rPr>
        <w:t xml:space="preserve"> </w:t>
      </w:r>
      <w:r>
        <w:rPr>
          <w:b/>
          <w:bCs/>
          <w:color w:val="000080"/>
          <w:spacing w:val="-11"/>
          <w:sz w:val="17"/>
          <w:szCs w:val="17"/>
        </w:rPr>
        <w:t>年</w:t>
      </w:r>
      <w:r>
        <w:rPr>
          <w:color w:val="000080"/>
          <w:spacing w:val="-40"/>
          <w:sz w:val="17"/>
          <w:szCs w:val="17"/>
        </w:rPr>
        <w:t xml:space="preserve"> </w:t>
      </w:r>
      <w:r>
        <w:rPr>
          <w:b/>
          <w:bCs/>
          <w:color w:val="000080"/>
          <w:spacing w:val="-11"/>
          <w:sz w:val="17"/>
          <w:szCs w:val="17"/>
        </w:rPr>
        <w:t>金</w:t>
      </w:r>
      <w:r>
        <w:rPr>
          <w:color w:val="000080"/>
          <w:spacing w:val="-27"/>
          <w:sz w:val="17"/>
          <w:szCs w:val="17"/>
        </w:rPr>
        <w:t xml:space="preserve"> </w:t>
      </w:r>
      <w:r>
        <w:rPr>
          <w:b/>
          <w:bCs/>
          <w:color w:val="000080"/>
          <w:spacing w:val="-11"/>
          <w:sz w:val="17"/>
          <w:szCs w:val="17"/>
        </w:rPr>
        <w:t>可</w:t>
      </w:r>
      <w:r>
        <w:rPr>
          <w:color w:val="000080"/>
          <w:spacing w:val="-31"/>
          <w:sz w:val="17"/>
          <w:szCs w:val="17"/>
        </w:rPr>
        <w:t xml:space="preserve"> </w:t>
      </w:r>
      <w:r>
        <w:rPr>
          <w:b/>
          <w:bCs/>
          <w:color w:val="000080"/>
          <w:spacing w:val="-11"/>
          <w:sz w:val="17"/>
          <w:szCs w:val="17"/>
        </w:rPr>
        <w:t>投</w:t>
      </w:r>
      <w:r>
        <w:rPr>
          <w:color w:val="000080"/>
          <w:spacing w:val="-26"/>
          <w:sz w:val="17"/>
          <w:szCs w:val="17"/>
        </w:rPr>
        <w:t xml:space="preserve"> </w:t>
      </w:r>
      <w:r>
        <w:rPr>
          <w:b/>
          <w:bCs/>
          <w:color w:val="000080"/>
          <w:spacing w:val="-11"/>
          <w:sz w:val="17"/>
          <w:szCs w:val="17"/>
        </w:rPr>
        <w:t>资</w:t>
      </w:r>
      <w:r>
        <w:rPr>
          <w:color w:val="000080"/>
          <w:spacing w:val="-25"/>
          <w:sz w:val="17"/>
          <w:szCs w:val="17"/>
        </w:rPr>
        <w:t xml:space="preserve"> </w:t>
      </w:r>
      <w:r>
        <w:rPr>
          <w:b/>
          <w:bCs/>
          <w:color w:val="000080"/>
          <w:spacing w:val="-11"/>
          <w:sz w:val="17"/>
          <w:szCs w:val="17"/>
        </w:rPr>
        <w:t>于</w:t>
      </w:r>
      <w:r>
        <w:rPr>
          <w:color w:val="000080"/>
          <w:spacing w:val="-31"/>
          <w:sz w:val="17"/>
          <w:szCs w:val="17"/>
        </w:rPr>
        <w:t xml:space="preserve"> </w:t>
      </w:r>
      <w:r>
        <w:rPr>
          <w:b/>
          <w:bCs/>
          <w:color w:val="000080"/>
          <w:spacing w:val="-11"/>
          <w:sz w:val="17"/>
          <w:szCs w:val="17"/>
        </w:rPr>
        <w:t>银</w:t>
      </w:r>
      <w:r>
        <w:rPr>
          <w:color w:val="000080"/>
          <w:spacing w:val="-30"/>
          <w:sz w:val="17"/>
          <w:szCs w:val="17"/>
        </w:rPr>
        <w:t xml:space="preserve"> </w:t>
      </w:r>
      <w:r>
        <w:rPr>
          <w:b/>
          <w:bCs/>
          <w:color w:val="000080"/>
          <w:spacing w:val="-11"/>
          <w:sz w:val="17"/>
          <w:szCs w:val="17"/>
        </w:rPr>
        <w:t>行</w:t>
      </w:r>
      <w:r>
        <w:rPr>
          <w:color w:val="000080"/>
          <w:spacing w:val="-32"/>
          <w:sz w:val="17"/>
          <w:szCs w:val="17"/>
        </w:rPr>
        <w:t xml:space="preserve"> </w:t>
      </w:r>
      <w:r>
        <w:rPr>
          <w:b/>
          <w:bCs/>
          <w:color w:val="000080"/>
          <w:spacing w:val="-11"/>
          <w:sz w:val="17"/>
          <w:szCs w:val="17"/>
        </w:rPr>
        <w:t>存</w:t>
      </w:r>
      <w:r>
        <w:rPr>
          <w:color w:val="000080"/>
          <w:spacing w:val="-35"/>
          <w:sz w:val="17"/>
          <w:szCs w:val="17"/>
        </w:rPr>
        <w:t xml:space="preserve"> </w:t>
      </w:r>
      <w:r>
        <w:rPr>
          <w:b/>
          <w:bCs/>
          <w:color w:val="000080"/>
          <w:spacing w:val="-11"/>
          <w:sz w:val="17"/>
          <w:szCs w:val="17"/>
        </w:rPr>
        <w:t>款</w:t>
      </w:r>
      <w:r>
        <w:rPr>
          <w:color w:val="000080"/>
          <w:spacing w:val="-22"/>
          <w:sz w:val="17"/>
          <w:szCs w:val="17"/>
        </w:rPr>
        <w:t xml:space="preserve"> </w:t>
      </w:r>
      <w:r>
        <w:rPr>
          <w:b/>
          <w:bCs/>
          <w:color w:val="000080"/>
          <w:spacing w:val="-11"/>
          <w:sz w:val="17"/>
          <w:szCs w:val="17"/>
        </w:rPr>
        <w:t>、</w:t>
      </w:r>
      <w:r>
        <w:rPr>
          <w:color w:val="000080"/>
          <w:spacing w:val="-36"/>
          <w:sz w:val="17"/>
          <w:szCs w:val="17"/>
        </w:rPr>
        <w:t xml:space="preserve"> </w:t>
      </w:r>
      <w:r>
        <w:rPr>
          <w:b/>
          <w:bCs/>
          <w:color w:val="000080"/>
          <w:spacing w:val="-11"/>
          <w:sz w:val="17"/>
          <w:szCs w:val="17"/>
        </w:rPr>
        <w:t>股</w:t>
      </w:r>
      <w:r>
        <w:rPr>
          <w:color w:val="000080"/>
          <w:spacing w:val="-23"/>
          <w:sz w:val="17"/>
          <w:szCs w:val="17"/>
        </w:rPr>
        <w:t xml:space="preserve"> </w:t>
      </w:r>
      <w:r>
        <w:rPr>
          <w:b/>
          <w:bCs/>
          <w:color w:val="000080"/>
          <w:spacing w:val="-11"/>
          <w:sz w:val="17"/>
          <w:szCs w:val="17"/>
        </w:rPr>
        <w:t>票</w:t>
      </w:r>
      <w:r>
        <w:rPr>
          <w:color w:val="000080"/>
          <w:spacing w:val="-21"/>
          <w:sz w:val="17"/>
          <w:szCs w:val="17"/>
        </w:rPr>
        <w:t xml:space="preserve"> </w:t>
      </w:r>
      <w:r>
        <w:rPr>
          <w:b/>
          <w:bCs/>
          <w:color w:val="000080"/>
          <w:spacing w:val="-11"/>
          <w:sz w:val="17"/>
          <w:szCs w:val="17"/>
        </w:rPr>
        <w:t>、</w:t>
      </w:r>
      <w:r>
        <w:rPr>
          <w:color w:val="000080"/>
          <w:spacing w:val="-35"/>
          <w:sz w:val="17"/>
          <w:szCs w:val="17"/>
        </w:rPr>
        <w:t xml:space="preserve"> </w:t>
      </w:r>
      <w:r>
        <w:rPr>
          <w:b/>
          <w:bCs/>
          <w:color w:val="000080"/>
          <w:spacing w:val="-11"/>
          <w:sz w:val="17"/>
          <w:szCs w:val="17"/>
        </w:rPr>
        <w:t>基</w:t>
      </w:r>
      <w:r>
        <w:rPr>
          <w:color w:val="000080"/>
          <w:spacing w:val="-39"/>
          <w:sz w:val="17"/>
          <w:szCs w:val="17"/>
        </w:rPr>
        <w:t xml:space="preserve"> </w:t>
      </w:r>
      <w:r>
        <w:rPr>
          <w:b/>
          <w:bCs/>
          <w:color w:val="000080"/>
          <w:spacing w:val="-11"/>
          <w:sz w:val="17"/>
          <w:szCs w:val="17"/>
        </w:rPr>
        <w:t>金</w:t>
      </w:r>
      <w:r>
        <w:rPr>
          <w:color w:val="000080"/>
          <w:spacing w:val="-32"/>
          <w:sz w:val="17"/>
          <w:szCs w:val="17"/>
        </w:rPr>
        <w:t xml:space="preserve"> </w:t>
      </w:r>
      <w:r>
        <w:rPr>
          <w:b/>
          <w:bCs/>
          <w:color w:val="000080"/>
          <w:spacing w:val="-11"/>
          <w:sz w:val="17"/>
          <w:szCs w:val="17"/>
        </w:rPr>
        <w:t>等</w:t>
      </w:r>
      <w:r>
        <w:rPr>
          <w:color w:val="000080"/>
          <w:spacing w:val="-36"/>
          <w:sz w:val="17"/>
          <w:szCs w:val="17"/>
        </w:rPr>
        <w:t xml:space="preserve"> </w:t>
      </w:r>
      <w:r>
        <w:rPr>
          <w:b/>
          <w:bCs/>
          <w:color w:val="000080"/>
          <w:spacing w:val="-11"/>
          <w:sz w:val="17"/>
          <w:szCs w:val="17"/>
        </w:rPr>
        <w:t>产</w:t>
      </w:r>
      <w:r>
        <w:rPr>
          <w:color w:val="000080"/>
          <w:spacing w:val="-24"/>
          <w:sz w:val="17"/>
          <w:szCs w:val="17"/>
        </w:rPr>
        <w:t xml:space="preserve"> </w:t>
      </w:r>
      <w:r>
        <w:rPr>
          <w:b/>
          <w:bCs/>
          <w:color w:val="000080"/>
          <w:spacing w:val="-11"/>
          <w:sz w:val="17"/>
          <w:szCs w:val="17"/>
        </w:rPr>
        <w:t>品</w:t>
      </w:r>
      <w:r>
        <w:rPr>
          <w:color w:val="000080"/>
          <w:spacing w:val="-21"/>
          <w:sz w:val="17"/>
          <w:szCs w:val="17"/>
        </w:rPr>
        <w:t xml:space="preserve"> </w:t>
      </w:r>
      <w:r>
        <w:rPr>
          <w:b/>
          <w:bCs/>
          <w:color w:val="000080"/>
          <w:spacing w:val="-11"/>
          <w:sz w:val="17"/>
          <w:szCs w:val="17"/>
        </w:rPr>
        <w:t>，</w:t>
      </w:r>
      <w:r>
        <w:rPr>
          <w:color w:val="000080"/>
          <w:spacing w:val="-36"/>
          <w:sz w:val="17"/>
          <w:szCs w:val="17"/>
        </w:rPr>
        <w:t xml:space="preserve"> </w:t>
      </w:r>
      <w:r>
        <w:rPr>
          <w:b/>
          <w:bCs/>
          <w:color w:val="000080"/>
          <w:spacing w:val="-11"/>
          <w:sz w:val="17"/>
          <w:szCs w:val="17"/>
        </w:rPr>
        <w:t>权</w:t>
      </w:r>
      <w:r>
        <w:rPr>
          <w:color w:val="000080"/>
          <w:spacing w:val="-32"/>
          <w:sz w:val="17"/>
          <w:szCs w:val="17"/>
        </w:rPr>
        <w:t xml:space="preserve"> </w:t>
      </w:r>
      <w:r>
        <w:rPr>
          <w:b/>
          <w:bCs/>
          <w:color w:val="000080"/>
          <w:spacing w:val="-11"/>
          <w:sz w:val="17"/>
          <w:szCs w:val="17"/>
        </w:rPr>
        <w:t>益</w:t>
      </w:r>
      <w:r>
        <w:rPr>
          <w:color w:val="000080"/>
          <w:spacing w:val="-26"/>
          <w:sz w:val="17"/>
          <w:szCs w:val="17"/>
        </w:rPr>
        <w:t xml:space="preserve"> </w:t>
      </w:r>
      <w:r>
        <w:rPr>
          <w:b/>
          <w:bCs/>
          <w:color w:val="000080"/>
          <w:spacing w:val="-11"/>
          <w:sz w:val="17"/>
          <w:szCs w:val="17"/>
        </w:rPr>
        <w:t>资</w:t>
      </w:r>
      <w:r>
        <w:rPr>
          <w:color w:val="000080"/>
          <w:spacing w:val="-35"/>
          <w:sz w:val="17"/>
          <w:szCs w:val="17"/>
        </w:rPr>
        <w:t xml:space="preserve"> </w:t>
      </w:r>
      <w:r>
        <w:rPr>
          <w:b/>
          <w:bCs/>
          <w:color w:val="000080"/>
          <w:spacing w:val="-11"/>
          <w:sz w:val="17"/>
          <w:szCs w:val="17"/>
        </w:rPr>
        <w:t>产</w:t>
      </w:r>
      <w:r>
        <w:rPr>
          <w:color w:val="000080"/>
          <w:spacing w:val="-12"/>
          <w:sz w:val="17"/>
          <w:szCs w:val="17"/>
        </w:rPr>
        <w:t xml:space="preserve"> </w:t>
      </w:r>
      <w:r>
        <w:rPr>
          <w:b/>
          <w:bCs/>
          <w:color w:val="000080"/>
          <w:spacing w:val="-12"/>
          <w:sz w:val="17"/>
          <w:szCs w:val="17"/>
        </w:rPr>
        <w:t>比</w:t>
      </w:r>
      <w:r>
        <w:rPr>
          <w:color w:val="000080"/>
          <w:spacing w:val="-36"/>
          <w:sz w:val="17"/>
          <w:szCs w:val="17"/>
        </w:rPr>
        <w:t xml:space="preserve"> </w:t>
      </w:r>
      <w:r>
        <w:rPr>
          <w:b/>
          <w:bCs/>
          <w:color w:val="000080"/>
          <w:spacing w:val="-12"/>
          <w:sz w:val="17"/>
          <w:szCs w:val="17"/>
        </w:rPr>
        <w:t>例</w:t>
      </w:r>
      <w:r>
        <w:rPr>
          <w:color w:val="000080"/>
          <w:spacing w:val="-32"/>
          <w:sz w:val="17"/>
          <w:szCs w:val="17"/>
        </w:rPr>
        <w:t xml:space="preserve"> </w:t>
      </w:r>
      <w:r>
        <w:rPr>
          <w:b/>
          <w:bCs/>
          <w:color w:val="000080"/>
          <w:spacing w:val="-12"/>
          <w:sz w:val="17"/>
          <w:szCs w:val="17"/>
        </w:rPr>
        <w:t>上</w:t>
      </w:r>
      <w:r>
        <w:rPr>
          <w:color w:val="000080"/>
          <w:spacing w:val="-20"/>
          <w:sz w:val="17"/>
          <w:szCs w:val="17"/>
        </w:rPr>
        <w:t xml:space="preserve"> </w:t>
      </w:r>
      <w:r>
        <w:rPr>
          <w:b/>
          <w:bCs/>
          <w:color w:val="000080"/>
          <w:spacing w:val="-12"/>
          <w:sz w:val="17"/>
          <w:szCs w:val="17"/>
        </w:rPr>
        <w:t>限</w:t>
      </w:r>
      <w:r>
        <w:rPr>
          <w:color w:val="000080"/>
          <w:spacing w:val="-26"/>
          <w:sz w:val="17"/>
          <w:szCs w:val="17"/>
        </w:rPr>
        <w:t xml:space="preserve"> </w:t>
      </w:r>
      <w:r>
        <w:rPr>
          <w:b/>
          <w:bCs/>
          <w:color w:val="000080"/>
          <w:spacing w:val="-12"/>
          <w:sz w:val="17"/>
          <w:szCs w:val="17"/>
        </w:rPr>
        <w:t>为</w:t>
      </w:r>
      <w:r>
        <w:rPr>
          <w:color w:val="000080"/>
          <w:spacing w:val="-37"/>
          <w:sz w:val="17"/>
          <w:szCs w:val="17"/>
        </w:rPr>
        <w:t xml:space="preserve"> </w:t>
      </w:r>
      <w:r>
        <w:rPr>
          <w:b/>
          <w:bCs/>
          <w:color w:val="000080"/>
          <w:spacing w:val="-12"/>
          <w:sz w:val="17"/>
          <w:szCs w:val="17"/>
        </w:rPr>
        <w:t>4</w:t>
      </w:r>
      <w:r>
        <w:rPr>
          <w:color w:val="000080"/>
          <w:spacing w:val="-34"/>
          <w:sz w:val="17"/>
          <w:szCs w:val="17"/>
        </w:rPr>
        <w:t xml:space="preserve"> </w:t>
      </w:r>
      <w:r>
        <w:rPr>
          <w:b/>
          <w:bCs/>
          <w:color w:val="000080"/>
          <w:spacing w:val="-12"/>
          <w:sz w:val="17"/>
          <w:szCs w:val="17"/>
        </w:rPr>
        <w:t>0</w:t>
      </w:r>
      <w:r>
        <w:rPr>
          <w:color w:val="000080"/>
          <w:spacing w:val="-36"/>
          <w:sz w:val="17"/>
          <w:szCs w:val="17"/>
        </w:rPr>
        <w:t xml:space="preserve"> </w:t>
      </w:r>
      <w:r>
        <w:rPr>
          <w:b/>
          <w:bCs/>
          <w:color w:val="000080"/>
          <w:spacing w:val="-12"/>
          <w:sz w:val="17"/>
          <w:szCs w:val="17"/>
        </w:rPr>
        <w:t>%</w:t>
      </w:r>
    </w:p>
    <w:p>
      <w:pPr>
        <w:pStyle w:val="BodyText"/>
        <w:spacing w:before="113" w:line="192" w:lineRule="auto"/>
        <w:ind w:left="3377"/>
        <w:rPr>
          <w:sz w:val="17"/>
          <w:szCs w:val="17"/>
        </w:rPr>
      </w:pPr>
      <w:r>
        <w:rPr>
          <w:b/>
          <w:bCs/>
          <w:spacing w:val="11"/>
          <w:sz w:val="17"/>
          <w:szCs w:val="17"/>
        </w:rPr>
        <w:t>投资范围</w:t>
      </w:r>
    </w:p>
    <w:p>
      <w:pPr>
        <w:spacing w:line="14" w:lineRule="auto"/>
        <w:rPr>
          <w:rFonts w:ascii="Arial"/>
          <w:sz w:val="2"/>
        </w:rPr>
      </w:pPr>
      <w:r>
        <w:rPr>
          <w:rFonts w:ascii="Arial" w:eastAsia="Arial" w:hAnsi="Arial" w:cs="Arial"/>
          <w:sz w:val="2"/>
          <w:szCs w:val="2"/>
        </w:rPr>
        <w:br w:type="column"/>
      </w:r>
    </w:p>
    <w:p>
      <w:pPr>
        <w:spacing w:line="292" w:lineRule="auto"/>
        <w:rPr>
          <w:rFonts w:ascii="Arial"/>
          <w:sz w:val="21"/>
        </w:rPr>
      </w:pPr>
    </w:p>
    <w:p>
      <w:pPr>
        <w:pStyle w:val="BodyText"/>
        <w:spacing w:before="56" w:line="192" w:lineRule="auto"/>
        <w:rPr>
          <w:sz w:val="17"/>
          <w:szCs w:val="17"/>
        </w:rPr>
      </w:pPr>
      <w:r>
        <w:rPr>
          <w:b/>
          <w:bCs/>
          <w:spacing w:val="9"/>
          <w:sz w:val="17"/>
          <w:szCs w:val="17"/>
        </w:rPr>
        <w:t>投资比例</w:t>
      </w:r>
    </w:p>
    <w:p>
      <w:pPr>
        <w:spacing w:line="192" w:lineRule="auto"/>
        <w:rPr>
          <w:sz w:val="17"/>
          <w:szCs w:val="17"/>
        </w:rPr>
        <w:sectPr>
          <w:footerReference w:type="default" r:id="rId82"/>
          <w:type w:val="continuous"/>
          <w:pgSz w:w="11910" w:h="16840"/>
          <w:pgMar w:top="156" w:right="660" w:bottom="1129" w:left="684" w:header="0" w:footer="864" w:gutter="0"/>
          <w:pgNumType w:start="46"/>
          <w:cols w:num="2" w:space="708" w:equalWidth="0">
            <w:col w:w="8488" w:space="100"/>
            <w:col w:w="1978" w:space="0"/>
          </w:cols>
        </w:sectPr>
      </w:pPr>
    </w:p>
    <w:p>
      <w:pPr>
        <w:spacing w:line="94" w:lineRule="exact"/>
      </w:pPr>
    </w:p>
    <w:p>
      <w:pPr>
        <w:spacing w:line="94" w:lineRule="exact"/>
        <w:sectPr>
          <w:footerReference w:type="default" r:id="rId83"/>
          <w:type w:val="continuous"/>
          <w:pgSz w:w="11910" w:h="16840"/>
          <w:pgMar w:top="156" w:right="660" w:bottom="1129" w:left="684" w:header="0" w:footer="864" w:gutter="0"/>
          <w:pgNumType w:start="47"/>
          <w:cols w:num="1" w:space="708" w:equalWidth="0">
            <w:col w:w="10566" w:space="0"/>
          </w:cols>
        </w:sectPr>
      </w:pPr>
    </w:p>
    <w:p>
      <w:pPr>
        <w:pStyle w:val="BodyText"/>
        <w:spacing w:before="36" w:line="289" w:lineRule="auto"/>
        <w:ind w:left="45" w:right="150"/>
        <w:rPr>
          <w:sz w:val="17"/>
          <w:szCs w:val="17"/>
        </w:rPr>
      </w:pPr>
      <w:r>
        <w:rPr>
          <w:spacing w:val="16"/>
          <w:sz w:val="17"/>
          <w:szCs w:val="17"/>
        </w:rPr>
        <w:t>一年期以内(含一年)的银行存款、中央银行票据，</w:t>
      </w:r>
      <w:r>
        <w:rPr>
          <w:spacing w:val="15"/>
          <w:sz w:val="17"/>
          <w:szCs w:val="17"/>
        </w:rPr>
        <w:t>同业存单，剩余期限在一年期以内(含</w:t>
      </w:r>
      <w:r>
        <w:rPr>
          <w:sz w:val="17"/>
          <w:szCs w:val="17"/>
        </w:rPr>
        <w:t xml:space="preserve"> </w:t>
      </w:r>
      <w:r>
        <w:rPr>
          <w:spacing w:val="15"/>
          <w:sz w:val="17"/>
          <w:szCs w:val="17"/>
        </w:rPr>
        <w:t>一年)的国债，剩余期限在一年期以内(含一年)的政策性、开</w:t>
      </w:r>
      <w:r>
        <w:rPr>
          <w:spacing w:val="14"/>
          <w:sz w:val="17"/>
          <w:szCs w:val="17"/>
        </w:rPr>
        <w:t>发性银行债券，债券回购，</w:t>
      </w:r>
    </w:p>
    <w:p>
      <w:pPr>
        <w:spacing w:line="14" w:lineRule="auto"/>
        <w:rPr>
          <w:rFonts w:ascii="Arial"/>
          <w:sz w:val="2"/>
        </w:rPr>
      </w:pPr>
      <w:r>
        <w:rPr>
          <w:rFonts w:ascii="Arial" w:eastAsia="Arial" w:hAnsi="Arial" w:cs="Arial"/>
          <w:sz w:val="2"/>
          <w:szCs w:val="2"/>
        </w:rPr>
        <w:br w:type="column"/>
      </w:r>
    </w:p>
    <w:p>
      <w:pPr>
        <w:pStyle w:val="BodyText"/>
        <w:spacing w:before="197" w:line="276" w:lineRule="auto"/>
        <w:ind w:right="237"/>
        <w:rPr>
          <w:sz w:val="15"/>
          <w:szCs w:val="15"/>
        </w:rPr>
      </w:pPr>
      <w:r>
        <w:rPr>
          <w:spacing w:val="8"/>
          <w:sz w:val="17"/>
          <w:szCs w:val="17"/>
        </w:rPr>
        <w:t>合计不得低于投资组合委托投资资产</w:t>
      </w:r>
      <w:r>
        <w:rPr>
          <w:spacing w:val="13"/>
          <w:sz w:val="17"/>
          <w:szCs w:val="17"/>
        </w:rPr>
        <w:t xml:space="preserve"> </w:t>
      </w:r>
      <w:r>
        <w:rPr>
          <w:spacing w:val="-6"/>
          <w:sz w:val="15"/>
          <w:szCs w:val="15"/>
        </w:rPr>
        <w:t>净</w:t>
      </w:r>
      <w:r>
        <w:rPr>
          <w:spacing w:val="-11"/>
          <w:sz w:val="15"/>
          <w:szCs w:val="15"/>
        </w:rPr>
        <w:t xml:space="preserve"> </w:t>
      </w:r>
      <w:r>
        <w:rPr>
          <w:spacing w:val="-6"/>
          <w:sz w:val="15"/>
          <w:szCs w:val="15"/>
        </w:rPr>
        <w:t>值</w:t>
      </w:r>
      <w:r>
        <w:rPr>
          <w:spacing w:val="-6"/>
          <w:sz w:val="15"/>
          <w:szCs w:val="15"/>
        </w:rPr>
        <w:t xml:space="preserve"> </w:t>
      </w:r>
      <w:r>
        <w:rPr>
          <w:spacing w:val="-6"/>
          <w:sz w:val="15"/>
          <w:szCs w:val="15"/>
        </w:rPr>
        <w:t>的</w:t>
      </w:r>
      <w:r>
        <w:rPr>
          <w:spacing w:val="-14"/>
          <w:sz w:val="15"/>
          <w:szCs w:val="15"/>
        </w:rPr>
        <w:t xml:space="preserve"> </w:t>
      </w:r>
      <w:r>
        <w:rPr>
          <w:spacing w:val="-6"/>
          <w:sz w:val="15"/>
          <w:szCs w:val="15"/>
        </w:rPr>
        <w:t>5</w:t>
      </w:r>
      <w:r>
        <w:rPr>
          <w:spacing w:val="-12"/>
          <w:sz w:val="15"/>
          <w:szCs w:val="15"/>
        </w:rPr>
        <w:t xml:space="preserve"> </w:t>
      </w:r>
      <w:r>
        <w:rPr>
          <w:spacing w:val="-6"/>
          <w:sz w:val="15"/>
          <w:szCs w:val="15"/>
        </w:rPr>
        <w:t>%</w:t>
      </w:r>
    </w:p>
    <w:p>
      <w:pPr>
        <w:spacing w:line="276" w:lineRule="auto"/>
        <w:rPr>
          <w:sz w:val="15"/>
          <w:szCs w:val="15"/>
        </w:rPr>
        <w:sectPr>
          <w:footerReference w:type="default" r:id="rId84"/>
          <w:type w:val="continuous"/>
          <w:pgSz w:w="11910" w:h="16840"/>
          <w:pgMar w:top="156" w:right="660" w:bottom="1129" w:left="684" w:header="0" w:footer="864" w:gutter="0"/>
          <w:pgNumType w:start="48"/>
          <w:cols w:num="2" w:space="708" w:equalWidth="0">
            <w:col w:w="7366" w:space="100"/>
            <w:col w:w="3100" w:space="0"/>
          </w:cols>
        </w:sectPr>
      </w:pPr>
    </w:p>
    <w:p>
      <w:pPr>
        <w:pStyle w:val="BodyText"/>
        <w:spacing w:before="38" w:line="184" w:lineRule="auto"/>
        <w:ind w:left="45"/>
        <w:rPr>
          <w:sz w:val="15"/>
          <w:szCs w:val="15"/>
        </w:rPr>
      </w:pPr>
      <w:r>
        <w:rPr>
          <w:spacing w:val="-10"/>
          <w:sz w:val="15"/>
          <w:szCs w:val="15"/>
        </w:rPr>
        <w:t>货</w:t>
      </w:r>
      <w:r>
        <w:rPr>
          <w:spacing w:val="64"/>
          <w:sz w:val="15"/>
          <w:szCs w:val="15"/>
        </w:rPr>
        <w:t xml:space="preserve"> </w:t>
      </w:r>
      <w:r>
        <w:rPr>
          <w:spacing w:val="-10"/>
          <w:sz w:val="15"/>
          <w:szCs w:val="15"/>
        </w:rPr>
        <w:t>币</w:t>
      </w:r>
      <w:r>
        <w:rPr>
          <w:spacing w:val="34"/>
          <w:sz w:val="15"/>
          <w:szCs w:val="15"/>
        </w:rPr>
        <w:t xml:space="preserve"> </w:t>
      </w:r>
      <w:r>
        <w:rPr>
          <w:spacing w:val="-10"/>
          <w:sz w:val="15"/>
          <w:szCs w:val="15"/>
        </w:rPr>
        <w:t>市</w:t>
      </w:r>
      <w:r>
        <w:rPr>
          <w:spacing w:val="37"/>
          <w:w w:val="101"/>
          <w:sz w:val="15"/>
          <w:szCs w:val="15"/>
        </w:rPr>
        <w:t xml:space="preserve"> </w:t>
      </w:r>
      <w:r>
        <w:rPr>
          <w:spacing w:val="-10"/>
          <w:sz w:val="15"/>
          <w:szCs w:val="15"/>
        </w:rPr>
        <w:t>场</w:t>
      </w:r>
      <w:r>
        <w:rPr>
          <w:spacing w:val="30"/>
          <w:sz w:val="15"/>
          <w:szCs w:val="15"/>
        </w:rPr>
        <w:t xml:space="preserve"> </w:t>
      </w:r>
      <w:r>
        <w:rPr>
          <w:spacing w:val="-10"/>
          <w:sz w:val="15"/>
          <w:szCs w:val="15"/>
        </w:rPr>
        <w:t>基</w:t>
      </w:r>
      <w:r>
        <w:rPr>
          <w:spacing w:val="26"/>
          <w:sz w:val="15"/>
          <w:szCs w:val="15"/>
        </w:rPr>
        <w:t xml:space="preserve"> </w:t>
      </w:r>
      <w:r>
        <w:rPr>
          <w:spacing w:val="-10"/>
          <w:sz w:val="15"/>
          <w:szCs w:val="15"/>
        </w:rPr>
        <w:t>金</w:t>
      </w:r>
      <w:r>
        <w:rPr>
          <w:spacing w:val="41"/>
          <w:sz w:val="15"/>
          <w:szCs w:val="15"/>
        </w:rPr>
        <w:t xml:space="preserve"> </w:t>
      </w:r>
      <w:r>
        <w:rPr>
          <w:spacing w:val="-10"/>
          <w:sz w:val="15"/>
          <w:szCs w:val="15"/>
        </w:rPr>
        <w:t>，</w:t>
      </w:r>
      <w:r>
        <w:rPr>
          <w:spacing w:val="34"/>
          <w:sz w:val="15"/>
          <w:szCs w:val="15"/>
        </w:rPr>
        <w:t xml:space="preserve"> </w:t>
      </w:r>
      <w:r>
        <w:rPr>
          <w:spacing w:val="-10"/>
          <w:sz w:val="15"/>
          <w:szCs w:val="15"/>
        </w:rPr>
        <w:t>货</w:t>
      </w:r>
      <w:r>
        <w:rPr>
          <w:spacing w:val="56"/>
          <w:sz w:val="15"/>
          <w:szCs w:val="15"/>
        </w:rPr>
        <w:t xml:space="preserve"> </w:t>
      </w:r>
      <w:r>
        <w:rPr>
          <w:spacing w:val="-10"/>
          <w:sz w:val="15"/>
          <w:szCs w:val="15"/>
        </w:rPr>
        <w:t>币</w:t>
      </w:r>
      <w:r>
        <w:rPr>
          <w:spacing w:val="34"/>
          <w:sz w:val="15"/>
          <w:szCs w:val="15"/>
        </w:rPr>
        <w:t xml:space="preserve"> </w:t>
      </w:r>
      <w:r>
        <w:rPr>
          <w:spacing w:val="-10"/>
          <w:sz w:val="15"/>
          <w:szCs w:val="15"/>
        </w:rPr>
        <w:t>型</w:t>
      </w:r>
      <w:r>
        <w:rPr>
          <w:spacing w:val="36"/>
          <w:w w:val="101"/>
          <w:sz w:val="15"/>
          <w:szCs w:val="15"/>
        </w:rPr>
        <w:t xml:space="preserve"> </w:t>
      </w:r>
      <w:r>
        <w:rPr>
          <w:spacing w:val="-10"/>
          <w:sz w:val="15"/>
          <w:szCs w:val="15"/>
        </w:rPr>
        <w:t>养</w:t>
      </w:r>
      <w:r>
        <w:rPr>
          <w:spacing w:val="31"/>
          <w:sz w:val="15"/>
          <w:szCs w:val="15"/>
        </w:rPr>
        <w:t xml:space="preserve"> </w:t>
      </w:r>
      <w:r>
        <w:rPr>
          <w:spacing w:val="-10"/>
          <w:sz w:val="15"/>
          <w:szCs w:val="15"/>
        </w:rPr>
        <w:t>老</w:t>
      </w:r>
      <w:r>
        <w:rPr>
          <w:spacing w:val="26"/>
          <w:sz w:val="15"/>
          <w:szCs w:val="15"/>
        </w:rPr>
        <w:t xml:space="preserve"> </w:t>
      </w:r>
      <w:r>
        <w:rPr>
          <w:spacing w:val="-10"/>
          <w:sz w:val="15"/>
          <w:szCs w:val="15"/>
        </w:rPr>
        <w:t>金</w:t>
      </w:r>
      <w:r>
        <w:rPr>
          <w:spacing w:val="28"/>
          <w:sz w:val="15"/>
          <w:szCs w:val="15"/>
        </w:rPr>
        <w:t xml:space="preserve"> </w:t>
      </w:r>
      <w:r>
        <w:rPr>
          <w:spacing w:val="-10"/>
          <w:sz w:val="15"/>
          <w:szCs w:val="15"/>
        </w:rPr>
        <w:t>产</w:t>
      </w:r>
      <w:r>
        <w:rPr>
          <w:spacing w:val="39"/>
          <w:sz w:val="15"/>
          <w:szCs w:val="15"/>
        </w:rPr>
        <w:t xml:space="preserve"> </w:t>
      </w:r>
      <w:r>
        <w:rPr>
          <w:spacing w:val="-10"/>
          <w:sz w:val="15"/>
          <w:szCs w:val="15"/>
        </w:rPr>
        <w:t>品</w:t>
      </w:r>
      <w:r>
        <w:rPr>
          <w:spacing w:val="33"/>
          <w:sz w:val="15"/>
          <w:szCs w:val="15"/>
        </w:rPr>
        <w:t xml:space="preserve"> </w:t>
      </w:r>
      <w:r>
        <w:rPr>
          <w:spacing w:val="-10"/>
          <w:sz w:val="15"/>
          <w:szCs w:val="15"/>
        </w:rPr>
        <w:t>等</w:t>
      </w:r>
      <w:r>
        <w:rPr>
          <w:spacing w:val="38"/>
          <w:sz w:val="15"/>
          <w:szCs w:val="15"/>
        </w:rPr>
        <w:t xml:space="preserve"> </w:t>
      </w:r>
      <w:r>
        <w:rPr>
          <w:spacing w:val="-10"/>
          <w:sz w:val="15"/>
          <w:szCs w:val="15"/>
        </w:rPr>
        <w:t>流</w:t>
      </w:r>
      <w:r>
        <w:rPr>
          <w:spacing w:val="32"/>
          <w:sz w:val="15"/>
          <w:szCs w:val="15"/>
        </w:rPr>
        <w:t xml:space="preserve"> </w:t>
      </w:r>
      <w:r>
        <w:rPr>
          <w:spacing w:val="-10"/>
          <w:sz w:val="15"/>
          <w:szCs w:val="15"/>
        </w:rPr>
        <w:t>动</w:t>
      </w:r>
      <w:r>
        <w:rPr>
          <w:spacing w:val="35"/>
          <w:sz w:val="15"/>
          <w:szCs w:val="15"/>
        </w:rPr>
        <w:t xml:space="preserve"> </w:t>
      </w:r>
      <w:r>
        <w:rPr>
          <w:spacing w:val="-10"/>
          <w:sz w:val="15"/>
          <w:szCs w:val="15"/>
        </w:rPr>
        <w:t>性</w:t>
      </w:r>
      <w:r>
        <w:rPr>
          <w:spacing w:val="38"/>
          <w:sz w:val="15"/>
          <w:szCs w:val="15"/>
        </w:rPr>
        <w:t xml:space="preserve"> </w:t>
      </w:r>
      <w:r>
        <w:rPr>
          <w:spacing w:val="-10"/>
          <w:sz w:val="15"/>
          <w:szCs w:val="15"/>
        </w:rPr>
        <w:t>资</w:t>
      </w:r>
      <w:r>
        <w:rPr>
          <w:spacing w:val="29"/>
          <w:w w:val="101"/>
          <w:sz w:val="15"/>
          <w:szCs w:val="15"/>
        </w:rPr>
        <w:t xml:space="preserve"> </w:t>
      </w:r>
      <w:r>
        <w:rPr>
          <w:spacing w:val="-10"/>
          <w:sz w:val="15"/>
          <w:szCs w:val="15"/>
        </w:rPr>
        <w:t>产</w:t>
      </w:r>
    </w:p>
    <w:tbl>
      <w:tblPr>
        <w:tblStyle w:val="TableNormal7"/>
        <w:tblW w:w="10540" w:type="dxa"/>
        <w:tblInd w:w="5" w:type="dxa"/>
        <w:tblBorders>
          <w:top w:val="nil"/>
          <w:left w:val="nil"/>
          <w:bottom w:val="nil"/>
          <w:right w:val="nil"/>
          <w:insideH w:val="nil"/>
          <w:insideV w:val="nil"/>
        </w:tblBorders>
        <w:tblLayout w:type="fixed"/>
      </w:tblPr>
      <w:tblGrid>
        <w:gridCol w:w="7279"/>
        <w:gridCol w:w="3261"/>
      </w:tblGrid>
      <w:tr>
        <w:tblPrEx>
          <w:tblW w:w="10540" w:type="dxa"/>
          <w:tblInd w:w="5" w:type="dxa"/>
          <w:tblBorders>
            <w:top w:val="nil"/>
            <w:left w:val="nil"/>
            <w:bottom w:val="nil"/>
            <w:right w:val="nil"/>
            <w:insideH w:val="nil"/>
            <w:insideV w:val="nil"/>
          </w:tblBorders>
          <w:tblLayout w:type="fixed"/>
        </w:tblPrEx>
        <w:trPr>
          <w:trHeight w:val="673"/>
        </w:trPr>
        <w:tc>
          <w:tcPr>
            <w:tcW w:w="7279" w:type="dxa"/>
            <w:tcBorders>
              <w:top w:val="single" w:sz="2" w:space="0" w:color="000000"/>
              <w:bottom w:val="single" w:sz="2" w:space="0" w:color="000000"/>
            </w:tcBorders>
            <w:vAlign w:val="top"/>
          </w:tcPr>
          <w:p>
            <w:pPr>
              <w:spacing w:before="105" w:line="284" w:lineRule="auto"/>
              <w:ind w:left="40" w:right="67"/>
              <w:rPr>
                <w:rFonts w:ascii="KaiTi" w:eastAsia="KaiTi" w:hAnsi="KaiTi" w:cs="KaiTi"/>
                <w:sz w:val="17"/>
                <w:szCs w:val="17"/>
              </w:rPr>
            </w:pPr>
            <w:r>
              <w:rPr>
                <w:rFonts w:ascii="KaiTi" w:eastAsia="KaiTi" w:hAnsi="KaiTi" w:cs="KaiTi"/>
                <w:spacing w:val="9"/>
                <w:sz w:val="17"/>
                <w:szCs w:val="17"/>
              </w:rPr>
              <w:t>一年期以上的银行存款，标准化债权类资产，信托产品，债权投资计划，债券基金，固定收</w:t>
            </w:r>
            <w:r>
              <w:rPr>
                <w:rFonts w:ascii="KaiTi" w:eastAsia="KaiTi" w:hAnsi="KaiTi" w:cs="KaiTi"/>
                <w:spacing w:val="10"/>
                <w:sz w:val="17"/>
                <w:szCs w:val="17"/>
              </w:rPr>
              <w:t xml:space="preserve"> </w:t>
            </w:r>
            <w:r>
              <w:rPr>
                <w:rFonts w:ascii="KaiTi" w:eastAsia="KaiTi" w:hAnsi="KaiTi" w:cs="KaiTi"/>
                <w:spacing w:val="9"/>
                <w:sz w:val="17"/>
                <w:szCs w:val="17"/>
              </w:rPr>
              <w:t>益型养老金产品，混合型养老金产品等固定收益类资产</w:t>
            </w:r>
          </w:p>
        </w:tc>
        <w:tc>
          <w:tcPr>
            <w:tcW w:w="3261" w:type="dxa"/>
            <w:tcBorders>
              <w:top w:val="single" w:sz="2" w:space="0" w:color="000000"/>
              <w:bottom w:val="single" w:sz="2" w:space="0" w:color="000000"/>
            </w:tcBorders>
            <w:vAlign w:val="top"/>
          </w:tcPr>
          <w:p>
            <w:pPr>
              <w:spacing w:before="108" w:line="289" w:lineRule="auto"/>
              <w:ind w:left="181" w:right="257" w:hanging="70"/>
              <w:rPr>
                <w:rFonts w:ascii="KaiTi" w:eastAsia="KaiTi" w:hAnsi="KaiTi" w:cs="KaiTi"/>
                <w:sz w:val="17"/>
                <w:szCs w:val="17"/>
              </w:rPr>
            </w:pPr>
            <w:r>
              <w:rPr>
                <w:rFonts w:ascii="KaiTi" w:eastAsia="KaiTi" w:hAnsi="KaiTi" w:cs="KaiTi"/>
                <w:spacing w:val="10"/>
                <w:sz w:val="17"/>
                <w:szCs w:val="17"/>
              </w:rPr>
              <w:t>合计不得高于投资组合委托投资资产</w:t>
            </w:r>
            <w:r>
              <w:rPr>
                <w:rFonts w:ascii="KaiTi" w:eastAsia="KaiTi" w:hAnsi="KaiTi" w:cs="KaiTi"/>
                <w:spacing w:val="11"/>
                <w:sz w:val="17"/>
                <w:szCs w:val="17"/>
              </w:rPr>
              <w:t xml:space="preserve"> </w:t>
            </w:r>
            <w:r>
              <w:rPr>
                <w:rFonts w:ascii="KaiTi" w:eastAsia="KaiTi" w:hAnsi="KaiTi" w:cs="KaiTi"/>
                <w:spacing w:val="20"/>
                <w:sz w:val="17"/>
                <w:szCs w:val="17"/>
              </w:rPr>
              <w:t>净值的135%</w:t>
            </w:r>
          </w:p>
        </w:tc>
      </w:tr>
      <w:tr>
        <w:tblPrEx>
          <w:tblW w:w="10540" w:type="dxa"/>
          <w:tblInd w:w="5" w:type="dxa"/>
          <w:tblLayout w:type="fixed"/>
        </w:tblPrEx>
        <w:trPr>
          <w:trHeight w:val="588"/>
        </w:trPr>
        <w:tc>
          <w:tcPr>
            <w:tcW w:w="7279" w:type="dxa"/>
            <w:tcBorders>
              <w:top w:val="single" w:sz="2" w:space="0" w:color="000000"/>
              <w:bottom w:val="single" w:sz="2" w:space="0" w:color="000000"/>
            </w:tcBorders>
            <w:vAlign w:val="top"/>
          </w:tcPr>
          <w:p>
            <w:pPr>
              <w:spacing w:before="240" w:line="208" w:lineRule="auto"/>
              <w:ind w:left="7058" w:right="48" w:hanging="7018"/>
              <w:rPr>
                <w:rFonts w:ascii="KaiTi" w:eastAsia="KaiTi" w:hAnsi="KaiTi" w:cs="KaiTi"/>
                <w:sz w:val="15"/>
                <w:szCs w:val="15"/>
              </w:rPr>
            </w:pPr>
            <w:r>
              <w:rPr>
                <w:rFonts w:ascii="KaiTi" w:eastAsia="KaiTi" w:hAnsi="KaiTi" w:cs="KaiTi"/>
                <w:spacing w:val="34"/>
                <w:sz w:val="15"/>
                <w:szCs w:val="15"/>
              </w:rPr>
              <w:t>股票、股票基金、混合基金、股票型养老金</w:t>
            </w:r>
            <w:r>
              <w:rPr>
                <w:rFonts w:ascii="KaiTi" w:eastAsia="KaiTi" w:hAnsi="KaiTi" w:cs="KaiTi"/>
                <w:spacing w:val="33"/>
                <w:sz w:val="15"/>
                <w:szCs w:val="15"/>
              </w:rPr>
              <w:t>产品(含股票专项型养老金产品)等权益类资产</w:t>
            </w:r>
            <w:r>
              <w:rPr>
                <w:rFonts w:ascii="KaiTi" w:eastAsia="KaiTi" w:hAnsi="KaiTi" w:cs="KaiTi"/>
                <w:sz w:val="15"/>
                <w:szCs w:val="15"/>
              </w:rPr>
              <w:t xml:space="preserve"> </w:t>
            </w:r>
            <w:r>
              <w:rPr>
                <w:rFonts w:ascii="KaiTi" w:eastAsia="KaiTi" w:hAnsi="KaiTi" w:cs="KaiTi"/>
                <w:sz w:val="15"/>
                <w:szCs w:val="15"/>
              </w:rPr>
              <w:t>净</w:t>
            </w:r>
          </w:p>
        </w:tc>
        <w:tc>
          <w:tcPr>
            <w:tcW w:w="3261" w:type="dxa"/>
            <w:tcBorders>
              <w:top w:val="single" w:sz="2" w:space="0" w:color="000000"/>
              <w:bottom w:val="single" w:sz="2" w:space="0" w:color="000000"/>
            </w:tcBorders>
            <w:vAlign w:val="top"/>
          </w:tcPr>
          <w:p>
            <w:pPr>
              <w:spacing w:before="60" w:line="367" w:lineRule="exact"/>
              <w:ind w:left="181"/>
              <w:rPr>
                <w:rFonts w:ascii="KaiTi" w:eastAsia="KaiTi" w:hAnsi="KaiTi" w:cs="KaiTi"/>
                <w:sz w:val="17"/>
                <w:szCs w:val="17"/>
              </w:rPr>
            </w:pPr>
            <w:r>
              <w:rPr>
                <w:rFonts w:ascii="KaiTi" w:eastAsia="KaiTi" w:hAnsi="KaiTi" w:cs="KaiTi"/>
                <w:spacing w:val="8"/>
                <w:position w:val="15"/>
                <w:sz w:val="17"/>
                <w:szCs w:val="17"/>
              </w:rPr>
              <w:t>合计不得高于投资组合委托投资资产</w:t>
            </w:r>
          </w:p>
          <w:p>
            <w:pPr>
              <w:spacing w:line="184" w:lineRule="auto"/>
              <w:ind w:left="69"/>
              <w:rPr>
                <w:rFonts w:ascii="KaiTi" w:eastAsia="KaiTi" w:hAnsi="KaiTi" w:cs="KaiTi"/>
                <w:sz w:val="15"/>
                <w:szCs w:val="15"/>
              </w:rPr>
            </w:pPr>
            <w:r>
              <w:rPr>
                <w:rFonts w:ascii="KaiTi" w:eastAsia="KaiTi" w:hAnsi="KaiTi" w:cs="KaiTi"/>
                <w:spacing w:val="-5"/>
                <w:sz w:val="15"/>
                <w:szCs w:val="15"/>
              </w:rPr>
              <w:t>值</w:t>
            </w:r>
            <w:r>
              <w:rPr>
                <w:rFonts w:ascii="KaiTi" w:eastAsia="KaiTi" w:hAnsi="KaiTi" w:cs="KaiTi"/>
                <w:spacing w:val="8"/>
                <w:sz w:val="15"/>
                <w:szCs w:val="15"/>
              </w:rPr>
              <w:t xml:space="preserve">  </w:t>
            </w:r>
            <w:r>
              <w:rPr>
                <w:rFonts w:ascii="KaiTi" w:eastAsia="KaiTi" w:hAnsi="KaiTi" w:cs="KaiTi"/>
                <w:spacing w:val="-5"/>
                <w:sz w:val="15"/>
                <w:szCs w:val="15"/>
              </w:rPr>
              <w:t>的</w:t>
            </w:r>
            <w:r>
              <w:rPr>
                <w:rFonts w:ascii="KaiTi" w:eastAsia="KaiTi" w:hAnsi="KaiTi" w:cs="KaiTi"/>
                <w:spacing w:val="1"/>
                <w:sz w:val="15"/>
                <w:szCs w:val="15"/>
              </w:rPr>
              <w:t xml:space="preserve">  </w:t>
            </w:r>
            <w:r>
              <w:rPr>
                <w:rFonts w:ascii="KaiTi" w:eastAsia="KaiTi" w:hAnsi="KaiTi" w:cs="KaiTi"/>
                <w:spacing w:val="-5"/>
                <w:sz w:val="15"/>
                <w:szCs w:val="15"/>
              </w:rPr>
              <w:t>4</w:t>
            </w:r>
            <w:r>
              <w:rPr>
                <w:rFonts w:ascii="KaiTi" w:eastAsia="KaiTi" w:hAnsi="KaiTi" w:cs="KaiTi"/>
                <w:spacing w:val="3"/>
                <w:sz w:val="15"/>
                <w:szCs w:val="15"/>
              </w:rPr>
              <w:t xml:space="preserve">  </w:t>
            </w:r>
            <w:r>
              <w:rPr>
                <w:rFonts w:ascii="KaiTi" w:eastAsia="KaiTi" w:hAnsi="KaiTi" w:cs="KaiTi"/>
                <w:spacing w:val="-5"/>
                <w:sz w:val="15"/>
                <w:szCs w:val="15"/>
              </w:rPr>
              <w:t>0</w:t>
            </w:r>
            <w:r>
              <w:rPr>
                <w:rFonts w:ascii="KaiTi" w:eastAsia="KaiTi" w:hAnsi="KaiTi" w:cs="KaiTi"/>
                <w:spacing w:val="2"/>
                <w:sz w:val="15"/>
                <w:szCs w:val="15"/>
              </w:rPr>
              <w:t xml:space="preserve">  </w:t>
            </w:r>
            <w:r>
              <w:rPr>
                <w:rFonts w:ascii="KaiTi" w:eastAsia="KaiTi" w:hAnsi="KaiTi" w:cs="KaiTi"/>
                <w:spacing w:val="-5"/>
                <w:sz w:val="15"/>
                <w:szCs w:val="15"/>
              </w:rPr>
              <w:t>%</w:t>
            </w:r>
          </w:p>
        </w:tc>
      </w:tr>
      <w:tr>
        <w:tblPrEx>
          <w:tblW w:w="10540" w:type="dxa"/>
          <w:tblInd w:w="5" w:type="dxa"/>
          <w:tblLayout w:type="fixed"/>
        </w:tblPrEx>
        <w:trPr>
          <w:trHeight w:val="615"/>
        </w:trPr>
        <w:tc>
          <w:tcPr>
            <w:tcW w:w="7279" w:type="dxa"/>
            <w:tcBorders>
              <w:top w:val="single" w:sz="2" w:space="0" w:color="000000"/>
              <w:bottom w:val="single" w:sz="2" w:space="0" w:color="000000"/>
            </w:tcBorders>
            <w:vAlign w:val="top"/>
          </w:tcPr>
          <w:p>
            <w:pPr>
              <w:spacing w:before="254" w:line="220" w:lineRule="auto"/>
              <w:ind w:left="40"/>
              <w:rPr>
                <w:rFonts w:ascii="KaiTi" w:eastAsia="KaiTi" w:hAnsi="KaiTi" w:cs="KaiTi"/>
                <w:sz w:val="16"/>
                <w:szCs w:val="16"/>
              </w:rPr>
            </w:pPr>
            <w:r>
              <w:rPr>
                <w:rFonts w:ascii="KaiTi" w:eastAsia="KaiTi" w:hAnsi="KaiTi" w:cs="KaiTi"/>
                <w:spacing w:val="19"/>
                <w:sz w:val="16"/>
                <w:szCs w:val="16"/>
              </w:rPr>
              <w:t>信托产品、债权投资计划，以及信托产品型、债权投资计划型养老金产品</w:t>
            </w:r>
          </w:p>
        </w:tc>
        <w:tc>
          <w:tcPr>
            <w:tcW w:w="3261" w:type="dxa"/>
            <w:tcBorders>
              <w:top w:val="single" w:sz="2" w:space="0" w:color="000000"/>
              <w:bottom w:val="single" w:sz="2" w:space="0" w:color="000000"/>
            </w:tcBorders>
            <w:vAlign w:val="top"/>
          </w:tcPr>
          <w:p>
            <w:pPr>
              <w:spacing w:before="117" w:line="223" w:lineRule="auto"/>
              <w:ind w:left="181"/>
              <w:rPr>
                <w:rFonts w:ascii="KaiTi" w:eastAsia="KaiTi" w:hAnsi="KaiTi" w:cs="KaiTi"/>
                <w:sz w:val="17"/>
                <w:szCs w:val="17"/>
              </w:rPr>
            </w:pPr>
            <w:r>
              <w:rPr>
                <w:rFonts w:ascii="KaiTi" w:eastAsia="KaiTi" w:hAnsi="KaiTi" w:cs="KaiTi"/>
                <w:spacing w:val="8"/>
                <w:sz w:val="17"/>
                <w:szCs w:val="17"/>
              </w:rPr>
              <w:t>合计不得高于投资组合委托投资资产</w:t>
            </w:r>
          </w:p>
        </w:tc>
      </w:tr>
    </w:tbl>
    <w:p>
      <w:pPr>
        <w:pStyle w:val="BodyText"/>
        <w:spacing w:before="129" w:line="224" w:lineRule="auto"/>
        <w:ind w:left="45"/>
        <w:rPr>
          <w:sz w:val="17"/>
          <w:szCs w:val="17"/>
        </w:rPr>
      </w:pPr>
      <w:r>
        <w:rPr>
          <w:spacing w:val="9"/>
          <w:sz w:val="17"/>
          <w:szCs w:val="17"/>
        </w:rPr>
        <w:t>资料来源：人社部、开源证券研究所</w:t>
      </w:r>
    </w:p>
    <w:p>
      <w:pPr>
        <w:spacing w:before="143"/>
      </w:pPr>
    </w:p>
    <w:p>
      <w:pPr>
        <w:sectPr>
          <w:footerReference w:type="default" r:id="rId85"/>
          <w:type w:val="continuous"/>
          <w:pgSz w:w="11910" w:h="16840"/>
          <w:pgMar w:top="156" w:right="660" w:bottom="1129" w:left="684" w:header="0" w:footer="864" w:gutter="0"/>
          <w:pgNumType w:start="49"/>
          <w:cols w:num="1" w:space="708" w:equalWidth="0">
            <w:col w:w="10566" w:space="0"/>
          </w:cols>
        </w:sectPr>
      </w:pPr>
    </w:p>
    <w:p>
      <w:pPr>
        <w:pStyle w:val="BodyText"/>
        <w:spacing w:before="45" w:line="223" w:lineRule="auto"/>
        <w:ind w:left="47"/>
        <w:rPr>
          <w:sz w:val="17"/>
          <w:szCs w:val="17"/>
        </w:rPr>
      </w:pPr>
      <w:r>
        <w:rPr>
          <w:b/>
          <w:bCs/>
          <w:color w:val="000080"/>
          <w:spacing w:val="-11"/>
          <w:sz w:val="17"/>
          <w:szCs w:val="17"/>
          <w:u w:val="single" w:color="auto"/>
        </w:rPr>
        <w:t>图</w:t>
      </w:r>
      <w:r>
        <w:rPr>
          <w:color w:val="000080"/>
          <w:spacing w:val="-24"/>
          <w:sz w:val="17"/>
          <w:szCs w:val="17"/>
          <w:u w:val="single" w:color="auto"/>
        </w:rPr>
        <w:t xml:space="preserve"> </w:t>
      </w:r>
      <w:r>
        <w:rPr>
          <w:b/>
          <w:bCs/>
          <w:color w:val="000080"/>
          <w:spacing w:val="-11"/>
          <w:sz w:val="17"/>
          <w:szCs w:val="17"/>
          <w:u w:val="single" w:color="auto"/>
        </w:rPr>
        <w:t>1</w:t>
      </w:r>
      <w:r>
        <w:rPr>
          <w:color w:val="000080"/>
          <w:spacing w:val="-35"/>
          <w:sz w:val="17"/>
          <w:szCs w:val="17"/>
          <w:u w:val="single" w:color="auto"/>
        </w:rPr>
        <w:t xml:space="preserve"> </w:t>
      </w:r>
      <w:r>
        <w:rPr>
          <w:b/>
          <w:bCs/>
          <w:color w:val="000080"/>
          <w:spacing w:val="-11"/>
          <w:sz w:val="17"/>
          <w:szCs w:val="17"/>
          <w:u w:val="single" w:color="auto"/>
        </w:rPr>
        <w:t>6</w:t>
      </w:r>
      <w:r>
        <w:rPr>
          <w:color w:val="000080"/>
          <w:spacing w:val="-11"/>
          <w:sz w:val="17"/>
          <w:szCs w:val="17"/>
          <w:u w:val="single" w:color="auto"/>
        </w:rPr>
        <w:t xml:space="preserve"> </w:t>
      </w:r>
      <w:r>
        <w:rPr>
          <w:b/>
          <w:bCs/>
          <w:color w:val="000080"/>
          <w:spacing w:val="-11"/>
          <w:sz w:val="17"/>
          <w:szCs w:val="17"/>
          <w:u w:val="single" w:color="auto"/>
        </w:rPr>
        <w:t>:</w:t>
      </w:r>
      <w:r>
        <w:rPr>
          <w:color w:val="000080"/>
          <w:spacing w:val="-37"/>
          <w:sz w:val="17"/>
          <w:szCs w:val="17"/>
          <w:u w:val="single" w:color="auto"/>
        </w:rPr>
        <w:t xml:space="preserve"> </w:t>
      </w:r>
      <w:r>
        <w:rPr>
          <w:b/>
          <w:bCs/>
          <w:color w:val="000080"/>
          <w:spacing w:val="-11"/>
          <w:sz w:val="17"/>
          <w:szCs w:val="17"/>
          <w:u w:val="single" w:color="auto"/>
        </w:rPr>
        <w:t>2</w:t>
      </w:r>
      <w:r>
        <w:rPr>
          <w:color w:val="000080"/>
          <w:spacing w:val="-36"/>
          <w:sz w:val="17"/>
          <w:szCs w:val="17"/>
          <w:u w:val="single" w:color="auto"/>
        </w:rPr>
        <w:t xml:space="preserve"> </w:t>
      </w:r>
      <w:r>
        <w:rPr>
          <w:b/>
          <w:bCs/>
          <w:color w:val="000080"/>
          <w:spacing w:val="-11"/>
          <w:sz w:val="17"/>
          <w:szCs w:val="17"/>
          <w:u w:val="single" w:color="auto"/>
        </w:rPr>
        <w:t>0</w:t>
      </w:r>
      <w:r>
        <w:rPr>
          <w:color w:val="000080"/>
          <w:spacing w:val="-37"/>
          <w:sz w:val="17"/>
          <w:szCs w:val="17"/>
          <w:u w:val="single" w:color="auto"/>
        </w:rPr>
        <w:t xml:space="preserve"> </w:t>
      </w:r>
      <w:r>
        <w:rPr>
          <w:b/>
          <w:bCs/>
          <w:color w:val="000080"/>
          <w:spacing w:val="-11"/>
          <w:sz w:val="17"/>
          <w:szCs w:val="17"/>
          <w:u w:val="single" w:color="auto"/>
        </w:rPr>
        <w:t>2</w:t>
      </w:r>
      <w:r>
        <w:rPr>
          <w:color w:val="000080"/>
          <w:spacing w:val="-36"/>
          <w:sz w:val="17"/>
          <w:szCs w:val="17"/>
          <w:u w:val="single" w:color="auto"/>
        </w:rPr>
        <w:t xml:space="preserve"> </w:t>
      </w:r>
      <w:r>
        <w:rPr>
          <w:b/>
          <w:bCs/>
          <w:color w:val="000080"/>
          <w:spacing w:val="-11"/>
          <w:sz w:val="17"/>
          <w:szCs w:val="17"/>
          <w:u w:val="single" w:color="auto"/>
        </w:rPr>
        <w:t>2</w:t>
      </w:r>
      <w:r>
        <w:rPr>
          <w:color w:val="000080"/>
          <w:spacing w:val="-35"/>
          <w:sz w:val="17"/>
          <w:szCs w:val="17"/>
          <w:u w:val="single" w:color="auto"/>
        </w:rPr>
        <w:t xml:space="preserve"> </w:t>
      </w:r>
      <w:r>
        <w:rPr>
          <w:b/>
          <w:bCs/>
          <w:color w:val="000080"/>
          <w:spacing w:val="-11"/>
          <w:sz w:val="17"/>
          <w:szCs w:val="17"/>
          <w:u w:val="single" w:color="auto"/>
        </w:rPr>
        <w:t>年</w:t>
      </w:r>
      <w:r>
        <w:rPr>
          <w:color w:val="000080"/>
          <w:spacing w:val="-37"/>
          <w:sz w:val="17"/>
          <w:szCs w:val="17"/>
          <w:u w:val="single" w:color="auto"/>
        </w:rPr>
        <w:t xml:space="preserve"> </w:t>
      </w:r>
      <w:r>
        <w:rPr>
          <w:b/>
          <w:bCs/>
          <w:color w:val="000080"/>
          <w:spacing w:val="-11"/>
          <w:sz w:val="17"/>
          <w:szCs w:val="17"/>
          <w:u w:val="single" w:color="auto"/>
        </w:rPr>
        <w:t>企</w:t>
      </w:r>
      <w:r>
        <w:rPr>
          <w:color w:val="000080"/>
          <w:spacing w:val="-27"/>
          <w:sz w:val="17"/>
          <w:szCs w:val="17"/>
          <w:u w:val="single" w:color="auto"/>
        </w:rPr>
        <w:t xml:space="preserve"> </w:t>
      </w:r>
      <w:r>
        <w:rPr>
          <w:b/>
          <w:bCs/>
          <w:color w:val="000080"/>
          <w:spacing w:val="-11"/>
          <w:sz w:val="17"/>
          <w:szCs w:val="17"/>
          <w:u w:val="single" w:color="auto"/>
        </w:rPr>
        <w:t>业</w:t>
      </w:r>
      <w:r>
        <w:rPr>
          <w:color w:val="000080"/>
          <w:spacing w:val="-34"/>
          <w:sz w:val="17"/>
          <w:szCs w:val="17"/>
          <w:u w:val="single" w:color="auto"/>
        </w:rPr>
        <w:t xml:space="preserve"> </w:t>
      </w:r>
      <w:r>
        <w:rPr>
          <w:b/>
          <w:bCs/>
          <w:color w:val="000080"/>
          <w:spacing w:val="-11"/>
          <w:sz w:val="17"/>
          <w:szCs w:val="17"/>
          <w:u w:val="single" w:color="auto"/>
        </w:rPr>
        <w:t>年</w:t>
      </w:r>
      <w:r>
        <w:rPr>
          <w:color w:val="000080"/>
          <w:spacing w:val="-42"/>
          <w:sz w:val="17"/>
          <w:szCs w:val="17"/>
          <w:u w:val="single" w:color="auto"/>
        </w:rPr>
        <w:t xml:space="preserve"> </w:t>
      </w:r>
      <w:r>
        <w:rPr>
          <w:b/>
          <w:bCs/>
          <w:color w:val="000080"/>
          <w:spacing w:val="-11"/>
          <w:sz w:val="17"/>
          <w:szCs w:val="17"/>
          <w:u w:val="single" w:color="auto"/>
        </w:rPr>
        <w:t>金</w:t>
      </w:r>
      <w:r>
        <w:rPr>
          <w:color w:val="000080"/>
          <w:spacing w:val="-43"/>
          <w:sz w:val="17"/>
          <w:szCs w:val="17"/>
          <w:u w:val="single" w:color="auto"/>
        </w:rPr>
        <w:t xml:space="preserve"> </w:t>
      </w:r>
      <w:r>
        <w:rPr>
          <w:b/>
          <w:bCs/>
          <w:color w:val="000080"/>
          <w:spacing w:val="-11"/>
          <w:sz w:val="17"/>
          <w:szCs w:val="17"/>
          <w:u w:val="single" w:color="auto"/>
        </w:rPr>
        <w:t>“</w:t>
      </w:r>
      <w:r>
        <w:rPr>
          <w:color w:val="000080"/>
          <w:spacing w:val="-44"/>
          <w:sz w:val="17"/>
          <w:szCs w:val="17"/>
          <w:u w:val="single" w:color="auto"/>
        </w:rPr>
        <w:t xml:space="preserve"> </w:t>
      </w:r>
      <w:r>
        <w:rPr>
          <w:b/>
          <w:bCs/>
          <w:color w:val="000080"/>
          <w:spacing w:val="-11"/>
          <w:sz w:val="17"/>
          <w:szCs w:val="17"/>
          <w:u w:val="single" w:color="auto"/>
        </w:rPr>
        <w:t>含</w:t>
      </w:r>
      <w:r>
        <w:rPr>
          <w:color w:val="000080"/>
          <w:spacing w:val="-39"/>
          <w:sz w:val="17"/>
          <w:szCs w:val="17"/>
          <w:u w:val="single" w:color="auto"/>
        </w:rPr>
        <w:t xml:space="preserve"> </w:t>
      </w:r>
      <w:r>
        <w:rPr>
          <w:b/>
          <w:bCs/>
          <w:color w:val="000080"/>
          <w:spacing w:val="-11"/>
          <w:sz w:val="17"/>
          <w:szCs w:val="17"/>
          <w:u w:val="single" w:color="auto"/>
        </w:rPr>
        <w:t>权</w:t>
      </w:r>
      <w:r>
        <w:rPr>
          <w:color w:val="000080"/>
          <w:spacing w:val="-34"/>
          <w:sz w:val="17"/>
          <w:szCs w:val="17"/>
          <w:u w:val="single" w:color="auto"/>
        </w:rPr>
        <w:t xml:space="preserve"> </w:t>
      </w:r>
      <w:r>
        <w:rPr>
          <w:b/>
          <w:bCs/>
          <w:color w:val="000080"/>
          <w:spacing w:val="-11"/>
          <w:sz w:val="17"/>
          <w:szCs w:val="17"/>
          <w:u w:val="single" w:color="auto"/>
        </w:rPr>
        <w:t>益</w:t>
      </w:r>
      <w:r>
        <w:rPr>
          <w:color w:val="000080"/>
          <w:spacing w:val="-24"/>
          <w:sz w:val="17"/>
          <w:szCs w:val="17"/>
          <w:u w:val="single" w:color="auto"/>
        </w:rPr>
        <w:t xml:space="preserve"> </w:t>
      </w:r>
      <w:r>
        <w:rPr>
          <w:b/>
          <w:bCs/>
          <w:color w:val="000080"/>
          <w:spacing w:val="-11"/>
          <w:sz w:val="17"/>
          <w:szCs w:val="17"/>
          <w:u w:val="single" w:color="auto"/>
        </w:rPr>
        <w:t>类</w:t>
      </w:r>
      <w:r>
        <w:rPr>
          <w:color w:val="000080"/>
          <w:spacing w:val="-19"/>
          <w:sz w:val="17"/>
          <w:szCs w:val="17"/>
          <w:u w:val="single" w:color="auto"/>
        </w:rPr>
        <w:t xml:space="preserve"> </w:t>
      </w:r>
      <w:r>
        <w:rPr>
          <w:b/>
          <w:bCs/>
          <w:color w:val="000080"/>
          <w:spacing w:val="-11"/>
          <w:sz w:val="17"/>
          <w:szCs w:val="17"/>
          <w:u w:val="single" w:color="auto"/>
        </w:rPr>
        <w:t>”</w:t>
      </w:r>
      <w:r>
        <w:rPr>
          <w:color w:val="000080"/>
          <w:spacing w:val="-52"/>
          <w:sz w:val="17"/>
          <w:szCs w:val="17"/>
          <w:u w:val="single" w:color="auto"/>
        </w:rPr>
        <w:t xml:space="preserve"> </w:t>
      </w:r>
      <w:r>
        <w:rPr>
          <w:b/>
          <w:bCs/>
          <w:color w:val="000080"/>
          <w:spacing w:val="-11"/>
          <w:sz w:val="17"/>
          <w:szCs w:val="17"/>
          <w:u w:val="single" w:color="auto"/>
        </w:rPr>
        <w:t>组</w:t>
      </w:r>
      <w:r>
        <w:rPr>
          <w:color w:val="000080"/>
          <w:spacing w:val="-38"/>
          <w:sz w:val="17"/>
          <w:szCs w:val="17"/>
          <w:u w:val="single" w:color="auto"/>
        </w:rPr>
        <w:t xml:space="preserve"> </w:t>
      </w:r>
      <w:r>
        <w:rPr>
          <w:b/>
          <w:bCs/>
          <w:color w:val="000080"/>
          <w:spacing w:val="-11"/>
          <w:sz w:val="17"/>
          <w:szCs w:val="17"/>
          <w:u w:val="single" w:color="auto"/>
        </w:rPr>
        <w:t>合</w:t>
      </w:r>
      <w:r>
        <w:rPr>
          <w:color w:val="000080"/>
          <w:spacing w:val="-29"/>
          <w:sz w:val="17"/>
          <w:szCs w:val="17"/>
          <w:u w:val="single" w:color="auto"/>
        </w:rPr>
        <w:t xml:space="preserve"> </w:t>
      </w:r>
      <w:r>
        <w:rPr>
          <w:b/>
          <w:bCs/>
          <w:color w:val="000080"/>
          <w:spacing w:val="-11"/>
          <w:sz w:val="17"/>
          <w:szCs w:val="17"/>
          <w:u w:val="single" w:color="auto"/>
        </w:rPr>
        <w:t>资</w:t>
      </w:r>
      <w:r>
        <w:rPr>
          <w:color w:val="000080"/>
          <w:spacing w:val="-37"/>
          <w:sz w:val="17"/>
          <w:szCs w:val="17"/>
          <w:u w:val="single" w:color="auto"/>
        </w:rPr>
        <w:t xml:space="preserve"> </w:t>
      </w:r>
      <w:r>
        <w:rPr>
          <w:b/>
          <w:bCs/>
          <w:color w:val="000080"/>
          <w:spacing w:val="-11"/>
          <w:sz w:val="17"/>
          <w:szCs w:val="17"/>
          <w:u w:val="single" w:color="auto"/>
        </w:rPr>
        <w:t>产</w:t>
      </w:r>
      <w:r>
        <w:rPr>
          <w:color w:val="000080"/>
          <w:spacing w:val="-11"/>
          <w:sz w:val="17"/>
          <w:szCs w:val="17"/>
          <w:u w:val="single" w:color="auto"/>
        </w:rPr>
        <w:t xml:space="preserve"> </w:t>
      </w:r>
      <w:r>
        <w:rPr>
          <w:b/>
          <w:bCs/>
          <w:color w:val="000080"/>
          <w:spacing w:val="-11"/>
          <w:sz w:val="17"/>
          <w:szCs w:val="17"/>
          <w:u w:val="single" w:color="auto"/>
        </w:rPr>
        <w:t>占</w:t>
      </w:r>
      <w:r>
        <w:rPr>
          <w:color w:val="000080"/>
          <w:spacing w:val="-20"/>
          <w:sz w:val="17"/>
          <w:szCs w:val="17"/>
          <w:u w:val="single" w:color="auto"/>
        </w:rPr>
        <w:t xml:space="preserve"> </w:t>
      </w:r>
      <w:r>
        <w:rPr>
          <w:b/>
          <w:bCs/>
          <w:color w:val="000080"/>
          <w:spacing w:val="-11"/>
          <w:sz w:val="17"/>
          <w:szCs w:val="17"/>
          <w:u w:val="single" w:color="auto"/>
        </w:rPr>
        <w:t>比</w:t>
      </w:r>
      <w:r>
        <w:rPr>
          <w:color w:val="000080"/>
          <w:spacing w:val="-37"/>
          <w:sz w:val="17"/>
          <w:szCs w:val="17"/>
          <w:u w:val="single" w:color="auto"/>
        </w:rPr>
        <w:t xml:space="preserve"> </w:t>
      </w:r>
      <w:r>
        <w:rPr>
          <w:b/>
          <w:bCs/>
          <w:color w:val="000080"/>
          <w:spacing w:val="-11"/>
          <w:sz w:val="17"/>
          <w:szCs w:val="17"/>
          <w:u w:val="single" w:color="auto"/>
        </w:rPr>
        <w:t>8</w:t>
      </w:r>
      <w:r>
        <w:rPr>
          <w:color w:val="000080"/>
          <w:spacing w:val="-37"/>
          <w:sz w:val="17"/>
          <w:szCs w:val="17"/>
          <w:u w:val="single" w:color="auto"/>
        </w:rPr>
        <w:t xml:space="preserve"> </w:t>
      </w:r>
      <w:r>
        <w:rPr>
          <w:b/>
          <w:bCs/>
          <w:color w:val="000080"/>
          <w:spacing w:val="-11"/>
          <w:sz w:val="17"/>
          <w:szCs w:val="17"/>
          <w:u w:val="single" w:color="auto"/>
        </w:rPr>
        <w:t>8</w:t>
      </w:r>
      <w:r>
        <w:rPr>
          <w:color w:val="000080"/>
          <w:spacing w:val="-38"/>
          <w:sz w:val="17"/>
          <w:szCs w:val="17"/>
          <w:u w:val="single" w:color="auto"/>
        </w:rPr>
        <w:t xml:space="preserve"> </w:t>
      </w:r>
      <w:r>
        <w:rPr>
          <w:b/>
          <w:bCs/>
          <w:color w:val="000080"/>
          <w:spacing w:val="-11"/>
          <w:sz w:val="17"/>
          <w:szCs w:val="17"/>
          <w:u w:val="single" w:color="auto"/>
        </w:rPr>
        <w:t>%</w:t>
      </w:r>
    </w:p>
    <w:p>
      <w:pPr>
        <w:pStyle w:val="BodyText"/>
        <w:spacing w:before="243" w:line="252" w:lineRule="auto"/>
        <w:ind w:left="3804" w:right="810" w:hanging="49"/>
        <w:rPr>
          <w:sz w:val="17"/>
          <w:szCs w:val="17"/>
        </w:rPr>
      </w:pPr>
      <w:r>
        <w:drawing>
          <wp:anchor distT="0" distB="0" distL="0" distR="0" simplePos="0" relativeHeight="251695104" behindDoc="1" locked="0" layoutInCell="1" allowOverlap="1">
            <wp:simplePos x="0" y="0"/>
            <wp:positionH relativeFrom="column">
              <wp:posOffset>1095401</wp:posOffset>
            </wp:positionH>
            <wp:positionV relativeFrom="paragraph">
              <wp:posOffset>110957</wp:posOffset>
            </wp:positionV>
            <wp:extent cx="1466890" cy="1365333"/>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xmlns:r="http://schemas.openxmlformats.org/officeDocument/2006/relationships" r:embed="rId86"/>
                    <a:stretch>
                      <a:fillRect/>
                    </a:stretch>
                  </pic:blipFill>
                  <pic:spPr>
                    <a:xfrm>
                      <a:off x="0" y="0"/>
                      <a:ext cx="1466890" cy="1365333"/>
                    </a:xfrm>
                    <a:prstGeom prst="rect">
                      <a:avLst/>
                    </a:prstGeom>
                  </pic:spPr>
                </pic:pic>
              </a:graphicData>
            </a:graphic>
          </wp:anchor>
        </w:drawing>
      </w:r>
      <w:r>
        <w:rPr>
          <w:spacing w:val="4"/>
          <w:sz w:val="17"/>
          <w:szCs w:val="17"/>
        </w:rPr>
        <w:t>固定收益</w:t>
      </w:r>
      <w:r>
        <w:rPr>
          <w:spacing w:val="2"/>
          <w:sz w:val="17"/>
          <w:szCs w:val="17"/>
        </w:rPr>
        <w:t xml:space="preserve"> </w:t>
      </w:r>
      <w:r>
        <w:rPr>
          <w:spacing w:val="-4"/>
          <w:sz w:val="17"/>
          <w:szCs w:val="17"/>
        </w:rPr>
        <w:t>类，12%</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BodyText"/>
        <w:spacing w:before="56" w:line="227" w:lineRule="auto"/>
        <w:ind w:left="1735"/>
        <w:rPr>
          <w:sz w:val="17"/>
          <w:szCs w:val="17"/>
        </w:rPr>
      </w:pPr>
      <w:r>
        <w:rPr>
          <w:sz w:val="17"/>
          <w:szCs w:val="17"/>
        </w:rPr>
        <w:t>■固定收益类</w:t>
      </w:r>
      <w:r>
        <w:rPr>
          <w:spacing w:val="41"/>
          <w:sz w:val="17"/>
          <w:szCs w:val="17"/>
        </w:rPr>
        <w:t xml:space="preserve">  </w:t>
      </w:r>
      <w:r>
        <w:rPr>
          <w:sz w:val="17"/>
          <w:szCs w:val="17"/>
        </w:rPr>
        <w:t>■含权益类</w:t>
      </w:r>
    </w:p>
    <w:p>
      <w:pPr>
        <w:pStyle w:val="BodyText"/>
        <w:spacing w:before="249" w:line="192" w:lineRule="auto"/>
        <w:ind w:left="45"/>
        <w:rPr>
          <w:sz w:val="17"/>
          <w:szCs w:val="17"/>
        </w:rPr>
      </w:pPr>
      <w:r>
        <w:rPr>
          <w:spacing w:val="9"/>
          <w:sz w:val="17"/>
          <w:szCs w:val="17"/>
        </w:rPr>
        <w:t>数据来源：人社部、开源证券研究所</w:t>
      </w:r>
    </w:p>
    <w:p>
      <w:pPr>
        <w:spacing w:line="14" w:lineRule="auto"/>
        <w:rPr>
          <w:rFonts w:ascii="Arial"/>
          <w:sz w:val="2"/>
        </w:rPr>
      </w:pPr>
      <w:r>
        <w:rPr>
          <w:rFonts w:ascii="Arial" w:eastAsia="Arial" w:hAnsi="Arial" w:cs="Arial"/>
          <w:sz w:val="2"/>
          <w:szCs w:val="2"/>
        </w:rPr>
        <w:br w:type="column"/>
      </w:r>
    </w:p>
    <w:p>
      <w:pPr>
        <w:pStyle w:val="BodyText"/>
        <w:spacing w:before="34" w:line="223" w:lineRule="auto"/>
        <w:ind w:left="42"/>
        <w:rPr>
          <w:sz w:val="17"/>
          <w:szCs w:val="17"/>
        </w:rPr>
      </w:pPr>
      <w:r>
        <w:rPr>
          <w:b/>
          <w:bCs/>
          <w:color w:val="000080"/>
          <w:spacing w:val="-12"/>
          <w:sz w:val="17"/>
          <w:szCs w:val="17"/>
        </w:rPr>
        <w:t>图</w:t>
      </w:r>
      <w:r>
        <w:rPr>
          <w:color w:val="000080"/>
          <w:spacing w:val="-23"/>
          <w:sz w:val="17"/>
          <w:szCs w:val="17"/>
        </w:rPr>
        <w:t xml:space="preserve"> </w:t>
      </w:r>
      <w:r>
        <w:rPr>
          <w:b/>
          <w:bCs/>
          <w:color w:val="000080"/>
          <w:spacing w:val="-12"/>
          <w:sz w:val="17"/>
          <w:szCs w:val="17"/>
        </w:rPr>
        <w:t>1</w:t>
      </w:r>
      <w:r>
        <w:rPr>
          <w:color w:val="000080"/>
          <w:spacing w:val="-30"/>
          <w:sz w:val="17"/>
          <w:szCs w:val="17"/>
        </w:rPr>
        <w:t xml:space="preserve"> </w:t>
      </w:r>
      <w:r>
        <w:rPr>
          <w:b/>
          <w:bCs/>
          <w:color w:val="000080"/>
          <w:spacing w:val="-12"/>
          <w:sz w:val="17"/>
          <w:szCs w:val="17"/>
        </w:rPr>
        <w:t>7</w:t>
      </w:r>
      <w:r>
        <w:rPr>
          <w:color w:val="000080"/>
          <w:spacing w:val="-12"/>
          <w:sz w:val="17"/>
          <w:szCs w:val="17"/>
        </w:rPr>
        <w:t xml:space="preserve"> </w:t>
      </w:r>
      <w:r>
        <w:rPr>
          <w:b/>
          <w:bCs/>
          <w:color w:val="000080"/>
          <w:spacing w:val="-12"/>
          <w:sz w:val="17"/>
          <w:szCs w:val="17"/>
        </w:rPr>
        <w:t>:</w:t>
      </w:r>
      <w:r>
        <w:rPr>
          <w:color w:val="000080"/>
          <w:spacing w:val="-33"/>
          <w:sz w:val="17"/>
          <w:szCs w:val="17"/>
        </w:rPr>
        <w:t xml:space="preserve"> </w:t>
      </w:r>
      <w:r>
        <w:rPr>
          <w:b/>
          <w:bCs/>
          <w:color w:val="000080"/>
          <w:spacing w:val="-12"/>
          <w:sz w:val="17"/>
          <w:szCs w:val="17"/>
        </w:rPr>
        <w:t>2</w:t>
      </w:r>
      <w:r>
        <w:rPr>
          <w:color w:val="000080"/>
          <w:spacing w:val="-32"/>
          <w:sz w:val="17"/>
          <w:szCs w:val="17"/>
        </w:rPr>
        <w:t xml:space="preserve"> </w:t>
      </w:r>
      <w:r>
        <w:rPr>
          <w:b/>
          <w:bCs/>
          <w:color w:val="000080"/>
          <w:spacing w:val="-12"/>
          <w:sz w:val="17"/>
          <w:szCs w:val="17"/>
        </w:rPr>
        <w:t>0</w:t>
      </w:r>
      <w:r>
        <w:rPr>
          <w:color w:val="000080"/>
          <w:spacing w:val="-32"/>
          <w:sz w:val="17"/>
          <w:szCs w:val="17"/>
        </w:rPr>
        <w:t xml:space="preserve"> </w:t>
      </w:r>
      <w:r>
        <w:rPr>
          <w:b/>
          <w:bCs/>
          <w:color w:val="000080"/>
          <w:spacing w:val="-12"/>
          <w:sz w:val="17"/>
          <w:szCs w:val="17"/>
        </w:rPr>
        <w:t>2</w:t>
      </w:r>
      <w:r>
        <w:rPr>
          <w:color w:val="000080"/>
          <w:spacing w:val="-33"/>
          <w:sz w:val="17"/>
          <w:szCs w:val="17"/>
        </w:rPr>
        <w:t xml:space="preserve"> </w:t>
      </w:r>
      <w:r>
        <w:rPr>
          <w:b/>
          <w:bCs/>
          <w:color w:val="000080"/>
          <w:spacing w:val="-12"/>
          <w:sz w:val="17"/>
          <w:szCs w:val="17"/>
        </w:rPr>
        <w:t>2</w:t>
      </w:r>
      <w:r>
        <w:rPr>
          <w:color w:val="000080"/>
          <w:spacing w:val="-30"/>
          <w:sz w:val="17"/>
          <w:szCs w:val="17"/>
        </w:rPr>
        <w:t xml:space="preserve"> </w:t>
      </w:r>
      <w:r>
        <w:rPr>
          <w:b/>
          <w:bCs/>
          <w:color w:val="000080"/>
          <w:spacing w:val="-12"/>
          <w:sz w:val="17"/>
          <w:szCs w:val="17"/>
        </w:rPr>
        <w:t>年</w:t>
      </w:r>
      <w:r>
        <w:rPr>
          <w:color w:val="000080"/>
          <w:spacing w:val="-33"/>
          <w:sz w:val="17"/>
          <w:szCs w:val="17"/>
        </w:rPr>
        <w:t xml:space="preserve"> </w:t>
      </w:r>
      <w:r>
        <w:rPr>
          <w:b/>
          <w:bCs/>
          <w:color w:val="000080"/>
          <w:spacing w:val="-12"/>
          <w:sz w:val="17"/>
          <w:szCs w:val="17"/>
        </w:rPr>
        <w:t>企</w:t>
      </w:r>
      <w:r>
        <w:rPr>
          <w:color w:val="000080"/>
          <w:spacing w:val="-23"/>
          <w:sz w:val="17"/>
          <w:szCs w:val="17"/>
        </w:rPr>
        <w:t xml:space="preserve"> </w:t>
      </w:r>
      <w:r>
        <w:rPr>
          <w:b/>
          <w:bCs/>
          <w:color w:val="000080"/>
          <w:spacing w:val="-12"/>
          <w:sz w:val="17"/>
          <w:szCs w:val="17"/>
        </w:rPr>
        <w:t>业</w:t>
      </w:r>
      <w:r>
        <w:rPr>
          <w:color w:val="000080"/>
          <w:spacing w:val="-31"/>
          <w:sz w:val="17"/>
          <w:szCs w:val="17"/>
        </w:rPr>
        <w:t xml:space="preserve"> </w:t>
      </w:r>
      <w:r>
        <w:rPr>
          <w:b/>
          <w:bCs/>
          <w:color w:val="000080"/>
          <w:spacing w:val="-12"/>
          <w:sz w:val="17"/>
          <w:szCs w:val="17"/>
        </w:rPr>
        <w:t>年</w:t>
      </w:r>
      <w:r>
        <w:rPr>
          <w:color w:val="000080"/>
          <w:spacing w:val="-37"/>
          <w:sz w:val="17"/>
          <w:szCs w:val="17"/>
        </w:rPr>
        <w:t xml:space="preserve"> </w:t>
      </w:r>
      <w:r>
        <w:rPr>
          <w:b/>
          <w:bCs/>
          <w:color w:val="000080"/>
          <w:spacing w:val="-12"/>
          <w:sz w:val="17"/>
          <w:szCs w:val="17"/>
        </w:rPr>
        <w:t>金</w:t>
      </w:r>
      <w:r>
        <w:rPr>
          <w:color w:val="000080"/>
          <w:spacing w:val="-12"/>
          <w:sz w:val="17"/>
          <w:szCs w:val="17"/>
        </w:rPr>
        <w:t xml:space="preserve"> </w:t>
      </w:r>
      <w:r>
        <w:rPr>
          <w:b/>
          <w:bCs/>
          <w:color w:val="000080"/>
          <w:spacing w:val="-12"/>
          <w:sz w:val="17"/>
          <w:szCs w:val="17"/>
        </w:rPr>
        <w:t>中</w:t>
      </w:r>
      <w:r>
        <w:rPr>
          <w:color w:val="000080"/>
          <w:spacing w:val="-26"/>
          <w:sz w:val="17"/>
          <w:szCs w:val="17"/>
        </w:rPr>
        <w:t xml:space="preserve"> </w:t>
      </w:r>
      <w:r>
        <w:rPr>
          <w:b/>
          <w:bCs/>
          <w:color w:val="000080"/>
          <w:spacing w:val="-12"/>
          <w:sz w:val="17"/>
          <w:szCs w:val="17"/>
        </w:rPr>
        <w:t>养</w:t>
      </w:r>
      <w:r>
        <w:rPr>
          <w:color w:val="000080"/>
          <w:spacing w:val="-32"/>
          <w:sz w:val="17"/>
          <w:szCs w:val="17"/>
        </w:rPr>
        <w:t xml:space="preserve"> </w:t>
      </w:r>
      <w:r>
        <w:rPr>
          <w:b/>
          <w:bCs/>
          <w:color w:val="000080"/>
          <w:spacing w:val="-12"/>
          <w:sz w:val="17"/>
          <w:szCs w:val="17"/>
        </w:rPr>
        <w:t>老</w:t>
      </w:r>
      <w:r>
        <w:rPr>
          <w:color w:val="000080"/>
          <w:spacing w:val="-37"/>
          <w:sz w:val="17"/>
          <w:szCs w:val="17"/>
        </w:rPr>
        <w:t xml:space="preserve"> </w:t>
      </w:r>
      <w:r>
        <w:rPr>
          <w:b/>
          <w:bCs/>
          <w:color w:val="000080"/>
          <w:spacing w:val="-12"/>
          <w:sz w:val="17"/>
          <w:szCs w:val="17"/>
        </w:rPr>
        <w:t>金</w:t>
      </w:r>
      <w:r>
        <w:rPr>
          <w:color w:val="000080"/>
          <w:spacing w:val="-37"/>
          <w:sz w:val="17"/>
          <w:szCs w:val="17"/>
        </w:rPr>
        <w:t xml:space="preserve"> </w:t>
      </w:r>
      <w:r>
        <w:rPr>
          <w:b/>
          <w:bCs/>
          <w:color w:val="000080"/>
          <w:spacing w:val="-13"/>
          <w:sz w:val="17"/>
          <w:szCs w:val="17"/>
        </w:rPr>
        <w:t>权</w:t>
      </w:r>
      <w:r>
        <w:rPr>
          <w:color w:val="000080"/>
          <w:spacing w:val="-30"/>
          <w:sz w:val="17"/>
          <w:szCs w:val="17"/>
        </w:rPr>
        <w:t xml:space="preserve"> </w:t>
      </w:r>
      <w:r>
        <w:rPr>
          <w:b/>
          <w:bCs/>
          <w:color w:val="000080"/>
          <w:spacing w:val="-13"/>
          <w:sz w:val="17"/>
          <w:szCs w:val="17"/>
        </w:rPr>
        <w:t>益</w:t>
      </w:r>
      <w:r>
        <w:rPr>
          <w:color w:val="000080"/>
          <w:spacing w:val="-20"/>
          <w:sz w:val="17"/>
          <w:szCs w:val="17"/>
        </w:rPr>
        <w:t xml:space="preserve"> </w:t>
      </w:r>
      <w:r>
        <w:rPr>
          <w:b/>
          <w:bCs/>
          <w:color w:val="000080"/>
          <w:spacing w:val="-13"/>
          <w:sz w:val="17"/>
          <w:szCs w:val="17"/>
        </w:rPr>
        <w:t>类</w:t>
      </w:r>
      <w:r>
        <w:rPr>
          <w:color w:val="000080"/>
          <w:spacing w:val="-23"/>
          <w:sz w:val="17"/>
          <w:szCs w:val="17"/>
        </w:rPr>
        <w:t xml:space="preserve"> </w:t>
      </w:r>
      <w:r>
        <w:rPr>
          <w:b/>
          <w:bCs/>
          <w:color w:val="000080"/>
          <w:spacing w:val="-13"/>
          <w:sz w:val="17"/>
          <w:szCs w:val="17"/>
        </w:rPr>
        <w:t>资</w:t>
      </w:r>
      <w:r>
        <w:rPr>
          <w:color w:val="000080"/>
          <w:spacing w:val="-34"/>
          <w:sz w:val="17"/>
          <w:szCs w:val="17"/>
        </w:rPr>
        <w:t xml:space="preserve"> </w:t>
      </w:r>
      <w:r>
        <w:rPr>
          <w:b/>
          <w:bCs/>
          <w:color w:val="000080"/>
          <w:spacing w:val="-13"/>
          <w:sz w:val="17"/>
          <w:szCs w:val="17"/>
        </w:rPr>
        <w:t>产</w:t>
      </w:r>
      <w:r>
        <w:rPr>
          <w:color w:val="000080"/>
          <w:spacing w:val="-13"/>
          <w:sz w:val="17"/>
          <w:szCs w:val="17"/>
        </w:rPr>
        <w:t xml:space="preserve"> </w:t>
      </w:r>
      <w:r>
        <w:rPr>
          <w:b/>
          <w:bCs/>
          <w:color w:val="000080"/>
          <w:spacing w:val="-13"/>
          <w:sz w:val="17"/>
          <w:szCs w:val="17"/>
        </w:rPr>
        <w:t>占</w:t>
      </w:r>
      <w:r>
        <w:rPr>
          <w:color w:val="000080"/>
          <w:spacing w:val="-13"/>
          <w:sz w:val="17"/>
          <w:szCs w:val="17"/>
        </w:rPr>
        <w:t xml:space="preserve"> </w:t>
      </w:r>
      <w:r>
        <w:rPr>
          <w:b/>
          <w:bCs/>
          <w:color w:val="000080"/>
          <w:spacing w:val="-13"/>
          <w:sz w:val="17"/>
          <w:szCs w:val="17"/>
        </w:rPr>
        <w:t>比</w:t>
      </w:r>
      <w:r>
        <w:rPr>
          <w:color w:val="000080"/>
          <w:spacing w:val="-32"/>
          <w:sz w:val="17"/>
          <w:szCs w:val="17"/>
        </w:rPr>
        <w:t xml:space="preserve"> </w:t>
      </w:r>
      <w:r>
        <w:rPr>
          <w:b/>
          <w:bCs/>
          <w:color w:val="000080"/>
          <w:spacing w:val="-13"/>
          <w:sz w:val="17"/>
          <w:szCs w:val="17"/>
        </w:rPr>
        <w:t>6</w:t>
      </w:r>
      <w:r>
        <w:rPr>
          <w:color w:val="000080"/>
          <w:spacing w:val="-34"/>
          <w:sz w:val="17"/>
          <w:szCs w:val="17"/>
        </w:rPr>
        <w:t xml:space="preserve"> </w:t>
      </w:r>
      <w:r>
        <w:rPr>
          <w:b/>
          <w:bCs/>
          <w:color w:val="000080"/>
          <w:spacing w:val="-13"/>
          <w:sz w:val="17"/>
          <w:szCs w:val="17"/>
        </w:rPr>
        <w:t>%</w:t>
      </w:r>
    </w:p>
    <w:p>
      <w:pPr>
        <w:spacing w:before="205" w:line="183" w:lineRule="auto"/>
        <w:ind w:left="2720"/>
        <w:rPr>
          <w:rFonts w:ascii="SimSun" w:eastAsia="SimSun" w:hAnsi="SimSun" w:cs="SimSun"/>
          <w:sz w:val="17"/>
          <w:szCs w:val="17"/>
        </w:rPr>
      </w:pPr>
      <w:r>
        <w:drawing>
          <wp:anchor distT="0" distB="0" distL="0" distR="0" simplePos="0" relativeHeight="251696128" behindDoc="1" locked="0" layoutInCell="1" allowOverlap="1">
            <wp:simplePos x="0" y="0"/>
            <wp:positionH relativeFrom="column">
              <wp:posOffset>1009640</wp:posOffset>
            </wp:positionH>
            <wp:positionV relativeFrom="paragraph">
              <wp:posOffset>91627</wp:posOffset>
            </wp:positionV>
            <wp:extent cx="1371598" cy="1384260"/>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xmlns:r="http://schemas.openxmlformats.org/officeDocument/2006/relationships" r:embed="rId87"/>
                    <a:stretch>
                      <a:fillRect/>
                    </a:stretch>
                  </pic:blipFill>
                  <pic:spPr>
                    <a:xfrm>
                      <a:off x="0" y="0"/>
                      <a:ext cx="1371598" cy="1384260"/>
                    </a:xfrm>
                    <a:prstGeom prst="rect">
                      <a:avLst/>
                    </a:prstGeom>
                  </pic:spPr>
                </pic:pic>
              </a:graphicData>
            </a:graphic>
          </wp:anchor>
        </w:drawing>
      </w:r>
      <w:r>
        <w:rPr>
          <w:rFonts w:ascii="SimSun" w:eastAsia="SimSun" w:hAnsi="SimSun" w:cs="SimSun"/>
          <w:spacing w:val="-2"/>
          <w:sz w:val="17"/>
          <w:szCs w:val="17"/>
        </w:rPr>
        <w:t>0%</w:t>
      </w:r>
    </w:p>
    <w:p>
      <w:pPr>
        <w:spacing w:before="81" w:line="183" w:lineRule="auto"/>
        <w:ind w:left="2349"/>
        <w:rPr>
          <w:rFonts w:ascii="SimSun" w:eastAsia="SimSun" w:hAnsi="SimSun" w:cs="SimSun"/>
          <w:sz w:val="17"/>
          <w:szCs w:val="17"/>
        </w:rPr>
      </w:pPr>
      <w:r>
        <w:rPr>
          <w:rFonts w:ascii="SimSun" w:eastAsia="SimSun" w:hAnsi="SimSun" w:cs="SimSun"/>
          <w:spacing w:val="-4"/>
          <w:position w:val="-1"/>
          <w:sz w:val="17"/>
          <w:szCs w:val="17"/>
        </w:rPr>
        <w:t>7%</w:t>
      </w:r>
      <w:r>
        <w:rPr>
          <w:rFonts w:ascii="SimSun" w:eastAsia="SimSun" w:hAnsi="SimSun" w:cs="SimSun"/>
          <w:spacing w:val="20"/>
          <w:position w:val="-1"/>
          <w:sz w:val="17"/>
          <w:szCs w:val="17"/>
        </w:rPr>
        <w:t xml:space="preserve">  </w:t>
      </w:r>
      <w:r>
        <w:rPr>
          <w:rFonts w:ascii="SimSun" w:eastAsia="SimSun" w:hAnsi="SimSun" w:cs="SimSun"/>
          <w:spacing w:val="-4"/>
          <w:position w:val="1"/>
          <w:sz w:val="17"/>
          <w:szCs w:val="17"/>
        </w:rPr>
        <w:t>6%</w:t>
      </w: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line="293" w:lineRule="auto"/>
        <w:rPr>
          <w:rFonts w:ascii="Arial"/>
          <w:sz w:val="21"/>
        </w:rPr>
      </w:pPr>
    </w:p>
    <w:p>
      <w:pPr>
        <w:spacing w:before="56" w:line="183" w:lineRule="auto"/>
        <w:ind w:left="2649"/>
        <w:rPr>
          <w:rFonts w:ascii="SimSun" w:eastAsia="SimSun" w:hAnsi="SimSun" w:cs="SimSun"/>
          <w:sz w:val="17"/>
          <w:szCs w:val="17"/>
        </w:rPr>
      </w:pPr>
      <w:r>
        <w:rPr>
          <w:rFonts w:ascii="SimSun" w:eastAsia="SimSun" w:hAnsi="SimSun" w:cs="SimSun"/>
          <w:spacing w:val="-2"/>
          <w:sz w:val="17"/>
          <w:szCs w:val="17"/>
        </w:rPr>
        <w:t>68%</w:t>
      </w:r>
    </w:p>
    <w:p>
      <w:pPr>
        <w:spacing w:line="306" w:lineRule="auto"/>
        <w:rPr>
          <w:rFonts w:ascii="Arial"/>
          <w:sz w:val="21"/>
        </w:rPr>
      </w:pPr>
    </w:p>
    <w:p>
      <w:pPr>
        <w:pStyle w:val="BodyText"/>
        <w:spacing w:before="55" w:line="223" w:lineRule="auto"/>
        <w:ind w:left="689"/>
        <w:rPr>
          <w:sz w:val="17"/>
          <w:szCs w:val="17"/>
        </w:rPr>
      </w:pPr>
      <w:r>
        <w:rPr>
          <w:spacing w:val="3"/>
          <w:sz w:val="17"/>
          <w:szCs w:val="17"/>
        </w:rPr>
        <w:t>■权益类资产</w:t>
      </w:r>
      <w:r>
        <w:rPr>
          <w:spacing w:val="27"/>
          <w:sz w:val="17"/>
          <w:szCs w:val="17"/>
        </w:rPr>
        <w:t xml:space="preserve">  </w:t>
      </w:r>
      <w:r>
        <w:rPr>
          <w:spacing w:val="3"/>
          <w:sz w:val="17"/>
          <w:szCs w:val="17"/>
        </w:rPr>
        <w:t>■固定收益类资产</w:t>
      </w:r>
      <w:r>
        <w:rPr>
          <w:spacing w:val="18"/>
          <w:sz w:val="17"/>
          <w:szCs w:val="17"/>
        </w:rPr>
        <w:t xml:space="preserve">  </w:t>
      </w:r>
      <w:r>
        <w:rPr>
          <w:spacing w:val="3"/>
          <w:sz w:val="17"/>
          <w:szCs w:val="17"/>
        </w:rPr>
        <w:t>■流动性资产</w:t>
      </w:r>
    </w:p>
    <w:p>
      <w:pPr>
        <w:spacing w:line="269" w:lineRule="auto"/>
        <w:rPr>
          <w:rFonts w:ascii="Arial"/>
          <w:sz w:val="21"/>
        </w:rPr>
      </w:pPr>
    </w:p>
    <w:p>
      <w:pPr>
        <w:pStyle w:val="BodyText"/>
        <w:spacing w:before="56" w:line="192" w:lineRule="auto"/>
        <w:ind w:left="30"/>
        <w:rPr>
          <w:sz w:val="17"/>
          <w:szCs w:val="17"/>
        </w:rPr>
      </w:pPr>
      <w:r>
        <w:rPr>
          <w:spacing w:val="9"/>
          <w:sz w:val="17"/>
          <w:szCs w:val="17"/>
        </w:rPr>
        <w:t>数据来源：人社部、开源证券研究所</w:t>
      </w:r>
    </w:p>
    <w:p>
      <w:pPr>
        <w:spacing w:line="192" w:lineRule="auto"/>
        <w:rPr>
          <w:sz w:val="17"/>
          <w:szCs w:val="17"/>
        </w:rPr>
        <w:sectPr>
          <w:footerReference w:type="default" r:id="rId88"/>
          <w:type w:val="continuous"/>
          <w:pgSz w:w="11910" w:h="16840"/>
          <w:pgMar w:top="156" w:right="660" w:bottom="1129" w:left="684" w:header="0" w:footer="864" w:gutter="0"/>
          <w:pgNumType w:start="50"/>
          <w:cols w:num="2" w:space="708" w:equalWidth="0">
            <w:col w:w="5266" w:space="100"/>
            <w:col w:w="5200" w:space="0"/>
          </w:cols>
        </w:sectPr>
      </w:pPr>
    </w:p>
    <w:p>
      <w:pPr>
        <w:spacing w:before="43"/>
      </w:pPr>
    </w:p>
    <w:p>
      <w:pPr>
        <w:spacing w:before="43"/>
        <w:sectPr>
          <w:footerReference w:type="default" r:id="rId89"/>
          <w:type w:val="continuous"/>
          <w:pgSz w:w="11910" w:h="16840"/>
          <w:pgMar w:top="156" w:right="660" w:bottom="1129" w:left="684" w:header="0" w:footer="864" w:gutter="0"/>
          <w:pgNumType w:start="51"/>
          <w:cols w:num="1" w:space="708" w:equalWidth="0">
            <w:col w:w="10566" w:space="0"/>
          </w:cols>
        </w:sectPr>
      </w:pPr>
    </w:p>
    <w:tbl>
      <w:tblPr>
        <w:tblStyle w:val="TableNormal8"/>
        <w:tblW w:w="105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155"/>
        <w:gridCol w:w="2866"/>
        <w:gridCol w:w="1409"/>
        <w:gridCol w:w="1708"/>
        <w:gridCol w:w="1598"/>
        <w:gridCol w:w="1813"/>
      </w:tblGrid>
      <w:tr>
        <w:tblPrEx>
          <w:tblW w:w="105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26"/>
        </w:trPr>
        <w:tc>
          <w:tcPr>
            <w:tcW w:w="10549" w:type="dxa"/>
            <w:gridSpan w:val="6"/>
            <w:tcBorders>
              <w:top w:val="nil"/>
            </w:tcBorders>
            <w:vAlign w:val="top"/>
          </w:tcPr>
          <w:p>
            <w:pPr>
              <w:spacing w:before="24" w:line="186" w:lineRule="auto"/>
              <w:ind w:left="77"/>
              <w:rPr>
                <w:rFonts w:ascii="SimSun" w:eastAsia="SimSun" w:hAnsi="SimSun" w:cs="SimSun"/>
                <w:sz w:val="19"/>
                <w:szCs w:val="19"/>
              </w:rPr>
            </w:pPr>
            <w:r>
              <w:rPr>
                <w:rFonts w:ascii="SimSun" w:eastAsia="SimSun" w:hAnsi="SimSun" w:cs="SimSun"/>
                <w:b/>
                <w:bCs/>
                <w:color w:val="000089"/>
                <w:spacing w:val="-2"/>
                <w:sz w:val="19"/>
                <w:szCs w:val="19"/>
              </w:rPr>
              <w:t>表7:我们测算2023Q3末企业年金中的养老金产品权益类资产</w:t>
            </w:r>
            <w:r>
              <w:rPr>
                <w:rFonts w:ascii="SimSun" w:eastAsia="SimSun" w:hAnsi="SimSun" w:cs="SimSun"/>
                <w:b/>
                <w:bCs/>
                <w:color w:val="000089"/>
                <w:spacing w:val="-3"/>
                <w:sz w:val="19"/>
                <w:szCs w:val="19"/>
              </w:rPr>
              <w:t>规模占比6.3%</w:t>
            </w:r>
          </w:p>
        </w:tc>
      </w:tr>
      <w:tr>
        <w:tblPrEx>
          <w:tblW w:w="10549" w:type="dxa"/>
          <w:tblInd w:w="5" w:type="dxa"/>
          <w:tblLayout w:type="fixed"/>
        </w:tblPrEx>
        <w:trPr>
          <w:trHeight w:val="647"/>
        </w:trPr>
        <w:tc>
          <w:tcPr>
            <w:tcW w:w="1155" w:type="dxa"/>
            <w:tcBorders>
              <w:top w:val="nil"/>
              <w:right w:val="nil"/>
            </w:tcBorders>
            <w:shd w:val="clear" w:color="auto" w:fill="000080"/>
            <w:vAlign w:val="top"/>
          </w:tcPr>
          <w:p>
            <w:pPr>
              <w:spacing w:line="347" w:lineRule="auto"/>
              <w:rPr>
                <w:rFonts w:ascii="Arial"/>
                <w:sz w:val="21"/>
              </w:rPr>
            </w:pPr>
          </w:p>
          <w:p>
            <w:pPr>
              <w:spacing w:before="62" w:line="219" w:lineRule="auto"/>
              <w:ind w:left="95"/>
              <w:rPr>
                <w:rFonts w:ascii="SimSun" w:eastAsia="SimSun" w:hAnsi="SimSun" w:cs="SimSun"/>
                <w:sz w:val="19"/>
                <w:szCs w:val="19"/>
              </w:rPr>
            </w:pPr>
            <w:r>
              <w:rPr>
                <w:rFonts w:ascii="SimSun" w:eastAsia="SimSun" w:hAnsi="SimSun" w:cs="SimSun"/>
                <w:color w:val="FFFFFF"/>
                <w:spacing w:val="-2"/>
                <w:sz w:val="19"/>
                <w:szCs w:val="19"/>
              </w:rPr>
              <w:t>企业年金</w:t>
            </w:r>
          </w:p>
        </w:tc>
        <w:tc>
          <w:tcPr>
            <w:tcW w:w="2866" w:type="dxa"/>
            <w:tcBorders>
              <w:top w:val="nil"/>
              <w:left w:val="nil"/>
              <w:right w:val="nil"/>
            </w:tcBorders>
            <w:shd w:val="clear" w:color="auto" w:fill="000080"/>
            <w:vAlign w:val="top"/>
          </w:tcPr>
          <w:p>
            <w:pPr>
              <w:spacing w:before="79" w:line="220" w:lineRule="auto"/>
              <w:ind w:left="297"/>
              <w:rPr>
                <w:rFonts w:ascii="SimSun" w:eastAsia="SimSun" w:hAnsi="SimSun" w:cs="SimSun"/>
                <w:sz w:val="19"/>
                <w:szCs w:val="19"/>
              </w:rPr>
            </w:pPr>
            <w:r>
              <w:rPr>
                <w:rFonts w:ascii="SimSun" w:eastAsia="SimSun" w:hAnsi="SimSun" w:cs="SimSun"/>
                <w:b/>
                <w:bCs/>
                <w:color w:val="FFFFFF"/>
                <w:spacing w:val="-4"/>
                <w:sz w:val="19"/>
                <w:szCs w:val="19"/>
              </w:rPr>
              <w:t>单位：亿元</w:t>
            </w:r>
          </w:p>
        </w:tc>
        <w:tc>
          <w:tcPr>
            <w:tcW w:w="1409" w:type="dxa"/>
            <w:tcBorders>
              <w:top w:val="nil"/>
              <w:left w:val="nil"/>
              <w:right w:val="nil"/>
            </w:tcBorders>
            <w:shd w:val="clear" w:color="auto" w:fill="000080"/>
            <w:vAlign w:val="top"/>
          </w:tcPr>
          <w:p>
            <w:pPr>
              <w:spacing w:before="159" w:line="183" w:lineRule="auto"/>
              <w:ind w:left="511"/>
              <w:rPr>
                <w:rFonts w:ascii="SimSun" w:eastAsia="SimSun" w:hAnsi="SimSun" w:cs="SimSun"/>
                <w:sz w:val="19"/>
                <w:szCs w:val="19"/>
              </w:rPr>
            </w:pPr>
            <w:r>
              <w:rPr>
                <w:rFonts w:ascii="SimSun" w:eastAsia="SimSun" w:hAnsi="SimSun" w:cs="SimSun"/>
                <w:b/>
                <w:bCs/>
                <w:color w:val="FFFFFF"/>
                <w:spacing w:val="-4"/>
                <w:sz w:val="19"/>
                <w:szCs w:val="19"/>
              </w:rPr>
              <w:t>2020</w:t>
            </w:r>
          </w:p>
          <w:p>
            <w:pPr>
              <w:spacing w:before="113" w:line="171" w:lineRule="auto"/>
              <w:ind w:left="459"/>
              <w:rPr>
                <w:rFonts w:ascii="SimSun" w:eastAsia="SimSun" w:hAnsi="SimSun" w:cs="SimSun"/>
                <w:sz w:val="19"/>
                <w:szCs w:val="19"/>
              </w:rPr>
            </w:pPr>
            <w:r>
              <w:rPr>
                <w:rFonts w:ascii="SimSun" w:eastAsia="SimSun" w:hAnsi="SimSun" w:cs="SimSun"/>
                <w:color w:val="FFFFFF"/>
                <w:spacing w:val="-2"/>
                <w:sz w:val="19"/>
                <w:szCs w:val="19"/>
              </w:rPr>
              <w:t>22497</w:t>
            </w:r>
          </w:p>
        </w:tc>
        <w:tc>
          <w:tcPr>
            <w:tcW w:w="1708" w:type="dxa"/>
            <w:tcBorders>
              <w:top w:val="nil"/>
              <w:left w:val="nil"/>
              <w:right w:val="nil"/>
            </w:tcBorders>
            <w:shd w:val="clear" w:color="auto" w:fill="000080"/>
            <w:vAlign w:val="top"/>
          </w:tcPr>
          <w:p>
            <w:pPr>
              <w:spacing w:before="158" w:line="184" w:lineRule="auto"/>
              <w:ind w:left="662"/>
              <w:rPr>
                <w:rFonts w:ascii="SimSun" w:eastAsia="SimSun" w:hAnsi="SimSun" w:cs="SimSun"/>
                <w:sz w:val="19"/>
                <w:szCs w:val="19"/>
              </w:rPr>
            </w:pPr>
            <w:r>
              <w:rPr>
                <w:rFonts w:ascii="SimSun" w:eastAsia="SimSun" w:hAnsi="SimSun" w:cs="SimSun"/>
                <w:b/>
                <w:bCs/>
                <w:color w:val="FFFFFF"/>
                <w:spacing w:val="-4"/>
                <w:sz w:val="19"/>
                <w:szCs w:val="19"/>
              </w:rPr>
              <w:t>2021</w:t>
            </w:r>
          </w:p>
          <w:p>
            <w:pPr>
              <w:spacing w:before="113" w:line="171" w:lineRule="auto"/>
              <w:ind w:left="610"/>
              <w:rPr>
                <w:rFonts w:ascii="SimSun" w:eastAsia="SimSun" w:hAnsi="SimSun" w:cs="SimSun"/>
                <w:sz w:val="19"/>
                <w:szCs w:val="19"/>
              </w:rPr>
            </w:pPr>
            <w:r>
              <w:rPr>
                <w:rFonts w:ascii="SimSun" w:eastAsia="SimSun" w:hAnsi="SimSun" w:cs="SimSun"/>
                <w:color w:val="FFFFFF"/>
                <w:spacing w:val="-2"/>
                <w:sz w:val="19"/>
                <w:szCs w:val="19"/>
              </w:rPr>
              <w:t>26406</w:t>
            </w:r>
          </w:p>
        </w:tc>
        <w:tc>
          <w:tcPr>
            <w:tcW w:w="1598" w:type="dxa"/>
            <w:tcBorders>
              <w:top w:val="nil"/>
              <w:left w:val="nil"/>
              <w:right w:val="nil"/>
            </w:tcBorders>
            <w:shd w:val="clear" w:color="auto" w:fill="000080"/>
            <w:vAlign w:val="top"/>
          </w:tcPr>
          <w:p>
            <w:pPr>
              <w:spacing w:before="159" w:line="183" w:lineRule="auto"/>
              <w:ind w:left="614"/>
              <w:rPr>
                <w:rFonts w:ascii="SimSun" w:eastAsia="SimSun" w:hAnsi="SimSun" w:cs="SimSun"/>
                <w:sz w:val="19"/>
                <w:szCs w:val="19"/>
              </w:rPr>
            </w:pPr>
            <w:r>
              <w:rPr>
                <w:rFonts w:ascii="SimSun" w:eastAsia="SimSun" w:hAnsi="SimSun" w:cs="SimSun"/>
                <w:b/>
                <w:bCs/>
                <w:color w:val="FFFFFF"/>
                <w:spacing w:val="-4"/>
                <w:sz w:val="19"/>
                <w:szCs w:val="19"/>
              </w:rPr>
              <w:t>2022</w:t>
            </w:r>
          </w:p>
          <w:p>
            <w:pPr>
              <w:spacing w:before="112" w:line="172" w:lineRule="auto"/>
              <w:ind w:left="562"/>
              <w:rPr>
                <w:rFonts w:ascii="SimSun" w:eastAsia="SimSun" w:hAnsi="SimSun" w:cs="SimSun"/>
                <w:sz w:val="19"/>
                <w:szCs w:val="19"/>
              </w:rPr>
            </w:pPr>
            <w:r>
              <w:rPr>
                <w:rFonts w:ascii="SimSun" w:eastAsia="SimSun" w:hAnsi="SimSun" w:cs="SimSun"/>
                <w:color w:val="FFFFFF"/>
                <w:spacing w:val="-2"/>
                <w:sz w:val="19"/>
                <w:szCs w:val="19"/>
              </w:rPr>
              <w:t>28718</w:t>
            </w:r>
          </w:p>
        </w:tc>
        <w:tc>
          <w:tcPr>
            <w:tcW w:w="1813" w:type="dxa"/>
            <w:tcBorders>
              <w:top w:val="nil"/>
              <w:left w:val="nil"/>
            </w:tcBorders>
            <w:shd w:val="clear" w:color="auto" w:fill="000080"/>
            <w:vAlign w:val="top"/>
          </w:tcPr>
          <w:p>
            <w:pPr>
              <w:spacing w:before="89" w:line="220" w:lineRule="auto"/>
              <w:ind w:left="526"/>
              <w:rPr>
                <w:rFonts w:ascii="SimSun" w:eastAsia="SimSun" w:hAnsi="SimSun" w:cs="SimSun"/>
                <w:sz w:val="19"/>
                <w:szCs w:val="19"/>
              </w:rPr>
            </w:pPr>
            <w:r>
              <w:rPr>
                <w:rFonts w:ascii="SimSun" w:eastAsia="SimSun" w:hAnsi="SimSun" w:cs="SimSun"/>
                <w:b/>
                <w:bCs/>
                <w:color w:val="FFFFFF"/>
                <w:spacing w:val="-4"/>
                <w:sz w:val="19"/>
                <w:szCs w:val="19"/>
              </w:rPr>
              <w:t>2023Q3末</w:t>
            </w:r>
          </w:p>
          <w:p>
            <w:pPr>
              <w:spacing w:before="144" w:line="171" w:lineRule="auto"/>
              <w:ind w:left="664"/>
              <w:rPr>
                <w:rFonts w:ascii="SimSun" w:eastAsia="SimSun" w:hAnsi="SimSun" w:cs="SimSun"/>
                <w:sz w:val="19"/>
                <w:szCs w:val="19"/>
              </w:rPr>
            </w:pPr>
            <w:r>
              <w:rPr>
                <w:rFonts w:ascii="SimSun" w:eastAsia="SimSun" w:hAnsi="SimSun" w:cs="SimSun"/>
                <w:color w:val="FFFFFF"/>
                <w:spacing w:val="-2"/>
                <w:sz w:val="19"/>
                <w:szCs w:val="19"/>
              </w:rPr>
              <w:t>30902</w:t>
            </w:r>
          </w:p>
        </w:tc>
      </w:tr>
      <w:tr>
        <w:tblPrEx>
          <w:tblW w:w="10549" w:type="dxa"/>
          <w:tblInd w:w="5" w:type="dxa"/>
          <w:tblLayout w:type="fixed"/>
        </w:tblPrEx>
        <w:trPr>
          <w:trHeight w:val="225"/>
        </w:trPr>
        <w:tc>
          <w:tcPr>
            <w:tcW w:w="10549" w:type="dxa"/>
            <w:gridSpan w:val="6"/>
            <w:vAlign w:val="top"/>
          </w:tcPr>
          <w:p>
            <w:pPr>
              <w:spacing w:line="215" w:lineRule="exact"/>
              <w:rPr>
                <w:rFonts w:ascii="Arial"/>
                <w:sz w:val="18"/>
              </w:rPr>
            </w:pPr>
          </w:p>
        </w:tc>
      </w:tr>
      <w:tr>
        <w:tblPrEx>
          <w:tblW w:w="10549" w:type="dxa"/>
          <w:tblInd w:w="5" w:type="dxa"/>
          <w:tblLayout w:type="fixed"/>
        </w:tblPrEx>
        <w:trPr>
          <w:trHeight w:val="628"/>
        </w:trPr>
        <w:tc>
          <w:tcPr>
            <w:tcW w:w="4021" w:type="dxa"/>
            <w:gridSpan w:val="2"/>
            <w:tcBorders>
              <w:right w:val="nil"/>
            </w:tcBorders>
            <w:vAlign w:val="top"/>
          </w:tcPr>
          <w:p>
            <w:pPr>
              <w:spacing w:before="90" w:line="219" w:lineRule="auto"/>
              <w:ind w:left="254"/>
              <w:rPr>
                <w:rFonts w:ascii="SimSun" w:eastAsia="SimSun" w:hAnsi="SimSun" w:cs="SimSun"/>
                <w:sz w:val="19"/>
                <w:szCs w:val="19"/>
              </w:rPr>
            </w:pPr>
            <w:r>
              <w:rPr>
                <w:rFonts w:ascii="SimSun" w:eastAsia="SimSun" w:hAnsi="SimSun" w:cs="SimSun"/>
                <w:spacing w:val="2"/>
                <w:sz w:val="19"/>
                <w:szCs w:val="19"/>
              </w:rPr>
              <w:t>其中：养老金产品</w:t>
            </w:r>
          </w:p>
          <w:p>
            <w:pPr>
              <w:spacing w:before="84" w:line="212" w:lineRule="auto"/>
              <w:ind w:left="2455"/>
              <w:rPr>
                <w:rFonts w:ascii="SimSun" w:eastAsia="SimSun" w:hAnsi="SimSun" w:cs="SimSun"/>
                <w:sz w:val="19"/>
                <w:szCs w:val="19"/>
              </w:rPr>
            </w:pPr>
            <w:r>
              <w:rPr>
                <w:rFonts w:ascii="SimSun" w:eastAsia="SimSun" w:hAnsi="SimSun" w:cs="SimSun"/>
                <w:spacing w:val="1"/>
                <w:sz w:val="19"/>
                <w:szCs w:val="19"/>
              </w:rPr>
              <w:t>占企业年金比重</w:t>
            </w:r>
          </w:p>
        </w:tc>
        <w:tc>
          <w:tcPr>
            <w:tcW w:w="1409" w:type="dxa"/>
            <w:tcBorders>
              <w:left w:val="nil"/>
              <w:right w:val="nil"/>
            </w:tcBorders>
            <w:vAlign w:val="top"/>
          </w:tcPr>
          <w:p>
            <w:pPr>
              <w:spacing w:before="138" w:line="330" w:lineRule="exact"/>
              <w:ind w:left="459"/>
              <w:rPr>
                <w:rFonts w:ascii="SimSun" w:eastAsia="SimSun" w:hAnsi="SimSun" w:cs="SimSun"/>
                <w:sz w:val="19"/>
                <w:szCs w:val="19"/>
              </w:rPr>
            </w:pPr>
            <w:r>
              <w:rPr>
                <w:rFonts w:ascii="SimSun" w:eastAsia="SimSun" w:hAnsi="SimSun" w:cs="SimSun"/>
                <w:spacing w:val="-4"/>
                <w:position w:val="13"/>
                <w:sz w:val="19"/>
                <w:szCs w:val="19"/>
              </w:rPr>
              <w:t>15148</w:t>
            </w:r>
          </w:p>
          <w:p>
            <w:pPr>
              <w:spacing w:line="149" w:lineRule="exact"/>
              <w:ind w:left="559"/>
              <w:rPr>
                <w:rFonts w:ascii="SimSun" w:eastAsia="SimSun" w:hAnsi="SimSun" w:cs="SimSun"/>
                <w:sz w:val="19"/>
                <w:szCs w:val="19"/>
              </w:rPr>
            </w:pPr>
            <w:r>
              <w:rPr>
                <w:rFonts w:ascii="SimSun" w:eastAsia="SimSun" w:hAnsi="SimSun" w:cs="SimSun"/>
                <w:spacing w:val="-2"/>
                <w:position w:val="-2"/>
                <w:sz w:val="19"/>
                <w:szCs w:val="19"/>
              </w:rPr>
              <w:t>67%</w:t>
            </w:r>
          </w:p>
        </w:tc>
        <w:tc>
          <w:tcPr>
            <w:tcW w:w="1708" w:type="dxa"/>
            <w:tcBorders>
              <w:left w:val="nil"/>
              <w:right w:val="nil"/>
            </w:tcBorders>
            <w:vAlign w:val="top"/>
          </w:tcPr>
          <w:p>
            <w:pPr>
              <w:spacing w:before="148" w:line="320" w:lineRule="exact"/>
              <w:ind w:left="610"/>
              <w:rPr>
                <w:rFonts w:ascii="SimSun" w:eastAsia="SimSun" w:hAnsi="SimSun" w:cs="SimSun"/>
                <w:sz w:val="19"/>
                <w:szCs w:val="19"/>
              </w:rPr>
            </w:pPr>
            <w:r>
              <w:rPr>
                <w:rFonts w:ascii="SimSun" w:eastAsia="SimSun" w:hAnsi="SimSun" w:cs="SimSun"/>
                <w:spacing w:val="-4"/>
                <w:position w:val="12"/>
                <w:sz w:val="19"/>
                <w:szCs w:val="19"/>
              </w:rPr>
              <w:t>19276</w:t>
            </w:r>
          </w:p>
          <w:p>
            <w:pPr>
              <w:spacing w:line="149" w:lineRule="exact"/>
              <w:ind w:left="710"/>
              <w:rPr>
                <w:rFonts w:ascii="SimSun" w:eastAsia="SimSun" w:hAnsi="SimSun" w:cs="SimSun"/>
                <w:sz w:val="19"/>
                <w:szCs w:val="19"/>
              </w:rPr>
            </w:pPr>
            <w:r>
              <w:rPr>
                <w:rFonts w:ascii="SimSun" w:eastAsia="SimSun" w:hAnsi="SimSun" w:cs="SimSun"/>
                <w:spacing w:val="-3"/>
                <w:position w:val="-2"/>
                <w:sz w:val="19"/>
                <w:szCs w:val="19"/>
              </w:rPr>
              <w:t>73%</w:t>
            </w:r>
          </w:p>
        </w:tc>
        <w:tc>
          <w:tcPr>
            <w:tcW w:w="1598" w:type="dxa"/>
            <w:tcBorders>
              <w:left w:val="nil"/>
              <w:right w:val="nil"/>
            </w:tcBorders>
            <w:vAlign w:val="top"/>
          </w:tcPr>
          <w:p>
            <w:pPr>
              <w:spacing w:before="138" w:line="330" w:lineRule="exact"/>
              <w:ind w:left="562"/>
              <w:rPr>
                <w:rFonts w:ascii="SimSun" w:eastAsia="SimSun" w:hAnsi="SimSun" w:cs="SimSun"/>
                <w:sz w:val="19"/>
                <w:szCs w:val="19"/>
              </w:rPr>
            </w:pPr>
            <w:r>
              <w:rPr>
                <w:rFonts w:ascii="SimSun" w:eastAsia="SimSun" w:hAnsi="SimSun" w:cs="SimSun"/>
                <w:spacing w:val="-2"/>
                <w:position w:val="13"/>
                <w:sz w:val="19"/>
                <w:szCs w:val="19"/>
              </w:rPr>
              <w:t>21739</w:t>
            </w:r>
          </w:p>
          <w:p>
            <w:pPr>
              <w:spacing w:line="149" w:lineRule="exact"/>
              <w:ind w:left="652"/>
              <w:rPr>
                <w:rFonts w:ascii="SimSun" w:eastAsia="SimSun" w:hAnsi="SimSun" w:cs="SimSun"/>
                <w:sz w:val="19"/>
                <w:szCs w:val="19"/>
              </w:rPr>
            </w:pPr>
            <w:r>
              <w:rPr>
                <w:rFonts w:ascii="SimSun" w:eastAsia="SimSun" w:hAnsi="SimSun" w:cs="SimSun"/>
                <w:spacing w:val="-3"/>
                <w:position w:val="-2"/>
                <w:sz w:val="19"/>
                <w:szCs w:val="19"/>
              </w:rPr>
              <w:t>76%</w:t>
            </w:r>
          </w:p>
        </w:tc>
        <w:tc>
          <w:tcPr>
            <w:tcW w:w="1813" w:type="dxa"/>
            <w:tcBorders>
              <w:left w:val="nil"/>
            </w:tcBorders>
            <w:vAlign w:val="top"/>
          </w:tcPr>
          <w:p>
            <w:pPr>
              <w:spacing w:before="138" w:line="330" w:lineRule="exact"/>
              <w:ind w:left="664"/>
              <w:rPr>
                <w:rFonts w:ascii="SimSun" w:eastAsia="SimSun" w:hAnsi="SimSun" w:cs="SimSun"/>
                <w:sz w:val="19"/>
                <w:szCs w:val="19"/>
              </w:rPr>
            </w:pPr>
            <w:r>
              <w:rPr>
                <w:rFonts w:ascii="SimSun" w:eastAsia="SimSun" w:hAnsi="SimSun" w:cs="SimSun"/>
                <w:spacing w:val="-2"/>
                <w:position w:val="13"/>
                <w:sz w:val="19"/>
                <w:szCs w:val="19"/>
              </w:rPr>
              <w:t>23075</w:t>
            </w:r>
          </w:p>
          <w:p>
            <w:pPr>
              <w:spacing w:line="149" w:lineRule="exact"/>
              <w:ind w:left="764"/>
              <w:rPr>
                <w:rFonts w:ascii="SimSun" w:eastAsia="SimSun" w:hAnsi="SimSun" w:cs="SimSun"/>
                <w:sz w:val="19"/>
                <w:szCs w:val="19"/>
              </w:rPr>
            </w:pPr>
            <w:r>
              <w:rPr>
                <w:rFonts w:ascii="SimSun" w:eastAsia="SimSun" w:hAnsi="SimSun" w:cs="SimSun"/>
                <w:spacing w:val="-3"/>
                <w:position w:val="-2"/>
                <w:sz w:val="19"/>
                <w:szCs w:val="19"/>
              </w:rPr>
              <w:t>75%</w:t>
            </w:r>
          </w:p>
        </w:tc>
      </w:tr>
      <w:tr>
        <w:tblPrEx>
          <w:tblW w:w="10549" w:type="dxa"/>
          <w:tblInd w:w="5" w:type="dxa"/>
          <w:tblLayout w:type="fixed"/>
        </w:tblPrEx>
        <w:trPr>
          <w:trHeight w:val="216"/>
        </w:trPr>
        <w:tc>
          <w:tcPr>
            <w:tcW w:w="4021" w:type="dxa"/>
            <w:gridSpan w:val="2"/>
            <w:tcBorders>
              <w:right w:val="nil"/>
            </w:tcBorders>
            <w:vAlign w:val="top"/>
          </w:tcPr>
          <w:p>
            <w:pPr>
              <w:spacing w:line="206" w:lineRule="exact"/>
              <w:rPr>
                <w:rFonts w:ascii="Arial"/>
                <w:sz w:val="17"/>
              </w:rPr>
            </w:pPr>
          </w:p>
        </w:tc>
        <w:tc>
          <w:tcPr>
            <w:tcW w:w="1409" w:type="dxa"/>
            <w:tcBorders>
              <w:left w:val="nil"/>
              <w:right w:val="nil"/>
            </w:tcBorders>
            <w:vAlign w:val="top"/>
          </w:tcPr>
          <w:p>
            <w:pPr>
              <w:spacing w:line="206" w:lineRule="exact"/>
              <w:rPr>
                <w:rFonts w:ascii="Arial"/>
                <w:sz w:val="17"/>
              </w:rPr>
            </w:pPr>
          </w:p>
        </w:tc>
        <w:tc>
          <w:tcPr>
            <w:tcW w:w="1708" w:type="dxa"/>
            <w:tcBorders>
              <w:left w:val="nil"/>
              <w:right w:val="nil"/>
            </w:tcBorders>
            <w:vAlign w:val="top"/>
          </w:tcPr>
          <w:p>
            <w:pPr>
              <w:spacing w:line="206" w:lineRule="exact"/>
              <w:rPr>
                <w:rFonts w:ascii="Arial"/>
                <w:sz w:val="17"/>
              </w:rPr>
            </w:pPr>
          </w:p>
        </w:tc>
        <w:tc>
          <w:tcPr>
            <w:tcW w:w="1598" w:type="dxa"/>
            <w:tcBorders>
              <w:left w:val="nil"/>
              <w:right w:val="nil"/>
            </w:tcBorders>
            <w:vAlign w:val="top"/>
          </w:tcPr>
          <w:p>
            <w:pPr>
              <w:spacing w:line="206" w:lineRule="exact"/>
              <w:rPr>
                <w:rFonts w:ascii="Arial"/>
                <w:sz w:val="17"/>
              </w:rPr>
            </w:pPr>
          </w:p>
        </w:tc>
        <w:tc>
          <w:tcPr>
            <w:tcW w:w="1813" w:type="dxa"/>
            <w:tcBorders>
              <w:left w:val="nil"/>
            </w:tcBorders>
            <w:vAlign w:val="top"/>
          </w:tcPr>
          <w:p>
            <w:pPr>
              <w:spacing w:line="206" w:lineRule="exact"/>
              <w:rPr>
                <w:rFonts w:ascii="Arial"/>
                <w:sz w:val="17"/>
              </w:rPr>
            </w:pPr>
          </w:p>
        </w:tc>
      </w:tr>
      <w:tr>
        <w:tblPrEx>
          <w:tblW w:w="10549" w:type="dxa"/>
          <w:tblInd w:w="5" w:type="dxa"/>
          <w:tblLayout w:type="fixed"/>
        </w:tblPrEx>
        <w:trPr>
          <w:trHeight w:val="643"/>
        </w:trPr>
        <w:tc>
          <w:tcPr>
            <w:tcW w:w="4021" w:type="dxa"/>
            <w:gridSpan w:val="2"/>
            <w:tcBorders>
              <w:right w:val="nil"/>
            </w:tcBorders>
            <w:vAlign w:val="top"/>
          </w:tcPr>
          <w:p>
            <w:pPr>
              <w:spacing w:before="95" w:line="219" w:lineRule="auto"/>
              <w:ind w:left="625"/>
              <w:rPr>
                <w:rFonts w:ascii="SimSun" w:eastAsia="SimSun" w:hAnsi="SimSun" w:cs="SimSun"/>
                <w:sz w:val="19"/>
                <w:szCs w:val="19"/>
              </w:rPr>
            </w:pPr>
            <w:r>
              <w:rPr>
                <w:rFonts w:ascii="SimSun" w:eastAsia="SimSun" w:hAnsi="SimSun" w:cs="SimSun"/>
                <w:spacing w:val="-1"/>
                <w:sz w:val="19"/>
                <w:szCs w:val="19"/>
              </w:rPr>
              <w:t>其中：权益类资产规模</w:t>
            </w:r>
          </w:p>
          <w:p>
            <w:pPr>
              <w:spacing w:before="94" w:line="211" w:lineRule="auto"/>
              <w:ind w:left="2265"/>
              <w:rPr>
                <w:rFonts w:ascii="SimSun" w:eastAsia="SimSun" w:hAnsi="SimSun" w:cs="SimSun"/>
                <w:sz w:val="19"/>
                <w:szCs w:val="19"/>
              </w:rPr>
            </w:pPr>
            <w:r>
              <w:rPr>
                <w:rFonts w:ascii="SimSun" w:eastAsia="SimSun" w:hAnsi="SimSun" w:cs="SimSun"/>
                <w:spacing w:val="1"/>
                <w:sz w:val="19"/>
                <w:szCs w:val="19"/>
              </w:rPr>
              <w:t>占养老金产品比重</w:t>
            </w:r>
          </w:p>
        </w:tc>
        <w:tc>
          <w:tcPr>
            <w:tcW w:w="1409" w:type="dxa"/>
            <w:tcBorders>
              <w:left w:val="nil"/>
              <w:right w:val="nil"/>
            </w:tcBorders>
            <w:vAlign w:val="top"/>
          </w:tcPr>
          <w:p>
            <w:pPr>
              <w:spacing w:before="164" w:line="320" w:lineRule="exact"/>
              <w:ind w:left="509"/>
              <w:rPr>
                <w:rFonts w:ascii="SimSun" w:eastAsia="SimSun" w:hAnsi="SimSun" w:cs="SimSun"/>
                <w:sz w:val="19"/>
                <w:szCs w:val="19"/>
              </w:rPr>
            </w:pPr>
            <w:r>
              <w:rPr>
                <w:rFonts w:ascii="SimSun" w:eastAsia="SimSun" w:hAnsi="SimSun" w:cs="SimSun"/>
                <w:spacing w:val="-5"/>
                <w:position w:val="12"/>
                <w:sz w:val="19"/>
                <w:szCs w:val="19"/>
              </w:rPr>
              <w:t>1232</w:t>
            </w:r>
          </w:p>
          <w:p>
            <w:pPr>
              <w:spacing w:line="148" w:lineRule="exact"/>
              <w:ind w:left="509"/>
              <w:rPr>
                <w:rFonts w:ascii="SimSun" w:eastAsia="SimSun" w:hAnsi="SimSun" w:cs="SimSun"/>
                <w:sz w:val="19"/>
                <w:szCs w:val="19"/>
              </w:rPr>
            </w:pPr>
            <w:r>
              <w:rPr>
                <w:rFonts w:ascii="SimSun" w:eastAsia="SimSun" w:hAnsi="SimSun" w:cs="SimSun"/>
                <w:spacing w:val="-3"/>
                <w:position w:val="-2"/>
                <w:sz w:val="19"/>
                <w:szCs w:val="19"/>
              </w:rPr>
              <w:t>8.1%</w:t>
            </w:r>
          </w:p>
        </w:tc>
        <w:tc>
          <w:tcPr>
            <w:tcW w:w="1708" w:type="dxa"/>
            <w:tcBorders>
              <w:left w:val="nil"/>
              <w:right w:val="nil"/>
            </w:tcBorders>
            <w:vAlign w:val="top"/>
          </w:tcPr>
          <w:p>
            <w:pPr>
              <w:spacing w:before="164" w:line="320" w:lineRule="exact"/>
              <w:ind w:left="660"/>
              <w:rPr>
                <w:rFonts w:ascii="SimSun" w:eastAsia="SimSun" w:hAnsi="SimSun" w:cs="SimSun"/>
                <w:sz w:val="19"/>
                <w:szCs w:val="19"/>
              </w:rPr>
            </w:pPr>
            <w:r>
              <w:rPr>
                <w:rFonts w:ascii="SimSun" w:eastAsia="SimSun" w:hAnsi="SimSun" w:cs="SimSun"/>
                <w:spacing w:val="-5"/>
                <w:position w:val="12"/>
                <w:sz w:val="19"/>
                <w:szCs w:val="19"/>
              </w:rPr>
              <w:t>1611</w:t>
            </w:r>
          </w:p>
          <w:p>
            <w:pPr>
              <w:spacing w:line="148" w:lineRule="exact"/>
              <w:ind w:left="660"/>
              <w:rPr>
                <w:rFonts w:ascii="SimSun" w:eastAsia="SimSun" w:hAnsi="SimSun" w:cs="SimSun"/>
                <w:sz w:val="19"/>
                <w:szCs w:val="19"/>
              </w:rPr>
            </w:pPr>
            <w:r>
              <w:rPr>
                <w:rFonts w:ascii="SimSun" w:eastAsia="SimSun" w:hAnsi="SimSun" w:cs="SimSun"/>
                <w:spacing w:val="-3"/>
                <w:position w:val="-2"/>
                <w:sz w:val="19"/>
                <w:szCs w:val="19"/>
              </w:rPr>
              <w:t>8.4%</w:t>
            </w:r>
          </w:p>
        </w:tc>
        <w:tc>
          <w:tcPr>
            <w:tcW w:w="1598" w:type="dxa"/>
            <w:tcBorders>
              <w:left w:val="nil"/>
              <w:right w:val="nil"/>
            </w:tcBorders>
            <w:vAlign w:val="top"/>
          </w:tcPr>
          <w:p>
            <w:pPr>
              <w:spacing w:before="164" w:line="320" w:lineRule="exact"/>
              <w:ind w:left="612"/>
              <w:rPr>
                <w:rFonts w:ascii="SimSun" w:eastAsia="SimSun" w:hAnsi="SimSun" w:cs="SimSun"/>
                <w:sz w:val="19"/>
                <w:szCs w:val="19"/>
              </w:rPr>
            </w:pPr>
            <w:r>
              <w:rPr>
                <w:rFonts w:ascii="SimSun" w:eastAsia="SimSun" w:hAnsi="SimSun" w:cs="SimSun"/>
                <w:spacing w:val="-5"/>
                <w:position w:val="12"/>
                <w:sz w:val="19"/>
                <w:szCs w:val="19"/>
              </w:rPr>
              <w:t>1353</w:t>
            </w:r>
          </w:p>
          <w:p>
            <w:pPr>
              <w:spacing w:line="148" w:lineRule="exact"/>
              <w:ind w:left="612"/>
              <w:rPr>
                <w:rFonts w:ascii="SimSun" w:eastAsia="SimSun" w:hAnsi="SimSun" w:cs="SimSun"/>
                <w:sz w:val="19"/>
                <w:szCs w:val="19"/>
              </w:rPr>
            </w:pPr>
            <w:r>
              <w:rPr>
                <w:rFonts w:ascii="SimSun" w:eastAsia="SimSun" w:hAnsi="SimSun" w:cs="SimSun"/>
                <w:spacing w:val="-3"/>
                <w:position w:val="-2"/>
                <w:sz w:val="19"/>
                <w:szCs w:val="19"/>
              </w:rPr>
              <w:t>6.2%</w:t>
            </w:r>
          </w:p>
        </w:tc>
        <w:tc>
          <w:tcPr>
            <w:tcW w:w="1813" w:type="dxa"/>
            <w:tcBorders>
              <w:left w:val="nil"/>
            </w:tcBorders>
            <w:vAlign w:val="top"/>
          </w:tcPr>
          <w:p>
            <w:pPr>
              <w:spacing w:before="164" w:line="320" w:lineRule="exact"/>
              <w:ind w:left="714"/>
              <w:rPr>
                <w:rFonts w:ascii="SimSun" w:eastAsia="SimSun" w:hAnsi="SimSun" w:cs="SimSun"/>
                <w:sz w:val="19"/>
                <w:szCs w:val="19"/>
              </w:rPr>
            </w:pPr>
            <w:r>
              <w:rPr>
                <w:rFonts w:ascii="SimSun" w:eastAsia="SimSun" w:hAnsi="SimSun" w:cs="SimSun"/>
                <w:spacing w:val="-5"/>
                <w:position w:val="12"/>
                <w:sz w:val="19"/>
                <w:szCs w:val="19"/>
              </w:rPr>
              <w:t>1465</w:t>
            </w:r>
          </w:p>
          <w:p>
            <w:pPr>
              <w:spacing w:line="148" w:lineRule="exact"/>
              <w:ind w:left="714"/>
              <w:rPr>
                <w:rFonts w:ascii="SimSun" w:eastAsia="SimSun" w:hAnsi="SimSun" w:cs="SimSun"/>
                <w:sz w:val="19"/>
                <w:szCs w:val="19"/>
              </w:rPr>
            </w:pPr>
            <w:r>
              <w:rPr>
                <w:rFonts w:ascii="SimSun" w:eastAsia="SimSun" w:hAnsi="SimSun" w:cs="SimSun"/>
                <w:spacing w:val="-3"/>
                <w:position w:val="-2"/>
                <w:sz w:val="19"/>
                <w:szCs w:val="19"/>
              </w:rPr>
              <w:t>6.3%</w:t>
            </w:r>
          </w:p>
        </w:tc>
      </w:tr>
    </w:tbl>
    <w:p>
      <w:pPr>
        <w:pStyle w:val="BodyText"/>
        <w:spacing w:before="69" w:line="224" w:lineRule="auto"/>
        <w:ind w:left="45"/>
        <w:rPr>
          <w:sz w:val="17"/>
          <w:szCs w:val="17"/>
        </w:rPr>
      </w:pPr>
      <w:r>
        <w:rPr>
          <w:spacing w:val="7"/>
          <w:sz w:val="17"/>
          <w:szCs w:val="17"/>
        </w:rPr>
        <w:t>数据来源：人社部、开源证券研究所</w:t>
      </w:r>
    </w:p>
    <w:p>
      <w:pPr>
        <w:spacing w:line="383" w:lineRule="auto"/>
        <w:rPr>
          <w:rFonts w:ascii="Arial"/>
          <w:sz w:val="21"/>
        </w:rPr>
      </w:pPr>
    </w:p>
    <w:p>
      <w:pPr>
        <w:pStyle w:val="BodyText"/>
        <w:spacing w:before="56" w:line="269" w:lineRule="auto"/>
        <w:ind w:left="2845" w:right="133" w:firstLine="2"/>
        <w:rPr>
          <w:sz w:val="17"/>
          <w:szCs w:val="17"/>
        </w:rPr>
      </w:pPr>
      <w:r>
        <w:rPr>
          <w:b/>
          <w:bCs/>
          <w:spacing w:val="-10"/>
          <w:sz w:val="17"/>
          <w:szCs w:val="17"/>
        </w:rPr>
        <w:t>企</w:t>
      </w:r>
      <w:r>
        <w:rPr>
          <w:spacing w:val="-26"/>
          <w:sz w:val="17"/>
          <w:szCs w:val="17"/>
        </w:rPr>
        <w:t xml:space="preserve"> </w:t>
      </w:r>
      <w:r>
        <w:rPr>
          <w:b/>
          <w:bCs/>
          <w:spacing w:val="-10"/>
          <w:sz w:val="17"/>
          <w:szCs w:val="17"/>
        </w:rPr>
        <w:t>业</w:t>
      </w:r>
      <w:r>
        <w:rPr>
          <w:spacing w:val="-34"/>
          <w:sz w:val="17"/>
          <w:szCs w:val="17"/>
        </w:rPr>
        <w:t xml:space="preserve"> </w:t>
      </w:r>
      <w:r>
        <w:rPr>
          <w:b/>
          <w:bCs/>
          <w:spacing w:val="-10"/>
          <w:sz w:val="17"/>
          <w:szCs w:val="17"/>
        </w:rPr>
        <w:t>年</w:t>
      </w:r>
      <w:r>
        <w:rPr>
          <w:spacing w:val="-40"/>
          <w:sz w:val="17"/>
          <w:szCs w:val="17"/>
        </w:rPr>
        <w:t xml:space="preserve"> </w:t>
      </w:r>
      <w:r>
        <w:rPr>
          <w:b/>
          <w:bCs/>
          <w:spacing w:val="-10"/>
          <w:sz w:val="17"/>
          <w:szCs w:val="17"/>
        </w:rPr>
        <w:t>金</w:t>
      </w:r>
      <w:r>
        <w:rPr>
          <w:spacing w:val="-37"/>
          <w:sz w:val="17"/>
          <w:szCs w:val="17"/>
        </w:rPr>
        <w:t xml:space="preserve"> </w:t>
      </w:r>
      <w:r>
        <w:rPr>
          <w:b/>
          <w:bCs/>
          <w:spacing w:val="-10"/>
          <w:sz w:val="17"/>
          <w:szCs w:val="17"/>
        </w:rPr>
        <w:t>和</w:t>
      </w:r>
      <w:r>
        <w:rPr>
          <w:spacing w:val="-36"/>
          <w:sz w:val="17"/>
          <w:szCs w:val="17"/>
        </w:rPr>
        <w:t xml:space="preserve"> </w:t>
      </w:r>
      <w:r>
        <w:rPr>
          <w:b/>
          <w:bCs/>
          <w:spacing w:val="-10"/>
          <w:sz w:val="17"/>
          <w:szCs w:val="17"/>
        </w:rPr>
        <w:t>职</w:t>
      </w:r>
      <w:r>
        <w:rPr>
          <w:spacing w:val="-26"/>
          <w:sz w:val="17"/>
          <w:szCs w:val="17"/>
        </w:rPr>
        <w:t xml:space="preserve"> </w:t>
      </w:r>
      <w:r>
        <w:rPr>
          <w:b/>
          <w:bCs/>
          <w:spacing w:val="-10"/>
          <w:sz w:val="17"/>
          <w:szCs w:val="17"/>
        </w:rPr>
        <w:t>业</w:t>
      </w:r>
      <w:r>
        <w:rPr>
          <w:spacing w:val="-33"/>
          <w:sz w:val="17"/>
          <w:szCs w:val="17"/>
        </w:rPr>
        <w:t xml:space="preserve"> </w:t>
      </w:r>
      <w:r>
        <w:rPr>
          <w:b/>
          <w:bCs/>
          <w:spacing w:val="-10"/>
          <w:sz w:val="17"/>
          <w:szCs w:val="17"/>
        </w:rPr>
        <w:t>年</w:t>
      </w:r>
      <w:r>
        <w:rPr>
          <w:spacing w:val="-41"/>
          <w:sz w:val="17"/>
          <w:szCs w:val="17"/>
        </w:rPr>
        <w:t xml:space="preserve"> </w:t>
      </w:r>
      <w:r>
        <w:rPr>
          <w:b/>
          <w:bCs/>
          <w:spacing w:val="-10"/>
          <w:sz w:val="17"/>
          <w:szCs w:val="17"/>
        </w:rPr>
        <w:t>金</w:t>
      </w:r>
      <w:r>
        <w:rPr>
          <w:spacing w:val="-35"/>
          <w:sz w:val="17"/>
          <w:szCs w:val="17"/>
        </w:rPr>
        <w:t xml:space="preserve"> </w:t>
      </w:r>
      <w:r>
        <w:rPr>
          <w:b/>
          <w:bCs/>
          <w:spacing w:val="-10"/>
          <w:sz w:val="17"/>
          <w:szCs w:val="17"/>
        </w:rPr>
        <w:t>成</w:t>
      </w:r>
      <w:r>
        <w:rPr>
          <w:spacing w:val="-30"/>
          <w:sz w:val="17"/>
          <w:szCs w:val="17"/>
        </w:rPr>
        <w:t xml:space="preserve"> </w:t>
      </w:r>
      <w:r>
        <w:rPr>
          <w:b/>
          <w:bCs/>
          <w:spacing w:val="-10"/>
          <w:sz w:val="17"/>
          <w:szCs w:val="17"/>
        </w:rPr>
        <w:t>立</w:t>
      </w:r>
      <w:r>
        <w:rPr>
          <w:spacing w:val="-28"/>
          <w:sz w:val="17"/>
          <w:szCs w:val="17"/>
        </w:rPr>
        <w:t xml:space="preserve"> </w:t>
      </w:r>
      <w:r>
        <w:rPr>
          <w:b/>
          <w:bCs/>
          <w:spacing w:val="-10"/>
          <w:sz w:val="17"/>
          <w:szCs w:val="17"/>
        </w:rPr>
        <w:t>至</w:t>
      </w:r>
      <w:r>
        <w:rPr>
          <w:spacing w:val="-36"/>
          <w:sz w:val="17"/>
          <w:szCs w:val="17"/>
        </w:rPr>
        <w:t xml:space="preserve"> </w:t>
      </w:r>
      <w:r>
        <w:rPr>
          <w:b/>
          <w:bCs/>
          <w:spacing w:val="-10"/>
          <w:sz w:val="17"/>
          <w:szCs w:val="17"/>
        </w:rPr>
        <w:t>2</w:t>
      </w:r>
      <w:r>
        <w:rPr>
          <w:spacing w:val="-35"/>
          <w:sz w:val="17"/>
          <w:szCs w:val="17"/>
        </w:rPr>
        <w:t xml:space="preserve"> </w:t>
      </w:r>
      <w:r>
        <w:rPr>
          <w:b/>
          <w:bCs/>
          <w:spacing w:val="-10"/>
          <w:sz w:val="17"/>
          <w:szCs w:val="17"/>
        </w:rPr>
        <w:t>0</w:t>
      </w:r>
      <w:r>
        <w:rPr>
          <w:spacing w:val="-35"/>
          <w:sz w:val="17"/>
          <w:szCs w:val="17"/>
        </w:rPr>
        <w:t xml:space="preserve"> </w:t>
      </w:r>
      <w:r>
        <w:rPr>
          <w:b/>
          <w:bCs/>
          <w:spacing w:val="-10"/>
          <w:sz w:val="17"/>
          <w:szCs w:val="17"/>
        </w:rPr>
        <w:t>2</w:t>
      </w:r>
      <w:r>
        <w:rPr>
          <w:spacing w:val="-36"/>
          <w:sz w:val="17"/>
          <w:szCs w:val="17"/>
        </w:rPr>
        <w:t xml:space="preserve"> </w:t>
      </w:r>
      <w:r>
        <w:rPr>
          <w:b/>
          <w:bCs/>
          <w:spacing w:val="-10"/>
          <w:sz w:val="17"/>
          <w:szCs w:val="17"/>
        </w:rPr>
        <w:t>2</w:t>
      </w:r>
      <w:r>
        <w:rPr>
          <w:spacing w:val="-33"/>
          <w:sz w:val="17"/>
          <w:szCs w:val="17"/>
        </w:rPr>
        <w:t xml:space="preserve"> </w:t>
      </w:r>
      <w:r>
        <w:rPr>
          <w:b/>
          <w:bCs/>
          <w:spacing w:val="-10"/>
          <w:sz w:val="17"/>
          <w:szCs w:val="17"/>
        </w:rPr>
        <w:t>年</w:t>
      </w:r>
      <w:r>
        <w:rPr>
          <w:spacing w:val="-37"/>
          <w:sz w:val="17"/>
          <w:szCs w:val="17"/>
        </w:rPr>
        <w:t xml:space="preserve"> </w:t>
      </w:r>
      <w:r>
        <w:rPr>
          <w:b/>
          <w:bCs/>
          <w:spacing w:val="-10"/>
          <w:sz w:val="17"/>
          <w:szCs w:val="17"/>
        </w:rPr>
        <w:t>末</w:t>
      </w:r>
      <w:r>
        <w:rPr>
          <w:spacing w:val="-24"/>
          <w:sz w:val="17"/>
          <w:szCs w:val="17"/>
        </w:rPr>
        <w:t xml:space="preserve"> </w:t>
      </w:r>
      <w:r>
        <w:rPr>
          <w:b/>
          <w:bCs/>
          <w:spacing w:val="-10"/>
          <w:sz w:val="17"/>
          <w:szCs w:val="17"/>
        </w:rPr>
        <w:t>的</w:t>
      </w:r>
      <w:r>
        <w:rPr>
          <w:spacing w:val="-34"/>
          <w:sz w:val="17"/>
          <w:szCs w:val="17"/>
        </w:rPr>
        <w:t xml:space="preserve"> </w:t>
      </w:r>
      <w:r>
        <w:rPr>
          <w:b/>
          <w:bCs/>
          <w:spacing w:val="-10"/>
          <w:sz w:val="17"/>
          <w:szCs w:val="17"/>
        </w:rPr>
        <w:t>年</w:t>
      </w:r>
      <w:r>
        <w:rPr>
          <w:spacing w:val="-29"/>
          <w:sz w:val="17"/>
          <w:szCs w:val="17"/>
        </w:rPr>
        <w:t xml:space="preserve"> </w:t>
      </w:r>
      <w:r>
        <w:rPr>
          <w:b/>
          <w:bCs/>
          <w:spacing w:val="-10"/>
          <w:sz w:val="17"/>
          <w:szCs w:val="17"/>
        </w:rPr>
        <w:t>均</w:t>
      </w:r>
      <w:r>
        <w:rPr>
          <w:spacing w:val="-33"/>
          <w:sz w:val="17"/>
          <w:szCs w:val="17"/>
        </w:rPr>
        <w:t xml:space="preserve"> </w:t>
      </w:r>
      <w:r>
        <w:rPr>
          <w:b/>
          <w:bCs/>
          <w:spacing w:val="-10"/>
          <w:sz w:val="17"/>
          <w:szCs w:val="17"/>
        </w:rPr>
        <w:t>投</w:t>
      </w:r>
      <w:r>
        <w:rPr>
          <w:spacing w:val="-27"/>
          <w:sz w:val="17"/>
          <w:szCs w:val="17"/>
        </w:rPr>
        <w:t xml:space="preserve"> </w:t>
      </w:r>
      <w:r>
        <w:rPr>
          <w:b/>
          <w:bCs/>
          <w:spacing w:val="-10"/>
          <w:sz w:val="17"/>
          <w:szCs w:val="17"/>
        </w:rPr>
        <w:t>资</w:t>
      </w:r>
      <w:r>
        <w:rPr>
          <w:spacing w:val="-29"/>
          <w:sz w:val="17"/>
          <w:szCs w:val="17"/>
        </w:rPr>
        <w:t xml:space="preserve"> </w:t>
      </w:r>
      <w:r>
        <w:rPr>
          <w:b/>
          <w:bCs/>
          <w:spacing w:val="-10"/>
          <w:sz w:val="17"/>
          <w:szCs w:val="17"/>
        </w:rPr>
        <w:t>收</w:t>
      </w:r>
      <w:r>
        <w:rPr>
          <w:spacing w:val="-33"/>
          <w:sz w:val="17"/>
          <w:szCs w:val="17"/>
        </w:rPr>
        <w:t xml:space="preserve"> </w:t>
      </w:r>
      <w:r>
        <w:rPr>
          <w:b/>
          <w:bCs/>
          <w:spacing w:val="-10"/>
          <w:sz w:val="17"/>
          <w:szCs w:val="17"/>
        </w:rPr>
        <w:t>益</w:t>
      </w:r>
      <w:r>
        <w:rPr>
          <w:spacing w:val="-29"/>
          <w:sz w:val="17"/>
          <w:szCs w:val="17"/>
        </w:rPr>
        <w:t xml:space="preserve"> </w:t>
      </w:r>
      <w:r>
        <w:rPr>
          <w:b/>
          <w:bCs/>
          <w:spacing w:val="-10"/>
          <w:sz w:val="17"/>
          <w:szCs w:val="17"/>
        </w:rPr>
        <w:t>率</w:t>
      </w:r>
      <w:r>
        <w:rPr>
          <w:spacing w:val="-32"/>
          <w:sz w:val="17"/>
          <w:szCs w:val="17"/>
        </w:rPr>
        <w:t xml:space="preserve"> </w:t>
      </w:r>
      <w:r>
        <w:rPr>
          <w:b/>
          <w:bCs/>
          <w:spacing w:val="-10"/>
          <w:sz w:val="17"/>
          <w:szCs w:val="17"/>
        </w:rPr>
        <w:t>分</w:t>
      </w:r>
      <w:r>
        <w:rPr>
          <w:spacing w:val="-26"/>
          <w:sz w:val="17"/>
          <w:szCs w:val="17"/>
        </w:rPr>
        <w:t xml:space="preserve"> </w:t>
      </w:r>
      <w:r>
        <w:rPr>
          <w:b/>
          <w:bCs/>
          <w:spacing w:val="-10"/>
          <w:sz w:val="17"/>
          <w:szCs w:val="17"/>
        </w:rPr>
        <w:t>别</w:t>
      </w:r>
      <w:r>
        <w:rPr>
          <w:spacing w:val="-34"/>
          <w:sz w:val="17"/>
          <w:szCs w:val="17"/>
        </w:rPr>
        <w:t xml:space="preserve"> </w:t>
      </w:r>
      <w:r>
        <w:rPr>
          <w:b/>
          <w:bCs/>
          <w:spacing w:val="-10"/>
          <w:sz w:val="17"/>
          <w:szCs w:val="17"/>
        </w:rPr>
        <w:t>6</w:t>
      </w:r>
      <w:r>
        <w:rPr>
          <w:spacing w:val="-29"/>
          <w:sz w:val="17"/>
          <w:szCs w:val="17"/>
        </w:rPr>
        <w:t xml:space="preserve"> </w:t>
      </w:r>
      <w:r>
        <w:rPr>
          <w:b/>
          <w:bCs/>
          <w:spacing w:val="-11"/>
          <w:sz w:val="17"/>
          <w:szCs w:val="17"/>
        </w:rPr>
        <w:t>.</w:t>
      </w:r>
      <w:r>
        <w:rPr>
          <w:spacing w:val="-38"/>
          <w:sz w:val="17"/>
          <w:szCs w:val="17"/>
        </w:rPr>
        <w:t xml:space="preserve"> </w:t>
      </w:r>
      <w:r>
        <w:rPr>
          <w:b/>
          <w:bCs/>
          <w:spacing w:val="-11"/>
          <w:sz w:val="17"/>
          <w:szCs w:val="17"/>
        </w:rPr>
        <w:t>5</w:t>
      </w:r>
      <w:r>
        <w:rPr>
          <w:spacing w:val="-36"/>
          <w:sz w:val="17"/>
          <w:szCs w:val="17"/>
        </w:rPr>
        <w:t xml:space="preserve"> </w:t>
      </w:r>
      <w:r>
        <w:rPr>
          <w:b/>
          <w:bCs/>
          <w:spacing w:val="-11"/>
          <w:sz w:val="17"/>
          <w:szCs w:val="17"/>
        </w:rPr>
        <w:t>8</w:t>
      </w:r>
      <w:r>
        <w:rPr>
          <w:spacing w:val="-37"/>
          <w:sz w:val="17"/>
          <w:szCs w:val="17"/>
        </w:rPr>
        <w:t xml:space="preserve"> </w:t>
      </w:r>
      <w:r>
        <w:rPr>
          <w:b/>
          <w:bCs/>
          <w:spacing w:val="-11"/>
          <w:sz w:val="17"/>
          <w:szCs w:val="17"/>
        </w:rPr>
        <w:t>%</w:t>
      </w:r>
      <w:r>
        <w:rPr>
          <w:spacing w:val="-35"/>
          <w:sz w:val="17"/>
          <w:szCs w:val="17"/>
        </w:rPr>
        <w:t xml:space="preserve"> </w:t>
      </w:r>
      <w:r>
        <w:rPr>
          <w:b/>
          <w:bCs/>
          <w:spacing w:val="-11"/>
          <w:sz w:val="17"/>
          <w:szCs w:val="17"/>
        </w:rPr>
        <w:t>和</w:t>
      </w:r>
      <w:r>
        <w:rPr>
          <w:spacing w:val="-38"/>
          <w:sz w:val="17"/>
          <w:szCs w:val="17"/>
        </w:rPr>
        <w:t xml:space="preserve"> </w:t>
      </w:r>
      <w:r>
        <w:rPr>
          <w:b/>
          <w:bCs/>
          <w:spacing w:val="-11"/>
          <w:sz w:val="17"/>
          <w:szCs w:val="17"/>
        </w:rPr>
        <w:t>5</w:t>
      </w:r>
      <w:r>
        <w:rPr>
          <w:b/>
          <w:bCs/>
          <w:color w:val="0050A0"/>
          <w:spacing w:val="-11"/>
          <w:sz w:val="17"/>
          <w:szCs w:val="17"/>
        </w:rPr>
        <w:t>.</w:t>
      </w:r>
      <w:r>
        <w:rPr>
          <w:b/>
          <w:bCs/>
          <w:spacing w:val="-11"/>
          <w:sz w:val="17"/>
          <w:szCs w:val="17"/>
        </w:rPr>
        <w:t>29%。</w:t>
      </w:r>
      <w:r>
        <w:rPr>
          <w:spacing w:val="-11"/>
          <w:sz w:val="17"/>
          <w:szCs w:val="17"/>
        </w:rPr>
        <w:t xml:space="preserve">  </w:t>
      </w:r>
      <w:r>
        <w:rPr>
          <w:spacing w:val="-11"/>
          <w:sz w:val="17"/>
          <w:szCs w:val="17"/>
        </w:rPr>
        <w:t>长</w:t>
      </w:r>
      <w:r>
        <w:rPr>
          <w:spacing w:val="-11"/>
          <w:sz w:val="17"/>
          <w:szCs w:val="17"/>
        </w:rPr>
        <w:t xml:space="preserve"> </w:t>
      </w:r>
      <w:r>
        <w:rPr>
          <w:spacing w:val="-11"/>
          <w:sz w:val="17"/>
          <w:szCs w:val="17"/>
        </w:rPr>
        <w:t>趋</w:t>
      </w:r>
      <w:r>
        <w:rPr>
          <w:spacing w:val="-11"/>
          <w:sz w:val="17"/>
          <w:szCs w:val="17"/>
        </w:rPr>
        <w:t xml:space="preserve"> </w:t>
      </w:r>
      <w:r>
        <w:rPr>
          <w:spacing w:val="32"/>
          <w:sz w:val="17"/>
          <w:szCs w:val="17"/>
        </w:rPr>
        <w:t>势投资收益率来看，企业年金收益率中枢相对低于全国社保基金，从</w:t>
      </w:r>
      <w:r>
        <w:rPr>
          <w:spacing w:val="31"/>
          <w:sz w:val="17"/>
          <w:szCs w:val="17"/>
        </w:rPr>
        <w:t>2008</w:t>
      </w:r>
      <w:r>
        <w:rPr>
          <w:spacing w:val="-46"/>
          <w:sz w:val="17"/>
          <w:szCs w:val="17"/>
        </w:rPr>
        <w:t xml:space="preserve"> </w:t>
      </w:r>
      <w:r>
        <w:rPr>
          <w:spacing w:val="31"/>
          <w:sz w:val="17"/>
          <w:szCs w:val="17"/>
        </w:rPr>
        <w:t>-</w:t>
      </w:r>
      <w:r>
        <w:rPr>
          <w:spacing w:val="-45"/>
          <w:sz w:val="17"/>
          <w:szCs w:val="17"/>
        </w:rPr>
        <w:t xml:space="preserve"> </w:t>
      </w:r>
      <w:r>
        <w:rPr>
          <w:spacing w:val="31"/>
          <w:sz w:val="17"/>
          <w:szCs w:val="17"/>
        </w:rPr>
        <w:t>2022年全</w:t>
      </w:r>
    </w:p>
    <w:p>
      <w:pPr>
        <w:spacing w:line="269" w:lineRule="auto"/>
        <w:rPr>
          <w:sz w:val="17"/>
          <w:szCs w:val="17"/>
        </w:rPr>
        <w:sectPr>
          <w:footerReference w:type="default" r:id="rId90"/>
          <w:type w:val="nextPage"/>
          <w:pgSz w:w="11910" w:h="16840"/>
          <w:pgMar w:top="156" w:right="660" w:bottom="1129" w:left="684" w:header="0" w:footer="864" w:gutter="0"/>
          <w:pgNumType w:start="52"/>
          <w:cols w:num="1" w:space="708" w:equalWidth="0">
            <w:col w:w="10566" w:space="0"/>
          </w:cols>
          <w:titlePg w:val="0"/>
        </w:sectPr>
      </w:pPr>
    </w:p>
    <w:p>
      <w:pPr>
        <w:spacing w:before="154" w:line="229" w:lineRule="auto"/>
        <w:ind w:left="175"/>
        <w:rPr>
          <w:rFonts w:ascii="YouYuan" w:eastAsia="YouYuan" w:hAnsi="YouYuan" w:cs="YouYuan"/>
          <w:sz w:val="60"/>
          <w:szCs w:val="60"/>
        </w:rPr>
      </w:pPr>
      <w:bookmarkStart w:id="27" w:name="bookmark34"/>
      <w:bookmarkEnd w:id="27"/>
      <w:bookmarkStart w:id="28" w:name="bookmark79"/>
      <w:bookmarkEnd w:id="28"/>
      <w:bookmarkStart w:id="29" w:name="bookmark6"/>
      <w:bookmarkEnd w:id="29"/>
      <w:r>
        <w:rPr>
          <w:rFonts w:ascii="YouYuan" w:eastAsia="YouYuan" w:hAnsi="YouYuan" w:cs="YouYuan"/>
          <w:position w:val="-20"/>
          <w:sz w:val="60"/>
          <w:szCs w:val="60"/>
        </w:rPr>
        <w:drawing>
          <wp:inline distT="0" distB="0" distL="0" distR="0">
            <wp:extent cx="577801" cy="488901"/>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28"/>
          <w:sz w:val="60"/>
          <w:szCs w:val="60"/>
        </w:rPr>
        <w:t>开源证券</w:t>
      </w:r>
    </w:p>
    <w:p>
      <w:pPr>
        <w:pStyle w:val="BodyText"/>
        <w:spacing w:before="37" w:line="229" w:lineRule="auto"/>
        <w:ind w:left="8474"/>
        <w:rPr>
          <w:sz w:val="22"/>
          <w:szCs w:val="22"/>
        </w:rPr>
      </w:pPr>
      <w:r>
        <w:pict>
          <v:rect id="_x0000_s1058" style="width:516.8pt;height:0.55pt;margin-top:12.3pt;margin-left:1.75pt;position:absolute;z-index:251697152" filled="t" fillcolor="black" stroked="f"/>
        </w:pict>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pStyle w:val="BodyText"/>
        <w:spacing w:before="120" w:line="246" w:lineRule="auto"/>
        <w:ind w:left="2815" w:right="129"/>
      </w:pPr>
      <w:r>
        <w:rPr>
          <w:spacing w:val="8"/>
        </w:rPr>
        <w:t>国社保基金和企业年金年均收益率分别为7.66%和6.58%,2018年职业年金启动投</w:t>
      </w:r>
      <w:r>
        <w:rPr>
          <w:spacing w:val="18"/>
        </w:rPr>
        <w:t xml:space="preserve"> </w:t>
      </w:r>
      <w:r>
        <w:rPr>
          <w:spacing w:val="5"/>
        </w:rPr>
        <w:t>资运营至2022年，其年化收益率为5.29%。</w:t>
      </w:r>
    </w:p>
    <w:p>
      <w:pPr>
        <w:spacing w:line="296" w:lineRule="auto"/>
        <w:rPr>
          <w:rFonts w:ascii="Arial"/>
          <w:sz w:val="21"/>
        </w:rPr>
      </w:pPr>
    </w:p>
    <w:p>
      <w:pPr>
        <w:pStyle w:val="BodyText"/>
        <w:spacing w:before="68" w:line="220" w:lineRule="auto"/>
        <w:ind w:left="2888"/>
      </w:pPr>
      <w:r>
        <w:rPr>
          <w:b/>
          <w:bCs/>
          <w:color w:val="000080"/>
          <w:spacing w:val="34"/>
          <w:u w:val="single" w:color="auto"/>
        </w:rPr>
        <w:t>图18:对比全国社保基金，企业年金年化投资收益率中枢较低</w:t>
      </w:r>
      <w:r>
        <w:rPr>
          <w:color w:val="000080"/>
          <w:u w:val="single" w:color="auto"/>
        </w:rPr>
        <w:t xml:space="preserve">          </w:t>
      </w:r>
    </w:p>
    <w:p>
      <w:pPr>
        <w:spacing w:before="142" w:line="3063" w:lineRule="exact"/>
        <w:ind w:firstLine="2755"/>
      </w:pPr>
      <w:r>
        <w:rPr>
          <w:position w:val="-61"/>
        </w:rPr>
        <w:drawing>
          <wp:inline distT="0" distB="0" distL="0" distR="0">
            <wp:extent cx="4946633" cy="194481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xmlns:r="http://schemas.openxmlformats.org/officeDocument/2006/relationships" r:embed="rId91"/>
                    <a:stretch>
                      <a:fillRect/>
                    </a:stretch>
                  </pic:blipFill>
                  <pic:spPr>
                    <a:xfrm>
                      <a:off x="0" y="0"/>
                      <a:ext cx="4946633" cy="1944815"/>
                    </a:xfrm>
                    <a:prstGeom prst="rect">
                      <a:avLst/>
                    </a:prstGeom>
                  </pic:spPr>
                </pic:pic>
              </a:graphicData>
            </a:graphic>
          </wp:inline>
        </w:drawing>
      </w:r>
    </w:p>
    <w:p>
      <w:pPr>
        <w:pStyle w:val="BodyText"/>
        <w:spacing w:before="1" w:line="217" w:lineRule="auto"/>
        <w:ind w:left="2815"/>
      </w:pPr>
      <w:r>
        <w:rPr>
          <w:spacing w:val="-19"/>
          <w:w w:val="95"/>
        </w:rPr>
        <w:t>数据来源：人社部、开源证券研究所</w:t>
      </w:r>
    </w:p>
    <w:p>
      <w:pPr>
        <w:spacing w:line="435" w:lineRule="auto"/>
        <w:rPr>
          <w:rFonts w:ascii="Arial"/>
          <w:sz w:val="21"/>
        </w:rPr>
      </w:pPr>
    </w:p>
    <w:p>
      <w:pPr>
        <w:pStyle w:val="BodyText"/>
        <w:spacing w:before="69" w:line="220" w:lineRule="auto"/>
        <w:ind w:left="2818"/>
        <w:outlineLvl w:val="2"/>
      </w:pPr>
      <w:r>
        <w:rPr>
          <w:b/>
          <w:bCs/>
          <w:color w:val="000080"/>
          <w:spacing w:val="21"/>
        </w:rPr>
        <w:t>2.4、</w:t>
      </w:r>
      <w:r>
        <w:rPr>
          <w:color w:val="000080"/>
          <w:spacing w:val="21"/>
        </w:rPr>
        <w:t xml:space="preserve"> </w:t>
      </w:r>
      <w:r>
        <w:rPr>
          <w:b/>
          <w:bCs/>
          <w:color w:val="000080"/>
          <w:spacing w:val="21"/>
        </w:rPr>
        <w:t>养老金第三支柱：账户+产品制合计约万亿规模，</w:t>
      </w:r>
      <w:r>
        <w:rPr>
          <w:b/>
          <w:bCs/>
          <w:color w:val="000080"/>
          <w:spacing w:val="20"/>
        </w:rPr>
        <w:t>资产入市潜力较大</w:t>
      </w:r>
    </w:p>
    <w:p>
      <w:pPr>
        <w:pStyle w:val="BodyText"/>
        <w:spacing w:before="91" w:line="286" w:lineRule="auto"/>
        <w:ind w:left="2815" w:right="111" w:firstLine="3"/>
        <w:jc w:val="both"/>
      </w:pPr>
      <w:r>
        <w:rPr>
          <w:b/>
          <w:bCs/>
          <w:spacing w:val="-1"/>
        </w:rPr>
        <w:t>个人养老金产品端和账户端陆续发力，未来入市潜力</w:t>
      </w:r>
      <w:r>
        <w:rPr>
          <w:b/>
          <w:bCs/>
          <w:spacing w:val="-2"/>
        </w:rPr>
        <w:t>较大。</w:t>
      </w:r>
      <w:r>
        <w:rPr>
          <w:spacing w:val="-2"/>
        </w:rPr>
        <w:t>个人养老金产品主要为</w:t>
      </w:r>
      <w:r>
        <w:rPr>
          <w:spacing w:val="-2"/>
        </w:rPr>
        <w:t xml:space="preserve"> </w:t>
      </w:r>
      <w:r>
        <w:rPr>
          <w:spacing w:val="2"/>
        </w:rPr>
        <w:t>养老理财产品、养老年金保险、个税递延型养老</w:t>
      </w:r>
      <w:r>
        <w:rPr>
          <w:spacing w:val="1"/>
        </w:rPr>
        <w:t>保险、专属商业养老保险、养老目</w:t>
      </w:r>
      <w:r>
        <w:t xml:space="preserve"> </w:t>
      </w:r>
      <w:r>
        <w:t>标基金等。2015年以来以保险、银行理财、养老目标基金等产品</w:t>
      </w:r>
      <w:r>
        <w:rPr>
          <w:spacing w:val="-1"/>
        </w:rPr>
        <w:t>形态的个人养老金</w:t>
      </w:r>
      <w:r>
        <w:t xml:space="preserve"> </w:t>
      </w:r>
      <w:r>
        <w:rPr>
          <w:spacing w:val="1"/>
        </w:rPr>
        <w:t>制度陆续推出，当前市场体量约万亿规模。2022年1</w:t>
      </w:r>
      <w:r>
        <w:t>1月开始，个人养老金制度顶层</w:t>
      </w:r>
      <w:r>
        <w:t xml:space="preserve"> </w:t>
      </w:r>
      <w:r>
        <w:rPr>
          <w:spacing w:val="11"/>
        </w:rPr>
        <w:t>设计落地下，36个城市(地区)先行启动，截至2022年末共</w:t>
      </w:r>
      <w:r>
        <w:rPr>
          <w:spacing w:val="10"/>
        </w:rPr>
        <w:t>计1954万人开设个人</w:t>
      </w:r>
      <w:r>
        <w:t xml:space="preserve"> </w:t>
      </w:r>
      <w:r>
        <w:rPr>
          <w:spacing w:val="5"/>
        </w:rPr>
        <w:t>养老金账户，缴费人数613万人，总缴费金额142亿元。</w:t>
      </w:r>
    </w:p>
    <w:p>
      <w:pPr>
        <w:spacing w:line="316" w:lineRule="auto"/>
        <w:rPr>
          <w:rFonts w:ascii="Arial"/>
          <w:sz w:val="21"/>
        </w:rPr>
      </w:pPr>
    </w:p>
    <w:p>
      <w:pPr>
        <w:pStyle w:val="BodyText"/>
        <w:spacing w:before="69" w:line="220" w:lineRule="auto"/>
        <w:ind w:left="38"/>
      </w:pPr>
      <w:r>
        <w:rPr>
          <w:b/>
          <w:bCs/>
          <w:color w:val="000080"/>
          <w:spacing w:val="1"/>
        </w:rPr>
        <w:t>表8:银行理财、保险和基金产品纳入个人养老金体系下，合</w:t>
      </w:r>
      <w:r>
        <w:rPr>
          <w:b/>
          <w:bCs/>
          <w:color w:val="000080"/>
        </w:rPr>
        <w:t>计规模约万亿元</w:t>
      </w:r>
    </w:p>
    <w:p>
      <w:pPr>
        <w:spacing w:line="79" w:lineRule="auto"/>
        <w:rPr>
          <w:rFonts w:ascii="Arial"/>
          <w:sz w:val="2"/>
        </w:rPr>
      </w:pPr>
    </w:p>
    <w:tbl>
      <w:tblPr>
        <w:tblStyle w:val="TableNormal9"/>
        <w:tblW w:w="10500" w:type="dxa"/>
        <w:tblInd w:w="5" w:type="dxa"/>
        <w:tblBorders>
          <w:top w:val="single" w:sz="4" w:space="0" w:color="000000"/>
          <w:left w:val="single" w:sz="4" w:space="0" w:color="000000"/>
          <w:bottom w:val="single" w:sz="4" w:space="0" w:color="000000"/>
          <w:right w:val="single" w:sz="4" w:space="0" w:color="000000"/>
        </w:tblBorders>
        <w:shd w:val="clear" w:color="auto" w:fill="000080"/>
        <w:tblLayout w:type="fixed"/>
      </w:tblPr>
      <w:tblGrid>
        <w:gridCol w:w="10500"/>
      </w:tblGrid>
      <w:tr>
        <w:tblPrEx>
          <w:tblW w:w="10500" w:type="dxa"/>
          <w:tblInd w:w="5" w:type="dxa"/>
          <w:tblBorders>
            <w:top w:val="single" w:sz="4" w:space="0" w:color="000000"/>
            <w:left w:val="single" w:sz="4" w:space="0" w:color="000000"/>
            <w:bottom w:val="single" w:sz="4" w:space="0" w:color="000000"/>
            <w:right w:val="single" w:sz="4" w:space="0" w:color="000000"/>
          </w:tblBorders>
          <w:shd w:val="clear" w:color="auto" w:fill="000080"/>
          <w:tblLayout w:type="fixed"/>
        </w:tblPrEx>
        <w:trPr>
          <w:trHeight w:val="289"/>
        </w:trPr>
        <w:tc>
          <w:tcPr>
            <w:tcW w:w="10500" w:type="dxa"/>
            <w:shd w:val="clear" w:color="auto" w:fill="000080"/>
            <w:vAlign w:val="top"/>
          </w:tcPr>
          <w:p>
            <w:pPr>
              <w:spacing w:before="49" w:line="213" w:lineRule="auto"/>
              <w:ind w:left="157"/>
              <w:rPr>
                <w:rFonts w:ascii="SimSun" w:eastAsia="SimSun" w:hAnsi="SimSun" w:cs="SimSun"/>
                <w:sz w:val="19"/>
                <w:szCs w:val="19"/>
              </w:rPr>
            </w:pPr>
            <w:r>
              <w:rPr>
                <w:rFonts w:ascii="SimSun" w:eastAsia="SimSun" w:hAnsi="SimSun" w:cs="SimSun"/>
                <w:b/>
                <w:bCs/>
                <w:color w:val="FFFFFF"/>
                <w:sz w:val="19"/>
                <w:szCs w:val="19"/>
              </w:rPr>
              <w:t>运作公司</w:t>
            </w:r>
            <w:r>
              <w:rPr>
                <w:rFonts w:ascii="SimSun" w:eastAsia="SimSun" w:hAnsi="SimSun" w:cs="SimSun"/>
                <w:color w:val="FFFFFF"/>
                <w:sz w:val="19"/>
                <w:szCs w:val="19"/>
              </w:rPr>
              <w:t xml:space="preserve">     </w:t>
            </w:r>
            <w:r>
              <w:rPr>
                <w:rFonts w:ascii="SimSun" w:eastAsia="SimSun" w:hAnsi="SimSun" w:cs="SimSun"/>
                <w:b/>
                <w:bCs/>
                <w:color w:val="FFFFFF"/>
                <w:sz w:val="19"/>
                <w:szCs w:val="19"/>
              </w:rPr>
              <w:t>产品名称</w:t>
            </w:r>
            <w:r>
              <w:rPr>
                <w:rFonts w:ascii="SimSun" w:eastAsia="SimSun" w:hAnsi="SimSun" w:cs="SimSun"/>
                <w:color w:val="FFFFFF"/>
                <w:sz w:val="19"/>
                <w:szCs w:val="19"/>
              </w:rPr>
              <w:t xml:space="preserve">                   </w:t>
            </w:r>
            <w:r>
              <w:rPr>
                <w:rFonts w:ascii="SimSun" w:eastAsia="SimSun" w:hAnsi="SimSun" w:cs="SimSun"/>
                <w:b/>
                <w:bCs/>
                <w:color w:val="FFFFFF"/>
                <w:position w:val="1"/>
                <w:sz w:val="19"/>
                <w:szCs w:val="19"/>
              </w:rPr>
              <w:t>规模</w:t>
            </w:r>
            <w:r>
              <w:rPr>
                <w:rFonts w:ascii="SimSun" w:eastAsia="SimSun" w:hAnsi="SimSun" w:cs="SimSun"/>
                <w:color w:val="FFFFFF"/>
                <w:position w:val="1"/>
                <w:sz w:val="19"/>
                <w:szCs w:val="19"/>
              </w:rPr>
              <w:t xml:space="preserve">                          </w:t>
            </w:r>
            <w:r>
              <w:rPr>
                <w:rFonts w:ascii="SimSun" w:eastAsia="SimSun" w:hAnsi="SimSun" w:cs="SimSun"/>
                <w:color w:val="FFFFFF"/>
                <w:spacing w:val="-1"/>
                <w:position w:val="1"/>
                <w:sz w:val="19"/>
                <w:szCs w:val="19"/>
              </w:rPr>
              <w:t xml:space="preserve">          </w:t>
            </w:r>
            <w:r>
              <w:rPr>
                <w:rFonts w:ascii="SimSun" w:eastAsia="SimSun" w:hAnsi="SimSun" w:cs="SimSun"/>
                <w:b/>
                <w:bCs/>
                <w:color w:val="FFFFFF"/>
                <w:spacing w:val="-1"/>
                <w:sz w:val="19"/>
                <w:szCs w:val="19"/>
              </w:rPr>
              <w:t>对应政策</w:t>
            </w:r>
          </w:p>
        </w:tc>
      </w:tr>
    </w:tbl>
    <w:p>
      <w:pPr>
        <w:spacing w:line="56" w:lineRule="exact"/>
        <w:rPr>
          <w:rFonts w:ascii="Arial"/>
          <w:sz w:val="4"/>
        </w:rPr>
      </w:pPr>
    </w:p>
    <w:p>
      <w:pPr>
        <w:spacing w:line="56" w:lineRule="exact"/>
        <w:rPr>
          <w:rFonts w:ascii="Arial" w:eastAsia="Arial" w:hAnsi="Arial" w:cs="Arial"/>
          <w:sz w:val="4"/>
          <w:szCs w:val="4"/>
        </w:rPr>
        <w:sectPr>
          <w:footerReference w:type="default" r:id="rId92"/>
          <w:pgSz w:w="11910" w:h="16840"/>
          <w:pgMar w:top="156" w:right="650" w:bottom="400" w:left="714" w:header="0" w:footer="0" w:gutter="0"/>
          <w:pgNumType w:start="53"/>
          <w:cols w:num="1" w:space="708" w:equalWidth="0">
            <w:col w:w="10545" w:space="0"/>
          </w:cols>
        </w:sectPr>
      </w:pPr>
    </w:p>
    <w:p>
      <w:pPr>
        <w:spacing w:line="275" w:lineRule="auto"/>
        <w:rPr>
          <w:rFonts w:ascii="Arial"/>
          <w:sz w:val="21"/>
        </w:rPr>
      </w:pPr>
    </w:p>
    <w:p>
      <w:pPr>
        <w:spacing w:before="58" w:line="269" w:lineRule="auto"/>
        <w:ind w:left="1374" w:right="619" w:hanging="269"/>
        <w:rPr>
          <w:rFonts w:ascii="SimSun" w:eastAsia="SimSun" w:hAnsi="SimSun" w:cs="SimSun"/>
          <w:sz w:val="18"/>
          <w:szCs w:val="18"/>
        </w:rPr>
      </w:pPr>
      <w:r>
        <w:pict>
          <v:shape id="_x0000_s1059" type="#_x0000_t202" style="width:38.7pt;height:12.7pt;margin-top:10.93pt;margin-left:8.25pt;position:absolute;z-index:251700224" filled="f" stroked="f">
            <o:lock v:ext="edit" aspectratio="f"/>
            <v:textbox inset="0,0,0,0">
              <w:txbxContent>
                <w:p>
                  <w:pPr>
                    <w:spacing w:before="20" w:line="219" w:lineRule="auto"/>
                    <w:ind w:left="20"/>
                    <w:rPr>
                      <w:rFonts w:ascii="SimSun" w:eastAsia="SimSun" w:hAnsi="SimSun" w:cs="SimSun"/>
                      <w:sz w:val="18"/>
                      <w:szCs w:val="18"/>
                    </w:rPr>
                  </w:pPr>
                  <w:r>
                    <w:rPr>
                      <w:rFonts w:ascii="SimSun" w:eastAsia="SimSun" w:hAnsi="SimSun" w:cs="SimSun"/>
                      <w:spacing w:val="3"/>
                      <w:sz w:val="18"/>
                      <w:szCs w:val="18"/>
                    </w:rPr>
                    <w:t>银行储蓄</w:t>
                  </w:r>
                </w:p>
              </w:txbxContent>
            </v:textbox>
          </v:shape>
        </w:pict>
      </w:r>
      <w:r>
        <w:rPr>
          <w:rFonts w:ascii="SimSun" w:eastAsia="SimSun" w:hAnsi="SimSun" w:cs="SimSun"/>
          <w:sz w:val="18"/>
          <w:szCs w:val="18"/>
        </w:rPr>
        <w:t>养老储蓄存款、养2023Q1末累计发行规模1005</w:t>
      </w:r>
      <w:r>
        <w:rPr>
          <w:rFonts w:ascii="SimSun" w:eastAsia="SimSun" w:hAnsi="SimSun" w:cs="SimSun"/>
          <w:spacing w:val="-1"/>
          <w:sz w:val="18"/>
          <w:szCs w:val="18"/>
        </w:rPr>
        <w:t>亿，</w:t>
      </w:r>
      <w:r>
        <w:rPr>
          <w:rFonts w:ascii="SimSun" w:eastAsia="SimSun" w:hAnsi="SimSun" w:cs="SimSun"/>
          <w:sz w:val="18"/>
          <w:szCs w:val="18"/>
        </w:rPr>
        <w:t xml:space="preserve">  </w:t>
      </w:r>
      <w:r>
        <w:rPr>
          <w:rFonts w:ascii="SimSun" w:eastAsia="SimSun" w:hAnsi="SimSun" w:cs="SimSun"/>
          <w:sz w:val="18"/>
          <w:szCs w:val="18"/>
        </w:rPr>
        <w:t>老理财产品</w:t>
      </w:r>
      <w:r>
        <w:rPr>
          <w:rFonts w:ascii="SimSun" w:eastAsia="SimSun" w:hAnsi="SimSun" w:cs="SimSun"/>
          <w:spacing w:val="29"/>
          <w:sz w:val="18"/>
          <w:szCs w:val="18"/>
        </w:rPr>
        <w:t xml:space="preserve">   </w:t>
      </w:r>
      <w:r>
        <w:rPr>
          <w:rFonts w:ascii="SimSun" w:eastAsia="SimSun" w:hAnsi="SimSun" w:cs="SimSun"/>
          <w:sz w:val="18"/>
          <w:szCs w:val="18"/>
        </w:rPr>
        <w:t>发行数量51只，11家公司参与。</w:t>
      </w:r>
    </w:p>
    <w:p>
      <w:pPr>
        <w:spacing w:line="257" w:lineRule="auto"/>
        <w:rPr>
          <w:rFonts w:ascii="Arial"/>
          <w:sz w:val="21"/>
        </w:rPr>
      </w:pPr>
    </w:p>
    <w:p>
      <w:pPr>
        <w:spacing w:line="257" w:lineRule="auto"/>
        <w:rPr>
          <w:rFonts w:ascii="Arial"/>
          <w:sz w:val="21"/>
        </w:rPr>
      </w:pPr>
    </w:p>
    <w:p>
      <w:pPr>
        <w:spacing w:before="60" w:line="174" w:lineRule="auto"/>
        <w:ind w:left="1215"/>
        <w:rPr>
          <w:rFonts w:ascii="SimSun" w:eastAsia="SimSun" w:hAnsi="SimSun" w:cs="SimSun"/>
          <w:sz w:val="18"/>
          <w:szCs w:val="18"/>
        </w:rPr>
      </w:pPr>
      <w:r>
        <w:rPr>
          <w:rFonts w:ascii="SimSun" w:eastAsia="SimSun" w:hAnsi="SimSun" w:cs="SimSun"/>
          <w:spacing w:val="-2"/>
          <w:sz w:val="18"/>
          <w:szCs w:val="18"/>
        </w:rPr>
        <w:t>商业养老年金保</w:t>
      </w:r>
    </w:p>
    <w:p>
      <w:pPr>
        <w:spacing w:line="169" w:lineRule="auto"/>
        <w:ind w:left="2625"/>
        <w:rPr>
          <w:rFonts w:ascii="SimSun" w:eastAsia="SimSun" w:hAnsi="SimSun" w:cs="SimSun"/>
          <w:sz w:val="18"/>
          <w:szCs w:val="18"/>
        </w:rPr>
      </w:pPr>
      <w:r>
        <w:rPr>
          <w:rFonts w:ascii="SimSun" w:eastAsia="SimSun" w:hAnsi="SimSun" w:cs="SimSun"/>
          <w:sz w:val="18"/>
          <w:szCs w:val="18"/>
        </w:rPr>
        <w:t>2023年Q1末累计准备金6600亿元。</w:t>
      </w:r>
    </w:p>
    <w:p>
      <w:pPr>
        <w:spacing w:before="1" w:line="215" w:lineRule="auto"/>
        <w:ind w:left="1735"/>
        <w:rPr>
          <w:rFonts w:ascii="SimSun" w:eastAsia="SimSun" w:hAnsi="SimSun" w:cs="SimSun"/>
          <w:sz w:val="18"/>
          <w:szCs w:val="18"/>
        </w:rPr>
      </w:pPr>
      <w:r>
        <w:rPr>
          <w:rFonts w:ascii="SimSun" w:eastAsia="SimSun" w:hAnsi="SimSun" w:cs="SimSun"/>
          <w:sz w:val="18"/>
          <w:szCs w:val="18"/>
        </w:rPr>
        <w:t>险</w:t>
      </w:r>
    </w:p>
    <w:p>
      <w:pPr>
        <w:spacing w:line="344" w:lineRule="auto"/>
        <w:rPr>
          <w:rFonts w:ascii="Arial"/>
          <w:sz w:val="21"/>
        </w:rPr>
      </w:pPr>
    </w:p>
    <w:p>
      <w:pPr>
        <w:spacing w:before="58" w:line="219" w:lineRule="auto"/>
        <w:ind w:left="2635"/>
        <w:rPr>
          <w:rFonts w:ascii="SimSun" w:eastAsia="SimSun" w:hAnsi="SimSun" w:cs="SimSun"/>
          <w:sz w:val="18"/>
          <w:szCs w:val="18"/>
        </w:rPr>
      </w:pPr>
      <w:r>
        <w:rPr>
          <w:rFonts w:ascii="SimSun" w:eastAsia="SimSun" w:hAnsi="SimSun" w:cs="SimSun"/>
          <w:spacing w:val="-1"/>
          <w:sz w:val="18"/>
          <w:szCs w:val="18"/>
        </w:rPr>
        <w:t>2021年10月累计保费收入6亿元，</w:t>
      </w:r>
    </w:p>
    <w:p>
      <w:pPr>
        <w:spacing w:before="67" w:line="361" w:lineRule="exact"/>
        <w:ind w:left="2625"/>
        <w:rPr>
          <w:rFonts w:ascii="SimSun" w:eastAsia="SimSun" w:hAnsi="SimSun" w:cs="SimSun"/>
          <w:sz w:val="18"/>
          <w:szCs w:val="18"/>
        </w:rPr>
      </w:pPr>
      <w:r>
        <w:pict>
          <v:shape id="_x0000_s1060" type="#_x0000_t202" style="width:64.65pt;height:28.2pt;margin-top:-3.69pt;margin-left:59.25pt;position:absolute;z-index:251698176" filled="f" stroked="f">
            <o:lock v:ext="edit" aspectratio="f"/>
            <v:textbox inset="0,0,0,0">
              <w:txbxContent>
                <w:p>
                  <w:pPr>
                    <w:spacing w:before="20" w:line="219" w:lineRule="auto"/>
                    <w:ind w:left="20"/>
                    <w:rPr>
                      <w:rFonts w:ascii="SimSun" w:eastAsia="SimSun" w:hAnsi="SimSun" w:cs="SimSun"/>
                      <w:sz w:val="18"/>
                      <w:szCs w:val="18"/>
                    </w:rPr>
                  </w:pPr>
                  <w:r>
                    <w:rPr>
                      <w:rFonts w:ascii="SimSun" w:eastAsia="SimSun" w:hAnsi="SimSun" w:cs="SimSun"/>
                      <w:spacing w:val="-1"/>
                      <w:sz w:val="18"/>
                      <w:szCs w:val="18"/>
                    </w:rPr>
                    <w:t>个人税收递延型</w:t>
                  </w:r>
                </w:p>
                <w:p>
                  <w:pPr>
                    <w:spacing w:before="96" w:line="219" w:lineRule="auto"/>
                    <w:ind w:left="110"/>
                    <w:rPr>
                      <w:rFonts w:ascii="SimSun" w:eastAsia="SimSun" w:hAnsi="SimSun" w:cs="SimSun"/>
                      <w:sz w:val="18"/>
                      <w:szCs w:val="18"/>
                    </w:rPr>
                  </w:pPr>
                  <w:r>
                    <w:rPr>
                      <w:rFonts w:ascii="SimSun" w:eastAsia="SimSun" w:hAnsi="SimSun" w:cs="SimSun"/>
                      <w:spacing w:val="-2"/>
                      <w:sz w:val="18"/>
                      <w:szCs w:val="18"/>
                    </w:rPr>
                    <w:t>商业养老保险</w:t>
                  </w:r>
                </w:p>
              </w:txbxContent>
            </v:textbox>
          </v:shape>
        </w:pict>
      </w:r>
      <w:r>
        <w:pict>
          <v:shape id="_x0000_s1061" type="#_x0000_t202" style="width:19.65pt;height:12.75pt;margin-top:4.35pt;margin-left:17.25pt;position:absolute;z-index:251701248" filled="f" stroked="f">
            <o:lock v:ext="edit" aspectratio="f"/>
            <v:textbox inset="0,0,0,0">
              <w:txbxContent>
                <w:p>
                  <w:pPr>
                    <w:spacing w:before="20" w:line="220" w:lineRule="auto"/>
                    <w:ind w:left="20"/>
                    <w:rPr>
                      <w:rFonts w:ascii="SimSun" w:eastAsia="SimSun" w:hAnsi="SimSun" w:cs="SimSun"/>
                      <w:sz w:val="18"/>
                      <w:szCs w:val="18"/>
                    </w:rPr>
                  </w:pPr>
                  <w:r>
                    <w:rPr>
                      <w:rFonts w:ascii="SimSun" w:eastAsia="SimSun" w:hAnsi="SimSun" w:cs="SimSun"/>
                      <w:spacing w:val="-2"/>
                      <w:sz w:val="18"/>
                      <w:szCs w:val="18"/>
                    </w:rPr>
                    <w:t>保险</w:t>
                  </w:r>
                </w:p>
              </w:txbxContent>
            </v:textbox>
          </v:shape>
        </w:pict>
      </w:r>
      <w:r>
        <w:rPr>
          <w:rFonts w:ascii="SimSun" w:eastAsia="SimSun" w:hAnsi="SimSun" w:cs="SimSun"/>
          <w:spacing w:val="-1"/>
          <w:position w:val="13"/>
          <w:sz w:val="18"/>
          <w:szCs w:val="18"/>
        </w:rPr>
        <w:t>2023Q1累计保费50.8亿元，23家保险</w:t>
      </w:r>
    </w:p>
    <w:p>
      <w:pPr>
        <w:spacing w:before="1" w:line="220" w:lineRule="auto"/>
        <w:ind w:left="2655"/>
        <w:rPr>
          <w:rFonts w:ascii="SimSun" w:eastAsia="SimSun" w:hAnsi="SimSun" w:cs="SimSun"/>
          <w:sz w:val="18"/>
          <w:szCs w:val="18"/>
        </w:rPr>
      </w:pPr>
      <w:r>
        <w:rPr>
          <w:rFonts w:ascii="SimSun" w:eastAsia="SimSun" w:hAnsi="SimSun" w:cs="SimSun"/>
          <w:spacing w:val="-1"/>
          <w:sz w:val="18"/>
          <w:szCs w:val="18"/>
        </w:rPr>
        <w:t>公司参与试点。</w:t>
      </w:r>
    </w:p>
    <w:p>
      <w:pPr>
        <w:spacing w:line="343" w:lineRule="auto"/>
        <w:rPr>
          <w:rFonts w:ascii="Arial"/>
          <w:sz w:val="21"/>
        </w:rPr>
      </w:pPr>
    </w:p>
    <w:p>
      <w:pPr>
        <w:spacing w:before="58" w:line="219" w:lineRule="auto"/>
        <w:ind w:left="1215"/>
        <w:rPr>
          <w:rFonts w:ascii="SimSun" w:eastAsia="SimSun" w:hAnsi="SimSun" w:cs="SimSun"/>
          <w:sz w:val="18"/>
          <w:szCs w:val="18"/>
        </w:rPr>
      </w:pPr>
      <w:r>
        <w:rPr>
          <w:rFonts w:ascii="SimSun" w:eastAsia="SimSun" w:hAnsi="SimSun" w:cs="SimSun"/>
          <w:spacing w:val="-1"/>
          <w:sz w:val="18"/>
          <w:szCs w:val="18"/>
        </w:rPr>
        <w:t>专属商业养老保2021年10月累计保费收入2亿元，6家</w:t>
      </w:r>
    </w:p>
    <w:p>
      <w:pPr>
        <w:spacing w:before="97" w:line="220" w:lineRule="auto"/>
        <w:ind w:left="2635"/>
        <w:rPr>
          <w:rFonts w:ascii="SimSun" w:eastAsia="SimSun" w:hAnsi="SimSun" w:cs="SimSun"/>
          <w:sz w:val="18"/>
          <w:szCs w:val="18"/>
        </w:rPr>
      </w:pPr>
      <w:r>
        <w:pict>
          <v:shape id="_x0000_s1062" type="#_x0000_t202" style="width:10.2pt;height:12.75pt;margin-top:4.84pt;margin-left:85.75pt;position:absolute;z-index:251702272" filled="f" stroked="f">
            <o:lock v:ext="edit" aspectratio="f"/>
            <v:textbox inset="0,0,0,0">
              <w:txbxContent>
                <w:p>
                  <w:pPr>
                    <w:spacing w:before="20" w:line="220" w:lineRule="auto"/>
                    <w:ind w:right="3"/>
                    <w:jc w:val="right"/>
                    <w:rPr>
                      <w:rFonts w:ascii="SimSun" w:eastAsia="SimSun" w:hAnsi="SimSun" w:cs="SimSun"/>
                      <w:sz w:val="18"/>
                      <w:szCs w:val="18"/>
                    </w:rPr>
                  </w:pPr>
                  <w:r>
                    <w:rPr>
                      <w:rFonts w:ascii="SimSun" w:eastAsia="SimSun" w:hAnsi="SimSun" w:cs="SimSun"/>
                      <w:sz w:val="18"/>
                      <w:szCs w:val="18"/>
                    </w:rPr>
                    <w:t>险</w:t>
                  </w:r>
                </w:p>
              </w:txbxContent>
            </v:textbox>
          </v:shape>
        </w:pict>
      </w:r>
      <w:r>
        <w:rPr>
          <w:rFonts w:ascii="SimSun" w:eastAsia="SimSun" w:hAnsi="SimSun" w:cs="SimSun"/>
          <w:spacing w:val="-1"/>
          <w:sz w:val="18"/>
          <w:szCs w:val="18"/>
        </w:rPr>
        <w:t>保险公司参与。</w:t>
      </w:r>
    </w:p>
    <w:p>
      <w:pPr>
        <w:spacing w:line="374" w:lineRule="auto"/>
        <w:rPr>
          <w:rFonts w:ascii="Arial"/>
          <w:sz w:val="21"/>
        </w:rPr>
      </w:pPr>
    </w:p>
    <w:p>
      <w:pPr>
        <w:spacing w:before="59" w:line="258" w:lineRule="auto"/>
        <w:ind w:left="2625" w:right="279"/>
        <w:rPr>
          <w:rFonts w:ascii="SimSun" w:eastAsia="SimSun" w:hAnsi="SimSun" w:cs="SimSun"/>
          <w:sz w:val="18"/>
          <w:szCs w:val="18"/>
        </w:rPr>
      </w:pPr>
      <w:r>
        <w:pict>
          <v:shape id="_x0000_s1063" type="#_x0000_t202" style="width:101.65pt;height:13.85pt;margin-top:9.46pt;margin-left:17.25pt;position:absolute;z-index:251699200" filled="f" stroked="f">
            <o:lock v:ext="edit" aspectratio="f"/>
            <v:textbox inset="0,0,0,0">
              <w:txbxContent>
                <w:p>
                  <w:pPr>
                    <w:spacing w:before="20" w:line="232" w:lineRule="auto"/>
                    <w:ind w:left="20"/>
                    <w:rPr>
                      <w:rFonts w:ascii="SimSun" w:eastAsia="SimSun" w:hAnsi="SimSun" w:cs="SimSun"/>
                      <w:sz w:val="18"/>
                      <w:szCs w:val="18"/>
                    </w:rPr>
                  </w:pPr>
                  <w:r>
                    <w:rPr>
                      <w:rFonts w:ascii="SimSun" w:eastAsia="SimSun" w:hAnsi="SimSun" w:cs="SimSun"/>
                      <w:spacing w:val="-2"/>
                      <w:position w:val="-1"/>
                      <w:sz w:val="18"/>
                      <w:szCs w:val="18"/>
                    </w:rPr>
                    <w:t>基金</w:t>
                  </w:r>
                  <w:r>
                    <w:rPr>
                      <w:rFonts w:ascii="SimSun" w:eastAsia="SimSun" w:hAnsi="SimSun" w:cs="SimSun"/>
                      <w:spacing w:val="4"/>
                      <w:position w:val="-1"/>
                      <w:sz w:val="18"/>
                      <w:szCs w:val="18"/>
                    </w:rPr>
                    <w:t xml:space="preserve">      </w:t>
                  </w:r>
                  <w:r>
                    <w:rPr>
                      <w:rFonts w:ascii="SimSun" w:eastAsia="SimSun" w:hAnsi="SimSun" w:cs="SimSun"/>
                      <w:spacing w:val="-2"/>
                      <w:sz w:val="18"/>
                      <w:szCs w:val="18"/>
                    </w:rPr>
                    <w:t>养老目标基金</w:t>
                  </w:r>
                </w:p>
              </w:txbxContent>
            </v:textbox>
          </v:shape>
        </w:pict>
      </w:r>
      <w:r>
        <w:rPr>
          <w:rFonts w:ascii="SimSun" w:eastAsia="SimSun" w:hAnsi="SimSun" w:cs="SimSun"/>
          <w:spacing w:val="-1"/>
          <w:sz w:val="18"/>
          <w:szCs w:val="18"/>
        </w:rPr>
        <w:t>2023年末目标日期型+目标风险型FOF</w:t>
      </w:r>
      <w:r>
        <w:rPr>
          <w:rFonts w:ascii="SimSun" w:eastAsia="SimSun" w:hAnsi="SimSun" w:cs="SimSun"/>
          <w:spacing w:val="9"/>
          <w:sz w:val="18"/>
          <w:szCs w:val="18"/>
        </w:rPr>
        <w:t xml:space="preserve"> </w:t>
      </w:r>
      <w:r>
        <w:rPr>
          <w:rFonts w:ascii="SimSun" w:eastAsia="SimSun" w:hAnsi="SimSun" w:cs="SimSun"/>
          <w:spacing w:val="-1"/>
          <w:sz w:val="18"/>
          <w:szCs w:val="18"/>
        </w:rPr>
        <w:t>资产净值1555亿元。</w:t>
      </w:r>
    </w:p>
    <w:p>
      <w:pPr>
        <w:spacing w:before="286" w:line="431" w:lineRule="exact"/>
        <w:ind w:left="25"/>
        <w:rPr>
          <w:rFonts w:ascii="SimSun" w:eastAsia="SimSun" w:hAnsi="SimSun" w:cs="SimSun"/>
          <w:sz w:val="18"/>
          <w:szCs w:val="18"/>
        </w:rPr>
      </w:pPr>
      <w:r>
        <w:rPr>
          <w:rFonts w:ascii="SimSun" w:eastAsia="SimSun" w:hAnsi="SimSun" w:cs="SimSun"/>
          <w:position w:val="19"/>
          <w:sz w:val="18"/>
          <w:szCs w:val="18"/>
        </w:rPr>
        <w:t>资料来源：金融监督管理总局、全国社保基金、开源证券研究所</w:t>
      </w:r>
    </w:p>
    <w:p>
      <w:pPr>
        <w:spacing w:line="189" w:lineRule="auto"/>
        <w:ind w:left="35"/>
        <w:rPr>
          <w:rFonts w:ascii="SimSun" w:eastAsia="SimSun" w:hAnsi="SimSun" w:cs="SimSun"/>
          <w:sz w:val="18"/>
          <w:szCs w:val="18"/>
        </w:rPr>
      </w:pPr>
      <w:r>
        <w:rPr>
          <w:rFonts w:ascii="SimSun" w:eastAsia="SimSun" w:hAnsi="SimSun" w:cs="SimSun"/>
          <w:spacing w:val="1"/>
          <w:sz w:val="18"/>
          <w:szCs w:val="18"/>
        </w:rPr>
        <w:t>请务必参阅正文后面的信息披露和法律声明</w:t>
      </w:r>
    </w:p>
    <w:p>
      <w:pPr>
        <w:spacing w:line="14" w:lineRule="auto"/>
        <w:rPr>
          <w:rFonts w:ascii="Arial"/>
          <w:sz w:val="2"/>
        </w:rPr>
        <w:sectPr>
          <w:footerReference w:type="default" r:id="rId93"/>
          <w:type w:val="continuous"/>
          <w:pgSz w:w="11910" w:h="16840"/>
          <w:pgMar w:top="156" w:right="650" w:bottom="400" w:left="714" w:header="0" w:footer="0" w:gutter="0"/>
          <w:pgNumType w:start="54"/>
          <w:cols w:num="2" w:space="708" w:equalWidth="0">
            <w:col w:w="5776" w:space="100"/>
            <w:col w:w="4670" w:space="0"/>
          </w:cols>
        </w:sectPr>
      </w:pPr>
      <w:r>
        <w:rPr>
          <w:rFonts w:ascii="Arial" w:eastAsia="Arial" w:hAnsi="Arial" w:cs="Arial"/>
          <w:sz w:val="2"/>
          <w:szCs w:val="2"/>
        </w:rPr>
        <w:br w:type="column"/>
      </w:r>
    </w:p>
    <w:p>
      <w:pPr>
        <w:spacing w:before="35" w:line="288" w:lineRule="auto"/>
        <w:ind w:right="250"/>
        <w:jc w:val="both"/>
        <w:rPr>
          <w:rFonts w:ascii="SimSun" w:eastAsia="SimSun" w:hAnsi="SimSun" w:cs="SimSun"/>
          <w:sz w:val="18"/>
          <w:szCs w:val="18"/>
        </w:rPr>
      </w:pPr>
      <w:r>
        <w:rPr>
          <w:rFonts w:ascii="SimSun" w:eastAsia="SimSun" w:hAnsi="SimSun" w:cs="SimSun"/>
          <w:spacing w:val="-1"/>
          <w:sz w:val="18"/>
          <w:szCs w:val="18"/>
        </w:rPr>
        <w:t>2021年12月6日，工银理财、建信理财、招银理财和光大</w:t>
      </w:r>
      <w:r>
        <w:rPr>
          <w:rFonts w:ascii="SimSun" w:eastAsia="SimSun" w:hAnsi="SimSun" w:cs="SimSun"/>
          <w:spacing w:val="17"/>
          <w:sz w:val="18"/>
          <w:szCs w:val="18"/>
        </w:rPr>
        <w:t xml:space="preserve"> </w:t>
      </w:r>
      <w:r>
        <w:rPr>
          <w:rFonts w:ascii="SimSun" w:eastAsia="SimSun" w:hAnsi="SimSun" w:cs="SimSun"/>
          <w:sz w:val="18"/>
          <w:szCs w:val="18"/>
        </w:rPr>
        <w:t>理财4家试点机构首批银行理财产品面向公众正式发售。</w:t>
      </w:r>
      <w:r>
        <w:rPr>
          <w:rFonts w:ascii="SimSun" w:eastAsia="SimSun" w:hAnsi="SimSun" w:cs="SimSun"/>
          <w:spacing w:val="8"/>
          <w:sz w:val="18"/>
          <w:szCs w:val="18"/>
        </w:rPr>
        <w:t xml:space="preserve"> </w:t>
      </w:r>
      <w:r>
        <w:rPr>
          <w:rFonts w:ascii="SimSun" w:eastAsia="SimSun" w:hAnsi="SimSun" w:cs="SimSun"/>
          <w:spacing w:val="-1"/>
          <w:sz w:val="18"/>
          <w:szCs w:val="18"/>
        </w:rPr>
        <w:t>2022年3月，养老理财产品试点进一步扩容，参与机构扩</w:t>
      </w:r>
      <w:r>
        <w:rPr>
          <w:rFonts w:ascii="SimSun" w:eastAsia="SimSun" w:hAnsi="SimSun" w:cs="SimSun"/>
          <w:spacing w:val="16"/>
          <w:sz w:val="18"/>
          <w:szCs w:val="18"/>
        </w:rPr>
        <w:t xml:space="preserve"> </w:t>
      </w:r>
      <w:r>
        <w:rPr>
          <w:rFonts w:ascii="SimSun" w:eastAsia="SimSun" w:hAnsi="SimSun" w:cs="SimSun"/>
          <w:sz w:val="18"/>
          <w:szCs w:val="18"/>
        </w:rPr>
        <w:t>大到11家理财公司，试点地区扩大到10个城</w:t>
      </w:r>
      <w:r>
        <w:rPr>
          <w:rFonts w:ascii="SimSun" w:eastAsia="SimSun" w:hAnsi="SimSun" w:cs="SimSun"/>
          <w:spacing w:val="-1"/>
          <w:sz w:val="18"/>
          <w:szCs w:val="18"/>
        </w:rPr>
        <w:t>市。</w:t>
      </w:r>
    </w:p>
    <w:p>
      <w:pPr>
        <w:spacing w:before="126" w:line="285" w:lineRule="auto"/>
        <w:ind w:left="10" w:right="30" w:hanging="10"/>
        <w:rPr>
          <w:rFonts w:ascii="SimSun" w:eastAsia="SimSun" w:hAnsi="SimSun" w:cs="SimSun"/>
          <w:sz w:val="18"/>
          <w:szCs w:val="18"/>
        </w:rPr>
      </w:pPr>
      <w:r>
        <w:rPr>
          <w:rFonts w:ascii="SimSun" w:eastAsia="SimSun" w:hAnsi="SimSun" w:cs="SimSun"/>
          <w:spacing w:val="-1"/>
          <w:sz w:val="18"/>
          <w:szCs w:val="18"/>
        </w:rPr>
        <w:t xml:space="preserve">2015年原保监会《人身保险公司保险条款和保险费率管理  </w:t>
      </w:r>
      <w:r>
        <w:rPr>
          <w:rFonts w:ascii="SimSun" w:eastAsia="SimSun" w:hAnsi="SimSun" w:cs="SimSun"/>
          <w:spacing w:val="-2"/>
          <w:sz w:val="18"/>
          <w:szCs w:val="18"/>
        </w:rPr>
        <w:t>办法》、2017年《关于规范人身保险公司产品开发设计行为</w:t>
      </w:r>
      <w:r>
        <w:rPr>
          <w:rFonts w:ascii="SimSun" w:eastAsia="SimSun" w:hAnsi="SimSun" w:cs="SimSun"/>
          <w:spacing w:val="4"/>
          <w:sz w:val="18"/>
          <w:szCs w:val="18"/>
        </w:rPr>
        <w:t xml:space="preserve"> </w:t>
      </w:r>
      <w:r>
        <w:rPr>
          <w:rFonts w:ascii="SimSun" w:eastAsia="SimSun" w:hAnsi="SimSun" w:cs="SimSun"/>
          <w:spacing w:val="-1"/>
          <w:sz w:val="18"/>
          <w:szCs w:val="18"/>
        </w:rPr>
        <w:t>的通知》等进行了规范。</w:t>
      </w:r>
    </w:p>
    <w:p>
      <w:pPr>
        <w:spacing w:before="127" w:line="281" w:lineRule="auto"/>
        <w:ind w:left="10" w:right="239" w:hanging="10"/>
        <w:rPr>
          <w:rFonts w:ascii="SimSun" w:eastAsia="SimSun" w:hAnsi="SimSun" w:cs="SimSun"/>
          <w:sz w:val="18"/>
          <w:szCs w:val="18"/>
        </w:rPr>
      </w:pPr>
      <w:r>
        <w:rPr>
          <w:rFonts w:ascii="SimSun" w:eastAsia="SimSun" w:hAnsi="SimSun" w:cs="SimSun"/>
          <w:spacing w:val="-1"/>
          <w:sz w:val="18"/>
          <w:szCs w:val="18"/>
        </w:rPr>
        <w:t>2018年4月财政部等五部门发布《关于开展个人税收递延</w:t>
      </w:r>
      <w:r>
        <w:rPr>
          <w:rFonts w:ascii="SimSun" w:eastAsia="SimSun" w:hAnsi="SimSun" w:cs="SimSun"/>
          <w:spacing w:val="16"/>
          <w:sz w:val="18"/>
          <w:szCs w:val="18"/>
        </w:rPr>
        <w:t xml:space="preserve"> </w:t>
      </w:r>
      <w:r>
        <w:rPr>
          <w:rFonts w:ascii="SimSun" w:eastAsia="SimSun" w:hAnsi="SimSun" w:cs="SimSun"/>
          <w:sz w:val="18"/>
          <w:szCs w:val="18"/>
        </w:rPr>
        <w:t>型商业养老保险试点的通知》(财税[2018]22号),自2018</w:t>
      </w:r>
      <w:r>
        <w:rPr>
          <w:rFonts w:ascii="SimSun" w:eastAsia="SimSun" w:hAnsi="SimSun" w:cs="SimSun"/>
          <w:spacing w:val="9"/>
          <w:sz w:val="18"/>
          <w:szCs w:val="18"/>
        </w:rPr>
        <w:t xml:space="preserve"> </w:t>
      </w:r>
      <w:r>
        <w:rPr>
          <w:rFonts w:ascii="SimSun" w:eastAsia="SimSun" w:hAnsi="SimSun" w:cs="SimSun"/>
          <w:spacing w:val="-1"/>
          <w:sz w:val="18"/>
          <w:szCs w:val="18"/>
        </w:rPr>
        <w:t>年5月1日起在上海市、福建省(含厦门市)和苏州工业</w:t>
      </w:r>
    </w:p>
    <w:p>
      <w:pPr>
        <w:spacing w:before="99" w:line="221" w:lineRule="auto"/>
        <w:ind w:left="10"/>
        <w:rPr>
          <w:rFonts w:ascii="SimSun" w:eastAsia="SimSun" w:hAnsi="SimSun" w:cs="SimSun"/>
          <w:sz w:val="18"/>
          <w:szCs w:val="18"/>
        </w:rPr>
      </w:pPr>
      <w:r>
        <w:rPr>
          <w:rFonts w:ascii="SimSun" w:eastAsia="SimSun" w:hAnsi="SimSun" w:cs="SimSun"/>
          <w:spacing w:val="-1"/>
          <w:sz w:val="18"/>
          <w:szCs w:val="18"/>
        </w:rPr>
        <w:t>园区开展试点。</w:t>
      </w:r>
    </w:p>
    <w:p>
      <w:pPr>
        <w:spacing w:before="113" w:line="266" w:lineRule="auto"/>
        <w:ind w:left="10" w:right="269" w:hanging="10"/>
        <w:rPr>
          <w:rFonts w:ascii="SimSun" w:eastAsia="SimSun" w:hAnsi="SimSun" w:cs="SimSun"/>
          <w:sz w:val="18"/>
          <w:szCs w:val="18"/>
        </w:rPr>
      </w:pPr>
      <w:r>
        <w:rPr>
          <w:rFonts w:ascii="SimSun" w:eastAsia="SimSun" w:hAnsi="SimSun" w:cs="SimSun"/>
          <w:spacing w:val="-1"/>
          <w:sz w:val="18"/>
          <w:szCs w:val="18"/>
        </w:rPr>
        <w:t>2021年5月银保监会印发《关于开展专属商业养老保险试</w:t>
      </w:r>
      <w:r>
        <w:rPr>
          <w:rFonts w:ascii="SimSun" w:eastAsia="SimSun" w:hAnsi="SimSun" w:cs="SimSun"/>
          <w:spacing w:val="16"/>
          <w:sz w:val="18"/>
          <w:szCs w:val="18"/>
        </w:rPr>
        <w:t xml:space="preserve"> </w:t>
      </w:r>
      <w:r>
        <w:rPr>
          <w:rFonts w:ascii="SimSun" w:eastAsia="SimSun" w:hAnsi="SimSun" w:cs="SimSun"/>
          <w:spacing w:val="1"/>
          <w:sz w:val="18"/>
          <w:szCs w:val="18"/>
        </w:rPr>
        <w:t>点的通知》,宣布自2021年6月1日起由6家人</w:t>
      </w:r>
      <w:r>
        <w:rPr>
          <w:rFonts w:ascii="SimSun" w:eastAsia="SimSun" w:hAnsi="SimSun" w:cs="SimSun"/>
          <w:sz w:val="18"/>
          <w:szCs w:val="18"/>
        </w:rPr>
        <w:t>身险公司</w:t>
      </w:r>
    </w:p>
    <w:p>
      <w:pPr>
        <w:spacing w:before="102" w:line="219" w:lineRule="auto"/>
        <w:ind w:left="10"/>
        <w:rPr>
          <w:rFonts w:ascii="SimSun" w:eastAsia="SimSun" w:hAnsi="SimSun" w:cs="SimSun"/>
          <w:sz w:val="18"/>
          <w:szCs w:val="18"/>
        </w:rPr>
      </w:pPr>
      <w:r>
        <w:rPr>
          <w:rFonts w:ascii="SimSun" w:eastAsia="SimSun" w:hAnsi="SimSun" w:cs="SimSun"/>
          <w:sz w:val="18"/>
          <w:szCs w:val="18"/>
        </w:rPr>
        <w:t>在浙江省(含宁波市)和重庆市开展为期一年试点。</w:t>
      </w:r>
    </w:p>
    <w:p>
      <w:pPr>
        <w:spacing w:before="115" w:line="219" w:lineRule="auto"/>
        <w:rPr>
          <w:rFonts w:ascii="SimSun" w:eastAsia="SimSun" w:hAnsi="SimSun" w:cs="SimSun"/>
          <w:sz w:val="18"/>
          <w:szCs w:val="18"/>
        </w:rPr>
      </w:pPr>
      <w:r>
        <w:rPr>
          <w:rFonts w:ascii="SimSun" w:eastAsia="SimSun" w:hAnsi="SimSun" w:cs="SimSun"/>
          <w:spacing w:val="-1"/>
          <w:sz w:val="18"/>
          <w:szCs w:val="18"/>
        </w:rPr>
        <w:t>2018年2月证监会《养老目标证券投资基金指引(试行)》</w:t>
      </w:r>
    </w:p>
    <w:p>
      <w:pPr>
        <w:spacing w:before="97" w:line="274" w:lineRule="auto"/>
        <w:ind w:left="30" w:right="50" w:hanging="20"/>
        <w:rPr>
          <w:rFonts w:ascii="SimSun" w:eastAsia="SimSun" w:hAnsi="SimSun" w:cs="SimSun"/>
          <w:sz w:val="18"/>
          <w:szCs w:val="18"/>
        </w:rPr>
      </w:pPr>
      <w:r>
        <w:rPr>
          <w:rFonts w:ascii="SimSun" w:eastAsia="SimSun" w:hAnsi="SimSun" w:cs="SimSun"/>
          <w:spacing w:val="-2"/>
          <w:sz w:val="18"/>
          <w:szCs w:val="18"/>
        </w:rPr>
        <w:t xml:space="preserve">要求，以FOF方式操作，定期开放的封闭运作期或投资人   </w:t>
      </w:r>
      <w:r>
        <w:rPr>
          <w:rFonts w:ascii="SimSun" w:eastAsia="SimSun" w:hAnsi="SimSun" w:cs="SimSun"/>
          <w:sz w:val="18"/>
          <w:szCs w:val="18"/>
        </w:rPr>
        <w:t>最短持有期限不低于1年，包括目标日期、目标风险两</w:t>
      </w:r>
      <w:r>
        <w:rPr>
          <w:rFonts w:ascii="SimSun" w:eastAsia="SimSun" w:hAnsi="SimSun" w:cs="SimSun"/>
          <w:spacing w:val="-1"/>
          <w:sz w:val="18"/>
          <w:szCs w:val="18"/>
        </w:rPr>
        <w:t>类。</w:t>
      </w:r>
    </w:p>
    <w:p>
      <w:pPr>
        <w:rPr>
          <w:rFonts w:ascii="Arial"/>
          <w:sz w:val="21"/>
        </w:rPr>
      </w:pPr>
    </w:p>
    <w:p>
      <w:pPr>
        <w:rPr>
          <w:rFonts w:ascii="Arial"/>
          <w:sz w:val="21"/>
        </w:rPr>
      </w:pPr>
    </w:p>
    <w:p>
      <w:pPr>
        <w:spacing w:before="59" w:line="184" w:lineRule="auto"/>
        <w:ind w:left="4019"/>
        <w:rPr>
          <w:rFonts w:ascii="SimSun" w:eastAsia="SimSun" w:hAnsi="SimSun" w:cs="SimSun"/>
          <w:sz w:val="18"/>
          <w:szCs w:val="18"/>
        </w:rPr>
      </w:pPr>
      <w:r>
        <w:rPr>
          <w:rFonts w:ascii="SimSun" w:eastAsia="SimSun" w:hAnsi="SimSun" w:cs="SimSun"/>
          <w:spacing w:val="-4"/>
          <w:sz w:val="18"/>
          <w:szCs w:val="18"/>
        </w:rPr>
        <w:t>14/37</w:t>
      </w:r>
    </w:p>
    <w:p>
      <w:pPr>
        <w:spacing w:line="184" w:lineRule="auto"/>
        <w:rPr>
          <w:rFonts w:ascii="SimSun" w:eastAsia="SimSun" w:hAnsi="SimSun" w:cs="SimSun"/>
          <w:sz w:val="18"/>
          <w:szCs w:val="18"/>
        </w:rPr>
        <w:sectPr>
          <w:footerReference w:type="default" r:id="rId94"/>
          <w:type w:val="nextPage"/>
          <w:pgSz w:w="11910" w:h="16840"/>
          <w:pgMar w:top="156" w:right="650" w:bottom="400" w:left="714" w:header="0" w:footer="0" w:gutter="0"/>
          <w:pgNumType w:start="55"/>
          <w:cols w:num="2" w:space="708" w:equalWidth="0">
            <w:col w:w="5776" w:space="100"/>
            <w:col w:w="4670" w:space="0"/>
          </w:cols>
          <w:titlePg w:val="0"/>
        </w:sectPr>
      </w:pPr>
    </w:p>
    <w:p>
      <w:pPr>
        <w:spacing w:before="153" w:line="226" w:lineRule="auto"/>
        <w:ind w:left="170"/>
        <w:rPr>
          <w:rFonts w:ascii="YouYuan" w:eastAsia="YouYuan" w:hAnsi="YouYuan" w:cs="YouYuan"/>
          <w:sz w:val="60"/>
          <w:szCs w:val="60"/>
        </w:rPr>
      </w:pPr>
      <w:r>
        <w:pict>
          <v:rect id="_x0000_s1064" style="width:384.05pt;height:0.55pt;margin-top:667pt;margin-left:177.5pt;mso-position-horizontal-relative:page;mso-position-vertical-relative:page;position:absolute;z-index:251703296" o:allowincell="f" filled="t" fillcolor="black" stroked="f"/>
        </w:pict>
      </w:r>
      <w:bookmarkStart w:id="30" w:name="bookmark35"/>
      <w:bookmarkEnd w:id="30"/>
      <w:bookmarkStart w:id="31" w:name="bookmark36"/>
      <w:bookmarkEnd w:id="31"/>
      <w:bookmarkStart w:id="32" w:name="bookmark7"/>
      <w:bookmarkEnd w:id="32"/>
      <w:bookmarkStart w:id="33" w:name="bookmark8"/>
      <w:bookmarkEnd w:id="33"/>
      <w:r>
        <w:rPr>
          <w:rFonts w:ascii="YouYuan" w:eastAsia="YouYuan" w:hAnsi="YouYuan" w:cs="YouYuan"/>
          <w:position w:val="-21"/>
          <w:sz w:val="60"/>
          <w:szCs w:val="60"/>
        </w:rPr>
        <w:drawing>
          <wp:inline distT="0" distB="0" distL="0" distR="0">
            <wp:extent cx="577801" cy="488901"/>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40" w:line="229" w:lineRule="auto"/>
        <w:ind w:left="8463"/>
        <w:rPr>
          <w:sz w:val="22"/>
          <w:szCs w:val="22"/>
        </w:rPr>
      </w:pPr>
      <w:r>
        <w:drawing>
          <wp:anchor distT="0" distB="0" distL="0" distR="0" simplePos="0" relativeHeight="251704320" behindDoc="0" locked="0" layoutInCell="1" allowOverlap="1">
            <wp:simplePos x="0" y="0"/>
            <wp:positionH relativeFrom="column">
              <wp:posOffset>19057</wp:posOffset>
            </wp:positionH>
            <wp:positionV relativeFrom="paragraph">
              <wp:posOffset>158161</wp:posOffset>
            </wp:positionV>
            <wp:extent cx="6558657" cy="6984"/>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xmlns:r="http://schemas.openxmlformats.org/officeDocument/2006/relationships" r:embed="rId21"/>
                    <a:stretch>
                      <a:fillRect/>
                    </a:stretch>
                  </pic:blipFill>
                  <pic:spPr>
                    <a:xfrm>
                      <a:off x="0" y="0"/>
                      <a:ext cx="6558657" cy="6984"/>
                    </a:xfrm>
                    <a:prstGeom prst="rect">
                      <a:avLst/>
                    </a:prstGeom>
                  </pic:spPr>
                </pic:pic>
              </a:graphicData>
            </a:graphic>
          </wp:anchor>
        </w:drawing>
      </w:r>
      <w:r>
        <w:rPr>
          <w:spacing w:val="-11"/>
          <w:sz w:val="22"/>
          <w:szCs w:val="22"/>
        </w:rPr>
        <w:t>行</w:t>
      </w:r>
      <w:r>
        <w:rPr>
          <w:spacing w:val="29"/>
          <w:sz w:val="22"/>
          <w:szCs w:val="22"/>
        </w:rPr>
        <w:t xml:space="preserve"> </w:t>
      </w:r>
      <w:r>
        <w:rPr>
          <w:spacing w:val="-11"/>
          <w:sz w:val="22"/>
          <w:szCs w:val="22"/>
        </w:rPr>
        <w:t>业</w:t>
      </w:r>
      <w:r>
        <w:rPr>
          <w:spacing w:val="24"/>
          <w:sz w:val="22"/>
          <w:szCs w:val="22"/>
        </w:rPr>
        <w:t xml:space="preserve"> </w:t>
      </w:r>
      <w:r>
        <w:rPr>
          <w:spacing w:val="-11"/>
          <w:sz w:val="22"/>
          <w:szCs w:val="22"/>
        </w:rPr>
        <w:t>深</w:t>
      </w:r>
      <w:r>
        <w:rPr>
          <w:spacing w:val="16"/>
          <w:sz w:val="22"/>
          <w:szCs w:val="22"/>
        </w:rPr>
        <w:t xml:space="preserve"> </w:t>
      </w:r>
      <w:r>
        <w:rPr>
          <w:spacing w:val="-11"/>
          <w:sz w:val="22"/>
          <w:szCs w:val="22"/>
        </w:rPr>
        <w:t>度</w:t>
      </w:r>
      <w:r>
        <w:rPr>
          <w:spacing w:val="13"/>
          <w:sz w:val="22"/>
          <w:szCs w:val="22"/>
        </w:rPr>
        <w:t xml:space="preserve"> </w:t>
      </w:r>
      <w:r>
        <w:rPr>
          <w:spacing w:val="-11"/>
          <w:sz w:val="22"/>
          <w:szCs w:val="22"/>
        </w:rPr>
        <w:t>报</w:t>
      </w:r>
      <w:r>
        <w:rPr>
          <w:spacing w:val="12"/>
          <w:sz w:val="22"/>
          <w:szCs w:val="22"/>
        </w:rPr>
        <w:t xml:space="preserve"> </w:t>
      </w:r>
      <w:r>
        <w:rPr>
          <w:spacing w:val="-11"/>
          <w:sz w:val="22"/>
          <w:szCs w:val="22"/>
        </w:rPr>
        <w:t>告</w:t>
      </w:r>
    </w:p>
    <w:p>
      <w:pPr>
        <w:pStyle w:val="BodyText"/>
        <w:spacing w:before="227" w:line="223" w:lineRule="auto"/>
        <w:ind w:left="2804"/>
        <w:outlineLvl w:val="0"/>
        <w:rPr>
          <w:sz w:val="28"/>
          <w:szCs w:val="28"/>
        </w:rPr>
      </w:pPr>
      <w:r>
        <w:rPr>
          <w:b/>
          <w:bCs/>
          <w:color w:val="000080"/>
          <w:spacing w:val="-5"/>
          <w:sz w:val="28"/>
          <w:szCs w:val="28"/>
        </w:rPr>
        <w:t>3、</w:t>
      </w:r>
      <w:r>
        <w:rPr>
          <w:color w:val="000080"/>
          <w:spacing w:val="-5"/>
          <w:sz w:val="28"/>
          <w:szCs w:val="28"/>
        </w:rPr>
        <w:t xml:space="preserve"> </w:t>
      </w:r>
      <w:r>
        <w:rPr>
          <w:b/>
          <w:bCs/>
          <w:color w:val="000080"/>
          <w:spacing w:val="-5"/>
          <w:sz w:val="28"/>
          <w:szCs w:val="28"/>
        </w:rPr>
        <w:t>从全球养老资产看委托管理模式和资产配置结构</w:t>
      </w:r>
    </w:p>
    <w:p>
      <w:pPr>
        <w:spacing w:line="258" w:lineRule="auto"/>
        <w:rPr>
          <w:rFonts w:ascii="Arial"/>
          <w:sz w:val="21"/>
        </w:rPr>
      </w:pPr>
    </w:p>
    <w:p>
      <w:pPr>
        <w:pStyle w:val="BodyText"/>
        <w:spacing w:before="68" w:line="220" w:lineRule="auto"/>
        <w:ind w:left="2800"/>
      </w:pPr>
      <w:r>
        <w:rPr>
          <w:spacing w:val="23"/>
        </w:rPr>
        <w:t>3</w:t>
      </w:r>
      <w:r>
        <w:rPr>
          <w:b/>
          <w:bCs/>
          <w:color w:val="00007F"/>
          <w:spacing w:val="23"/>
        </w:rPr>
        <w:t>.1、</w:t>
      </w:r>
      <w:r>
        <w:rPr>
          <w:color w:val="00007F"/>
          <w:spacing w:val="54"/>
        </w:rPr>
        <w:t xml:space="preserve"> </w:t>
      </w:r>
      <w:r>
        <w:rPr>
          <w:b/>
          <w:bCs/>
          <w:color w:val="00007F"/>
          <w:spacing w:val="23"/>
        </w:rPr>
        <w:t>日</w:t>
      </w:r>
      <w:r>
        <w:rPr>
          <w:color w:val="00007F"/>
          <w:spacing w:val="-7"/>
        </w:rPr>
        <w:t xml:space="preserve"> </w:t>
      </w:r>
      <w:r>
        <w:rPr>
          <w:b/>
          <w:bCs/>
          <w:color w:val="00007F"/>
          <w:spacing w:val="23"/>
        </w:rPr>
        <w:t>本</w:t>
      </w:r>
      <w:r>
        <w:rPr>
          <w:color w:val="00007F"/>
          <w:spacing w:val="-38"/>
        </w:rPr>
        <w:t xml:space="preserve"> </w:t>
      </w:r>
      <w:r>
        <w:rPr>
          <w:rFonts w:ascii="Times New Roman" w:eastAsia="Times New Roman" w:hAnsi="Times New Roman" w:cs="Times New Roman"/>
          <w:b/>
          <w:bCs/>
        </w:rPr>
        <w:t>GPIF</w:t>
      </w:r>
      <w:r>
        <w:rPr>
          <w:rFonts w:ascii="Times New Roman" w:eastAsia="Times New Roman" w:hAnsi="Times New Roman" w:cs="Times New Roman"/>
          <w:b/>
          <w:bCs/>
          <w:spacing w:val="23"/>
        </w:rPr>
        <w:t>:</w:t>
      </w:r>
      <w:r>
        <w:rPr>
          <w:rFonts w:ascii="Times New Roman" w:eastAsia="Times New Roman" w:hAnsi="Times New Roman" w:cs="Times New Roman"/>
          <w:b/>
          <w:bCs/>
          <w:spacing w:val="5"/>
        </w:rPr>
        <w:t xml:space="preserve">    </w:t>
      </w:r>
      <w:r>
        <w:rPr>
          <w:b/>
          <w:bCs/>
          <w:color w:val="00007F"/>
          <w:spacing w:val="23"/>
        </w:rPr>
        <w:t>被动管理+委托投资为主，权益资产占比中枢50%</w:t>
      </w:r>
    </w:p>
    <w:p>
      <w:pPr>
        <w:pStyle w:val="BodyText"/>
        <w:spacing w:before="220" w:line="260" w:lineRule="auto"/>
        <w:ind w:left="2800" w:right="105"/>
        <w:jc w:val="both"/>
      </w:pPr>
      <w:r>
        <w:rPr>
          <w:rFonts w:ascii="Times New Roman" w:eastAsia="Times New Roman" w:hAnsi="Times New Roman" w:cs="Times New Roman"/>
          <w:b/>
          <w:bCs/>
          <w:spacing w:val="-4"/>
        </w:rPr>
        <w:t>GPIF</w:t>
      </w:r>
      <w:r>
        <w:rPr>
          <w:rFonts w:ascii="Times New Roman" w:eastAsia="Times New Roman" w:hAnsi="Times New Roman" w:cs="Times New Roman"/>
          <w:b/>
          <w:bCs/>
          <w:spacing w:val="18"/>
        </w:rPr>
        <w:t xml:space="preserve"> </w:t>
      </w:r>
      <w:r>
        <w:rPr>
          <w:b/>
          <w:bCs/>
          <w:spacing w:val="-4"/>
        </w:rPr>
        <w:t>负责管理和投资厚生劳动省委托的储备资产，为国</w:t>
      </w:r>
      <w:r>
        <w:rPr>
          <w:b/>
          <w:bCs/>
          <w:spacing w:val="-5"/>
        </w:rPr>
        <w:t>民年金和厚生年金等公共养</w:t>
      </w:r>
      <w:r>
        <w:t xml:space="preserve"> </w:t>
      </w:r>
      <w:r>
        <w:rPr>
          <w:b/>
          <w:bCs/>
          <w:spacing w:val="-3"/>
        </w:rPr>
        <w:t>老金提供稳定的支付保障。</w:t>
      </w:r>
      <w:r>
        <w:rPr>
          <w:spacing w:val="-3"/>
        </w:rPr>
        <w:t>厚生劳动省是</w:t>
      </w:r>
      <w:r>
        <w:rPr>
          <w:rFonts w:ascii="Times New Roman" w:eastAsia="Times New Roman" w:hAnsi="Times New Roman" w:cs="Times New Roman"/>
          <w:spacing w:val="-3"/>
        </w:rPr>
        <w:t>GPIF</w:t>
      </w:r>
      <w:r>
        <w:rPr>
          <w:rFonts w:ascii="Times New Roman" w:eastAsia="Times New Roman" w:hAnsi="Times New Roman" w:cs="Times New Roman"/>
          <w:spacing w:val="39"/>
          <w:w w:val="101"/>
        </w:rPr>
        <w:t xml:space="preserve"> </w:t>
      </w:r>
      <w:r>
        <w:rPr>
          <w:spacing w:val="-3"/>
        </w:rPr>
        <w:t>的上级监管部</w:t>
      </w:r>
      <w:r>
        <w:rPr>
          <w:spacing w:val="-4"/>
        </w:rPr>
        <w:t>门，</w:t>
      </w:r>
      <w:r>
        <w:rPr>
          <w:spacing w:val="-4"/>
        </w:rPr>
        <w:t xml:space="preserve"> </w:t>
      </w:r>
      <w:r>
        <w:rPr>
          <w:rFonts w:ascii="Times New Roman" w:eastAsia="Times New Roman" w:hAnsi="Times New Roman" w:cs="Times New Roman"/>
          <w:spacing w:val="-4"/>
        </w:rPr>
        <w:t xml:space="preserve">GPIF  </w:t>
      </w:r>
      <w:r>
        <w:rPr>
          <w:spacing w:val="-4"/>
        </w:rPr>
        <w:t>具体负责养</w:t>
      </w:r>
      <w:r>
        <w:t xml:space="preserve"> </w:t>
      </w:r>
      <w:r>
        <w:rPr>
          <w:spacing w:val="1"/>
        </w:rPr>
        <w:t>老储备基金的管理和投资运作，实行理事会制。投资目的是通过长期有效而稳定的</w:t>
      </w:r>
      <w:r>
        <w:rPr>
          <w:spacing w:val="14"/>
        </w:rPr>
        <w:t xml:space="preserve"> </w:t>
      </w:r>
      <w:r>
        <w:rPr>
          <w:spacing w:val="-4"/>
        </w:rPr>
        <w:t>管理，为未来养老金的财务稳定提供支持。</w:t>
      </w:r>
      <w:r>
        <w:rPr>
          <w:rFonts w:ascii="Times New Roman" w:eastAsia="Times New Roman" w:hAnsi="Times New Roman" w:cs="Times New Roman"/>
          <w:b/>
          <w:bCs/>
          <w:spacing w:val="-4"/>
        </w:rPr>
        <w:t>GPIF</w:t>
      </w:r>
      <w:r>
        <w:rPr>
          <w:rFonts w:ascii="Times New Roman" w:eastAsia="Times New Roman" w:hAnsi="Times New Roman" w:cs="Times New Roman"/>
          <w:b/>
          <w:bCs/>
          <w:spacing w:val="65"/>
        </w:rPr>
        <w:t xml:space="preserve"> </w:t>
      </w:r>
      <w:r>
        <w:rPr>
          <w:b/>
          <w:bCs/>
          <w:spacing w:val="-4"/>
        </w:rPr>
        <w:t>以被动投资和委托投资为主。</w:t>
      </w:r>
    </w:p>
    <w:p>
      <w:pPr>
        <w:pStyle w:val="BodyText"/>
        <w:spacing w:before="307" w:line="257" w:lineRule="auto"/>
        <w:ind w:left="2803" w:right="263"/>
      </w:pPr>
      <w:r>
        <w:rPr>
          <w:b/>
          <w:bCs/>
          <w:color w:val="000080"/>
        </w:rPr>
        <w:t>图19:日本国民和厚生年金构成一支柱，二支柱种类较多，三支柱有</w:t>
      </w:r>
      <w:r>
        <w:rPr>
          <w:rFonts w:ascii="SimSun" w:eastAsia="SimSun" w:hAnsi="SimSun" w:cs="SimSun"/>
          <w:b/>
          <w:bCs/>
          <w:color w:val="000080"/>
        </w:rPr>
        <w:t>NISA、iDeCo</w:t>
      </w:r>
      <w:r>
        <w:rPr>
          <w:rFonts w:ascii="SimSun" w:eastAsia="SimSun" w:hAnsi="SimSun" w:cs="SimSun"/>
          <w:color w:val="000080"/>
        </w:rPr>
        <w:t xml:space="preserve"> </w:t>
      </w:r>
      <w:r>
        <w:rPr>
          <w:b/>
          <w:bCs/>
          <w:color w:val="000080"/>
          <w:spacing w:val="-10"/>
        </w:rPr>
        <w:t>和</w:t>
      </w:r>
      <w:r>
        <w:rPr>
          <w:color w:val="000080"/>
          <w:spacing w:val="25"/>
        </w:rPr>
        <w:t xml:space="preserve"> </w:t>
      </w:r>
      <w:r>
        <w:rPr>
          <w:b/>
          <w:bCs/>
          <w:color w:val="000080"/>
          <w:spacing w:val="-10"/>
        </w:rPr>
        <w:t>国</w:t>
      </w:r>
      <w:r>
        <w:rPr>
          <w:color w:val="000080"/>
          <w:spacing w:val="23"/>
        </w:rPr>
        <w:t xml:space="preserve"> </w:t>
      </w:r>
      <w:r>
        <w:rPr>
          <w:b/>
          <w:bCs/>
          <w:color w:val="000080"/>
          <w:spacing w:val="-10"/>
        </w:rPr>
        <w:t>民</w:t>
      </w:r>
      <w:r>
        <w:rPr>
          <w:color w:val="000080"/>
          <w:spacing w:val="-10"/>
        </w:rPr>
        <w:t xml:space="preserve"> </w:t>
      </w:r>
      <w:r>
        <w:rPr>
          <w:b/>
          <w:bCs/>
          <w:color w:val="000080"/>
          <w:spacing w:val="-10"/>
        </w:rPr>
        <w:t>年</w:t>
      </w:r>
      <w:r>
        <w:rPr>
          <w:color w:val="000080"/>
          <w:spacing w:val="-10"/>
        </w:rPr>
        <w:t xml:space="preserve"> </w:t>
      </w:r>
      <w:r>
        <w:rPr>
          <w:b/>
          <w:bCs/>
          <w:color w:val="000080"/>
          <w:spacing w:val="-10"/>
        </w:rPr>
        <w:t>金</w:t>
      </w:r>
      <w:r>
        <w:rPr>
          <w:color w:val="000080"/>
          <w:spacing w:val="-10"/>
        </w:rPr>
        <w:t xml:space="preserve"> </w:t>
      </w:r>
      <w:r>
        <w:rPr>
          <w:b/>
          <w:bCs/>
          <w:color w:val="000080"/>
          <w:spacing w:val="-10"/>
        </w:rPr>
        <w:t>基</w:t>
      </w:r>
      <w:r>
        <w:rPr>
          <w:color w:val="000080"/>
          <w:spacing w:val="-10"/>
        </w:rPr>
        <w:t xml:space="preserve"> </w:t>
      </w:r>
      <w:r>
        <w:rPr>
          <w:b/>
          <w:bCs/>
          <w:color w:val="000080"/>
          <w:spacing w:val="-10"/>
        </w:rPr>
        <w:t>金</w:t>
      </w:r>
      <w:r>
        <w:rPr>
          <w:color w:val="000080"/>
          <w:spacing w:val="-10"/>
        </w:rPr>
        <w:t xml:space="preserve"> </w:t>
      </w:r>
      <w:r>
        <w:rPr>
          <w:b/>
          <w:bCs/>
          <w:color w:val="000080"/>
          <w:spacing w:val="-10"/>
        </w:rPr>
        <w:t>为</w:t>
      </w:r>
      <w:r>
        <w:rPr>
          <w:color w:val="000080"/>
          <w:spacing w:val="-10"/>
        </w:rPr>
        <w:t xml:space="preserve"> </w:t>
      </w:r>
      <w:r>
        <w:rPr>
          <w:b/>
          <w:bCs/>
          <w:color w:val="000080"/>
          <w:spacing w:val="-10"/>
        </w:rPr>
        <w:t>主</w:t>
      </w:r>
    </w:p>
    <w:p>
      <w:pPr>
        <w:pStyle w:val="BodyText"/>
        <w:spacing w:line="3498" w:lineRule="exact"/>
        <w:ind w:firstLine="2796"/>
      </w:pPr>
      <w:r>
        <w:rPr>
          <w:position w:val="-69"/>
        </w:rPr>
        <w:pict>
          <v:group id="_x0000_i1065" style="width:385.7pt;height:174.9pt;mso-position-horizontal-relative:char;mso-position-vertical-relative:line" coordorigin="0,0" coordsize="7714,3497" filled="f" stroked="f">
            <v:shape id="_x0000_s1066" type="#_x0000_t75" style="width:7590;height:3400;left:53;position:absolute;top:87" filled="f" stroked="f">
              <v:imagedata r:id="rId95" o:title=""/>
            </v:shape>
            <v:shape id="_x0000_s1067" type="#_x0000_t202" style="width:5038;height:3012;left:413;position:absolute;top:304" filled="f" stroked="f">
              <o:lock v:ext="edit" aspectratio="f"/>
              <v:textbox inset="0,0,0,0">
                <w:txbxContent>
                  <w:p>
                    <w:pPr>
                      <w:spacing w:before="20" w:line="219" w:lineRule="auto"/>
                      <w:ind w:left="3630"/>
                      <w:rPr>
                        <w:rFonts w:ascii="KaiTi" w:eastAsia="KaiTi" w:hAnsi="KaiTi" w:cs="KaiTi"/>
                        <w:sz w:val="16"/>
                        <w:szCs w:val="16"/>
                      </w:rPr>
                    </w:pPr>
                    <w:r>
                      <w:rPr>
                        <w:rFonts w:ascii="Times New Roman" w:eastAsia="Times New Roman" w:hAnsi="Times New Roman" w:cs="Times New Roman"/>
                        <w:spacing w:val="-8"/>
                        <w:sz w:val="16"/>
                        <w:szCs w:val="16"/>
                      </w:rPr>
                      <w:t>NISA</w:t>
                    </w:r>
                    <w:r>
                      <w:rPr>
                        <w:rFonts w:ascii="KaiTi" w:eastAsia="KaiTi" w:hAnsi="KaiTi" w:cs="KaiTi"/>
                        <w:spacing w:val="-8"/>
                        <w:sz w:val="16"/>
                        <w:szCs w:val="16"/>
                      </w:rPr>
                      <w:t>账户</w:t>
                    </w:r>
                  </w:p>
                  <w:p>
                    <w:pPr>
                      <w:spacing w:line="227" w:lineRule="auto"/>
                      <w:ind w:left="20"/>
                      <w:rPr>
                        <w:rFonts w:ascii="KaiTi" w:eastAsia="KaiTi" w:hAnsi="KaiTi" w:cs="KaiTi"/>
                        <w:sz w:val="16"/>
                        <w:szCs w:val="16"/>
                      </w:rPr>
                    </w:pPr>
                    <w:r>
                      <w:rPr>
                        <w:rFonts w:ascii="KaiTi" w:eastAsia="KaiTi" w:hAnsi="KaiTi" w:cs="KaiTi"/>
                        <w:spacing w:val="-1"/>
                        <w:sz w:val="16"/>
                        <w:szCs w:val="16"/>
                      </w:rPr>
                      <w:t>三支柱</w:t>
                    </w:r>
                  </w:p>
                  <w:p>
                    <w:pPr>
                      <w:spacing w:before="19" w:line="224" w:lineRule="auto"/>
                      <w:ind w:right="20"/>
                      <w:jc w:val="right"/>
                      <w:rPr>
                        <w:rFonts w:ascii="KaiTi" w:eastAsia="KaiTi" w:hAnsi="KaiTi" w:cs="KaiTi"/>
                        <w:sz w:val="16"/>
                        <w:szCs w:val="16"/>
                      </w:rPr>
                    </w:pPr>
                    <w:r>
                      <w:rPr>
                        <w:rFonts w:ascii="Times New Roman" w:eastAsia="Times New Roman" w:hAnsi="Times New Roman" w:cs="Times New Roman"/>
                        <w:sz w:val="16"/>
                        <w:szCs w:val="16"/>
                      </w:rPr>
                      <w:t>iDeCo</w:t>
                    </w:r>
                    <w:r>
                      <w:rPr>
                        <w:rFonts w:ascii="Times New Roman" w:eastAsia="Times New Roman" w:hAnsi="Times New Roman" w:cs="Times New Roman"/>
                        <w:spacing w:val="26"/>
                        <w:sz w:val="16"/>
                        <w:szCs w:val="16"/>
                      </w:rPr>
                      <w:t xml:space="preserve"> </w:t>
                    </w:r>
                    <w:r>
                      <w:rPr>
                        <w:rFonts w:ascii="KaiTi" w:eastAsia="KaiTi" w:hAnsi="KaiTi" w:cs="KaiTi"/>
                        <w:spacing w:val="3"/>
                        <w:sz w:val="16"/>
                        <w:szCs w:val="16"/>
                      </w:rPr>
                      <w:t>(个人固定缴款型年金)</w:t>
                    </w:r>
                  </w:p>
                  <w:p>
                    <w:pPr>
                      <w:spacing w:before="246" w:line="230" w:lineRule="auto"/>
                      <w:ind w:left="4000" w:right="610"/>
                      <w:rPr>
                        <w:rFonts w:ascii="KaiTi" w:eastAsia="KaiTi" w:hAnsi="KaiTi" w:cs="KaiTi"/>
                        <w:sz w:val="16"/>
                        <w:szCs w:val="16"/>
                      </w:rPr>
                    </w:pPr>
                    <w:r>
                      <w:rPr>
                        <w:rFonts w:ascii="KaiTi" w:eastAsia="KaiTi" w:hAnsi="KaiTi" w:cs="KaiTi"/>
                        <w:spacing w:val="-2"/>
                        <w:sz w:val="16"/>
                        <w:szCs w:val="16"/>
                      </w:rPr>
                      <w:t>厚生</w:t>
                    </w:r>
                    <w:r>
                      <w:rPr>
                        <w:rFonts w:ascii="KaiTi" w:eastAsia="KaiTi" w:hAnsi="KaiTi" w:cs="KaiTi"/>
                        <w:sz w:val="16"/>
                        <w:szCs w:val="16"/>
                      </w:rPr>
                      <w:t xml:space="preserve">  </w:t>
                    </w:r>
                    <w:r>
                      <w:rPr>
                        <w:rFonts w:ascii="SimSun" w:eastAsia="SimSun" w:hAnsi="SimSun" w:cs="SimSun"/>
                        <w:spacing w:val="-4"/>
                        <w:sz w:val="16"/>
                        <w:szCs w:val="16"/>
                      </w:rPr>
                      <w:t>年金</w:t>
                    </w:r>
                    <w:r>
                      <w:rPr>
                        <w:rFonts w:ascii="SimSun" w:eastAsia="SimSun" w:hAnsi="SimSun" w:cs="SimSun"/>
                        <w:sz w:val="16"/>
                        <w:szCs w:val="16"/>
                      </w:rPr>
                      <w:t xml:space="preserve">  </w:t>
                    </w:r>
                    <w:r>
                      <w:rPr>
                        <w:rFonts w:ascii="KaiTi" w:eastAsia="KaiTi" w:hAnsi="KaiTi" w:cs="KaiTi"/>
                        <w:spacing w:val="-1"/>
                        <w:w w:val="99"/>
                        <w:sz w:val="16"/>
                        <w:szCs w:val="16"/>
                      </w:rPr>
                      <w:t>基金</w:t>
                    </w:r>
                    <w:r>
                      <w:rPr>
                        <w:rFonts w:ascii="KaiTi" w:eastAsia="KaiTi" w:hAnsi="KaiTi" w:cs="KaiTi"/>
                        <w:sz w:val="16"/>
                        <w:szCs w:val="16"/>
                      </w:rPr>
                      <w:t xml:space="preserve">  </w:t>
                    </w:r>
                    <w:r>
                      <w:rPr>
                        <w:rFonts w:ascii="KaiTi" w:eastAsia="KaiTi" w:hAnsi="KaiTi" w:cs="KaiTi"/>
                        <w:spacing w:val="4"/>
                        <w:sz w:val="16"/>
                        <w:szCs w:val="16"/>
                      </w:rPr>
                      <w:t>(</w:t>
                    </w:r>
                    <w:r>
                      <w:rPr>
                        <w:rFonts w:ascii="KaiTi" w:eastAsia="KaiTi" w:hAnsi="KaiTi" w:cs="KaiTi"/>
                        <w:spacing w:val="-31"/>
                        <w:sz w:val="16"/>
                        <w:szCs w:val="16"/>
                      </w:rPr>
                      <w:t xml:space="preserve"> </w:t>
                    </w:r>
                    <w:r>
                      <w:rPr>
                        <w:rFonts w:ascii="KaiTi" w:eastAsia="KaiTi" w:hAnsi="KaiTi" w:cs="KaiTi"/>
                        <w:spacing w:val="4"/>
                        <w:sz w:val="16"/>
                        <w:szCs w:val="16"/>
                      </w:rPr>
                      <w:t>停</w:t>
                    </w:r>
                    <w:r>
                      <w:rPr>
                        <w:rFonts w:ascii="KaiTi" w:eastAsia="KaiTi" w:hAnsi="KaiTi" w:cs="KaiTi"/>
                        <w:spacing w:val="-34"/>
                        <w:sz w:val="16"/>
                        <w:szCs w:val="16"/>
                      </w:rPr>
                      <w:t xml:space="preserve"> </w:t>
                    </w:r>
                    <w:r>
                      <w:rPr>
                        <w:rFonts w:ascii="KaiTi" w:eastAsia="KaiTi" w:hAnsi="KaiTi" w:cs="KaiTi"/>
                        <w:spacing w:val="4"/>
                        <w:sz w:val="16"/>
                        <w:szCs w:val="16"/>
                      </w:rPr>
                      <w:t>)</w:t>
                    </w:r>
                  </w:p>
                  <w:p>
                    <w:pPr>
                      <w:spacing w:before="190" w:line="225" w:lineRule="auto"/>
                      <w:ind w:left="2852"/>
                      <w:rPr>
                        <w:rFonts w:ascii="KaiTi" w:eastAsia="KaiTi" w:hAnsi="KaiTi" w:cs="KaiTi"/>
                        <w:sz w:val="16"/>
                        <w:szCs w:val="16"/>
                      </w:rPr>
                    </w:pPr>
                    <w:r>
                      <w:rPr>
                        <w:rFonts w:ascii="KaiTi" w:eastAsia="KaiTi" w:hAnsi="KaiTi" w:cs="KaiTi"/>
                        <w:b/>
                        <w:bCs/>
                        <w:spacing w:val="1"/>
                        <w:sz w:val="16"/>
                        <w:szCs w:val="16"/>
                      </w:rPr>
                      <w:t>一支柱：厚生年金</w:t>
                    </w:r>
                  </w:p>
                  <w:p>
                    <w:pPr>
                      <w:spacing w:before="19" w:line="228" w:lineRule="auto"/>
                      <w:ind w:left="20"/>
                      <w:rPr>
                        <w:rFonts w:ascii="KaiTi" w:eastAsia="KaiTi" w:hAnsi="KaiTi" w:cs="KaiTi"/>
                        <w:sz w:val="16"/>
                        <w:szCs w:val="16"/>
                      </w:rPr>
                    </w:pPr>
                    <w:r>
                      <w:rPr>
                        <w:rFonts w:ascii="KaiTi" w:eastAsia="KaiTi" w:hAnsi="KaiTi" w:cs="KaiTi"/>
                        <w:spacing w:val="-3"/>
                        <w:sz w:val="16"/>
                        <w:szCs w:val="16"/>
                      </w:rPr>
                      <w:t>一支柱</w:t>
                    </w:r>
                  </w:p>
                  <w:p>
                    <w:pPr>
                      <w:spacing w:before="58" w:line="225" w:lineRule="auto"/>
                      <w:ind w:left="3312"/>
                      <w:rPr>
                        <w:rFonts w:ascii="KaiTi" w:eastAsia="KaiTi" w:hAnsi="KaiTi" w:cs="KaiTi"/>
                        <w:sz w:val="16"/>
                        <w:szCs w:val="16"/>
                      </w:rPr>
                    </w:pPr>
                    <w:r>
                      <w:rPr>
                        <w:rFonts w:ascii="KaiTi" w:eastAsia="KaiTi" w:hAnsi="KaiTi" w:cs="KaiTi"/>
                        <w:b/>
                        <w:bCs/>
                        <w:spacing w:val="-3"/>
                        <w:sz w:val="16"/>
                        <w:szCs w:val="16"/>
                      </w:rPr>
                      <w:t>一支柱：国民年金</w:t>
                    </w:r>
                  </w:p>
                  <w:p>
                    <w:pPr>
                      <w:spacing w:line="251" w:lineRule="auto"/>
                      <w:rPr>
                        <w:rFonts w:ascii="Arial"/>
                        <w:sz w:val="21"/>
                      </w:rPr>
                    </w:pPr>
                  </w:p>
                  <w:p>
                    <w:pPr>
                      <w:spacing w:before="53" w:line="225" w:lineRule="auto"/>
                      <w:ind w:left="882"/>
                      <w:rPr>
                        <w:rFonts w:ascii="KaiTi" w:eastAsia="KaiTi" w:hAnsi="KaiTi" w:cs="KaiTi"/>
                        <w:sz w:val="16"/>
                        <w:szCs w:val="16"/>
                      </w:rPr>
                    </w:pPr>
                    <w:r>
                      <w:rPr>
                        <w:rFonts w:ascii="KaiTi" w:eastAsia="KaiTi" w:hAnsi="KaiTi" w:cs="KaiTi"/>
                        <w:b/>
                        <w:bCs/>
                        <w:spacing w:val="4"/>
                        <w:sz w:val="16"/>
                        <w:szCs w:val="16"/>
                      </w:rPr>
                      <w:t>1号被保险人</w:t>
                    </w:r>
                  </w:p>
                </w:txbxContent>
              </v:textbox>
            </v:shape>
            <v:shape id="_x0000_s1068" type="#_x0000_t202" style="width:635;height:615;left:3567;position:absolute;top:1236" filled="f" stroked="f">
              <o:lock v:ext="edit" aspectratio="f"/>
              <v:textbox style="layout-flow:vertical-ideographic" inset="0,0,0,0">
                <w:txbxContent>
                  <w:p>
                    <w:pPr>
                      <w:spacing w:before="19" w:line="227" w:lineRule="auto"/>
                      <w:ind w:left="20"/>
                      <w:rPr>
                        <w:rFonts w:ascii="KaiTi" w:eastAsia="KaiTi" w:hAnsi="KaiTi" w:cs="KaiTi"/>
                        <w:sz w:val="14"/>
                        <w:szCs w:val="14"/>
                      </w:rPr>
                    </w:pPr>
                    <w:r>
                      <w:rPr>
                        <w:rFonts w:ascii="KaiTi" w:eastAsia="KaiTi" w:hAnsi="KaiTi" w:cs="KaiTi"/>
                        <w:sz w:val="14"/>
                        <w:szCs w:val="14"/>
                      </w:rPr>
                      <w:t>品</w:t>
                    </w:r>
                    <w:r>
                      <w:rPr>
                        <w:rFonts w:ascii="KaiTi" w:eastAsia="KaiTi" w:hAnsi="KaiTi" w:cs="KaiTi"/>
                        <w:sz w:val="14"/>
                        <w:szCs w:val="14"/>
                      </w:rPr>
                      <w:t xml:space="preserve"> </w:t>
                    </w:r>
                    <w:r>
                      <w:rPr>
                        <w:rFonts w:ascii="KaiTi" w:eastAsia="KaiTi" w:hAnsi="KaiTi" w:cs="KaiTi"/>
                        <w:sz w:val="14"/>
                        <w:szCs w:val="14"/>
                      </w:rPr>
                      <w:t>年</w:t>
                    </w:r>
                    <w:r>
                      <w:rPr>
                        <w:rFonts w:ascii="KaiTi" w:eastAsia="KaiTi" w:hAnsi="KaiTi" w:cs="KaiTi"/>
                        <w:sz w:val="14"/>
                        <w:szCs w:val="14"/>
                      </w:rPr>
                      <w:t xml:space="preserve"> </w:t>
                    </w:r>
                    <w:r>
                      <w:rPr>
                        <w:rFonts w:ascii="KaiTi" w:eastAsia="KaiTi" w:hAnsi="KaiTi" w:cs="KaiTi"/>
                        <w:sz w:val="14"/>
                        <w:szCs w:val="14"/>
                      </w:rPr>
                      <w:t>金</w:t>
                    </w:r>
                  </w:p>
                  <w:p>
                    <w:pPr>
                      <w:spacing w:before="267" w:line="227" w:lineRule="auto"/>
                      <w:ind w:left="32"/>
                      <w:rPr>
                        <w:rFonts w:ascii="KaiTi" w:eastAsia="KaiTi" w:hAnsi="KaiTi" w:cs="KaiTi"/>
                        <w:sz w:val="14"/>
                        <w:szCs w:val="14"/>
                      </w:rPr>
                    </w:pPr>
                    <w:r>
                      <w:rPr>
                        <w:rFonts w:ascii="KaiTi" w:eastAsia="KaiTi" w:hAnsi="KaiTi" w:cs="KaiTi"/>
                        <w:sz w:val="14"/>
                        <w:szCs w:val="14"/>
                      </w:rPr>
                      <w:t>吕</w:t>
                    </w:r>
                    <w:r>
                      <w:rPr>
                        <w:rFonts w:ascii="KaiTi" w:eastAsia="KaiTi" w:hAnsi="KaiTi" w:cs="KaiTi"/>
                        <w:sz w:val="14"/>
                        <w:szCs w:val="14"/>
                      </w:rPr>
                      <w:t xml:space="preserve"> </w:t>
                    </w:r>
                    <w:r>
                      <w:rPr>
                        <w:rFonts w:ascii="KaiTi" w:eastAsia="KaiTi" w:hAnsi="KaiTi" w:cs="KaiTi"/>
                        <w:sz w:val="14"/>
                        <w:szCs w:val="14"/>
                      </w:rPr>
                      <w:t>年</w:t>
                    </w:r>
                    <w:r>
                      <w:rPr>
                        <w:rFonts w:ascii="KaiTi" w:eastAsia="KaiTi" w:hAnsi="KaiTi" w:cs="KaiTi"/>
                        <w:sz w:val="14"/>
                        <w:szCs w:val="14"/>
                      </w:rPr>
                      <w:t xml:space="preserve"> </w:t>
                    </w:r>
                    <w:r>
                      <w:rPr>
                        <w:rFonts w:ascii="KaiTi" w:eastAsia="KaiTi" w:hAnsi="KaiTi" w:cs="KaiTi"/>
                        <w:sz w:val="14"/>
                        <w:szCs w:val="14"/>
                      </w:rPr>
                      <w:t>金</w:t>
                    </w:r>
                  </w:p>
                </w:txbxContent>
              </v:textbox>
            </v:shape>
            <v:shape id="_x0000_s1069" type="#_x0000_t202" style="width:357;height:808;left:2903;position:absolute;top:1162" filled="f" stroked="f">
              <o:lock v:ext="edit" aspectratio="f"/>
              <v:textbox inset="0,0,0,0">
                <w:txbxContent>
                  <w:p>
                    <w:pPr>
                      <w:spacing w:before="20" w:line="225" w:lineRule="auto"/>
                      <w:ind w:left="20"/>
                      <w:rPr>
                        <w:rFonts w:ascii="KaiTi" w:eastAsia="KaiTi" w:hAnsi="KaiTi" w:cs="KaiTi"/>
                        <w:sz w:val="16"/>
                        <w:szCs w:val="16"/>
                      </w:rPr>
                    </w:pPr>
                    <w:r>
                      <w:rPr>
                        <w:rFonts w:ascii="KaiTi" w:eastAsia="KaiTi" w:hAnsi="KaiTi" w:cs="KaiTi"/>
                        <w:spacing w:val="-1"/>
                        <w:sz w:val="16"/>
                        <w:szCs w:val="16"/>
                      </w:rPr>
                      <w:t>中小</w:t>
                    </w:r>
                  </w:p>
                  <w:p>
                    <w:pPr>
                      <w:spacing w:before="36" w:line="201" w:lineRule="auto"/>
                      <w:ind w:left="20"/>
                      <w:rPr>
                        <w:rFonts w:ascii="KaiTi" w:eastAsia="KaiTi" w:hAnsi="KaiTi" w:cs="KaiTi"/>
                        <w:sz w:val="16"/>
                        <w:szCs w:val="16"/>
                      </w:rPr>
                    </w:pPr>
                    <w:r>
                      <w:rPr>
                        <w:rFonts w:ascii="KaiTi" w:eastAsia="KaiTi" w:hAnsi="KaiTi" w:cs="KaiTi"/>
                        <w:spacing w:val="-2"/>
                        <w:sz w:val="16"/>
                        <w:szCs w:val="16"/>
                      </w:rPr>
                      <w:t>企业</w:t>
                    </w:r>
                  </w:p>
                  <w:p>
                    <w:pPr>
                      <w:spacing w:line="232" w:lineRule="auto"/>
                      <w:ind w:left="20"/>
                      <w:rPr>
                        <w:rFonts w:ascii="KaiTi" w:eastAsia="KaiTi" w:hAnsi="KaiTi" w:cs="KaiTi"/>
                        <w:sz w:val="16"/>
                        <w:szCs w:val="16"/>
                      </w:rPr>
                    </w:pPr>
                    <w:r>
                      <w:rPr>
                        <w:rFonts w:ascii="KaiTi" w:eastAsia="KaiTi" w:hAnsi="KaiTi" w:cs="KaiTi"/>
                        <w:w w:val="98"/>
                        <w:sz w:val="16"/>
                        <w:szCs w:val="16"/>
                      </w:rPr>
                      <w:t>退休</w:t>
                    </w:r>
                  </w:p>
                  <w:p>
                    <w:pPr>
                      <w:spacing w:line="225" w:lineRule="auto"/>
                      <w:ind w:left="110"/>
                      <w:rPr>
                        <w:rFonts w:ascii="SimSun" w:eastAsia="SimSun" w:hAnsi="SimSun" w:cs="SimSun"/>
                        <w:sz w:val="16"/>
                        <w:szCs w:val="16"/>
                      </w:rPr>
                    </w:pPr>
                    <w:r>
                      <w:rPr>
                        <w:rFonts w:ascii="SimSun" w:eastAsia="SimSun" w:hAnsi="SimSun" w:cs="SimSun"/>
                        <w:sz w:val="16"/>
                        <w:szCs w:val="16"/>
                      </w:rPr>
                      <w:t>金</w:t>
                    </w:r>
                  </w:p>
                </w:txbxContent>
              </v:textbox>
            </v:shape>
            <v:shape id="_x0000_s1070" type="#_x0000_t202" style="width:469;height:600;left:4933;position:absolute;top:1236" filled="f" stroked="f">
              <o:lock v:ext="edit" aspectratio="f"/>
              <v:textbox inset="0,0,0,0">
                <w:txbxContent>
                  <w:p>
                    <w:pPr>
                      <w:spacing w:before="21" w:line="228" w:lineRule="auto"/>
                      <w:ind w:left="40" w:right="20" w:hanging="20"/>
                      <w:rPr>
                        <w:rFonts w:ascii="KaiTi" w:eastAsia="KaiTi" w:hAnsi="KaiTi" w:cs="KaiTi"/>
                        <w:sz w:val="16"/>
                        <w:szCs w:val="16"/>
                      </w:rPr>
                    </w:pPr>
                    <w:r>
                      <w:rPr>
                        <w:rFonts w:ascii="KaiTi" w:eastAsia="KaiTi" w:hAnsi="KaiTi" w:cs="KaiTi"/>
                        <w:spacing w:val="-5"/>
                        <w:sz w:val="16"/>
                        <w:szCs w:val="16"/>
                      </w:rPr>
                      <w:t>适格</w:t>
                    </w:r>
                    <w:r>
                      <w:rPr>
                        <w:rFonts w:ascii="KaiTi" w:eastAsia="KaiTi" w:hAnsi="KaiTi" w:cs="KaiTi"/>
                        <w:sz w:val="16"/>
                        <w:szCs w:val="16"/>
                      </w:rPr>
                      <w:t xml:space="preserve">  </w:t>
                    </w:r>
                    <w:r>
                      <w:rPr>
                        <w:rFonts w:ascii="KaiTi" w:eastAsia="KaiTi" w:hAnsi="KaiTi" w:cs="KaiTi"/>
                        <w:spacing w:val="-3"/>
                        <w:sz w:val="16"/>
                        <w:szCs w:val="16"/>
                      </w:rPr>
                      <w:t>年金</w:t>
                    </w:r>
                    <w:r>
                      <w:rPr>
                        <w:rFonts w:ascii="KaiTi" w:eastAsia="KaiTi" w:hAnsi="KaiTi" w:cs="KaiTi"/>
                        <w:sz w:val="16"/>
                        <w:szCs w:val="16"/>
                      </w:rPr>
                      <w:t xml:space="preserve">  </w:t>
                    </w:r>
                    <w:r>
                      <w:rPr>
                        <w:rFonts w:ascii="KaiTi" w:eastAsia="KaiTi" w:hAnsi="KaiTi" w:cs="KaiTi"/>
                        <w:spacing w:val="1"/>
                        <w:sz w:val="16"/>
                        <w:szCs w:val="16"/>
                      </w:rPr>
                      <w:t>(</w:t>
                    </w:r>
                    <w:r>
                      <w:rPr>
                        <w:rFonts w:ascii="KaiTi" w:eastAsia="KaiTi" w:hAnsi="KaiTi" w:cs="KaiTi"/>
                        <w:spacing w:val="-37"/>
                        <w:sz w:val="16"/>
                        <w:szCs w:val="16"/>
                      </w:rPr>
                      <w:t xml:space="preserve"> </w:t>
                    </w:r>
                    <w:r>
                      <w:rPr>
                        <w:rFonts w:ascii="KaiTi" w:eastAsia="KaiTi" w:hAnsi="KaiTi" w:cs="KaiTi"/>
                        <w:spacing w:val="1"/>
                        <w:sz w:val="16"/>
                        <w:szCs w:val="16"/>
                      </w:rPr>
                      <w:t>停</w:t>
                    </w:r>
                    <w:r>
                      <w:rPr>
                        <w:rFonts w:ascii="KaiTi" w:eastAsia="KaiTi" w:hAnsi="KaiTi" w:cs="KaiTi"/>
                        <w:spacing w:val="-39"/>
                        <w:sz w:val="16"/>
                        <w:szCs w:val="16"/>
                      </w:rPr>
                      <w:t xml:space="preserve"> </w:t>
                    </w:r>
                    <w:r>
                      <w:rPr>
                        <w:rFonts w:ascii="KaiTi" w:eastAsia="KaiTi" w:hAnsi="KaiTi" w:cs="KaiTi"/>
                        <w:spacing w:val="1"/>
                        <w:sz w:val="16"/>
                        <w:szCs w:val="16"/>
                      </w:rPr>
                      <w:t>)</w:t>
                    </w:r>
                  </w:p>
                </w:txbxContent>
              </v:textbox>
            </v:shape>
            <v:shape id="_x0000_s1071" type="#_x0000_t202" style="width:370;height:602;left:1833;position:absolute;top:1444" filled="f" stroked="f">
              <o:lock v:ext="edit" aspectratio="f"/>
              <v:textbox inset="0,0,0,0">
                <w:txbxContent>
                  <w:p>
                    <w:pPr>
                      <w:spacing w:before="20" w:line="229" w:lineRule="auto"/>
                      <w:ind w:left="20" w:right="20"/>
                      <w:jc w:val="both"/>
                      <w:rPr>
                        <w:rFonts w:ascii="KaiTi" w:eastAsia="KaiTi" w:hAnsi="KaiTi" w:cs="KaiTi"/>
                        <w:sz w:val="16"/>
                        <w:szCs w:val="16"/>
                      </w:rPr>
                    </w:pPr>
                    <w:r>
                      <w:rPr>
                        <w:rFonts w:ascii="KaiTi" w:eastAsia="KaiTi" w:hAnsi="KaiTi" w:cs="KaiTi"/>
                        <w:spacing w:val="5"/>
                        <w:sz w:val="16"/>
                        <w:szCs w:val="16"/>
                      </w:rPr>
                      <w:t>国民</w:t>
                    </w:r>
                    <w:r>
                      <w:rPr>
                        <w:rFonts w:ascii="KaiTi" w:eastAsia="KaiTi" w:hAnsi="KaiTi" w:cs="KaiTi"/>
                        <w:sz w:val="16"/>
                        <w:szCs w:val="16"/>
                      </w:rPr>
                      <w:t xml:space="preserve"> </w:t>
                    </w:r>
                    <w:r>
                      <w:rPr>
                        <w:rFonts w:ascii="KaiTi" w:eastAsia="KaiTi" w:hAnsi="KaiTi" w:cs="KaiTi"/>
                        <w:spacing w:val="-3"/>
                        <w:sz w:val="16"/>
                        <w:szCs w:val="16"/>
                      </w:rPr>
                      <w:t>年金</w:t>
                    </w:r>
                    <w:r>
                      <w:rPr>
                        <w:rFonts w:ascii="KaiTi" w:eastAsia="KaiTi" w:hAnsi="KaiTi" w:cs="KaiTi"/>
                        <w:sz w:val="16"/>
                        <w:szCs w:val="16"/>
                      </w:rPr>
                      <w:t xml:space="preserve"> </w:t>
                    </w:r>
                    <w:r>
                      <w:rPr>
                        <w:rFonts w:ascii="KaiTi" w:eastAsia="KaiTi" w:hAnsi="KaiTi" w:cs="KaiTi"/>
                        <w:spacing w:val="-1"/>
                        <w:sz w:val="16"/>
                        <w:szCs w:val="16"/>
                      </w:rPr>
                      <w:t>基金</w:t>
                    </w:r>
                  </w:p>
                </w:txbxContent>
              </v:textbox>
            </v:shape>
            <v:shape id="_x0000_s1072" type="#_x0000_t202" style="width:945;height:207;left:3405;position:absolute;top:3100" filled="f" stroked="f">
              <o:lock v:ext="edit" aspectratio="f"/>
              <v:textbox inset="0,0,0,0">
                <w:txbxContent>
                  <w:p>
                    <w:pPr>
                      <w:spacing w:before="20" w:line="225" w:lineRule="auto"/>
                      <w:ind w:left="20"/>
                      <w:rPr>
                        <w:rFonts w:ascii="KaiTi" w:eastAsia="KaiTi" w:hAnsi="KaiTi" w:cs="KaiTi"/>
                        <w:sz w:val="16"/>
                        <w:szCs w:val="16"/>
                      </w:rPr>
                    </w:pPr>
                    <w:r>
                      <w:rPr>
                        <w:rFonts w:ascii="KaiTi" w:eastAsia="KaiTi" w:hAnsi="KaiTi" w:cs="KaiTi"/>
                        <w:b/>
                        <w:bCs/>
                        <w:spacing w:val="2"/>
                        <w:sz w:val="16"/>
                        <w:szCs w:val="16"/>
                      </w:rPr>
                      <w:t>2号被保险人</w:t>
                    </w:r>
                  </w:p>
                </w:txbxContent>
              </v:textbox>
            </v:shape>
            <v:shape id="_x0000_s1073" type="#_x0000_t202" style="width:945;height:207;left:6015;position:absolute;top:3110" filled="f" stroked="f">
              <o:lock v:ext="edit" aspectratio="f"/>
              <v:textbox inset="0,0,0,0">
                <w:txbxContent>
                  <w:p>
                    <w:pPr>
                      <w:spacing w:before="20" w:line="225" w:lineRule="auto"/>
                      <w:ind w:left="20"/>
                      <w:rPr>
                        <w:rFonts w:ascii="KaiTi" w:eastAsia="KaiTi" w:hAnsi="KaiTi" w:cs="KaiTi"/>
                        <w:sz w:val="16"/>
                        <w:szCs w:val="16"/>
                      </w:rPr>
                    </w:pPr>
                    <w:r>
                      <w:rPr>
                        <w:rFonts w:ascii="KaiTi" w:eastAsia="KaiTi" w:hAnsi="KaiTi" w:cs="KaiTi"/>
                        <w:b/>
                        <w:bCs/>
                        <w:spacing w:val="2"/>
                        <w:sz w:val="16"/>
                        <w:szCs w:val="16"/>
                      </w:rPr>
                      <w:t>3号被保险人</w:t>
                    </w:r>
                  </w:p>
                </w:txbxContent>
              </v:textbox>
            </v:shape>
            <v:shape id="_x0000_s1074" type="#_x0000_t75" style="width:7624;height:11;position:absolute;top:-9" filled="f" stroked="f">
              <v:imagedata r:id="rId96" o:title=""/>
            </v:shape>
            <v:shape id="_x0000_s1075" type="#_x0000_t202" style="width:514;height:207;left:413;position:absolute;top:1414" filled="f" stroked="f">
              <o:lock v:ext="edit" aspectratio="f"/>
              <v:textbox inset="0,0,0,0">
                <w:txbxContent>
                  <w:p>
                    <w:pPr>
                      <w:spacing w:before="19" w:line="228" w:lineRule="auto"/>
                      <w:ind w:left="20"/>
                      <w:rPr>
                        <w:rFonts w:ascii="KaiTi" w:eastAsia="KaiTi" w:hAnsi="KaiTi" w:cs="KaiTi"/>
                        <w:sz w:val="16"/>
                        <w:szCs w:val="16"/>
                      </w:rPr>
                    </w:pPr>
                    <w:r>
                      <w:rPr>
                        <w:rFonts w:ascii="KaiTi" w:eastAsia="KaiTi" w:hAnsi="KaiTi" w:cs="KaiTi"/>
                        <w:spacing w:val="-2"/>
                        <w:sz w:val="16"/>
                        <w:szCs w:val="16"/>
                      </w:rPr>
                      <w:t>二支柱</w:t>
                    </w:r>
                  </w:p>
                </w:txbxContent>
              </v:textbox>
            </v:shape>
            <v:shape id="_x0000_s1076" type="#_x0000_t75" style="width:7690;height:11;left:23;position:absolute;top:3487" filled="f" stroked="f">
              <v:imagedata r:id="rId97" o:title=""/>
            </v:shape>
            <v:shape id="_x0000_s1077" type="#_x0000_t202" style="width:181;height:590;left:2447;position:absolute;top:1266" filled="f" stroked="f">
              <o:lock v:ext="edit" aspectratio="f"/>
              <v:textbox style="layout-flow:vertical-ideographic" inset="0,0,0,0">
                <w:txbxContent>
                  <w:p>
                    <w:pPr>
                      <w:spacing w:before="19" w:line="220" w:lineRule="auto"/>
                      <w:ind w:left="20"/>
                      <w:rPr>
                        <w:rFonts w:ascii="SimSun" w:eastAsia="SimSun" w:hAnsi="SimSun" w:cs="SimSun"/>
                        <w:sz w:val="14"/>
                        <w:szCs w:val="14"/>
                      </w:rPr>
                    </w:pPr>
                    <w:r>
                      <w:rPr>
                        <w:rFonts w:ascii="SimSun" w:eastAsia="SimSun" w:hAnsi="SimSun" w:cs="SimSun"/>
                        <w:sz w:val="14"/>
                        <w:szCs w:val="14"/>
                      </w:rPr>
                      <w:t>职</w:t>
                    </w:r>
                    <w:r>
                      <w:rPr>
                        <w:rFonts w:ascii="SimSun" w:eastAsia="SimSun" w:hAnsi="SimSun" w:cs="SimSun"/>
                        <w:spacing w:val="-6"/>
                        <w:sz w:val="14"/>
                        <w:szCs w:val="14"/>
                      </w:rPr>
                      <w:t xml:space="preserve"> </w:t>
                    </w:r>
                    <w:r>
                      <w:rPr>
                        <w:rFonts w:ascii="SimSun" w:eastAsia="SimSun" w:hAnsi="SimSun" w:cs="SimSun"/>
                        <w:sz w:val="14"/>
                        <w:szCs w:val="14"/>
                      </w:rPr>
                      <w:t>退</w:t>
                    </w:r>
                    <w:r>
                      <w:rPr>
                        <w:rFonts w:ascii="SimSun" w:eastAsia="SimSun" w:hAnsi="SimSun" w:cs="SimSun"/>
                        <w:spacing w:val="-6"/>
                        <w:sz w:val="14"/>
                        <w:szCs w:val="14"/>
                      </w:rPr>
                      <w:t xml:space="preserve"> </w:t>
                    </w:r>
                    <w:r>
                      <w:rPr>
                        <w:rFonts w:ascii="SimSun" w:eastAsia="SimSun" w:hAnsi="SimSun" w:cs="SimSun"/>
                        <w:sz w:val="14"/>
                        <w:szCs w:val="14"/>
                      </w:rPr>
                      <w:t>金</w:t>
                    </w:r>
                  </w:p>
                </w:txbxContent>
              </v:textbox>
            </v:shape>
            <w10:wrap type="none"/>
          </v:group>
        </w:pict>
      </w:r>
    </w:p>
    <w:p>
      <w:pPr>
        <w:pStyle w:val="BodyText"/>
        <w:spacing w:before="94" w:line="224" w:lineRule="auto"/>
        <w:ind w:left="2800"/>
        <w:rPr>
          <w:sz w:val="16"/>
          <w:szCs w:val="16"/>
        </w:rPr>
      </w:pPr>
      <w:r>
        <w:rPr>
          <w:spacing w:val="18"/>
          <w:sz w:val="16"/>
          <w:szCs w:val="16"/>
        </w:rPr>
        <w:t>资料来源：日本厚生劳动省、开源证券研究所</w:t>
      </w:r>
    </w:p>
    <w:p>
      <w:pPr>
        <w:pStyle w:val="BodyText"/>
        <w:spacing w:before="72" w:line="354" w:lineRule="exact"/>
        <w:ind w:left="2800"/>
        <w:rPr>
          <w:sz w:val="16"/>
          <w:szCs w:val="16"/>
        </w:rPr>
      </w:pPr>
      <w:r>
        <w:rPr>
          <w:spacing w:val="19"/>
          <w:position w:val="15"/>
          <w:sz w:val="16"/>
          <w:szCs w:val="16"/>
        </w:rPr>
        <w:t>注</w:t>
      </w:r>
      <w:r>
        <w:rPr>
          <w:spacing w:val="-37"/>
          <w:position w:val="15"/>
          <w:sz w:val="16"/>
          <w:szCs w:val="16"/>
        </w:rPr>
        <w:t xml:space="preserve"> </w:t>
      </w:r>
      <w:r>
        <w:rPr>
          <w:spacing w:val="19"/>
          <w:position w:val="15"/>
          <w:sz w:val="16"/>
          <w:szCs w:val="16"/>
        </w:rPr>
        <w:t>：</w:t>
      </w:r>
      <w:r>
        <w:rPr>
          <w:spacing w:val="-22"/>
          <w:position w:val="15"/>
          <w:sz w:val="16"/>
          <w:szCs w:val="16"/>
        </w:rPr>
        <w:t xml:space="preserve"> </w:t>
      </w:r>
      <w:r>
        <w:rPr>
          <w:spacing w:val="19"/>
          <w:position w:val="15"/>
          <w:sz w:val="16"/>
          <w:szCs w:val="16"/>
        </w:rPr>
        <w:t>1</w:t>
      </w:r>
      <w:r>
        <w:rPr>
          <w:spacing w:val="-32"/>
          <w:position w:val="15"/>
          <w:sz w:val="16"/>
          <w:szCs w:val="16"/>
        </w:rPr>
        <w:t xml:space="preserve"> </w:t>
      </w:r>
      <w:r>
        <w:rPr>
          <w:spacing w:val="19"/>
          <w:position w:val="15"/>
          <w:sz w:val="16"/>
          <w:szCs w:val="16"/>
        </w:rPr>
        <w:t>号参与者为“农民、学生、个体工商户等自营业者”,2号参与</w:t>
      </w:r>
      <w:r>
        <w:rPr>
          <w:spacing w:val="18"/>
          <w:position w:val="15"/>
          <w:sz w:val="16"/>
          <w:szCs w:val="16"/>
        </w:rPr>
        <w:t>者为雇员和公务员，3</w:t>
      </w:r>
      <w:r>
        <w:rPr>
          <w:spacing w:val="18"/>
          <w:position w:val="15"/>
          <w:sz w:val="16"/>
          <w:szCs w:val="16"/>
        </w:rPr>
        <w:t xml:space="preserve"> </w:t>
      </w:r>
      <w:r>
        <w:rPr>
          <w:spacing w:val="18"/>
          <w:position w:val="15"/>
          <w:sz w:val="16"/>
          <w:szCs w:val="16"/>
        </w:rPr>
        <w:t>号为</w:t>
      </w:r>
    </w:p>
    <w:p>
      <w:pPr>
        <w:pStyle w:val="BodyText"/>
        <w:spacing w:line="224" w:lineRule="auto"/>
        <w:ind w:left="2800"/>
        <w:rPr>
          <w:sz w:val="16"/>
          <w:szCs w:val="16"/>
        </w:rPr>
      </w:pPr>
      <w:r>
        <w:rPr>
          <w:spacing w:val="15"/>
          <w:sz w:val="16"/>
          <w:szCs w:val="16"/>
        </w:rPr>
        <w:t>20-60岁的被扶养配偶。</w:t>
      </w:r>
    </w:p>
    <w:p>
      <w:pPr>
        <w:spacing w:line="328" w:lineRule="auto"/>
        <w:rPr>
          <w:rFonts w:ascii="Arial"/>
          <w:sz w:val="21"/>
        </w:rPr>
      </w:pPr>
    </w:p>
    <w:p>
      <w:pPr>
        <w:pStyle w:val="BodyText"/>
        <w:spacing w:before="69" w:line="220" w:lineRule="auto"/>
        <w:ind w:left="2803"/>
      </w:pPr>
      <w:r>
        <w:rPr>
          <w:b/>
          <w:bCs/>
          <w:spacing w:val="25"/>
          <w:u w:val="single" w:color="auto"/>
        </w:rPr>
        <w:t>图20:2022年</w:t>
      </w:r>
      <w:r>
        <w:rPr>
          <w:b/>
          <w:bCs/>
          <w:u w:val="single" w:color="auto"/>
        </w:rPr>
        <w:t>GP</w:t>
      </w:r>
      <w:r>
        <w:rPr>
          <w:spacing w:val="-24"/>
        </w:rPr>
        <w:t xml:space="preserve"> </w:t>
      </w:r>
      <w:r>
        <w:rPr>
          <w:b/>
          <w:bCs/>
          <w:u w:val="single" w:color="auto"/>
        </w:rPr>
        <w:t>IF</w:t>
      </w:r>
      <w:r>
        <w:rPr>
          <w:b/>
          <w:bCs/>
          <w:spacing w:val="25"/>
          <w:u w:val="single" w:color="auto"/>
        </w:rPr>
        <w:t>受托资管规模200万亿日元，2013-2022复合增速5%</w:t>
      </w:r>
      <w:r>
        <w:rPr>
          <w:u w:val="single" w:color="auto"/>
        </w:rPr>
        <w:t xml:space="preserve">   </w:t>
      </w:r>
    </w:p>
    <w:p>
      <w:pPr>
        <w:spacing w:before="32" w:line="3320" w:lineRule="exact"/>
        <w:ind w:firstLine="2949"/>
      </w:pPr>
      <w:r>
        <w:rPr>
          <w:position w:val="-66"/>
        </w:rPr>
        <w:drawing>
          <wp:inline distT="0" distB="0" distL="0" distR="0">
            <wp:extent cx="4756200" cy="2108203"/>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xmlns:r="http://schemas.openxmlformats.org/officeDocument/2006/relationships" r:embed="rId98"/>
                    <a:stretch>
                      <a:fillRect/>
                    </a:stretch>
                  </pic:blipFill>
                  <pic:spPr>
                    <a:xfrm>
                      <a:off x="0" y="0"/>
                      <a:ext cx="4756200" cy="2108203"/>
                    </a:xfrm>
                    <a:prstGeom prst="rect">
                      <a:avLst/>
                    </a:prstGeom>
                  </pic:spPr>
                </pic:pic>
              </a:graphicData>
            </a:graphic>
          </wp:inline>
        </w:drawing>
      </w:r>
    </w:p>
    <w:p>
      <w:pPr>
        <w:pStyle w:val="BodyText"/>
        <w:spacing w:before="175" w:line="224" w:lineRule="auto"/>
        <w:ind w:left="2800"/>
        <w:rPr>
          <w:sz w:val="16"/>
          <w:szCs w:val="16"/>
        </w:rPr>
      </w:pPr>
      <w:r>
        <w:rPr>
          <w:spacing w:val="7"/>
          <w:sz w:val="16"/>
          <w:szCs w:val="16"/>
        </w:rPr>
        <w:t>数据来源：</w:t>
      </w:r>
      <w:r>
        <w:rPr>
          <w:spacing w:val="39"/>
          <w:sz w:val="16"/>
          <w:szCs w:val="16"/>
        </w:rPr>
        <w:t xml:space="preserve"> </w:t>
      </w:r>
      <w:r>
        <w:rPr>
          <w:rFonts w:ascii="Times New Roman" w:eastAsia="Times New Roman" w:hAnsi="Times New Roman" w:cs="Times New Roman"/>
          <w:sz w:val="16"/>
          <w:szCs w:val="16"/>
        </w:rPr>
        <w:t>GPIF</w:t>
      </w:r>
      <w:r>
        <w:rPr>
          <w:rFonts w:ascii="Times New Roman" w:eastAsia="Times New Roman" w:hAnsi="Times New Roman" w:cs="Times New Roman"/>
          <w:spacing w:val="-23"/>
          <w:sz w:val="16"/>
          <w:szCs w:val="16"/>
        </w:rPr>
        <w:t xml:space="preserve"> </w:t>
      </w:r>
      <w:r>
        <w:rPr>
          <w:rFonts w:ascii="SimSun" w:eastAsia="SimSun" w:hAnsi="SimSun" w:cs="SimSun"/>
          <w:spacing w:val="7"/>
          <w:sz w:val="16"/>
          <w:szCs w:val="16"/>
        </w:rPr>
        <w:t>、</w:t>
      </w:r>
      <w:r>
        <w:rPr>
          <w:rFonts w:ascii="SimSun" w:eastAsia="SimSun" w:hAnsi="SimSun" w:cs="SimSun"/>
          <w:spacing w:val="-11"/>
          <w:sz w:val="16"/>
          <w:szCs w:val="16"/>
        </w:rPr>
        <w:t xml:space="preserve"> </w:t>
      </w:r>
      <w:r>
        <w:rPr>
          <w:spacing w:val="7"/>
          <w:sz w:val="16"/>
          <w:szCs w:val="16"/>
        </w:rPr>
        <w:t>开源证券研究所</w:t>
      </w:r>
    </w:p>
    <w:p>
      <w:pPr>
        <w:spacing w:line="224" w:lineRule="auto"/>
        <w:rPr>
          <w:sz w:val="16"/>
          <w:szCs w:val="16"/>
        </w:rPr>
        <w:sectPr>
          <w:footerReference w:type="default" r:id="rId99"/>
          <w:pgSz w:w="11910" w:h="16840"/>
          <w:pgMar w:top="156" w:right="660" w:bottom="1129" w:left="719" w:header="0" w:footer="866" w:gutter="0"/>
          <w:pgNumType w:start="56"/>
          <w:cols w:space="708"/>
        </w:sectPr>
      </w:pPr>
    </w:p>
    <w:p>
      <w:pPr>
        <w:spacing w:before="153" w:line="226" w:lineRule="auto"/>
        <w:ind w:left="170"/>
        <w:rPr>
          <w:rFonts w:ascii="YouYuan" w:eastAsia="YouYuan" w:hAnsi="YouYuan" w:cs="YouYuan"/>
          <w:sz w:val="60"/>
          <w:szCs w:val="60"/>
        </w:rPr>
      </w:pPr>
      <w:r>
        <w:drawing>
          <wp:anchor distT="0" distB="0" distL="0" distR="0" simplePos="0" relativeHeight="251706368" behindDoc="0" locked="0" layoutInCell="0" allowOverlap="1">
            <wp:simplePos x="0" y="0"/>
            <wp:positionH relativeFrom="page">
              <wp:posOffset>2254258</wp:posOffset>
            </wp:positionH>
            <wp:positionV relativeFrom="page">
              <wp:posOffset>5480025</wp:posOffset>
            </wp:positionV>
            <wp:extent cx="4876829" cy="6350"/>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xmlns:r="http://schemas.openxmlformats.org/officeDocument/2006/relationships" r:embed="rId100"/>
                    <a:stretch>
                      <a:fillRect/>
                    </a:stretch>
                  </pic:blipFill>
                  <pic:spPr>
                    <a:xfrm>
                      <a:off x="0" y="0"/>
                      <a:ext cx="4876829" cy="6350"/>
                    </a:xfrm>
                    <a:prstGeom prst="rect">
                      <a:avLst/>
                    </a:prstGeom>
                  </pic:spPr>
                </pic:pic>
              </a:graphicData>
            </a:graphic>
          </wp:anchor>
        </w:drawing>
      </w:r>
      <w:r>
        <w:drawing>
          <wp:anchor distT="0" distB="0" distL="0" distR="0" simplePos="0" relativeHeight="251705344" behindDoc="0" locked="0" layoutInCell="0" allowOverlap="1">
            <wp:simplePos x="0" y="0"/>
            <wp:positionH relativeFrom="page">
              <wp:posOffset>2247906</wp:posOffset>
            </wp:positionH>
            <wp:positionV relativeFrom="page">
              <wp:posOffset>9455104</wp:posOffset>
            </wp:positionV>
            <wp:extent cx="4883181" cy="6416"/>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xmlns:r="http://schemas.openxmlformats.org/officeDocument/2006/relationships" r:embed="rId101"/>
                    <a:stretch>
                      <a:fillRect/>
                    </a:stretch>
                  </pic:blipFill>
                  <pic:spPr>
                    <a:xfrm>
                      <a:off x="0" y="0"/>
                      <a:ext cx="4883181" cy="6416"/>
                    </a:xfrm>
                    <a:prstGeom prst="rect">
                      <a:avLst/>
                    </a:prstGeom>
                  </pic:spPr>
                </pic:pic>
              </a:graphicData>
            </a:graphic>
          </wp:anchor>
        </w:drawing>
      </w:r>
      <w:bookmarkStart w:id="34" w:name="bookmark38"/>
      <w:bookmarkEnd w:id="34"/>
      <w:bookmarkStart w:id="35" w:name="bookmark37"/>
      <w:bookmarkEnd w:id="35"/>
      <w:r>
        <w:rPr>
          <w:rFonts w:ascii="YouYuan" w:eastAsia="YouYuan" w:hAnsi="YouYuan" w:cs="YouYuan"/>
          <w:position w:val="-21"/>
          <w:sz w:val="60"/>
          <w:szCs w:val="60"/>
        </w:rPr>
        <w:drawing>
          <wp:inline distT="0" distB="0" distL="0" distR="0">
            <wp:extent cx="577801" cy="488901"/>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37" w:line="229" w:lineRule="auto"/>
        <w:ind w:left="8461"/>
        <w:rPr>
          <w:sz w:val="22"/>
          <w:szCs w:val="22"/>
        </w:rPr>
      </w:pPr>
      <w:r>
        <w:drawing>
          <wp:anchor distT="0" distB="0" distL="0" distR="0" simplePos="0" relativeHeight="251707392" behindDoc="0" locked="0" layoutInCell="1" allowOverlap="1">
            <wp:simplePos x="0" y="0"/>
            <wp:positionH relativeFrom="column">
              <wp:posOffset>19057</wp:posOffset>
            </wp:positionH>
            <wp:positionV relativeFrom="paragraph">
              <wp:posOffset>156165</wp:posOffset>
            </wp:positionV>
            <wp:extent cx="6556661" cy="6984"/>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xmlns:r="http://schemas.openxmlformats.org/officeDocument/2006/relationships" r:embed="rId102"/>
                    <a:stretch>
                      <a:fillRect/>
                    </a:stretch>
                  </pic:blipFill>
                  <pic:spPr>
                    <a:xfrm>
                      <a:off x="0" y="0"/>
                      <a:ext cx="6556661" cy="6984"/>
                    </a:xfrm>
                    <a:prstGeom prst="rect">
                      <a:avLst/>
                    </a:prstGeom>
                  </pic:spPr>
                </pic:pic>
              </a:graphicData>
            </a:graphic>
          </wp:anchor>
        </w:drawing>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6"/>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pStyle w:val="BodyText"/>
        <w:spacing w:before="117" w:line="220" w:lineRule="auto"/>
        <w:ind w:left="2832"/>
        <w:rPr>
          <w:sz w:val="20"/>
          <w:szCs w:val="20"/>
        </w:rPr>
      </w:pPr>
      <w:r>
        <w:rPr>
          <w:b/>
          <w:bCs/>
          <w:color w:val="000080"/>
          <w:spacing w:val="13"/>
          <w:sz w:val="20"/>
          <w:szCs w:val="20"/>
          <w:u w:val="single" w:color="auto"/>
        </w:rPr>
        <w:t>图21:</w:t>
      </w:r>
      <w:r>
        <w:rPr>
          <w:b/>
          <w:bCs/>
          <w:color w:val="000080"/>
          <w:sz w:val="20"/>
          <w:szCs w:val="20"/>
          <w:u w:val="single" w:color="auto"/>
        </w:rPr>
        <w:t>GP</w:t>
      </w:r>
      <w:r>
        <w:rPr>
          <w:color w:val="000080"/>
          <w:spacing w:val="-44"/>
          <w:sz w:val="20"/>
          <w:szCs w:val="20"/>
        </w:rPr>
        <w:t xml:space="preserve"> </w:t>
      </w:r>
      <w:r>
        <w:rPr>
          <w:b/>
          <w:bCs/>
          <w:color w:val="000080"/>
          <w:sz w:val="20"/>
          <w:szCs w:val="20"/>
          <w:u w:val="single" w:color="auto"/>
        </w:rPr>
        <w:t>IF</w:t>
      </w:r>
      <w:r>
        <w:rPr>
          <w:b/>
          <w:bCs/>
          <w:color w:val="000080"/>
          <w:spacing w:val="13"/>
          <w:sz w:val="20"/>
          <w:szCs w:val="20"/>
          <w:u w:val="single" w:color="auto"/>
        </w:rPr>
        <w:t>负责管理和投资厚生劳动省托的储备资产，包括国民年金</w:t>
      </w:r>
      <w:r>
        <w:rPr>
          <w:b/>
          <w:bCs/>
          <w:color w:val="000080"/>
          <w:spacing w:val="12"/>
          <w:sz w:val="20"/>
          <w:szCs w:val="20"/>
          <w:u w:val="single" w:color="auto"/>
        </w:rPr>
        <w:t>和厚生年金</w:t>
      </w:r>
    </w:p>
    <w:p>
      <w:pPr>
        <w:pStyle w:val="BodyText"/>
        <w:spacing w:before="84" w:line="6550" w:lineRule="exact"/>
        <w:ind w:firstLine="3360"/>
      </w:pPr>
      <w:r>
        <w:rPr>
          <w:position w:val="-130"/>
        </w:rPr>
        <w:pict>
          <v:group id="_x0000_i1078" style="width:325.05pt;height:327.5pt;mso-position-horizontal-relative:char;mso-position-vertical-relative:line" coordorigin="0,0" coordsize="6500,6550" filled="f" stroked="f">
            <v:shape id="_x0000_s1079" type="#_x0000_t75" style="width:6500;height:6550;position:absolute" filled="f" stroked="f">
              <v:imagedata r:id="rId103" o:title=""/>
            </v:shape>
            <v:shape id="_x0000_s1080" type="#_x0000_t202" style="width:5038;height:6137;left:119;position:absolute;top:126" filled="f" stroked="f">
              <o:lock v:ext="edit" aspectratio="f"/>
              <v:textbox inset="0,0,0,0">
                <w:txbxContent>
                  <w:p>
                    <w:pPr>
                      <w:spacing w:before="20" w:line="233" w:lineRule="auto"/>
                      <w:ind w:left="890"/>
                      <w:rPr>
                        <w:rFonts w:ascii="STXinwei" w:eastAsia="STXinwei" w:hAnsi="STXinwei" w:cs="STXinwei"/>
                        <w:sz w:val="11"/>
                        <w:szCs w:val="11"/>
                      </w:rPr>
                    </w:pPr>
                    <w:r>
                      <w:rPr>
                        <w:rFonts w:ascii="STXinwei" w:eastAsia="STXinwei" w:hAnsi="STXinwei" w:cs="STXinwei"/>
                        <w:spacing w:val="8"/>
                        <w:sz w:val="11"/>
                        <w:szCs w:val="11"/>
                      </w:rPr>
                      <w:t>国成</w:t>
                    </w:r>
                  </w:p>
                  <w:p>
                    <w:pPr>
                      <w:spacing w:before="126" w:line="231" w:lineRule="auto"/>
                      <w:ind w:left="100"/>
                      <w:rPr>
                        <w:rFonts w:ascii="STXinwei" w:eastAsia="STXinwei" w:hAnsi="STXinwei" w:cs="STXinwei"/>
                        <w:sz w:val="11"/>
                        <w:szCs w:val="11"/>
                      </w:rPr>
                    </w:pPr>
                    <w:r>
                      <w:rPr>
                        <w:rFonts w:ascii="STXinwei" w:eastAsia="STXinwei" w:hAnsi="STXinwei" w:cs="STXinwei"/>
                        <w:spacing w:val="-3"/>
                        <w:sz w:val="11"/>
                        <w:szCs w:val="11"/>
                      </w:rPr>
                      <w:t>保险费</w:t>
                    </w:r>
                  </w:p>
                  <w:p>
                    <w:pPr>
                      <w:spacing w:before="188" w:line="225" w:lineRule="auto"/>
                      <w:ind w:left="710"/>
                      <w:rPr>
                        <w:rFonts w:ascii="KaiTi" w:eastAsia="KaiTi" w:hAnsi="KaiTi" w:cs="KaiTi"/>
                        <w:sz w:val="11"/>
                        <w:szCs w:val="11"/>
                      </w:rPr>
                    </w:pPr>
                    <w:r>
                      <w:rPr>
                        <w:rFonts w:ascii="KaiTi" w:eastAsia="KaiTi" w:hAnsi="KaiTi" w:cs="KaiTi"/>
                        <w:spacing w:val="-1"/>
                        <w:sz w:val="11"/>
                        <w:szCs w:val="11"/>
                      </w:rPr>
                      <w:t>厚生劳动大臣</w:t>
                    </w:r>
                  </w:p>
                  <w:p>
                    <w:pPr>
                      <w:spacing w:before="117" w:line="228" w:lineRule="auto"/>
                      <w:ind w:left="20"/>
                      <w:rPr>
                        <w:rFonts w:ascii="KaiTi" w:eastAsia="KaiTi" w:hAnsi="KaiTi" w:cs="KaiTi"/>
                        <w:sz w:val="11"/>
                        <w:szCs w:val="11"/>
                      </w:rPr>
                    </w:pPr>
                    <w:r>
                      <w:rPr>
                        <w:rFonts w:ascii="KaiTi" w:eastAsia="KaiTi" w:hAnsi="KaiTi" w:cs="KaiTi"/>
                        <w:spacing w:val="-1"/>
                        <w:sz w:val="11"/>
                        <w:szCs w:val="11"/>
                      </w:rPr>
                      <w:t>进用委托</w:t>
                    </w:r>
                  </w:p>
                  <w:p>
                    <w:pPr>
                      <w:spacing w:before="225" w:line="212" w:lineRule="auto"/>
                      <w:ind w:right="19"/>
                      <w:jc w:val="right"/>
                      <w:rPr>
                        <w:rFonts w:ascii="Times New Roman" w:eastAsia="Times New Roman" w:hAnsi="Times New Roman" w:cs="Times New Roman"/>
                        <w:sz w:val="20"/>
                        <w:szCs w:val="20"/>
                      </w:rPr>
                    </w:pPr>
                    <w:r>
                      <w:rPr>
                        <w:rFonts w:ascii="KaiTi" w:eastAsia="KaiTi" w:hAnsi="KaiTi" w:cs="KaiTi"/>
                        <w:color w:val="FFFFFF"/>
                        <w:spacing w:val="-10"/>
                        <w:sz w:val="20"/>
                        <w:szCs w:val="20"/>
                      </w:rPr>
                      <w:t>日本政府养老金管理运用独立行政法人</w:t>
                    </w:r>
                    <w:r>
                      <w:rPr>
                        <w:rFonts w:ascii="KaiTi" w:eastAsia="KaiTi" w:hAnsi="KaiTi" w:cs="KaiTi"/>
                        <w:color w:val="FFFFFF"/>
                        <w:spacing w:val="-10"/>
                        <w:sz w:val="20"/>
                        <w:szCs w:val="20"/>
                      </w:rPr>
                      <w:t xml:space="preserve"> </w:t>
                    </w:r>
                    <w:r>
                      <w:rPr>
                        <w:rFonts w:ascii="Times New Roman" w:eastAsia="Times New Roman" w:hAnsi="Times New Roman" w:cs="Times New Roman"/>
                        <w:color w:val="FFFFFF"/>
                        <w:spacing w:val="-10"/>
                        <w:sz w:val="20"/>
                        <w:szCs w:val="20"/>
                      </w:rPr>
                      <w:t>(GPIF)</w:t>
                    </w:r>
                  </w:p>
                  <w:p>
                    <w:pPr>
                      <w:spacing w:before="196" w:line="225" w:lineRule="auto"/>
                      <w:ind w:left="1629"/>
                      <w:rPr>
                        <w:rFonts w:ascii="STXinwei" w:eastAsia="STXinwei" w:hAnsi="STXinwei" w:cs="STXinwei"/>
                        <w:sz w:val="11"/>
                        <w:szCs w:val="11"/>
                      </w:rPr>
                    </w:pPr>
                    <w:r>
                      <w:rPr>
                        <w:rFonts w:ascii="STXinwei" w:eastAsia="STXinwei" w:hAnsi="STXinwei" w:cs="STXinwei"/>
                        <w:color w:val="0F7DDE"/>
                        <w:spacing w:val="9"/>
                        <w:sz w:val="11"/>
                        <w:szCs w:val="11"/>
                      </w:rPr>
                      <w:t>经营委员会(经济、金融、资产运用、经营管理等专家及理事)</w:t>
                    </w:r>
                  </w:p>
                  <w:p>
                    <w:pPr>
                      <w:spacing w:before="193" w:line="223" w:lineRule="auto"/>
                      <w:ind w:left="1610"/>
                      <w:rPr>
                        <w:rFonts w:ascii="KaiTi" w:eastAsia="KaiTi" w:hAnsi="KaiTi" w:cs="KaiTi"/>
                        <w:sz w:val="11"/>
                        <w:szCs w:val="11"/>
                      </w:rPr>
                    </w:pPr>
                    <w:r>
                      <w:rPr>
                        <w:rFonts w:ascii="KaiTi" w:eastAsia="KaiTi" w:hAnsi="KaiTi" w:cs="KaiTi"/>
                        <w:spacing w:val="9"/>
                        <w:sz w:val="11"/>
                        <w:szCs w:val="11"/>
                      </w:rPr>
                      <w:t>关于中期计划(包括基本投资组合等)的制作等重要事项的决定</w:t>
                    </w:r>
                  </w:p>
                  <w:p>
                    <w:pPr>
                      <w:spacing w:line="411" w:lineRule="auto"/>
                      <w:rPr>
                        <w:rFonts w:ascii="Arial"/>
                        <w:sz w:val="21"/>
                      </w:rPr>
                    </w:pPr>
                  </w:p>
                  <w:p>
                    <w:pPr>
                      <w:spacing w:before="36" w:line="236" w:lineRule="auto"/>
                      <w:ind w:left="60"/>
                      <w:rPr>
                        <w:rFonts w:ascii="KaiTi" w:eastAsia="KaiTi" w:hAnsi="KaiTi" w:cs="KaiTi"/>
                        <w:sz w:val="11"/>
                        <w:szCs w:val="11"/>
                      </w:rPr>
                    </w:pPr>
                    <w:r>
                      <w:rPr>
                        <w:rFonts w:ascii="KaiTi" w:eastAsia="KaiTi" w:hAnsi="KaiTi" w:cs="KaiTi"/>
                        <w:spacing w:val="2"/>
                        <w:sz w:val="11"/>
                        <w:szCs w:val="11"/>
                      </w:rPr>
                      <w:t>审计结果的报告</w:t>
                    </w:r>
                    <w:r>
                      <w:rPr>
                        <w:rFonts w:ascii="KaiTi" w:eastAsia="KaiTi" w:hAnsi="KaiTi" w:cs="KaiTi"/>
                        <w:spacing w:val="2"/>
                        <w:sz w:val="11"/>
                        <w:szCs w:val="11"/>
                      </w:rPr>
                      <w:t xml:space="preserve">               </w:t>
                    </w:r>
                    <w:r>
                      <w:rPr>
                        <w:rFonts w:ascii="KaiTi" w:eastAsia="KaiTi" w:hAnsi="KaiTi" w:cs="KaiTi"/>
                        <w:spacing w:val="2"/>
                        <w:sz w:val="11"/>
                        <w:szCs w:val="11"/>
                      </w:rPr>
                      <w:t>监</w:t>
                    </w:r>
                    <w:r>
                      <w:rPr>
                        <w:rFonts w:ascii="KaiTi" w:eastAsia="KaiTi" w:hAnsi="KaiTi" w:cs="KaiTi"/>
                        <w:spacing w:val="-14"/>
                        <w:sz w:val="11"/>
                        <w:szCs w:val="11"/>
                      </w:rPr>
                      <w:t xml:space="preserve"> </w:t>
                    </w:r>
                    <w:r>
                      <w:rPr>
                        <w:rFonts w:ascii="KaiTi" w:eastAsia="KaiTi" w:hAnsi="KaiTi" w:cs="KaiTi"/>
                        <w:spacing w:val="2"/>
                        <w:sz w:val="11"/>
                        <w:szCs w:val="11"/>
                      </w:rPr>
                      <w:t>察</w:t>
                    </w:r>
                  </w:p>
                  <w:p>
                    <w:pPr>
                      <w:spacing w:before="130" w:line="188" w:lineRule="auto"/>
                      <w:ind w:left="4200"/>
                      <w:rPr>
                        <w:rFonts w:ascii="KaiTi" w:eastAsia="KaiTi" w:hAnsi="KaiTi" w:cs="KaiTi"/>
                        <w:sz w:val="11"/>
                        <w:szCs w:val="11"/>
                      </w:rPr>
                    </w:pPr>
                    <w:r>
                      <w:rPr>
                        <w:rFonts w:ascii="KaiTi" w:eastAsia="KaiTi" w:hAnsi="KaiTi" w:cs="KaiTi"/>
                        <w:spacing w:val="7"/>
                        <w:sz w:val="11"/>
                        <w:szCs w:val="11"/>
                      </w:rPr>
                      <w:t>执行监督</w:t>
                    </w:r>
                  </w:p>
                  <w:p>
                    <w:pPr>
                      <w:spacing w:before="1" w:line="218" w:lineRule="auto"/>
                      <w:ind w:left="1060"/>
                      <w:rPr>
                        <w:rFonts w:ascii="FangSong" w:eastAsia="FangSong" w:hAnsi="FangSong" w:cs="FangSong"/>
                        <w:sz w:val="11"/>
                        <w:szCs w:val="11"/>
                      </w:rPr>
                    </w:pPr>
                    <w:r>
                      <w:rPr>
                        <w:rFonts w:ascii="FangSong" w:eastAsia="FangSong" w:hAnsi="FangSong" w:cs="FangSong"/>
                        <w:spacing w:val="5"/>
                        <w:sz w:val="11"/>
                        <w:szCs w:val="11"/>
                      </w:rPr>
                      <w:t>监塞委员会</w:t>
                    </w:r>
                  </w:p>
                  <w:p>
                    <w:pPr>
                      <w:spacing w:before="236" w:line="222" w:lineRule="auto"/>
                      <w:ind w:left="1560"/>
                      <w:rPr>
                        <w:rFonts w:ascii="FangSong" w:eastAsia="FangSong" w:hAnsi="FangSong" w:cs="FangSong"/>
                        <w:sz w:val="11"/>
                        <w:szCs w:val="11"/>
                      </w:rPr>
                    </w:pPr>
                    <w:r>
                      <w:rPr>
                        <w:rFonts w:ascii="FangSong" w:eastAsia="FangSong" w:hAnsi="FangSong" w:cs="FangSong"/>
                        <w:spacing w:val="-3"/>
                        <w:sz w:val="11"/>
                        <w:szCs w:val="11"/>
                      </w:rPr>
                      <w:t>监察等</w:t>
                    </w:r>
                  </w:p>
                  <w:p>
                    <w:pPr>
                      <w:spacing w:before="147" w:line="224" w:lineRule="auto"/>
                      <w:ind w:left="2700"/>
                      <w:rPr>
                        <w:rFonts w:ascii="KaiTi" w:eastAsia="KaiTi" w:hAnsi="KaiTi" w:cs="KaiTi"/>
                        <w:sz w:val="11"/>
                        <w:szCs w:val="11"/>
                      </w:rPr>
                    </w:pPr>
                    <w:r>
                      <w:rPr>
                        <w:rFonts w:ascii="KaiTi" w:eastAsia="KaiTi" w:hAnsi="KaiTi" w:cs="KaiTi"/>
                        <w:spacing w:val="9"/>
                        <w:sz w:val="11"/>
                        <w:szCs w:val="11"/>
                      </w:rPr>
                      <w:t>执行部</w:t>
                    </w:r>
                  </w:p>
                  <w:p>
                    <w:pPr>
                      <w:spacing w:before="146" w:line="223" w:lineRule="auto"/>
                      <w:ind w:left="2439"/>
                      <w:rPr>
                        <w:rFonts w:ascii="KaiTi" w:eastAsia="KaiTi" w:hAnsi="KaiTi" w:cs="KaiTi"/>
                        <w:sz w:val="11"/>
                        <w:szCs w:val="11"/>
                      </w:rPr>
                    </w:pPr>
                    <w:r>
                      <w:rPr>
                        <w:rFonts w:ascii="KaiTi" w:eastAsia="KaiTi" w:hAnsi="KaiTi" w:cs="KaiTi"/>
                        <w:spacing w:val="4"/>
                        <w:sz w:val="11"/>
                        <w:szCs w:val="11"/>
                      </w:rPr>
                      <w:t>运用受托机构的管理</w:t>
                    </w:r>
                  </w:p>
                  <w:p>
                    <w:pPr>
                      <w:spacing w:line="275" w:lineRule="auto"/>
                      <w:rPr>
                        <w:rFonts w:ascii="Arial"/>
                        <w:sz w:val="21"/>
                      </w:rPr>
                    </w:pPr>
                  </w:p>
                  <w:p>
                    <w:pPr>
                      <w:spacing w:before="37" w:line="236" w:lineRule="auto"/>
                      <w:ind w:left="990"/>
                      <w:rPr>
                        <w:rFonts w:ascii="STXinwei" w:eastAsia="STXinwei" w:hAnsi="STXinwei" w:cs="STXinwei"/>
                        <w:sz w:val="11"/>
                        <w:szCs w:val="11"/>
                      </w:rPr>
                    </w:pPr>
                    <w:r>
                      <w:rPr>
                        <w:rFonts w:ascii="STXinwei" w:eastAsia="STXinwei" w:hAnsi="STXinwei" w:cs="STXinwei"/>
                        <w:spacing w:val="6"/>
                        <w:sz w:val="11"/>
                        <w:szCs w:val="11"/>
                      </w:rPr>
                      <w:t>奏托运用</w:t>
                    </w:r>
                  </w:p>
                  <w:p>
                    <w:pPr>
                      <w:spacing w:line="274" w:lineRule="auto"/>
                      <w:rPr>
                        <w:rFonts w:ascii="Arial"/>
                        <w:sz w:val="21"/>
                      </w:rPr>
                    </w:pPr>
                  </w:p>
                  <w:p>
                    <w:pPr>
                      <w:spacing w:before="36" w:line="224" w:lineRule="auto"/>
                      <w:ind w:left="1980"/>
                      <w:rPr>
                        <w:rFonts w:ascii="KaiTi" w:eastAsia="KaiTi" w:hAnsi="KaiTi" w:cs="KaiTi"/>
                        <w:sz w:val="11"/>
                        <w:szCs w:val="11"/>
                      </w:rPr>
                    </w:pPr>
                    <w:r>
                      <w:rPr>
                        <w:rFonts w:ascii="KaiTi" w:eastAsia="KaiTi" w:hAnsi="KaiTi" w:cs="KaiTi"/>
                        <w:color w:val="FFFFFF"/>
                        <w:spacing w:val="10"/>
                        <w:sz w:val="11"/>
                        <w:szCs w:val="11"/>
                      </w:rPr>
                      <w:t>运用机关(信托银行金融商品交易商)</w:t>
                    </w:r>
                  </w:p>
                  <w:p>
                    <w:pPr>
                      <w:spacing w:line="288" w:lineRule="auto"/>
                      <w:rPr>
                        <w:rFonts w:ascii="Arial"/>
                        <w:sz w:val="21"/>
                      </w:rPr>
                    </w:pPr>
                  </w:p>
                  <w:p>
                    <w:pPr>
                      <w:spacing w:before="36" w:line="224" w:lineRule="auto"/>
                      <w:ind w:left="3020"/>
                      <w:rPr>
                        <w:rFonts w:ascii="KaiTi" w:eastAsia="KaiTi" w:hAnsi="KaiTi" w:cs="KaiTi"/>
                        <w:sz w:val="11"/>
                        <w:szCs w:val="11"/>
                      </w:rPr>
                    </w:pPr>
                    <w:r>
                      <w:rPr>
                        <w:rFonts w:ascii="KaiTi" w:eastAsia="KaiTi" w:hAnsi="KaiTi" w:cs="KaiTi"/>
                        <w:spacing w:val="6"/>
                        <w:sz w:val="11"/>
                        <w:szCs w:val="11"/>
                      </w:rPr>
                      <w:t>证养交易</w:t>
                    </w:r>
                  </w:p>
                  <w:p>
                    <w:pPr>
                      <w:spacing w:before="7" w:line="221" w:lineRule="auto"/>
                      <w:ind w:left="740"/>
                      <w:rPr>
                        <w:rFonts w:ascii="FangSong" w:eastAsia="FangSong" w:hAnsi="FangSong" w:cs="FangSong"/>
                        <w:sz w:val="11"/>
                        <w:szCs w:val="11"/>
                      </w:rPr>
                    </w:pPr>
                    <w:r>
                      <w:rPr>
                        <w:rFonts w:ascii="FangSong" w:eastAsia="FangSong" w:hAnsi="FangSong" w:cs="FangSong"/>
                        <w:spacing w:val="-3"/>
                        <w:sz w:val="11"/>
                        <w:szCs w:val="11"/>
                      </w:rPr>
                      <w:t>国内债券自营</w:t>
                    </w:r>
                  </w:p>
                  <w:p>
                    <w:pPr>
                      <w:spacing w:line="291" w:lineRule="auto"/>
                      <w:rPr>
                        <w:rFonts w:ascii="Arial"/>
                        <w:sz w:val="21"/>
                      </w:rPr>
                    </w:pPr>
                  </w:p>
                  <w:p>
                    <w:pPr>
                      <w:spacing w:before="36" w:line="222" w:lineRule="auto"/>
                      <w:ind w:left="2400"/>
                      <w:rPr>
                        <w:rFonts w:ascii="FangSong" w:eastAsia="FangSong" w:hAnsi="FangSong" w:cs="FangSong"/>
                        <w:sz w:val="11"/>
                        <w:szCs w:val="11"/>
                      </w:rPr>
                    </w:pPr>
                    <w:r>
                      <w:rPr>
                        <w:rFonts w:ascii="FangSong" w:eastAsia="FangSong" w:hAnsi="FangSong" w:cs="FangSong"/>
                        <w:spacing w:val="7"/>
                        <w:sz w:val="11"/>
                        <w:szCs w:val="11"/>
                      </w:rPr>
                      <w:t>金融市场</w:t>
                    </w:r>
                  </w:p>
                  <w:p>
                    <w:pPr>
                      <w:spacing w:before="35" w:line="223" w:lineRule="auto"/>
                      <w:ind w:left="1850"/>
                      <w:rPr>
                        <w:rFonts w:ascii="STXinwei" w:eastAsia="STXinwei" w:hAnsi="STXinwei" w:cs="STXinwei"/>
                        <w:sz w:val="11"/>
                        <w:szCs w:val="11"/>
                      </w:rPr>
                    </w:pPr>
                    <w:r>
                      <w:rPr>
                        <w:rFonts w:ascii="STXinwei" w:eastAsia="STXinwei" w:hAnsi="STXinwei" w:cs="STXinwei"/>
                        <w:spacing w:val="7"/>
                        <w:sz w:val="11"/>
                        <w:szCs w:val="11"/>
                      </w:rPr>
                      <w:t>(国内外债券市场、股票市场)</w:t>
                    </w:r>
                  </w:p>
                </w:txbxContent>
              </v:textbox>
            </v:shape>
            <v:shape id="_x0000_s1081" type="#_x0000_t202" style="width:954;height:155;left:1819;position:absolute;top:1020" filled="f" stroked="f">
              <o:lock v:ext="edit" aspectratio="f"/>
              <v:textbox inset="0,0,0,0">
                <w:txbxContent>
                  <w:p>
                    <w:pPr>
                      <w:spacing w:before="19" w:line="221" w:lineRule="auto"/>
                      <w:ind w:left="20"/>
                      <w:rPr>
                        <w:rFonts w:ascii="KaiTi" w:eastAsia="KaiTi" w:hAnsi="KaiTi" w:cs="KaiTi"/>
                        <w:sz w:val="11"/>
                        <w:szCs w:val="11"/>
                      </w:rPr>
                    </w:pPr>
                    <w:r>
                      <w:rPr>
                        <w:rFonts w:ascii="KaiTi" w:eastAsia="KaiTi" w:hAnsi="KaiTi" w:cs="KaiTi"/>
                        <w:spacing w:val="4"/>
                        <w:sz w:val="11"/>
                        <w:szCs w:val="11"/>
                      </w:rPr>
                      <w:t>造用收益上缴国库</w:t>
                    </w:r>
                  </w:p>
                </w:txbxContent>
              </v:textbox>
            </v:shape>
            <v:shape id="_x0000_s1082" type="#_x0000_t202" style="width:624;height:153;left:1819;position:absolute;top:413" filled="f" stroked="f">
              <o:lock v:ext="edit" aspectratio="f"/>
              <v:textbox inset="0,0,0,0">
                <w:txbxContent>
                  <w:p>
                    <w:pPr>
                      <w:spacing w:before="20" w:line="227" w:lineRule="auto"/>
                      <w:ind w:left="20"/>
                      <w:rPr>
                        <w:rFonts w:ascii="STXinwei" w:eastAsia="STXinwei" w:hAnsi="STXinwei" w:cs="STXinwei"/>
                        <w:sz w:val="11"/>
                        <w:szCs w:val="11"/>
                      </w:rPr>
                    </w:pPr>
                    <w:r>
                      <w:rPr>
                        <w:rFonts w:ascii="STXinwei" w:eastAsia="STXinwei" w:hAnsi="STXinwei" w:cs="STXinwei"/>
                        <w:spacing w:val="6"/>
                        <w:sz w:val="11"/>
                        <w:szCs w:val="11"/>
                      </w:rPr>
                      <w:t>养老金支付</w:t>
                    </w:r>
                  </w:p>
                </w:txbxContent>
              </v:textbox>
            </v:shape>
            <v:shape id="_x0000_s1083" type="#_x0000_t202" style="width:497;height:155;left:3419;position:absolute;top:4431" filled="f" stroked="f">
              <o:lock v:ext="edit" aspectratio="f"/>
              <v:textbox inset="0,0,0,0">
                <w:txbxContent>
                  <w:p>
                    <w:pPr>
                      <w:spacing w:before="19" w:line="223" w:lineRule="auto"/>
                      <w:ind w:left="20"/>
                      <w:rPr>
                        <w:rFonts w:ascii="KaiTi" w:eastAsia="KaiTi" w:hAnsi="KaiTi" w:cs="KaiTi"/>
                        <w:sz w:val="11"/>
                        <w:szCs w:val="11"/>
                      </w:rPr>
                    </w:pPr>
                    <w:r>
                      <w:rPr>
                        <w:rFonts w:ascii="KaiTi" w:eastAsia="KaiTi" w:hAnsi="KaiTi" w:cs="KaiTi"/>
                        <w:spacing w:val="4"/>
                        <w:sz w:val="11"/>
                        <w:szCs w:val="11"/>
                      </w:rPr>
                      <w:t>运管收益</w:t>
                    </w:r>
                  </w:p>
                </w:txbxContent>
              </v:textbox>
            </v:shape>
            <w10:wrap type="none"/>
          </v:group>
        </w:pict>
      </w:r>
    </w:p>
    <w:p>
      <w:pPr>
        <w:pStyle w:val="BodyText"/>
        <w:spacing w:before="295" w:line="224" w:lineRule="auto"/>
        <w:ind w:left="2830"/>
        <w:rPr>
          <w:sz w:val="20"/>
          <w:szCs w:val="20"/>
        </w:rPr>
      </w:pPr>
      <w:r>
        <w:rPr>
          <w:spacing w:val="-20"/>
          <w:w w:val="99"/>
          <w:sz w:val="20"/>
          <w:szCs w:val="20"/>
        </w:rPr>
        <w:t>资料来源：</w:t>
      </w:r>
      <w:r>
        <w:rPr>
          <w:spacing w:val="-32"/>
          <w:sz w:val="20"/>
          <w:szCs w:val="20"/>
        </w:rPr>
        <w:t xml:space="preserve"> </w:t>
      </w:r>
      <w:r>
        <w:rPr>
          <w:rFonts w:ascii="Times New Roman" w:eastAsia="Times New Roman" w:hAnsi="Times New Roman" w:cs="Times New Roman"/>
          <w:spacing w:val="-20"/>
          <w:w w:val="99"/>
          <w:sz w:val="20"/>
          <w:szCs w:val="20"/>
        </w:rPr>
        <w:t>GPIF</w:t>
      </w:r>
      <w:r>
        <w:rPr>
          <w:rFonts w:ascii="SimSun" w:eastAsia="SimSun" w:hAnsi="SimSun" w:cs="SimSun"/>
          <w:spacing w:val="-20"/>
          <w:w w:val="99"/>
          <w:sz w:val="20"/>
          <w:szCs w:val="20"/>
        </w:rPr>
        <w:t>、</w:t>
      </w:r>
      <w:r>
        <w:rPr>
          <w:spacing w:val="-20"/>
          <w:w w:val="99"/>
          <w:sz w:val="20"/>
          <w:szCs w:val="20"/>
        </w:rPr>
        <w:t>开源证券研究所</w:t>
      </w:r>
    </w:p>
    <w:p>
      <w:pPr>
        <w:spacing w:line="344" w:lineRule="auto"/>
        <w:rPr>
          <w:rFonts w:ascii="Arial"/>
          <w:sz w:val="21"/>
        </w:rPr>
      </w:pPr>
    </w:p>
    <w:p>
      <w:pPr>
        <w:pStyle w:val="BodyText"/>
        <w:spacing w:before="65" w:line="273" w:lineRule="auto"/>
        <w:ind w:left="2830" w:right="87" w:hanging="20"/>
        <w:rPr>
          <w:sz w:val="20"/>
          <w:szCs w:val="20"/>
        </w:rPr>
      </w:pPr>
      <w:r>
        <w:rPr>
          <w:rFonts w:ascii="Times New Roman" w:eastAsia="Times New Roman" w:hAnsi="Times New Roman" w:cs="Times New Roman"/>
          <w:b/>
          <w:bCs/>
          <w:sz w:val="20"/>
          <w:szCs w:val="20"/>
        </w:rPr>
        <w:t>GPIF</w:t>
      </w:r>
      <w:r>
        <w:rPr>
          <w:rFonts w:ascii="Times New Roman" w:eastAsia="Times New Roman" w:hAnsi="Times New Roman" w:cs="Times New Roman"/>
          <w:b/>
          <w:bCs/>
          <w:spacing w:val="12"/>
          <w:sz w:val="20"/>
          <w:szCs w:val="20"/>
        </w:rPr>
        <w:t xml:space="preserve">  </w:t>
      </w:r>
      <w:r>
        <w:rPr>
          <w:b/>
          <w:bCs/>
          <w:spacing w:val="12"/>
          <w:sz w:val="20"/>
          <w:szCs w:val="20"/>
        </w:rPr>
        <w:t>成立以来大部分资产以委托投资为主，委托</w:t>
      </w:r>
      <w:r>
        <w:rPr>
          <w:b/>
          <w:bCs/>
          <w:spacing w:val="11"/>
          <w:sz w:val="20"/>
          <w:szCs w:val="20"/>
        </w:rPr>
        <w:t>投资管理规模占比超80%</w:t>
      </w:r>
      <w:r>
        <w:rPr>
          <w:spacing w:val="11"/>
          <w:sz w:val="20"/>
          <w:szCs w:val="20"/>
        </w:rPr>
        <w:t>,</w:t>
      </w:r>
      <w:r>
        <w:rPr>
          <w:spacing w:val="-24"/>
          <w:sz w:val="20"/>
          <w:szCs w:val="20"/>
        </w:rPr>
        <w:t xml:space="preserve"> </w:t>
      </w:r>
      <w:r>
        <w:rPr>
          <w:spacing w:val="11"/>
          <w:sz w:val="20"/>
          <w:szCs w:val="20"/>
        </w:rPr>
        <w:t>除</w:t>
      </w:r>
      <w:r>
        <w:rPr>
          <w:spacing w:val="-22"/>
          <w:sz w:val="20"/>
          <w:szCs w:val="20"/>
        </w:rPr>
        <w:t xml:space="preserve"> </w:t>
      </w:r>
      <w:r>
        <w:rPr>
          <w:spacing w:val="11"/>
          <w:sz w:val="20"/>
          <w:szCs w:val="20"/>
        </w:rPr>
        <w:t>本</w:t>
      </w:r>
      <w:r>
        <w:rPr>
          <w:sz w:val="20"/>
          <w:szCs w:val="20"/>
        </w:rPr>
        <w:t xml:space="preserve"> </w:t>
      </w:r>
      <w:r>
        <w:rPr>
          <w:spacing w:val="9"/>
          <w:sz w:val="20"/>
          <w:szCs w:val="20"/>
        </w:rPr>
        <w:t>国的部分国内债券和非上市股权外，上市股票等基本全部采取委托投资</w:t>
      </w:r>
      <w:r>
        <w:rPr>
          <w:spacing w:val="8"/>
          <w:sz w:val="20"/>
          <w:szCs w:val="20"/>
        </w:rPr>
        <w:t>方式。</w:t>
      </w:r>
      <w:r>
        <w:rPr>
          <w:rFonts w:ascii="SimSun" w:eastAsia="SimSun" w:hAnsi="SimSun" w:cs="SimSun"/>
          <w:sz w:val="20"/>
          <w:szCs w:val="20"/>
        </w:rPr>
        <w:t xml:space="preserve">GPIF  </w:t>
      </w:r>
      <w:r>
        <w:rPr>
          <w:spacing w:val="11"/>
          <w:sz w:val="20"/>
          <w:szCs w:val="20"/>
        </w:rPr>
        <w:t>认为委托投资能够有效提升投资的专业化水平，并且可以通过将资金委托给多</w:t>
      </w:r>
      <w:r>
        <w:rPr>
          <w:spacing w:val="10"/>
          <w:sz w:val="20"/>
          <w:szCs w:val="20"/>
        </w:rPr>
        <w:t>家机</w:t>
      </w:r>
      <w:r>
        <w:rPr>
          <w:sz w:val="20"/>
          <w:szCs w:val="20"/>
        </w:rPr>
        <w:t xml:space="preserve"> </w:t>
      </w:r>
      <w:r>
        <w:rPr>
          <w:spacing w:val="14"/>
          <w:sz w:val="20"/>
          <w:szCs w:val="20"/>
        </w:rPr>
        <w:t>构来分散风险。委外投资中80%为被动投资方式，基础管理费较</w:t>
      </w:r>
      <w:r>
        <w:rPr>
          <w:spacing w:val="13"/>
          <w:sz w:val="20"/>
          <w:szCs w:val="20"/>
        </w:rPr>
        <w:t>低但不设置管理费</w:t>
      </w:r>
      <w:r>
        <w:rPr>
          <w:sz w:val="20"/>
          <w:szCs w:val="20"/>
        </w:rPr>
        <w:t xml:space="preserve"> </w:t>
      </w:r>
      <w:r>
        <w:rPr>
          <w:spacing w:val="7"/>
          <w:sz w:val="20"/>
          <w:szCs w:val="20"/>
        </w:rPr>
        <w:t>用上限，激励外部管理人发挥主动管理优势获取超额收益。</w:t>
      </w:r>
    </w:p>
    <w:p>
      <w:pPr>
        <w:spacing w:line="341" w:lineRule="auto"/>
        <w:rPr>
          <w:rFonts w:ascii="Arial"/>
          <w:sz w:val="21"/>
        </w:rPr>
      </w:pPr>
    </w:p>
    <w:p>
      <w:pPr>
        <w:pStyle w:val="BodyText"/>
        <w:spacing w:before="66" w:line="220" w:lineRule="auto"/>
        <w:ind w:left="2832"/>
        <w:rPr>
          <w:sz w:val="20"/>
          <w:szCs w:val="20"/>
        </w:rPr>
      </w:pPr>
      <w:r>
        <w:rPr>
          <w:b/>
          <w:bCs/>
          <w:spacing w:val="31"/>
          <w:sz w:val="20"/>
          <w:szCs w:val="20"/>
          <w:u w:val="single" w:color="auto"/>
        </w:rPr>
        <w:t>图22:</w:t>
      </w:r>
      <w:r>
        <w:rPr>
          <w:b/>
          <w:bCs/>
          <w:sz w:val="20"/>
          <w:szCs w:val="20"/>
          <w:u w:val="single" w:color="auto"/>
        </w:rPr>
        <w:t>GP</w:t>
      </w:r>
      <w:r>
        <w:rPr>
          <w:spacing w:val="-17"/>
          <w:sz w:val="20"/>
          <w:szCs w:val="20"/>
        </w:rPr>
        <w:t xml:space="preserve"> </w:t>
      </w:r>
      <w:r>
        <w:rPr>
          <w:b/>
          <w:bCs/>
          <w:sz w:val="20"/>
          <w:szCs w:val="20"/>
          <w:u w:val="single" w:color="auto"/>
        </w:rPr>
        <w:t>IF</w:t>
      </w:r>
      <w:r>
        <w:rPr>
          <w:b/>
          <w:bCs/>
          <w:spacing w:val="31"/>
          <w:sz w:val="20"/>
          <w:szCs w:val="20"/>
          <w:u w:val="single" w:color="auto"/>
        </w:rPr>
        <w:t>以委托管理模式为主，2022年93%的资金由外部委托人管理</w:t>
      </w:r>
      <w:r>
        <w:rPr>
          <w:sz w:val="20"/>
          <w:szCs w:val="20"/>
          <w:u w:val="single" w:color="auto"/>
        </w:rPr>
        <w:t xml:space="preserve">     </w:t>
      </w:r>
    </w:p>
    <w:p>
      <w:pPr>
        <w:spacing w:before="144" w:line="2640" w:lineRule="exact"/>
        <w:ind w:firstLine="2939"/>
      </w:pPr>
      <w:r>
        <w:rPr>
          <w:position w:val="-52"/>
        </w:rPr>
        <w:drawing>
          <wp:inline distT="0" distB="0" distL="0" distR="0">
            <wp:extent cx="4756201" cy="1676404"/>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xmlns:r="http://schemas.openxmlformats.org/officeDocument/2006/relationships" r:embed="rId104"/>
                    <a:stretch>
                      <a:fillRect/>
                    </a:stretch>
                  </pic:blipFill>
                  <pic:spPr>
                    <a:xfrm>
                      <a:off x="0" y="0"/>
                      <a:ext cx="4756201" cy="1676404"/>
                    </a:xfrm>
                    <a:prstGeom prst="rect">
                      <a:avLst/>
                    </a:prstGeom>
                  </pic:spPr>
                </pic:pic>
              </a:graphicData>
            </a:graphic>
          </wp:inline>
        </w:drawing>
      </w:r>
    </w:p>
    <w:p>
      <w:pPr>
        <w:pStyle w:val="BodyText"/>
        <w:spacing w:before="113" w:line="223" w:lineRule="auto"/>
        <w:ind w:left="4880"/>
        <w:rPr>
          <w:sz w:val="20"/>
          <w:szCs w:val="20"/>
        </w:rPr>
        <w:sectPr>
          <w:footerReference w:type="default" r:id="rId105"/>
          <w:pgSz w:w="11910" w:h="16840"/>
          <w:pgMar w:top="156" w:right="660" w:bottom="1129" w:left="719" w:header="0" w:footer="858" w:gutter="0"/>
          <w:pgNumType w:start="57"/>
          <w:cols w:space="708"/>
        </w:sectPr>
      </w:pPr>
      <w:r>
        <w:rPr>
          <w:rFonts w:ascii="SimSun" w:eastAsia="SimSun" w:hAnsi="SimSun" w:cs="SimSun"/>
          <w:spacing w:val="-14"/>
          <w:sz w:val="20"/>
          <w:szCs w:val="20"/>
        </w:rPr>
        <w:t>■GPIF</w:t>
      </w:r>
      <w:r>
        <w:rPr>
          <w:spacing w:val="-14"/>
          <w:sz w:val="20"/>
          <w:szCs w:val="20"/>
        </w:rPr>
        <w:t>委托外部管理资产</w:t>
      </w:r>
      <w:r>
        <w:rPr>
          <w:spacing w:val="-14"/>
          <w:sz w:val="20"/>
          <w:szCs w:val="20"/>
        </w:rPr>
        <w:t xml:space="preserve">   </w:t>
      </w:r>
      <w:r>
        <w:rPr>
          <w:rFonts w:ascii="Times New Roman" w:eastAsia="Times New Roman" w:hAnsi="Times New Roman" w:cs="Times New Roman"/>
          <w:spacing w:val="-14"/>
          <w:sz w:val="20"/>
          <w:szCs w:val="20"/>
        </w:rPr>
        <w:t>■GPIF</w:t>
      </w:r>
      <w:r>
        <w:rPr>
          <w:spacing w:val="-14"/>
          <w:sz w:val="20"/>
          <w:szCs w:val="20"/>
        </w:rPr>
        <w:t>内部管</w:t>
      </w:r>
      <w:r>
        <w:rPr>
          <w:spacing w:val="-15"/>
          <w:sz w:val="20"/>
          <w:szCs w:val="20"/>
        </w:rPr>
        <w:t>理资产</w:t>
      </w:r>
    </w:p>
    <w:p>
      <w:pPr>
        <w:spacing w:line="283" w:lineRule="auto"/>
        <w:rPr>
          <w:rFonts w:ascii="Arial"/>
          <w:sz w:val="21"/>
        </w:rPr>
      </w:pPr>
    </w:p>
    <w:p>
      <w:pPr>
        <w:pStyle w:val="BodyText"/>
        <w:spacing w:before="66" w:line="224" w:lineRule="auto"/>
        <w:ind w:left="2830"/>
        <w:rPr>
          <w:sz w:val="20"/>
          <w:szCs w:val="20"/>
        </w:rPr>
      </w:pPr>
      <w:r>
        <w:rPr>
          <w:spacing w:val="-19"/>
          <w:w w:val="98"/>
          <w:sz w:val="20"/>
          <w:szCs w:val="20"/>
        </w:rPr>
        <w:t>数据来源：</w:t>
      </w:r>
      <w:r>
        <w:rPr>
          <w:spacing w:val="-19"/>
          <w:sz w:val="20"/>
          <w:szCs w:val="20"/>
        </w:rPr>
        <w:t xml:space="preserve"> </w:t>
      </w:r>
      <w:r>
        <w:rPr>
          <w:rFonts w:ascii="Times New Roman" w:eastAsia="Times New Roman" w:hAnsi="Times New Roman" w:cs="Times New Roman"/>
          <w:spacing w:val="-19"/>
          <w:w w:val="98"/>
          <w:sz w:val="20"/>
          <w:szCs w:val="20"/>
        </w:rPr>
        <w:t>GPIF</w:t>
      </w:r>
      <w:r>
        <w:rPr>
          <w:rFonts w:ascii="SimSun" w:eastAsia="SimSun" w:hAnsi="SimSun" w:cs="SimSun"/>
          <w:spacing w:val="-19"/>
          <w:w w:val="98"/>
          <w:sz w:val="20"/>
          <w:szCs w:val="20"/>
        </w:rPr>
        <w:t>、</w:t>
      </w:r>
      <w:r>
        <w:rPr>
          <w:spacing w:val="-19"/>
          <w:w w:val="98"/>
          <w:sz w:val="20"/>
          <w:szCs w:val="20"/>
        </w:rPr>
        <w:t>开源证券研究所</w:t>
      </w:r>
    </w:p>
    <w:p>
      <w:pPr>
        <w:spacing w:line="224" w:lineRule="auto"/>
        <w:rPr>
          <w:sz w:val="20"/>
          <w:szCs w:val="20"/>
        </w:rPr>
        <w:sectPr>
          <w:footerReference w:type="default" r:id="rId106"/>
          <w:type w:val="nextPage"/>
          <w:pgSz w:w="11910" w:h="16840"/>
          <w:pgMar w:top="156" w:right="660" w:bottom="1129" w:left="719" w:header="0" w:footer="858" w:gutter="0"/>
          <w:pgNumType w:start="58"/>
          <w:cols w:space="708"/>
          <w:titlePg w:val="0"/>
        </w:sectPr>
      </w:pPr>
    </w:p>
    <w:p>
      <w:pPr>
        <w:spacing w:before="153" w:line="226" w:lineRule="auto"/>
        <w:ind w:left="170"/>
        <w:rPr>
          <w:rFonts w:ascii="YouYuan" w:eastAsia="YouYuan" w:hAnsi="YouYuan" w:cs="YouYuan"/>
          <w:sz w:val="60"/>
          <w:szCs w:val="60"/>
        </w:rPr>
      </w:pPr>
      <w:r>
        <w:pict>
          <v:rect id="_x0000_s1084" style="width:384.05pt;height:0.5pt;margin-top:748pt;margin-left:177.5pt;mso-position-horizontal-relative:page;mso-position-vertical-relative:page;position:absolute;z-index:251708416" o:allowincell="f" filled="t" fillcolor="black" stroked="f"/>
        </w:pict>
      </w:r>
      <w:bookmarkStart w:id="36" w:name="bookmark39"/>
      <w:bookmarkEnd w:id="36"/>
      <w:bookmarkStart w:id="37" w:name="bookmark40"/>
      <w:bookmarkEnd w:id="37"/>
      <w:bookmarkStart w:id="38" w:name="bookmark80"/>
      <w:bookmarkEnd w:id="38"/>
      <w:bookmarkStart w:id="39" w:name="bookmark81"/>
      <w:bookmarkEnd w:id="39"/>
      <w:r>
        <w:rPr>
          <w:rFonts w:ascii="YouYuan" w:eastAsia="YouYuan" w:hAnsi="YouYuan" w:cs="YouYuan"/>
          <w:position w:val="-21"/>
          <w:sz w:val="60"/>
          <w:szCs w:val="60"/>
        </w:rPr>
        <w:drawing>
          <wp:inline distT="0" distB="0" distL="0" distR="0">
            <wp:extent cx="577801" cy="488901"/>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28"/>
          <w:sz w:val="60"/>
          <w:szCs w:val="60"/>
        </w:rPr>
        <w:t>开源证券</w:t>
      </w:r>
    </w:p>
    <w:p>
      <w:pPr>
        <w:pStyle w:val="BodyText"/>
        <w:spacing w:before="37" w:line="229" w:lineRule="auto"/>
        <w:ind w:left="8461"/>
        <w:rPr>
          <w:sz w:val="22"/>
          <w:szCs w:val="22"/>
        </w:rPr>
      </w:pPr>
      <w:r>
        <w:drawing>
          <wp:anchor distT="0" distB="0" distL="0" distR="0" simplePos="0" relativeHeight="251709440" behindDoc="0" locked="0" layoutInCell="1" allowOverlap="1">
            <wp:simplePos x="0" y="0"/>
            <wp:positionH relativeFrom="column">
              <wp:posOffset>19057</wp:posOffset>
            </wp:positionH>
            <wp:positionV relativeFrom="paragraph">
              <wp:posOffset>156165</wp:posOffset>
            </wp:positionV>
            <wp:extent cx="6556661" cy="6984"/>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xmlns:r="http://schemas.openxmlformats.org/officeDocument/2006/relationships" r:embed="rId102"/>
                    <a:stretch>
                      <a:fillRect/>
                    </a:stretch>
                  </pic:blipFill>
                  <pic:spPr>
                    <a:xfrm>
                      <a:off x="0" y="0"/>
                      <a:ext cx="6556661" cy="6984"/>
                    </a:xfrm>
                    <a:prstGeom prst="rect">
                      <a:avLst/>
                    </a:prstGeom>
                  </pic:spPr>
                </pic:pic>
              </a:graphicData>
            </a:graphic>
          </wp:anchor>
        </w:drawing>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6"/>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pStyle w:val="BodyText"/>
        <w:spacing w:before="117" w:line="184" w:lineRule="auto"/>
        <w:ind w:left="2882"/>
        <w:rPr>
          <w:sz w:val="20"/>
          <w:szCs w:val="20"/>
        </w:rPr>
      </w:pPr>
      <w:r>
        <w:rPr>
          <w:b/>
          <w:bCs/>
          <w:color w:val="000080"/>
          <w:spacing w:val="28"/>
          <w:sz w:val="20"/>
          <w:szCs w:val="20"/>
        </w:rPr>
        <w:t>图23:</w:t>
      </w:r>
      <w:r>
        <w:rPr>
          <w:b/>
          <w:bCs/>
          <w:color w:val="000080"/>
          <w:sz w:val="20"/>
          <w:szCs w:val="20"/>
        </w:rPr>
        <w:t>GP</w:t>
      </w:r>
      <w:r>
        <w:rPr>
          <w:color w:val="000080"/>
          <w:spacing w:val="-28"/>
          <w:sz w:val="20"/>
          <w:szCs w:val="20"/>
        </w:rPr>
        <w:t xml:space="preserve"> </w:t>
      </w:r>
      <w:r>
        <w:rPr>
          <w:b/>
          <w:bCs/>
          <w:color w:val="000080"/>
          <w:sz w:val="20"/>
          <w:szCs w:val="20"/>
        </w:rPr>
        <w:t>IF</w:t>
      </w:r>
      <w:r>
        <w:rPr>
          <w:b/>
          <w:bCs/>
          <w:color w:val="000080"/>
          <w:spacing w:val="28"/>
          <w:sz w:val="20"/>
          <w:szCs w:val="20"/>
        </w:rPr>
        <w:t>委托管理人和基金数量波动式上升，2022年分别38家和154支</w:t>
      </w:r>
    </w:p>
    <w:tbl>
      <w:tblPr>
        <w:tblStyle w:val="TableNormal10"/>
        <w:tblW w:w="7680" w:type="dxa"/>
        <w:tblInd w:w="2830" w:type="dxa"/>
        <w:tblBorders>
          <w:top w:val="nil"/>
          <w:left w:val="nil"/>
          <w:bottom w:val="nil"/>
          <w:right w:val="nil"/>
          <w:insideH w:val="nil"/>
          <w:insideV w:val="nil"/>
        </w:tblBorders>
        <w:tblLayout w:type="fixed"/>
      </w:tblPr>
      <w:tblGrid>
        <w:gridCol w:w="4060"/>
        <w:gridCol w:w="3620"/>
      </w:tblGrid>
      <w:tr>
        <w:tblPrEx>
          <w:tblW w:w="7680" w:type="dxa"/>
          <w:tblInd w:w="2830" w:type="dxa"/>
          <w:tblBorders>
            <w:top w:val="nil"/>
            <w:left w:val="nil"/>
            <w:bottom w:val="nil"/>
            <w:right w:val="nil"/>
            <w:insideH w:val="nil"/>
            <w:insideV w:val="nil"/>
          </w:tblBorders>
          <w:tblLayout w:type="fixed"/>
        </w:tblPrEx>
        <w:trPr>
          <w:trHeight w:val="2857"/>
        </w:trPr>
        <w:tc>
          <w:tcPr>
            <w:tcW w:w="7680" w:type="dxa"/>
            <w:gridSpan w:val="2"/>
            <w:tcBorders>
              <w:top w:val="single" w:sz="4" w:space="0" w:color="000080"/>
            </w:tcBorders>
            <w:vAlign w:val="top"/>
          </w:tcPr>
          <w:p>
            <w:pPr>
              <w:spacing w:before="223" w:line="2623" w:lineRule="exact"/>
              <w:ind w:firstLine="139"/>
            </w:pPr>
            <w:r>
              <w:rPr>
                <w:position w:val="-52"/>
              </w:rPr>
              <w:drawing>
                <wp:inline distT="0" distB="0" distL="0" distR="0">
                  <wp:extent cx="4781612" cy="1665861"/>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xmlns:r="http://schemas.openxmlformats.org/officeDocument/2006/relationships" r:embed="rId107"/>
                          <a:stretch>
                            <a:fillRect/>
                          </a:stretch>
                        </pic:blipFill>
                        <pic:spPr>
                          <a:xfrm>
                            <a:off x="0" y="0"/>
                            <a:ext cx="4781612" cy="1665861"/>
                          </a:xfrm>
                          <a:prstGeom prst="rect">
                            <a:avLst/>
                          </a:prstGeom>
                        </pic:spPr>
                      </pic:pic>
                    </a:graphicData>
                  </a:graphic>
                </wp:inline>
              </w:drawing>
            </w:r>
          </w:p>
        </w:tc>
      </w:tr>
      <w:tr>
        <w:tblPrEx>
          <w:tblW w:w="7680" w:type="dxa"/>
          <w:tblInd w:w="2830" w:type="dxa"/>
          <w:tblLayout w:type="fixed"/>
        </w:tblPrEx>
        <w:trPr>
          <w:trHeight w:val="636"/>
        </w:trPr>
        <w:tc>
          <w:tcPr>
            <w:tcW w:w="4060" w:type="dxa"/>
            <w:tcBorders>
              <w:bottom w:val="single" w:sz="4" w:space="0" w:color="000000"/>
            </w:tcBorders>
            <w:vAlign w:val="top"/>
          </w:tcPr>
          <w:p>
            <w:pPr>
              <w:spacing w:before="110" w:line="223" w:lineRule="auto"/>
              <w:ind w:left="1859"/>
              <w:rPr>
                <w:rFonts w:ascii="KaiTi" w:eastAsia="KaiTi" w:hAnsi="KaiTi" w:cs="KaiTi"/>
                <w:sz w:val="20"/>
                <w:szCs w:val="20"/>
              </w:rPr>
            </w:pPr>
            <w:r>
              <w:rPr>
                <w:rFonts w:ascii="KaiTi" w:eastAsia="KaiTi" w:hAnsi="KaiTi" w:cs="KaiTi"/>
                <w:spacing w:val="-15"/>
                <w:sz w:val="20"/>
                <w:szCs w:val="20"/>
              </w:rPr>
              <w:t>受托资管机构数量(家)</w:t>
            </w:r>
          </w:p>
        </w:tc>
        <w:tc>
          <w:tcPr>
            <w:tcW w:w="3620" w:type="dxa"/>
            <w:tcBorders>
              <w:bottom w:val="single" w:sz="4" w:space="0" w:color="000000"/>
            </w:tcBorders>
            <w:vAlign w:val="top"/>
          </w:tcPr>
          <w:p>
            <w:pPr>
              <w:spacing w:before="89" w:line="223" w:lineRule="auto"/>
              <w:ind w:left="409"/>
              <w:rPr>
                <w:rFonts w:ascii="KaiTi" w:eastAsia="KaiTi" w:hAnsi="KaiTi" w:cs="KaiTi"/>
                <w:sz w:val="20"/>
                <w:szCs w:val="20"/>
              </w:rPr>
            </w:pPr>
            <w:r>
              <w:rPr>
                <w:rFonts w:ascii="KaiTi" w:eastAsia="KaiTi" w:hAnsi="KaiTi" w:cs="KaiTi"/>
                <w:color w:val="CF6700"/>
                <w:spacing w:val="-11"/>
                <w:sz w:val="20"/>
                <w:szCs w:val="20"/>
              </w:rPr>
              <w:t>-</w:t>
            </w:r>
            <w:r>
              <w:rPr>
                <w:rFonts w:ascii="KaiTi" w:eastAsia="KaiTi" w:hAnsi="KaiTi" w:cs="KaiTi"/>
                <w:spacing w:val="-11"/>
                <w:sz w:val="20"/>
                <w:szCs w:val="20"/>
              </w:rPr>
              <w:t>委托管理基金数量(支)</w:t>
            </w:r>
          </w:p>
        </w:tc>
      </w:tr>
    </w:tbl>
    <w:p>
      <w:pPr>
        <w:pStyle w:val="BodyText"/>
        <w:spacing w:before="45" w:line="224" w:lineRule="auto"/>
        <w:ind w:left="2810"/>
        <w:rPr>
          <w:sz w:val="20"/>
          <w:szCs w:val="20"/>
        </w:rPr>
      </w:pPr>
      <w:r>
        <w:rPr>
          <w:spacing w:val="-18"/>
          <w:sz w:val="20"/>
          <w:szCs w:val="20"/>
        </w:rPr>
        <w:t>数据来源：</w:t>
      </w:r>
      <w:r>
        <w:rPr>
          <w:rFonts w:ascii="Times New Roman" w:eastAsia="Times New Roman" w:hAnsi="Times New Roman" w:cs="Times New Roman"/>
          <w:spacing w:val="-18"/>
          <w:sz w:val="20"/>
          <w:szCs w:val="20"/>
        </w:rPr>
        <w:t>GPIF</w:t>
      </w:r>
      <w:r>
        <w:rPr>
          <w:rFonts w:ascii="SimSun" w:eastAsia="SimSun" w:hAnsi="SimSun" w:cs="SimSun"/>
          <w:spacing w:val="-18"/>
          <w:sz w:val="20"/>
          <w:szCs w:val="20"/>
        </w:rPr>
        <w:t>、</w:t>
      </w:r>
      <w:r>
        <w:rPr>
          <w:spacing w:val="-18"/>
          <w:sz w:val="20"/>
          <w:szCs w:val="20"/>
        </w:rPr>
        <w:t>开源证券研究所</w:t>
      </w:r>
    </w:p>
    <w:p>
      <w:pPr>
        <w:spacing w:line="313" w:lineRule="auto"/>
        <w:rPr>
          <w:rFonts w:ascii="Arial"/>
          <w:sz w:val="21"/>
        </w:rPr>
      </w:pPr>
    </w:p>
    <w:p>
      <w:pPr>
        <w:pStyle w:val="BodyText"/>
        <w:spacing w:before="65" w:line="222" w:lineRule="auto"/>
        <w:ind w:left="2812"/>
        <w:rPr>
          <w:sz w:val="20"/>
          <w:szCs w:val="20"/>
        </w:rPr>
      </w:pPr>
      <w:r>
        <w:rPr>
          <w:b/>
          <w:bCs/>
          <w:spacing w:val="16"/>
          <w:sz w:val="20"/>
          <w:szCs w:val="20"/>
        </w:rPr>
        <w:t>2020年后资产配置权益占比要求超50%,资产收益率弹性主要来自权益资产。(1)</w:t>
      </w:r>
    </w:p>
    <w:p>
      <w:pPr>
        <w:pStyle w:val="BodyText"/>
        <w:spacing w:before="81" w:line="272" w:lineRule="auto"/>
        <w:ind w:left="2810" w:right="104"/>
        <w:jc w:val="both"/>
        <w:rPr>
          <w:sz w:val="20"/>
          <w:szCs w:val="20"/>
        </w:rPr>
      </w:pPr>
      <w:r>
        <w:rPr>
          <w:rFonts w:ascii="Times New Roman" w:eastAsia="Times New Roman" w:hAnsi="Times New Roman" w:cs="Times New Roman"/>
          <w:sz w:val="20"/>
          <w:szCs w:val="20"/>
        </w:rPr>
        <w:t>GPIF</w:t>
      </w:r>
      <w:r>
        <w:rPr>
          <w:rFonts w:ascii="Times New Roman" w:eastAsia="Times New Roman" w:hAnsi="Times New Roman" w:cs="Times New Roman"/>
          <w:spacing w:val="9"/>
          <w:sz w:val="20"/>
          <w:szCs w:val="20"/>
        </w:rPr>
        <w:t xml:space="preserve"> </w:t>
      </w:r>
      <w:r>
        <w:rPr>
          <w:spacing w:val="9"/>
          <w:sz w:val="20"/>
          <w:szCs w:val="20"/>
        </w:rPr>
        <w:t>每年实际资产配置严格按照配置中枢执行，允许范围内上下浮动。资产配置结</w:t>
      </w:r>
      <w:r>
        <w:rPr>
          <w:spacing w:val="10"/>
          <w:sz w:val="20"/>
          <w:szCs w:val="20"/>
        </w:rPr>
        <w:t xml:space="preserve"> </w:t>
      </w:r>
      <w:r>
        <w:rPr>
          <w:spacing w:val="4"/>
          <w:sz w:val="20"/>
          <w:szCs w:val="20"/>
        </w:rPr>
        <w:t>构严格按照</w:t>
      </w:r>
      <w:r>
        <w:rPr>
          <w:spacing w:val="-28"/>
          <w:sz w:val="20"/>
          <w:szCs w:val="20"/>
        </w:rPr>
        <w:t xml:space="preserve"> </w:t>
      </w:r>
      <w:r>
        <w:rPr>
          <w:rFonts w:ascii="Times New Roman" w:eastAsia="Times New Roman" w:hAnsi="Times New Roman" w:cs="Times New Roman"/>
          <w:sz w:val="20"/>
          <w:szCs w:val="20"/>
        </w:rPr>
        <w:t>GPIF</w:t>
      </w:r>
      <w:r>
        <w:rPr>
          <w:rFonts w:ascii="Times New Roman" w:eastAsia="Times New Roman" w:hAnsi="Times New Roman" w:cs="Times New Roman"/>
          <w:spacing w:val="4"/>
          <w:sz w:val="20"/>
          <w:szCs w:val="20"/>
        </w:rPr>
        <w:t xml:space="preserve"> </w:t>
      </w:r>
      <w:r>
        <w:rPr>
          <w:spacing w:val="4"/>
          <w:sz w:val="20"/>
          <w:szCs w:val="20"/>
        </w:rPr>
        <w:t>要求比例，2022年国内债券/国外债券/国内股票/国外股票分别占比</w:t>
      </w:r>
      <w:r>
        <w:rPr>
          <w:sz w:val="20"/>
          <w:szCs w:val="20"/>
        </w:rPr>
        <w:t xml:space="preserve"> </w:t>
      </w:r>
      <w:r>
        <w:rPr>
          <w:spacing w:val="11"/>
          <w:sz w:val="20"/>
          <w:szCs w:val="20"/>
        </w:rPr>
        <w:t>24.83%/25.04%/25.15%/24.98%,权益类资产配置占比超50%。</w:t>
      </w:r>
      <w:r>
        <w:rPr>
          <w:b/>
          <w:bCs/>
          <w:spacing w:val="11"/>
          <w:sz w:val="20"/>
          <w:szCs w:val="20"/>
        </w:rPr>
        <w:t>(2)自200</w:t>
      </w:r>
      <w:r>
        <w:rPr>
          <w:b/>
          <w:bCs/>
          <w:spacing w:val="10"/>
          <w:sz w:val="20"/>
          <w:szCs w:val="20"/>
        </w:rPr>
        <w:t>1年成立以</w:t>
      </w:r>
      <w:r>
        <w:rPr>
          <w:sz w:val="20"/>
          <w:szCs w:val="20"/>
        </w:rPr>
        <w:t xml:space="preserve"> </w:t>
      </w:r>
      <w:r>
        <w:rPr>
          <w:b/>
          <w:bCs/>
          <w:spacing w:val="13"/>
          <w:sz w:val="20"/>
          <w:szCs w:val="20"/>
        </w:rPr>
        <w:t>来年化收益率3.59%,2013-2022年平均收益率5.52%。</w:t>
      </w:r>
    </w:p>
    <w:p>
      <w:pPr>
        <w:spacing w:line="325" w:lineRule="auto"/>
        <w:rPr>
          <w:rFonts w:ascii="Arial"/>
          <w:sz w:val="21"/>
        </w:rPr>
      </w:pPr>
    </w:p>
    <w:p>
      <w:pPr>
        <w:spacing w:before="69" w:line="211" w:lineRule="auto"/>
        <w:ind w:left="2863"/>
        <w:rPr>
          <w:rFonts w:ascii="SimSun" w:eastAsia="SimSun" w:hAnsi="SimSun" w:cs="SimSun"/>
          <w:sz w:val="21"/>
          <w:szCs w:val="21"/>
        </w:rPr>
      </w:pPr>
      <w:r>
        <w:rPr>
          <w:rFonts w:ascii="SimSun" w:eastAsia="SimSun" w:hAnsi="SimSun" w:cs="SimSun"/>
          <w:b/>
          <w:bCs/>
          <w:spacing w:val="-2"/>
          <w:sz w:val="21"/>
          <w:szCs w:val="21"/>
        </w:rPr>
        <w:t>表9:2006-2009年GPIF第一期中</w:t>
      </w:r>
      <w:r>
        <w:rPr>
          <w:rFonts w:ascii="SimSun" w:eastAsia="SimSun" w:hAnsi="SimSun" w:cs="SimSun"/>
          <w:b/>
          <w:bCs/>
          <w:spacing w:val="-3"/>
          <w:sz w:val="21"/>
          <w:szCs w:val="21"/>
        </w:rPr>
        <w:t>期目标资产配置结构权益占比约20%</w:t>
      </w:r>
    </w:p>
    <w:tbl>
      <w:tblPr>
        <w:tblStyle w:val="TableNormal10"/>
        <w:tblW w:w="7640" w:type="dxa"/>
        <w:tblInd w:w="2850" w:type="dxa"/>
        <w:tblBorders>
          <w:top w:val="single" w:sz="4" w:space="0" w:color="000000"/>
          <w:left w:val="single" w:sz="4" w:space="0" w:color="000000"/>
          <w:bottom w:val="single" w:sz="4" w:space="0" w:color="000000"/>
          <w:right w:val="single" w:sz="4" w:space="0" w:color="000000"/>
        </w:tblBorders>
        <w:shd w:val="clear" w:color="auto" w:fill="000080"/>
        <w:tblLayout w:type="fixed"/>
      </w:tblPr>
      <w:tblGrid>
        <w:gridCol w:w="7640"/>
      </w:tblGrid>
      <w:tr>
        <w:tblPrEx>
          <w:tblW w:w="7640" w:type="dxa"/>
          <w:tblInd w:w="2850" w:type="dxa"/>
          <w:tblBorders>
            <w:top w:val="single" w:sz="4" w:space="0" w:color="000000"/>
            <w:left w:val="single" w:sz="4" w:space="0" w:color="000000"/>
            <w:bottom w:val="single" w:sz="4" w:space="0" w:color="000000"/>
            <w:right w:val="single" w:sz="4" w:space="0" w:color="000000"/>
          </w:tblBorders>
          <w:shd w:val="clear" w:color="auto" w:fill="000080"/>
          <w:tblLayout w:type="fixed"/>
        </w:tblPrEx>
        <w:trPr>
          <w:trHeight w:val="300"/>
        </w:trPr>
        <w:tc>
          <w:tcPr>
            <w:tcW w:w="7640" w:type="dxa"/>
            <w:shd w:val="clear" w:color="auto" w:fill="000080"/>
            <w:vAlign w:val="top"/>
          </w:tcPr>
          <w:p>
            <w:pPr>
              <w:spacing w:before="60" w:line="219" w:lineRule="auto"/>
              <w:ind w:left="1567"/>
              <w:rPr>
                <w:rFonts w:ascii="SimSun" w:eastAsia="SimSun" w:hAnsi="SimSun" w:cs="SimSun"/>
                <w:sz w:val="19"/>
                <w:szCs w:val="19"/>
              </w:rPr>
            </w:pPr>
            <w:r>
              <w:rPr>
                <w:rFonts w:ascii="SimSun" w:eastAsia="SimSun" w:hAnsi="SimSun" w:cs="SimSun"/>
                <w:b/>
                <w:bCs/>
                <w:color w:val="FFFFFF"/>
                <w:spacing w:val="-2"/>
                <w:sz w:val="19"/>
                <w:szCs w:val="19"/>
              </w:rPr>
              <w:t>国内债券</w:t>
            </w:r>
            <w:r>
              <w:rPr>
                <w:rFonts w:ascii="SimSun" w:eastAsia="SimSun" w:hAnsi="SimSun" w:cs="SimSun"/>
                <w:color w:val="FFFFFF"/>
                <w:spacing w:val="-2"/>
                <w:sz w:val="19"/>
                <w:szCs w:val="19"/>
              </w:rPr>
              <w:t xml:space="preserve">     </w:t>
            </w:r>
            <w:r>
              <w:rPr>
                <w:rFonts w:ascii="SimSun" w:eastAsia="SimSun" w:hAnsi="SimSun" w:cs="SimSun"/>
                <w:b/>
                <w:bCs/>
                <w:color w:val="FFFFFF"/>
                <w:spacing w:val="-2"/>
                <w:sz w:val="19"/>
                <w:szCs w:val="19"/>
              </w:rPr>
              <w:t>国内股票</w:t>
            </w:r>
            <w:r>
              <w:rPr>
                <w:rFonts w:ascii="SimSun" w:eastAsia="SimSun" w:hAnsi="SimSun" w:cs="SimSun"/>
                <w:color w:val="FFFFFF"/>
                <w:spacing w:val="5"/>
                <w:sz w:val="19"/>
                <w:szCs w:val="19"/>
              </w:rPr>
              <w:t xml:space="preserve">     </w:t>
            </w:r>
            <w:r>
              <w:rPr>
                <w:rFonts w:ascii="SimSun" w:eastAsia="SimSun" w:hAnsi="SimSun" w:cs="SimSun"/>
                <w:b/>
                <w:bCs/>
                <w:color w:val="FFFFFF"/>
                <w:spacing w:val="-2"/>
                <w:sz w:val="19"/>
                <w:szCs w:val="19"/>
              </w:rPr>
              <w:t>外国债券</w:t>
            </w:r>
            <w:r>
              <w:rPr>
                <w:rFonts w:ascii="SimSun" w:eastAsia="SimSun" w:hAnsi="SimSun" w:cs="SimSun"/>
                <w:color w:val="FFFFFF"/>
                <w:spacing w:val="10"/>
                <w:sz w:val="19"/>
                <w:szCs w:val="19"/>
              </w:rPr>
              <w:t xml:space="preserve">     </w:t>
            </w:r>
            <w:r>
              <w:rPr>
                <w:rFonts w:ascii="SimSun" w:eastAsia="SimSun" w:hAnsi="SimSun" w:cs="SimSun"/>
                <w:b/>
                <w:bCs/>
                <w:color w:val="FFFFFF"/>
                <w:spacing w:val="-2"/>
                <w:sz w:val="19"/>
                <w:szCs w:val="19"/>
              </w:rPr>
              <w:t>外国股票</w:t>
            </w:r>
            <w:r>
              <w:rPr>
                <w:rFonts w:ascii="SimSun" w:eastAsia="SimSun" w:hAnsi="SimSun" w:cs="SimSun"/>
                <w:color w:val="FFFFFF"/>
                <w:spacing w:val="11"/>
                <w:sz w:val="19"/>
                <w:szCs w:val="19"/>
              </w:rPr>
              <w:t xml:space="preserve">     </w:t>
            </w:r>
            <w:r>
              <w:rPr>
                <w:rFonts w:ascii="SimSun" w:eastAsia="SimSun" w:hAnsi="SimSun" w:cs="SimSun"/>
                <w:b/>
                <w:bCs/>
                <w:color w:val="FFFFFF"/>
                <w:spacing w:val="-2"/>
                <w:sz w:val="19"/>
                <w:szCs w:val="19"/>
              </w:rPr>
              <w:t>短期责产</w:t>
            </w:r>
          </w:p>
        </w:tc>
      </w:tr>
    </w:tbl>
    <w:p>
      <w:pPr>
        <w:spacing w:line="31" w:lineRule="exact"/>
        <w:rPr>
          <w:rFonts w:ascii="Arial"/>
          <w:sz w:val="2"/>
        </w:rPr>
      </w:pPr>
    </w:p>
    <w:p>
      <w:pPr>
        <w:spacing w:line="31" w:lineRule="exact"/>
        <w:rPr>
          <w:rFonts w:ascii="Arial" w:eastAsia="Arial" w:hAnsi="Arial" w:cs="Arial"/>
          <w:sz w:val="2"/>
          <w:szCs w:val="2"/>
        </w:rPr>
        <w:sectPr>
          <w:footerReference w:type="default" r:id="rId108"/>
          <w:pgSz w:w="11910" w:h="16840"/>
          <w:pgMar w:top="156" w:right="660" w:bottom="1129" w:left="719" w:header="0" w:footer="858" w:gutter="0"/>
          <w:pgNumType w:start="59"/>
          <w:cols w:num="1" w:space="708" w:equalWidth="0">
            <w:col w:w="10530" w:space="0"/>
          </w:cols>
        </w:sectPr>
      </w:pPr>
    </w:p>
    <w:p>
      <w:pPr>
        <w:spacing w:before="42" w:line="219" w:lineRule="auto"/>
        <w:ind w:left="3130"/>
        <w:rPr>
          <w:rFonts w:ascii="SimSun" w:eastAsia="SimSun" w:hAnsi="SimSun" w:cs="SimSun"/>
          <w:sz w:val="21"/>
          <w:szCs w:val="21"/>
        </w:rPr>
      </w:pPr>
      <w:r>
        <w:rPr>
          <w:rFonts w:ascii="SimSun" w:eastAsia="SimSun" w:hAnsi="SimSun" w:cs="SimSun"/>
          <w:spacing w:val="2"/>
          <w:sz w:val="21"/>
          <w:szCs w:val="21"/>
        </w:rPr>
        <w:t>资产构成</w:t>
      </w:r>
    </w:p>
    <w:p>
      <w:pPr>
        <w:spacing w:before="81" w:line="184" w:lineRule="auto"/>
        <w:ind w:left="3130"/>
        <w:rPr>
          <w:rFonts w:ascii="SimSun" w:eastAsia="SimSun" w:hAnsi="SimSun" w:cs="SimSun"/>
          <w:sz w:val="21"/>
          <w:szCs w:val="21"/>
        </w:rPr>
      </w:pPr>
      <w:r>
        <w:pict>
          <v:rect id="_x0000_s1085" style="width:356.05pt;height:0.55pt;margin-top:13.85pt;margin-left:161.5pt;position:absolute;z-index:251710464" filled="t" fillcolor="black" stroked="f"/>
        </w:pict>
      </w:r>
      <w:r>
        <w:rPr>
          <w:rFonts w:ascii="SimSun" w:eastAsia="SimSun" w:hAnsi="SimSun" w:cs="SimSun"/>
          <w:spacing w:val="2"/>
          <w:sz w:val="21"/>
          <w:szCs w:val="21"/>
        </w:rPr>
        <w:t>调整偏差</w:t>
      </w:r>
    </w:p>
    <w:p>
      <w:pPr>
        <w:spacing w:line="14" w:lineRule="auto"/>
        <w:rPr>
          <w:rFonts w:ascii="Arial"/>
          <w:sz w:val="2"/>
        </w:rPr>
      </w:pPr>
      <w:r>
        <w:rPr>
          <w:rFonts w:ascii="Arial" w:eastAsia="Arial" w:hAnsi="Arial" w:cs="Arial"/>
          <w:sz w:val="2"/>
          <w:szCs w:val="2"/>
        </w:rPr>
        <w:br w:type="column"/>
      </w:r>
    </w:p>
    <w:p>
      <w:pPr>
        <w:spacing w:before="125" w:line="183" w:lineRule="auto"/>
        <w:ind w:left="319"/>
        <w:rPr>
          <w:rFonts w:ascii="SimSun" w:eastAsia="SimSun" w:hAnsi="SimSun" w:cs="SimSun"/>
          <w:sz w:val="21"/>
          <w:szCs w:val="21"/>
        </w:rPr>
      </w:pPr>
      <w:r>
        <w:rPr>
          <w:rFonts w:ascii="SimSun" w:eastAsia="SimSun" w:hAnsi="SimSun" w:cs="SimSun"/>
          <w:spacing w:val="-3"/>
          <w:sz w:val="21"/>
          <w:szCs w:val="21"/>
        </w:rPr>
        <w:t>67%</w:t>
      </w:r>
    </w:p>
    <w:p>
      <w:pPr>
        <w:spacing w:before="35" w:line="187" w:lineRule="auto"/>
        <w:rPr>
          <w:rFonts w:ascii="SimSun" w:eastAsia="SimSun" w:hAnsi="SimSun" w:cs="SimSun"/>
          <w:sz w:val="21"/>
          <w:szCs w:val="21"/>
        </w:rPr>
      </w:pPr>
      <w:r>
        <w:rPr>
          <w:rFonts w:ascii="SimSun" w:eastAsia="SimSun" w:hAnsi="SimSun" w:cs="SimSun"/>
          <w:spacing w:val="-6"/>
          <w:sz w:val="21"/>
          <w:szCs w:val="21"/>
        </w:rPr>
        <w:t>(-8%,+8%)</w:t>
      </w:r>
    </w:p>
    <w:p>
      <w:pPr>
        <w:spacing w:line="14" w:lineRule="auto"/>
        <w:rPr>
          <w:rFonts w:ascii="Arial"/>
          <w:sz w:val="2"/>
        </w:rPr>
      </w:pPr>
      <w:r>
        <w:rPr>
          <w:rFonts w:ascii="Arial" w:eastAsia="Arial" w:hAnsi="Arial" w:cs="Arial"/>
          <w:sz w:val="2"/>
          <w:szCs w:val="2"/>
        </w:rPr>
        <w:br w:type="column"/>
      </w:r>
    </w:p>
    <w:p>
      <w:pPr>
        <w:spacing w:before="114" w:line="184" w:lineRule="auto"/>
        <w:ind w:left="373"/>
        <w:rPr>
          <w:rFonts w:ascii="SimSun" w:eastAsia="SimSun" w:hAnsi="SimSun" w:cs="SimSun"/>
          <w:sz w:val="21"/>
          <w:szCs w:val="21"/>
        </w:rPr>
      </w:pPr>
      <w:r>
        <w:rPr>
          <w:rFonts w:ascii="SimSun" w:eastAsia="SimSun" w:hAnsi="SimSun" w:cs="SimSun"/>
          <w:spacing w:val="-6"/>
          <w:sz w:val="21"/>
          <w:szCs w:val="21"/>
        </w:rPr>
        <w:t>11%</w:t>
      </w:r>
    </w:p>
    <w:p>
      <w:pPr>
        <w:spacing w:before="44" w:line="187" w:lineRule="auto"/>
        <w:rPr>
          <w:rFonts w:ascii="SimSun" w:eastAsia="SimSun" w:hAnsi="SimSun" w:cs="SimSun"/>
          <w:sz w:val="21"/>
          <w:szCs w:val="21"/>
        </w:rPr>
      </w:pPr>
      <w:r>
        <w:rPr>
          <w:rFonts w:ascii="SimSun" w:eastAsia="SimSun" w:hAnsi="SimSun" w:cs="SimSun"/>
          <w:spacing w:val="-6"/>
          <w:sz w:val="21"/>
          <w:szCs w:val="21"/>
        </w:rPr>
        <w:t>(-6%,+6%)</w:t>
      </w:r>
    </w:p>
    <w:p>
      <w:pPr>
        <w:spacing w:line="14" w:lineRule="auto"/>
        <w:rPr>
          <w:rFonts w:ascii="Arial"/>
          <w:sz w:val="2"/>
        </w:rPr>
      </w:pPr>
      <w:r>
        <w:rPr>
          <w:rFonts w:ascii="Arial" w:eastAsia="Arial" w:hAnsi="Arial" w:cs="Arial"/>
          <w:sz w:val="2"/>
          <w:szCs w:val="2"/>
        </w:rPr>
        <w:br w:type="column"/>
      </w:r>
    </w:p>
    <w:p>
      <w:pPr>
        <w:spacing w:before="115" w:line="183" w:lineRule="auto"/>
        <w:ind w:left="400"/>
        <w:rPr>
          <w:rFonts w:ascii="SimSun" w:eastAsia="SimSun" w:hAnsi="SimSun" w:cs="SimSun"/>
          <w:sz w:val="21"/>
          <w:szCs w:val="21"/>
        </w:rPr>
      </w:pPr>
      <w:r>
        <w:rPr>
          <w:rFonts w:ascii="SimSun" w:eastAsia="SimSun" w:hAnsi="SimSun" w:cs="SimSun"/>
          <w:spacing w:val="-3"/>
          <w:sz w:val="21"/>
          <w:szCs w:val="21"/>
        </w:rPr>
        <w:t>8%</w:t>
      </w:r>
    </w:p>
    <w:p>
      <w:pPr>
        <w:spacing w:before="45" w:line="187" w:lineRule="auto"/>
        <w:rPr>
          <w:rFonts w:ascii="SimSun" w:eastAsia="SimSun" w:hAnsi="SimSun" w:cs="SimSun"/>
          <w:sz w:val="21"/>
          <w:szCs w:val="21"/>
        </w:rPr>
      </w:pPr>
      <w:r>
        <w:rPr>
          <w:rFonts w:ascii="SimSun" w:eastAsia="SimSun" w:hAnsi="SimSun" w:cs="SimSun"/>
          <w:spacing w:val="-6"/>
          <w:sz w:val="21"/>
          <w:szCs w:val="21"/>
        </w:rPr>
        <w:t>(-5%,+5%)</w:t>
      </w:r>
    </w:p>
    <w:p>
      <w:pPr>
        <w:spacing w:line="14" w:lineRule="auto"/>
        <w:rPr>
          <w:rFonts w:ascii="Arial"/>
          <w:sz w:val="2"/>
        </w:rPr>
      </w:pPr>
      <w:r>
        <w:rPr>
          <w:rFonts w:ascii="Arial" w:eastAsia="Arial" w:hAnsi="Arial" w:cs="Arial"/>
          <w:sz w:val="2"/>
          <w:szCs w:val="2"/>
        </w:rPr>
        <w:br w:type="column"/>
      </w:r>
    </w:p>
    <w:p>
      <w:pPr>
        <w:spacing w:before="115" w:line="183" w:lineRule="auto"/>
        <w:ind w:left="379"/>
        <w:rPr>
          <w:rFonts w:ascii="SimSun" w:eastAsia="SimSun" w:hAnsi="SimSun" w:cs="SimSun"/>
          <w:sz w:val="21"/>
          <w:szCs w:val="21"/>
        </w:rPr>
      </w:pPr>
      <w:r>
        <w:rPr>
          <w:rFonts w:ascii="SimSun" w:eastAsia="SimSun" w:hAnsi="SimSun" w:cs="SimSun"/>
          <w:spacing w:val="-3"/>
          <w:sz w:val="21"/>
          <w:szCs w:val="21"/>
        </w:rPr>
        <w:t>9%</w:t>
      </w:r>
    </w:p>
    <w:p>
      <w:pPr>
        <w:spacing w:before="45" w:line="187" w:lineRule="auto"/>
        <w:rPr>
          <w:rFonts w:ascii="SimSun" w:eastAsia="SimSun" w:hAnsi="SimSun" w:cs="SimSun"/>
          <w:sz w:val="21"/>
          <w:szCs w:val="21"/>
        </w:rPr>
      </w:pPr>
      <w:r>
        <w:rPr>
          <w:rFonts w:ascii="SimSun" w:eastAsia="SimSun" w:hAnsi="SimSun" w:cs="SimSun"/>
          <w:spacing w:val="-6"/>
          <w:sz w:val="21"/>
          <w:szCs w:val="21"/>
        </w:rPr>
        <w:t>(-5%,+5%)</w:t>
      </w:r>
    </w:p>
    <w:p>
      <w:pPr>
        <w:spacing w:line="14" w:lineRule="auto"/>
        <w:rPr>
          <w:rFonts w:ascii="Arial"/>
          <w:sz w:val="2"/>
        </w:rPr>
      </w:pPr>
      <w:r>
        <w:rPr>
          <w:rFonts w:ascii="Arial" w:eastAsia="Arial" w:hAnsi="Arial" w:cs="Arial"/>
          <w:sz w:val="2"/>
          <w:szCs w:val="2"/>
        </w:rPr>
        <w:br w:type="column"/>
      </w:r>
    </w:p>
    <w:p>
      <w:pPr>
        <w:spacing w:before="115" w:line="183" w:lineRule="auto"/>
        <w:rPr>
          <w:rFonts w:ascii="SimSun" w:eastAsia="SimSun" w:hAnsi="SimSun" w:cs="SimSun"/>
          <w:sz w:val="21"/>
          <w:szCs w:val="21"/>
        </w:rPr>
      </w:pPr>
      <w:r>
        <w:rPr>
          <w:rFonts w:ascii="SimSun" w:eastAsia="SimSun" w:hAnsi="SimSun" w:cs="SimSun"/>
          <w:spacing w:val="-4"/>
          <w:sz w:val="21"/>
          <w:szCs w:val="21"/>
        </w:rPr>
        <w:t>5%</w:t>
      </w:r>
    </w:p>
    <w:p>
      <w:pPr>
        <w:spacing w:line="183" w:lineRule="auto"/>
        <w:rPr>
          <w:rFonts w:ascii="SimSun" w:eastAsia="SimSun" w:hAnsi="SimSun" w:cs="SimSun"/>
          <w:sz w:val="21"/>
          <w:szCs w:val="21"/>
        </w:rPr>
        <w:sectPr>
          <w:footerReference w:type="default" r:id="rId109"/>
          <w:type w:val="continuous"/>
          <w:pgSz w:w="11910" w:h="16840"/>
          <w:pgMar w:top="156" w:right="660" w:bottom="1129" w:left="719" w:header="0" w:footer="858" w:gutter="0"/>
          <w:pgNumType w:start="60"/>
          <w:cols w:num="6" w:space="708" w:equalWidth="0">
            <w:col w:w="4171" w:space="100"/>
            <w:col w:w="1147" w:space="100"/>
            <w:col w:w="1174" w:space="100"/>
            <w:col w:w="1181" w:space="100"/>
            <w:col w:w="1570" w:space="100"/>
            <w:col w:w="790" w:space="0"/>
          </w:cols>
        </w:sectPr>
      </w:pPr>
    </w:p>
    <w:p>
      <w:pPr>
        <w:pStyle w:val="BodyText"/>
        <w:spacing w:before="87" w:line="224" w:lineRule="auto"/>
        <w:ind w:left="2810"/>
        <w:rPr>
          <w:sz w:val="20"/>
          <w:szCs w:val="20"/>
        </w:rPr>
      </w:pPr>
      <w:r>
        <w:rPr>
          <w:spacing w:val="-20"/>
          <w:sz w:val="20"/>
          <w:szCs w:val="20"/>
        </w:rPr>
        <w:t>资料来源：</w:t>
      </w:r>
      <w:r>
        <w:rPr>
          <w:spacing w:val="-52"/>
          <w:sz w:val="20"/>
          <w:szCs w:val="20"/>
        </w:rPr>
        <w:t xml:space="preserve"> </w:t>
      </w:r>
      <w:r>
        <w:rPr>
          <w:rFonts w:ascii="Times New Roman" w:eastAsia="Times New Roman" w:hAnsi="Times New Roman" w:cs="Times New Roman"/>
          <w:spacing w:val="-20"/>
          <w:sz w:val="20"/>
          <w:szCs w:val="20"/>
        </w:rPr>
        <w:t>GPIF</w:t>
      </w:r>
      <w:r>
        <w:rPr>
          <w:rFonts w:ascii="SimSun" w:eastAsia="SimSun" w:hAnsi="SimSun" w:cs="SimSun"/>
          <w:spacing w:val="-20"/>
          <w:sz w:val="20"/>
          <w:szCs w:val="20"/>
        </w:rPr>
        <w:t>、</w:t>
      </w:r>
      <w:r>
        <w:rPr>
          <w:spacing w:val="-20"/>
          <w:sz w:val="20"/>
          <w:szCs w:val="20"/>
        </w:rPr>
        <w:t>开源证券研究所</w:t>
      </w:r>
    </w:p>
    <w:p>
      <w:pPr>
        <w:spacing w:line="316" w:lineRule="auto"/>
        <w:rPr>
          <w:rFonts w:ascii="Arial"/>
          <w:sz w:val="21"/>
        </w:rPr>
      </w:pPr>
    </w:p>
    <w:p>
      <w:pPr>
        <w:spacing w:before="69" w:line="211" w:lineRule="auto"/>
        <w:ind w:left="2853"/>
        <w:rPr>
          <w:rFonts w:ascii="SimSun" w:eastAsia="SimSun" w:hAnsi="SimSun" w:cs="SimSun"/>
          <w:sz w:val="21"/>
          <w:szCs w:val="21"/>
        </w:rPr>
      </w:pPr>
      <w:r>
        <w:rPr>
          <w:rFonts w:ascii="SimSun" w:eastAsia="SimSun" w:hAnsi="SimSun" w:cs="SimSun"/>
          <w:b/>
          <w:bCs/>
          <w:spacing w:val="-2"/>
          <w:sz w:val="21"/>
          <w:szCs w:val="21"/>
        </w:rPr>
        <w:t>表10:2020-2024年GPIF第四期中</w:t>
      </w:r>
      <w:r>
        <w:rPr>
          <w:rFonts w:ascii="SimSun" w:eastAsia="SimSun" w:hAnsi="SimSun" w:cs="SimSun"/>
          <w:b/>
          <w:bCs/>
          <w:spacing w:val="-3"/>
          <w:sz w:val="21"/>
          <w:szCs w:val="21"/>
        </w:rPr>
        <w:t>期目标资产配置结构权益占比约50%</w:t>
      </w:r>
    </w:p>
    <w:tbl>
      <w:tblPr>
        <w:tblStyle w:val="TableNormal10"/>
        <w:tblW w:w="7620" w:type="dxa"/>
        <w:tblInd w:w="2850" w:type="dxa"/>
        <w:tblBorders>
          <w:top w:val="single" w:sz="4" w:space="0" w:color="000000"/>
          <w:left w:val="single" w:sz="4" w:space="0" w:color="000000"/>
          <w:bottom w:val="single" w:sz="4" w:space="0" w:color="000000"/>
          <w:right w:val="single" w:sz="4" w:space="0" w:color="000000"/>
        </w:tblBorders>
        <w:shd w:val="clear" w:color="auto" w:fill="000080"/>
        <w:tblLayout w:type="fixed"/>
      </w:tblPr>
      <w:tblGrid>
        <w:gridCol w:w="7620"/>
      </w:tblGrid>
      <w:tr>
        <w:tblPrEx>
          <w:tblW w:w="7620" w:type="dxa"/>
          <w:tblInd w:w="2850" w:type="dxa"/>
          <w:tblBorders>
            <w:top w:val="single" w:sz="4" w:space="0" w:color="000000"/>
            <w:left w:val="single" w:sz="4" w:space="0" w:color="000000"/>
            <w:bottom w:val="single" w:sz="4" w:space="0" w:color="000000"/>
            <w:right w:val="single" w:sz="4" w:space="0" w:color="000000"/>
          </w:tblBorders>
          <w:shd w:val="clear" w:color="auto" w:fill="000080"/>
          <w:tblLayout w:type="fixed"/>
        </w:tblPrEx>
        <w:trPr>
          <w:trHeight w:val="310"/>
        </w:trPr>
        <w:tc>
          <w:tcPr>
            <w:tcW w:w="7620" w:type="dxa"/>
            <w:shd w:val="clear" w:color="auto" w:fill="000080"/>
            <w:vAlign w:val="top"/>
          </w:tcPr>
          <w:p>
            <w:pPr>
              <w:spacing w:before="69" w:line="220" w:lineRule="auto"/>
              <w:ind w:left="1937"/>
              <w:rPr>
                <w:rFonts w:ascii="SimSun" w:eastAsia="SimSun" w:hAnsi="SimSun" w:cs="SimSun"/>
                <w:sz w:val="19"/>
                <w:szCs w:val="19"/>
              </w:rPr>
            </w:pPr>
            <w:r>
              <w:rPr>
                <w:rFonts w:ascii="SimSun" w:eastAsia="SimSun" w:hAnsi="SimSun" w:cs="SimSun"/>
                <w:b/>
                <w:bCs/>
                <w:color w:val="FFFFFF"/>
                <w:spacing w:val="-2"/>
                <w:sz w:val="19"/>
                <w:szCs w:val="19"/>
              </w:rPr>
              <w:t>国内债券</w:t>
            </w:r>
            <w:r>
              <w:rPr>
                <w:rFonts w:ascii="SimSun" w:eastAsia="SimSun" w:hAnsi="SimSun" w:cs="SimSun"/>
                <w:color w:val="FFFFFF"/>
                <w:spacing w:val="14"/>
                <w:sz w:val="19"/>
                <w:szCs w:val="19"/>
              </w:rPr>
              <w:t xml:space="preserve">       </w:t>
            </w:r>
            <w:r>
              <w:rPr>
                <w:rFonts w:ascii="SimSun" w:eastAsia="SimSun" w:hAnsi="SimSun" w:cs="SimSun"/>
                <w:b/>
                <w:bCs/>
                <w:color w:val="FFFFFF"/>
                <w:spacing w:val="-2"/>
                <w:sz w:val="19"/>
                <w:szCs w:val="19"/>
              </w:rPr>
              <w:t>国外债券</w:t>
            </w:r>
            <w:r>
              <w:rPr>
                <w:rFonts w:ascii="SimSun" w:eastAsia="SimSun" w:hAnsi="SimSun" w:cs="SimSun"/>
                <w:color w:val="FFFFFF"/>
                <w:spacing w:val="9"/>
                <w:sz w:val="19"/>
                <w:szCs w:val="19"/>
              </w:rPr>
              <w:t xml:space="preserve">       </w:t>
            </w:r>
            <w:r>
              <w:rPr>
                <w:rFonts w:ascii="SimSun" w:eastAsia="SimSun" w:hAnsi="SimSun" w:cs="SimSun"/>
                <w:b/>
                <w:bCs/>
                <w:color w:val="FFFFFF"/>
                <w:spacing w:val="-2"/>
                <w:sz w:val="19"/>
                <w:szCs w:val="19"/>
              </w:rPr>
              <w:t>国内股柔</w:t>
            </w:r>
            <w:r>
              <w:rPr>
                <w:rFonts w:ascii="SimSun" w:eastAsia="SimSun" w:hAnsi="SimSun" w:cs="SimSun"/>
                <w:color w:val="FFFFFF"/>
                <w:spacing w:val="5"/>
                <w:sz w:val="19"/>
                <w:szCs w:val="19"/>
              </w:rPr>
              <w:t xml:space="preserve">        </w:t>
            </w:r>
            <w:r>
              <w:rPr>
                <w:rFonts w:ascii="SimSun" w:eastAsia="SimSun" w:hAnsi="SimSun" w:cs="SimSun"/>
                <w:b/>
                <w:bCs/>
                <w:color w:val="FFFFFF"/>
                <w:spacing w:val="-2"/>
                <w:sz w:val="19"/>
                <w:szCs w:val="19"/>
              </w:rPr>
              <w:t>国外股栗</w:t>
            </w:r>
          </w:p>
        </w:tc>
      </w:tr>
    </w:tbl>
    <w:p>
      <w:pPr>
        <w:spacing w:line="120" w:lineRule="auto"/>
        <w:rPr>
          <w:rFonts w:ascii="Arial"/>
          <w:sz w:val="2"/>
        </w:rPr>
      </w:pPr>
    </w:p>
    <w:p>
      <w:pPr>
        <w:spacing w:line="120" w:lineRule="auto"/>
        <w:rPr>
          <w:rFonts w:ascii="Arial" w:eastAsia="Arial" w:hAnsi="Arial" w:cs="Arial"/>
          <w:sz w:val="2"/>
          <w:szCs w:val="2"/>
        </w:rPr>
        <w:sectPr>
          <w:footerReference w:type="default" r:id="rId110"/>
          <w:type w:val="continuous"/>
          <w:pgSz w:w="11910" w:h="16840"/>
          <w:pgMar w:top="156" w:right="660" w:bottom="1129" w:left="719" w:header="0" w:footer="858" w:gutter="0"/>
          <w:pgNumType w:start="61"/>
          <w:cols w:num="1" w:space="708" w:equalWidth="0">
            <w:col w:w="10530" w:space="0"/>
          </w:cols>
        </w:sectPr>
      </w:pPr>
    </w:p>
    <w:p>
      <w:pPr>
        <w:spacing w:before="42" w:line="246" w:lineRule="auto"/>
        <w:ind w:left="3250" w:right="448"/>
        <w:rPr>
          <w:rFonts w:ascii="SimSun" w:eastAsia="SimSun" w:hAnsi="SimSun" w:cs="SimSun"/>
          <w:sz w:val="21"/>
          <w:szCs w:val="21"/>
        </w:rPr>
      </w:pPr>
      <w:r>
        <w:drawing>
          <wp:anchor distT="0" distB="0" distL="0" distR="0" simplePos="0" relativeHeight="251711488" behindDoc="0" locked="0" layoutInCell="1" allowOverlap="1">
            <wp:simplePos x="0" y="0"/>
            <wp:positionH relativeFrom="column">
              <wp:posOffset>2038338</wp:posOffset>
            </wp:positionH>
            <wp:positionV relativeFrom="paragraph">
              <wp:posOffset>373448</wp:posOffset>
            </wp:positionV>
            <wp:extent cx="4591103" cy="6667"/>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xmlns:r="http://schemas.openxmlformats.org/officeDocument/2006/relationships" r:embed="rId111"/>
                    <a:stretch>
                      <a:fillRect/>
                    </a:stretch>
                  </pic:blipFill>
                  <pic:spPr>
                    <a:xfrm>
                      <a:off x="0" y="0"/>
                      <a:ext cx="4591103" cy="6667"/>
                    </a:xfrm>
                    <a:prstGeom prst="rect">
                      <a:avLst/>
                    </a:prstGeom>
                  </pic:spPr>
                </pic:pic>
              </a:graphicData>
            </a:graphic>
          </wp:anchor>
        </w:drawing>
      </w:r>
      <w:r>
        <w:rPr>
          <w:rFonts w:ascii="SimSun" w:eastAsia="SimSun" w:hAnsi="SimSun" w:cs="SimSun"/>
          <w:spacing w:val="2"/>
          <w:sz w:val="21"/>
          <w:szCs w:val="21"/>
        </w:rPr>
        <w:t>资产构成</w:t>
      </w:r>
      <w:r>
        <w:rPr>
          <w:rFonts w:ascii="SimSun" w:eastAsia="SimSun" w:hAnsi="SimSun" w:cs="SimSun"/>
          <w:sz w:val="21"/>
          <w:szCs w:val="21"/>
        </w:rPr>
        <w:t xml:space="preserve"> </w:t>
      </w:r>
      <w:r>
        <w:rPr>
          <w:rFonts w:ascii="SimSun" w:eastAsia="SimSun" w:hAnsi="SimSun" w:cs="SimSun"/>
          <w:spacing w:val="2"/>
          <w:sz w:val="21"/>
          <w:szCs w:val="21"/>
        </w:rPr>
        <w:t>调整偏差</w:t>
      </w:r>
    </w:p>
    <w:p>
      <w:pPr>
        <w:spacing w:line="14" w:lineRule="auto"/>
        <w:rPr>
          <w:rFonts w:ascii="Arial"/>
          <w:sz w:val="2"/>
        </w:rPr>
      </w:pPr>
      <w:r>
        <w:rPr>
          <w:rFonts w:ascii="Arial" w:eastAsia="Arial" w:hAnsi="Arial" w:cs="Arial"/>
          <w:sz w:val="2"/>
          <w:szCs w:val="2"/>
        </w:rPr>
        <w:br w:type="column"/>
      </w:r>
    </w:p>
    <w:p>
      <w:pPr>
        <w:spacing w:before="115" w:line="183" w:lineRule="auto"/>
        <w:ind w:left="310"/>
        <w:rPr>
          <w:rFonts w:ascii="SimSun" w:eastAsia="SimSun" w:hAnsi="SimSun" w:cs="SimSun"/>
          <w:sz w:val="21"/>
          <w:szCs w:val="21"/>
        </w:rPr>
      </w:pPr>
      <w:r>
        <w:rPr>
          <w:rFonts w:ascii="SimSun" w:eastAsia="SimSun" w:hAnsi="SimSun" w:cs="SimSun"/>
          <w:spacing w:val="-3"/>
          <w:sz w:val="21"/>
          <w:szCs w:val="21"/>
        </w:rPr>
        <w:t>25%</w:t>
      </w:r>
    </w:p>
    <w:p>
      <w:pPr>
        <w:spacing w:before="64" w:line="187" w:lineRule="auto"/>
        <w:rPr>
          <w:rFonts w:ascii="SimSun" w:eastAsia="SimSun" w:hAnsi="SimSun" w:cs="SimSun"/>
          <w:sz w:val="21"/>
          <w:szCs w:val="21"/>
        </w:rPr>
      </w:pPr>
      <w:r>
        <w:rPr>
          <w:rFonts w:ascii="SimSun" w:eastAsia="SimSun" w:hAnsi="SimSun" w:cs="SimSun"/>
          <w:spacing w:val="-6"/>
          <w:sz w:val="21"/>
          <w:szCs w:val="21"/>
        </w:rPr>
        <w:t>(-7%,+7%)</w:t>
      </w:r>
    </w:p>
    <w:p>
      <w:pPr>
        <w:spacing w:line="14" w:lineRule="auto"/>
        <w:rPr>
          <w:rFonts w:ascii="Arial"/>
          <w:sz w:val="2"/>
        </w:rPr>
      </w:pPr>
      <w:r>
        <w:rPr>
          <w:rFonts w:ascii="Arial" w:eastAsia="Arial" w:hAnsi="Arial" w:cs="Arial"/>
          <w:sz w:val="2"/>
          <w:szCs w:val="2"/>
        </w:rPr>
        <w:br w:type="column"/>
      </w:r>
    </w:p>
    <w:p>
      <w:pPr>
        <w:spacing w:before="115" w:line="183" w:lineRule="auto"/>
        <w:ind w:left="309"/>
        <w:rPr>
          <w:rFonts w:ascii="SimSun" w:eastAsia="SimSun" w:hAnsi="SimSun" w:cs="SimSun"/>
          <w:sz w:val="21"/>
          <w:szCs w:val="21"/>
        </w:rPr>
      </w:pPr>
      <w:r>
        <w:rPr>
          <w:rFonts w:ascii="SimSun" w:eastAsia="SimSun" w:hAnsi="SimSun" w:cs="SimSun"/>
          <w:spacing w:val="-3"/>
          <w:sz w:val="21"/>
          <w:szCs w:val="21"/>
        </w:rPr>
        <w:t>25%</w:t>
      </w:r>
    </w:p>
    <w:p>
      <w:pPr>
        <w:spacing w:before="64" w:line="187" w:lineRule="auto"/>
        <w:rPr>
          <w:rFonts w:ascii="SimSun" w:eastAsia="SimSun" w:hAnsi="SimSun" w:cs="SimSun"/>
          <w:sz w:val="21"/>
          <w:szCs w:val="21"/>
        </w:rPr>
      </w:pPr>
      <w:r>
        <w:rPr>
          <w:rFonts w:ascii="SimSun" w:eastAsia="SimSun" w:hAnsi="SimSun" w:cs="SimSun"/>
          <w:spacing w:val="-6"/>
          <w:sz w:val="21"/>
          <w:szCs w:val="21"/>
        </w:rPr>
        <w:t>(-6%,+6%)</w:t>
      </w:r>
    </w:p>
    <w:p>
      <w:pPr>
        <w:spacing w:line="14" w:lineRule="auto"/>
        <w:rPr>
          <w:rFonts w:ascii="Arial"/>
          <w:sz w:val="2"/>
        </w:rPr>
      </w:pPr>
      <w:r>
        <w:rPr>
          <w:rFonts w:ascii="Arial" w:eastAsia="Arial" w:hAnsi="Arial" w:cs="Arial"/>
          <w:sz w:val="2"/>
          <w:szCs w:val="2"/>
        </w:rPr>
        <w:br w:type="column"/>
      </w:r>
    </w:p>
    <w:p>
      <w:pPr>
        <w:spacing w:before="115" w:line="183" w:lineRule="auto"/>
        <w:ind w:left="320"/>
        <w:rPr>
          <w:rFonts w:ascii="SimSun" w:eastAsia="SimSun" w:hAnsi="SimSun" w:cs="SimSun"/>
          <w:sz w:val="21"/>
          <w:szCs w:val="21"/>
        </w:rPr>
      </w:pPr>
      <w:r>
        <w:rPr>
          <w:rFonts w:ascii="SimSun" w:eastAsia="SimSun" w:hAnsi="SimSun" w:cs="SimSun"/>
          <w:spacing w:val="-3"/>
          <w:sz w:val="21"/>
          <w:szCs w:val="21"/>
        </w:rPr>
        <w:t>25%</w:t>
      </w:r>
    </w:p>
    <w:p>
      <w:pPr>
        <w:spacing w:before="64" w:line="187" w:lineRule="auto"/>
        <w:rPr>
          <w:rFonts w:ascii="SimSun" w:eastAsia="SimSun" w:hAnsi="SimSun" w:cs="SimSun"/>
          <w:sz w:val="21"/>
          <w:szCs w:val="21"/>
        </w:rPr>
      </w:pPr>
      <w:r>
        <w:rPr>
          <w:rFonts w:ascii="SimSun" w:eastAsia="SimSun" w:hAnsi="SimSun" w:cs="SimSun"/>
          <w:spacing w:val="-6"/>
          <w:sz w:val="21"/>
          <w:szCs w:val="21"/>
        </w:rPr>
        <w:t>(-8%,+8%)</w:t>
      </w:r>
    </w:p>
    <w:p>
      <w:pPr>
        <w:spacing w:line="14" w:lineRule="auto"/>
        <w:rPr>
          <w:rFonts w:ascii="Arial"/>
          <w:sz w:val="2"/>
        </w:rPr>
      </w:pPr>
      <w:r>
        <w:rPr>
          <w:rFonts w:ascii="Arial" w:eastAsia="Arial" w:hAnsi="Arial" w:cs="Arial"/>
          <w:sz w:val="2"/>
          <w:szCs w:val="2"/>
        </w:rPr>
        <w:br w:type="column"/>
      </w:r>
    </w:p>
    <w:p>
      <w:pPr>
        <w:spacing w:before="115" w:line="183" w:lineRule="auto"/>
        <w:ind w:left="340"/>
        <w:rPr>
          <w:rFonts w:ascii="SimSun" w:eastAsia="SimSun" w:hAnsi="SimSun" w:cs="SimSun"/>
          <w:sz w:val="21"/>
          <w:szCs w:val="21"/>
        </w:rPr>
      </w:pPr>
      <w:r>
        <w:rPr>
          <w:rFonts w:ascii="SimSun" w:eastAsia="SimSun" w:hAnsi="SimSun" w:cs="SimSun"/>
          <w:spacing w:val="-3"/>
          <w:sz w:val="21"/>
          <w:szCs w:val="21"/>
        </w:rPr>
        <w:t>25%</w:t>
      </w:r>
    </w:p>
    <w:p>
      <w:pPr>
        <w:spacing w:before="64" w:line="187" w:lineRule="auto"/>
        <w:rPr>
          <w:rFonts w:ascii="SimSun" w:eastAsia="SimSun" w:hAnsi="SimSun" w:cs="SimSun"/>
          <w:sz w:val="21"/>
          <w:szCs w:val="21"/>
        </w:rPr>
      </w:pPr>
      <w:r>
        <w:rPr>
          <w:rFonts w:ascii="SimSun" w:eastAsia="SimSun" w:hAnsi="SimSun" w:cs="SimSun"/>
          <w:spacing w:val="-6"/>
          <w:sz w:val="21"/>
          <w:szCs w:val="21"/>
        </w:rPr>
        <w:t>(-7%,+7%)</w:t>
      </w:r>
    </w:p>
    <w:p>
      <w:pPr>
        <w:spacing w:line="187" w:lineRule="auto"/>
        <w:rPr>
          <w:rFonts w:ascii="SimSun" w:eastAsia="SimSun" w:hAnsi="SimSun" w:cs="SimSun"/>
          <w:sz w:val="21"/>
          <w:szCs w:val="21"/>
        </w:rPr>
        <w:sectPr>
          <w:footerReference w:type="default" r:id="rId112"/>
          <w:type w:val="continuous"/>
          <w:pgSz w:w="11910" w:h="16840"/>
          <w:pgMar w:top="156" w:right="660" w:bottom="1129" w:left="719" w:header="0" w:footer="858" w:gutter="0"/>
          <w:pgNumType w:start="62"/>
          <w:cols w:num="5" w:space="708" w:equalWidth="0">
            <w:col w:w="4551" w:space="100"/>
            <w:col w:w="1431" w:space="100"/>
            <w:col w:w="1410" w:space="100"/>
            <w:col w:w="1420" w:space="100"/>
            <w:col w:w="1320" w:space="0"/>
          </w:cols>
        </w:sectPr>
      </w:pPr>
    </w:p>
    <w:p>
      <w:pPr>
        <w:spacing w:before="109" w:line="219" w:lineRule="auto"/>
        <w:ind w:left="2830"/>
        <w:rPr>
          <w:rFonts w:ascii="SimSun" w:eastAsia="SimSun" w:hAnsi="SimSun" w:cs="SimSun"/>
          <w:sz w:val="21"/>
          <w:szCs w:val="21"/>
        </w:rPr>
      </w:pPr>
      <w:r>
        <w:rPr>
          <w:rFonts w:ascii="SimSun" w:eastAsia="SimSun" w:hAnsi="SimSun" w:cs="SimSun"/>
          <w:sz w:val="21"/>
          <w:szCs w:val="21"/>
        </w:rPr>
        <w:t>资料来源：GPIF、开源证券研究所</w:t>
      </w:r>
    </w:p>
    <w:p>
      <w:pPr>
        <w:spacing w:line="295" w:lineRule="auto"/>
        <w:rPr>
          <w:rFonts w:ascii="Arial"/>
          <w:sz w:val="21"/>
        </w:rPr>
      </w:pPr>
    </w:p>
    <w:p>
      <w:pPr>
        <w:pStyle w:val="BodyText"/>
        <w:spacing w:before="65" w:line="222" w:lineRule="auto"/>
        <w:ind w:left="2882"/>
        <w:rPr>
          <w:sz w:val="20"/>
          <w:szCs w:val="20"/>
        </w:rPr>
        <w:sectPr>
          <w:footerReference w:type="default" r:id="rId113"/>
          <w:type w:val="continuous"/>
          <w:pgSz w:w="11910" w:h="16840"/>
          <w:pgMar w:top="156" w:right="660" w:bottom="1129" w:left="719" w:header="0" w:footer="858" w:gutter="0"/>
          <w:pgNumType w:start="63"/>
          <w:cols w:num="1" w:space="708" w:equalWidth="0">
            <w:col w:w="10530" w:space="0"/>
          </w:cols>
        </w:sectPr>
      </w:pPr>
      <w:r>
        <w:pict>
          <v:rect id="_x0000_s1086" style="width:381.5pt;height:0.5pt;margin-top:12.74pt;margin-left:142.55pt;position:absolute;z-index:251712512" filled="t" fillcolor="navy" stroked="f"/>
        </w:pict>
      </w:r>
      <w:r>
        <w:rPr>
          <w:b/>
          <w:bCs/>
          <w:color w:val="000080"/>
          <w:spacing w:val="25"/>
          <w:sz w:val="20"/>
          <w:szCs w:val="20"/>
        </w:rPr>
        <w:t>图24:2013-2022年</w:t>
      </w:r>
      <w:r>
        <w:rPr>
          <w:b/>
          <w:bCs/>
          <w:color w:val="000080"/>
          <w:sz w:val="20"/>
          <w:szCs w:val="20"/>
        </w:rPr>
        <w:t>GP</w:t>
      </w:r>
      <w:r>
        <w:rPr>
          <w:color w:val="000080"/>
          <w:spacing w:val="-32"/>
          <w:sz w:val="20"/>
          <w:szCs w:val="20"/>
        </w:rPr>
        <w:t xml:space="preserve"> </w:t>
      </w:r>
      <w:r>
        <w:rPr>
          <w:b/>
          <w:bCs/>
          <w:color w:val="000080"/>
          <w:sz w:val="20"/>
          <w:szCs w:val="20"/>
        </w:rPr>
        <w:t>IF</w:t>
      </w:r>
      <w:r>
        <w:rPr>
          <w:b/>
          <w:bCs/>
          <w:color w:val="000080"/>
          <w:spacing w:val="25"/>
          <w:sz w:val="20"/>
          <w:szCs w:val="20"/>
        </w:rPr>
        <w:t>加权年化收益率5</w:t>
      </w:r>
      <w:r>
        <w:rPr>
          <w:color w:val="000080"/>
          <w:spacing w:val="-57"/>
          <w:sz w:val="20"/>
          <w:szCs w:val="20"/>
        </w:rPr>
        <w:t xml:space="preserve"> </w:t>
      </w:r>
      <w:r>
        <w:rPr>
          <w:b/>
          <w:bCs/>
          <w:color w:val="000080"/>
          <w:spacing w:val="25"/>
          <w:sz w:val="20"/>
          <w:szCs w:val="20"/>
        </w:rPr>
        <w:t>.52%,</w:t>
      </w:r>
      <w:r>
        <w:rPr>
          <w:b/>
          <w:bCs/>
          <w:color w:val="000080"/>
          <w:spacing w:val="24"/>
          <w:sz w:val="20"/>
          <w:szCs w:val="20"/>
        </w:rPr>
        <w:t>权益资产带来收益率弹性</w:t>
      </w:r>
    </w:p>
    <w:p>
      <w:pPr>
        <w:spacing w:before="141" w:line="2810" w:lineRule="exact"/>
        <w:ind w:firstLine="2930"/>
      </w:pPr>
      <w:r>
        <w:rPr>
          <w:position w:val="-56"/>
        </w:rPr>
        <w:drawing>
          <wp:inline distT="0" distB="0" distL="0" distR="0">
            <wp:extent cx="4749772" cy="1784407"/>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xmlns:r="http://schemas.openxmlformats.org/officeDocument/2006/relationships" r:embed="rId114"/>
                    <a:stretch>
                      <a:fillRect/>
                    </a:stretch>
                  </pic:blipFill>
                  <pic:spPr>
                    <a:xfrm>
                      <a:off x="0" y="0"/>
                      <a:ext cx="4749772" cy="1784407"/>
                    </a:xfrm>
                    <a:prstGeom prst="rect">
                      <a:avLst/>
                    </a:prstGeom>
                  </pic:spPr>
                </pic:pic>
              </a:graphicData>
            </a:graphic>
          </wp:inline>
        </w:drawing>
      </w:r>
    </w:p>
    <w:p>
      <w:pPr>
        <w:pStyle w:val="BodyText"/>
        <w:spacing w:before="235" w:line="192" w:lineRule="auto"/>
        <w:ind w:left="2810"/>
        <w:rPr>
          <w:sz w:val="20"/>
          <w:szCs w:val="20"/>
        </w:rPr>
      </w:pPr>
      <w:r>
        <w:rPr>
          <w:spacing w:val="-20"/>
          <w:w w:val="99"/>
          <w:sz w:val="20"/>
          <w:szCs w:val="20"/>
        </w:rPr>
        <w:t>数据来源：</w:t>
      </w:r>
      <w:r>
        <w:rPr>
          <w:spacing w:val="-23"/>
          <w:sz w:val="20"/>
          <w:szCs w:val="20"/>
        </w:rPr>
        <w:t xml:space="preserve"> </w:t>
      </w:r>
      <w:r>
        <w:rPr>
          <w:rFonts w:ascii="Times New Roman" w:eastAsia="Times New Roman" w:hAnsi="Times New Roman" w:cs="Times New Roman"/>
          <w:spacing w:val="-20"/>
          <w:w w:val="99"/>
          <w:sz w:val="20"/>
          <w:szCs w:val="20"/>
        </w:rPr>
        <w:t>GPIF</w:t>
      </w:r>
      <w:r>
        <w:rPr>
          <w:rFonts w:ascii="SimSun" w:eastAsia="SimSun" w:hAnsi="SimSun" w:cs="SimSun"/>
          <w:spacing w:val="-20"/>
          <w:w w:val="99"/>
          <w:sz w:val="20"/>
          <w:szCs w:val="20"/>
        </w:rPr>
        <w:t>、</w:t>
      </w:r>
      <w:r>
        <w:rPr>
          <w:spacing w:val="-20"/>
          <w:w w:val="99"/>
          <w:sz w:val="20"/>
          <w:szCs w:val="20"/>
        </w:rPr>
        <w:t>开源证券研究所</w:t>
      </w:r>
    </w:p>
    <w:p>
      <w:pPr>
        <w:spacing w:line="192" w:lineRule="auto"/>
        <w:rPr>
          <w:sz w:val="20"/>
          <w:szCs w:val="20"/>
        </w:rPr>
        <w:sectPr>
          <w:footerReference w:type="default" r:id="rId115"/>
          <w:type w:val="nextPage"/>
          <w:pgSz w:w="11910" w:h="16840"/>
          <w:pgMar w:top="156" w:right="660" w:bottom="1129" w:left="719" w:header="0" w:footer="858" w:gutter="0"/>
          <w:pgNumType w:start="64"/>
          <w:cols w:num="1" w:space="708" w:equalWidth="0">
            <w:col w:w="10530" w:space="0"/>
          </w:cols>
          <w:titlePg w:val="0"/>
        </w:sectPr>
      </w:pPr>
    </w:p>
    <w:p>
      <w:pPr>
        <w:spacing w:before="153" w:line="226" w:lineRule="auto"/>
        <w:ind w:left="215"/>
        <w:rPr>
          <w:rFonts w:ascii="YouYuan" w:eastAsia="YouYuan" w:hAnsi="YouYuan" w:cs="YouYuan"/>
          <w:sz w:val="60"/>
          <w:szCs w:val="60"/>
        </w:rPr>
      </w:pPr>
      <w:r>
        <w:drawing>
          <wp:anchor distT="0" distB="0" distL="0" distR="0" simplePos="0" relativeHeight="251718656" behindDoc="0" locked="0" layoutInCell="0" allowOverlap="1">
            <wp:simplePos x="0" y="0"/>
            <wp:positionH relativeFrom="page">
              <wp:posOffset>2254258</wp:posOffset>
            </wp:positionH>
            <wp:positionV relativeFrom="page">
              <wp:posOffset>6680166</wp:posOffset>
            </wp:positionV>
            <wp:extent cx="4876829" cy="6415"/>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xmlns:r="http://schemas.openxmlformats.org/officeDocument/2006/relationships" r:embed="rId116"/>
                    <a:stretch>
                      <a:fillRect/>
                    </a:stretch>
                  </pic:blipFill>
                  <pic:spPr>
                    <a:xfrm>
                      <a:off x="0" y="0"/>
                      <a:ext cx="4876829" cy="6415"/>
                    </a:xfrm>
                    <a:prstGeom prst="rect">
                      <a:avLst/>
                    </a:prstGeom>
                  </pic:spPr>
                </pic:pic>
              </a:graphicData>
            </a:graphic>
          </wp:anchor>
        </w:drawing>
      </w:r>
      <w:r>
        <w:pict>
          <v:shape id="_x0000_s1087" type="#_x0000_t202" style="width:84.5pt;height:10.5pt;margin-top:289.02pt;margin-left:251.6pt;mso-position-horizontal-relative:page;mso-position-vertical-relative:page;position:absolute;z-index:251717632" o:allowincell="f" filled="f" stroked="f">
            <o:lock v:ext="edit" aspectratio="f"/>
            <v:textbox inset="0,0,0,0">
              <w:txbxContent>
                <w:p>
                  <w:pPr>
                    <w:pStyle w:val="BodyText"/>
                    <w:spacing w:before="19" w:line="223" w:lineRule="auto"/>
                    <w:ind w:left="20"/>
                    <w:rPr>
                      <w:sz w:val="14"/>
                      <w:szCs w:val="14"/>
                    </w:rPr>
                  </w:pPr>
                  <w:r>
                    <w:rPr>
                      <w:b/>
                      <w:bCs/>
                      <w:color w:val="FFFFFF"/>
                      <w:spacing w:val="8"/>
                      <w:sz w:val="14"/>
                      <w:szCs w:val="14"/>
                    </w:rPr>
                    <w:t>管理人报名制度公开招聘</w:t>
                  </w:r>
                </w:p>
              </w:txbxContent>
            </v:textbox>
          </v:shape>
        </w:pict>
      </w:r>
      <w:r>
        <w:pict>
          <v:shape id="_x0000_s1088" type="#_x0000_t202" style="width:166.6pt;height:19.95pt;margin-top:312.16pt;margin-left:209.5pt;mso-position-horizontal-relative:page;mso-position-vertical-relative:page;position:absolute;z-index:251716608" o:allowincell="f" filled="f" stroked="f">
            <o:lock v:ext="edit" aspectratio="f"/>
            <v:textbox inset="0,0,0,0">
              <w:txbxContent>
                <w:p>
                  <w:pPr>
                    <w:pStyle w:val="BodyText"/>
                    <w:spacing w:before="19" w:line="227" w:lineRule="auto"/>
                    <w:ind w:left="1222"/>
                    <w:rPr>
                      <w:sz w:val="14"/>
                      <w:szCs w:val="14"/>
                    </w:rPr>
                  </w:pPr>
                  <w:r>
                    <w:rPr>
                      <w:b/>
                      <w:bCs/>
                      <w:spacing w:val="2"/>
                      <w:sz w:val="14"/>
                      <w:szCs w:val="14"/>
                    </w:rPr>
                    <w:t>选择方案确定</w:t>
                  </w:r>
                </w:p>
                <w:p>
                  <w:pPr>
                    <w:pStyle w:val="BodyText"/>
                    <w:spacing w:before="17" w:line="223" w:lineRule="auto"/>
                    <w:ind w:left="20"/>
                    <w:rPr>
                      <w:sz w:val="14"/>
                      <w:szCs w:val="14"/>
                    </w:rPr>
                  </w:pPr>
                  <w:r>
                    <w:rPr>
                      <w:spacing w:val="-8"/>
                      <w:sz w:val="14"/>
                      <w:szCs w:val="14"/>
                    </w:rPr>
                    <w:t>(投资委员会决定所需的产品和管理人的特点及运营能力)</w:t>
                  </w:r>
                </w:p>
              </w:txbxContent>
            </v:textbox>
          </v:shape>
        </w:pict>
      </w:r>
      <w:r>
        <w:pict>
          <v:shape id="_x0000_s1089" type="#_x0000_t202" style="width:198.6pt;height:19.85pt;margin-top:352.52pt;margin-left:193.5pt;mso-position-horizontal-relative:page;mso-position-vertical-relative:page;position:absolute;z-index:251715584" o:allowincell="f" filled="f" stroked="f">
            <o:lock v:ext="edit" aspectratio="f"/>
            <v:textbox inset="0,0,0,0">
              <w:txbxContent>
                <w:p>
                  <w:pPr>
                    <w:pStyle w:val="BodyText"/>
                    <w:spacing w:before="19" w:line="223" w:lineRule="auto"/>
                    <w:ind w:left="1641"/>
                    <w:rPr>
                      <w:sz w:val="14"/>
                      <w:szCs w:val="14"/>
                    </w:rPr>
                  </w:pPr>
                  <w:r>
                    <w:rPr>
                      <w:b/>
                      <w:bCs/>
                      <w:spacing w:val="-4"/>
                      <w:sz w:val="14"/>
                      <w:szCs w:val="14"/>
                    </w:rPr>
                    <w:t>第1次审查</w:t>
                  </w:r>
                </w:p>
                <w:p>
                  <w:pPr>
                    <w:pStyle w:val="BodyText"/>
                    <w:spacing w:before="20" w:line="220" w:lineRule="auto"/>
                    <w:ind w:left="20"/>
                    <w:rPr>
                      <w:sz w:val="14"/>
                      <w:szCs w:val="14"/>
                    </w:rPr>
                  </w:pPr>
                  <w:r>
                    <w:rPr>
                      <w:spacing w:val="-9"/>
                      <w:sz w:val="14"/>
                      <w:szCs w:val="14"/>
                    </w:rPr>
                    <w:t>(根据申请的运营机构提交的文件，选择第二次审查对象的运营机构)</w:t>
                  </w:r>
                </w:p>
              </w:txbxContent>
            </v:textbox>
          </v:shape>
        </w:pict>
      </w:r>
      <w:r>
        <w:pict>
          <v:shape id="_x0000_s1090" type="#_x0000_t202" style="width:198.25pt;height:37.55pt;margin-top:391.52pt;margin-left:192.5pt;mso-position-horizontal-relative:page;mso-position-vertical-relative:page;position:absolute;z-index:251714560" o:allowincell="f" filled="f" stroked="f">
            <o:lock v:ext="edit" aspectratio="f"/>
            <v:textbox inset="0,0,0,0">
              <w:txbxContent>
                <w:p>
                  <w:pPr>
                    <w:pStyle w:val="BodyText"/>
                    <w:spacing w:before="19" w:line="223" w:lineRule="auto"/>
                    <w:ind w:left="1662"/>
                    <w:rPr>
                      <w:sz w:val="14"/>
                      <w:szCs w:val="14"/>
                    </w:rPr>
                  </w:pPr>
                  <w:r>
                    <w:rPr>
                      <w:b/>
                      <w:bCs/>
                      <w:spacing w:val="-4"/>
                      <w:sz w:val="14"/>
                      <w:szCs w:val="14"/>
                    </w:rPr>
                    <w:t>第2次审查</w:t>
                  </w:r>
                </w:p>
                <w:p>
                  <w:pPr>
                    <w:pStyle w:val="BodyText"/>
                    <w:spacing w:before="30" w:line="220" w:lineRule="auto"/>
                    <w:ind w:left="40"/>
                    <w:rPr>
                      <w:sz w:val="14"/>
                      <w:szCs w:val="14"/>
                    </w:rPr>
                  </w:pPr>
                  <w:r>
                    <w:rPr>
                      <w:spacing w:val="-9"/>
                      <w:sz w:val="14"/>
                      <w:szCs w:val="14"/>
                    </w:rPr>
                    <w:t>(审查运营机构提交的材料和外部数据库的信息外，必要时还会进行</w:t>
                  </w:r>
                </w:p>
                <w:p>
                  <w:pPr>
                    <w:pStyle w:val="BodyText"/>
                    <w:spacing w:before="3" w:line="220" w:lineRule="auto"/>
                    <w:ind w:left="20"/>
                    <w:rPr>
                      <w:sz w:val="14"/>
                      <w:szCs w:val="14"/>
                    </w:rPr>
                  </w:pPr>
                  <w:r>
                    <w:rPr>
                      <w:spacing w:val="-9"/>
                      <w:sz w:val="14"/>
                      <w:szCs w:val="14"/>
                    </w:rPr>
                    <w:t>听证，审查产品和经理的特点和运营能力是否符合要求，并选定第三</w:t>
                  </w:r>
                </w:p>
                <w:p>
                  <w:pPr>
                    <w:pStyle w:val="BodyText"/>
                    <w:spacing w:before="5" w:line="223" w:lineRule="auto"/>
                    <w:ind w:left="1599"/>
                    <w:rPr>
                      <w:sz w:val="14"/>
                      <w:szCs w:val="14"/>
                    </w:rPr>
                  </w:pPr>
                  <w:r>
                    <w:rPr>
                      <w:spacing w:val="-2"/>
                      <w:sz w:val="14"/>
                      <w:szCs w:val="14"/>
                    </w:rPr>
                    <w:t>次审查对象)</w:t>
                  </w:r>
                </w:p>
              </w:txbxContent>
            </v:textbox>
          </v:shape>
        </w:pict>
      </w:r>
      <w:bookmarkStart w:id="40" w:name="bookmark82"/>
      <w:bookmarkEnd w:id="40"/>
      <w:bookmarkStart w:id="41" w:name="bookmark41"/>
      <w:bookmarkEnd w:id="41"/>
      <w:r>
        <w:rPr>
          <w:rFonts w:ascii="YouYuan" w:eastAsia="YouYuan" w:hAnsi="YouYuan" w:cs="YouYuan"/>
          <w:position w:val="-21"/>
          <w:sz w:val="60"/>
          <w:szCs w:val="60"/>
        </w:rPr>
        <w:drawing>
          <wp:inline distT="0" distB="0" distL="0" distR="0">
            <wp:extent cx="577801" cy="488901"/>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xmlns:r="http://schemas.openxmlformats.org/officeDocument/2006/relationships" r:embed="rId12"/>
                    <a:stretch>
                      <a:fillRect/>
                    </a:stretch>
                  </pic:blipFill>
                  <pic:spPr>
                    <a:xfrm>
                      <a:off x="0" y="0"/>
                      <a:ext cx="577801" cy="488901"/>
                    </a:xfrm>
                    <a:prstGeom prst="rect">
                      <a:avLst/>
                    </a:prstGeom>
                  </pic:spPr>
                </pic:pic>
              </a:graphicData>
            </a:graphic>
          </wp:inline>
        </w:drawing>
      </w:r>
      <w:r>
        <w:rPr>
          <w:rFonts w:ascii="YouYuan" w:eastAsia="YouYuan" w:hAnsi="YouYuan" w:cs="YouYuan"/>
          <w:b/>
          <w:bCs/>
          <w:spacing w:val="33"/>
          <w:sz w:val="60"/>
          <w:szCs w:val="60"/>
        </w:rPr>
        <w:t>开源证券</w:t>
      </w:r>
    </w:p>
    <w:p>
      <w:pPr>
        <w:pStyle w:val="BodyText"/>
        <w:spacing w:before="37" w:line="229" w:lineRule="auto"/>
        <w:ind w:left="8514"/>
        <w:rPr>
          <w:sz w:val="22"/>
          <w:szCs w:val="22"/>
        </w:rPr>
      </w:pPr>
      <w:r>
        <w:drawing>
          <wp:anchor distT="0" distB="0" distL="0" distR="0" simplePos="0" relativeHeight="251719680" behindDoc="0" locked="0" layoutInCell="1" allowOverlap="1">
            <wp:simplePos x="0" y="0"/>
            <wp:positionH relativeFrom="column">
              <wp:posOffset>47644</wp:posOffset>
            </wp:positionH>
            <wp:positionV relativeFrom="paragraph">
              <wp:posOffset>156165</wp:posOffset>
            </wp:positionV>
            <wp:extent cx="6563013" cy="6984"/>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xmlns:r="http://schemas.openxmlformats.org/officeDocument/2006/relationships" r:embed="rId117"/>
                    <a:stretch>
                      <a:fillRect/>
                    </a:stretch>
                  </pic:blipFill>
                  <pic:spPr>
                    <a:xfrm>
                      <a:off x="0" y="0"/>
                      <a:ext cx="6563013" cy="6984"/>
                    </a:xfrm>
                    <a:prstGeom prst="rect">
                      <a:avLst/>
                    </a:prstGeom>
                  </pic:spPr>
                </pic:pic>
              </a:graphicData>
            </a:graphic>
          </wp:anchor>
        </w:drawing>
      </w:r>
      <w:r>
        <w:rPr>
          <w:b/>
          <w:bCs/>
          <w:spacing w:val="-13"/>
          <w:sz w:val="22"/>
          <w:szCs w:val="22"/>
        </w:rPr>
        <w:t>行</w:t>
      </w:r>
      <w:r>
        <w:rPr>
          <w:spacing w:val="27"/>
          <w:sz w:val="22"/>
          <w:szCs w:val="22"/>
        </w:rPr>
        <w:t xml:space="preserve"> </w:t>
      </w:r>
      <w:r>
        <w:rPr>
          <w:b/>
          <w:bCs/>
          <w:spacing w:val="-13"/>
          <w:sz w:val="22"/>
          <w:szCs w:val="22"/>
        </w:rPr>
        <w:t>业</w:t>
      </w:r>
      <w:r>
        <w:rPr>
          <w:spacing w:val="24"/>
          <w:sz w:val="22"/>
          <w:szCs w:val="22"/>
        </w:rPr>
        <w:t xml:space="preserve"> </w:t>
      </w:r>
      <w:r>
        <w:rPr>
          <w:b/>
          <w:bCs/>
          <w:spacing w:val="-13"/>
          <w:sz w:val="22"/>
          <w:szCs w:val="22"/>
        </w:rPr>
        <w:t>深</w:t>
      </w:r>
      <w:r>
        <w:rPr>
          <w:spacing w:val="17"/>
          <w:sz w:val="22"/>
          <w:szCs w:val="22"/>
        </w:rPr>
        <w:t xml:space="preserve"> </w:t>
      </w:r>
      <w:r>
        <w:rPr>
          <w:b/>
          <w:bCs/>
          <w:spacing w:val="-13"/>
          <w:sz w:val="22"/>
          <w:szCs w:val="22"/>
        </w:rPr>
        <w:t>度</w:t>
      </w:r>
      <w:r>
        <w:rPr>
          <w:spacing w:val="13"/>
          <w:sz w:val="22"/>
          <w:szCs w:val="22"/>
        </w:rPr>
        <w:t xml:space="preserve"> </w:t>
      </w:r>
      <w:r>
        <w:rPr>
          <w:b/>
          <w:bCs/>
          <w:spacing w:val="-13"/>
          <w:sz w:val="22"/>
          <w:szCs w:val="22"/>
        </w:rPr>
        <w:t>报</w:t>
      </w:r>
      <w:r>
        <w:rPr>
          <w:spacing w:val="12"/>
          <w:sz w:val="22"/>
          <w:szCs w:val="22"/>
        </w:rPr>
        <w:t xml:space="preserve"> </w:t>
      </w:r>
      <w:r>
        <w:rPr>
          <w:b/>
          <w:bCs/>
          <w:spacing w:val="-13"/>
          <w:sz w:val="22"/>
          <w:szCs w:val="22"/>
        </w:rPr>
        <w:t>告</w:t>
      </w:r>
    </w:p>
    <w:p>
      <w:pPr>
        <w:pStyle w:val="BodyText"/>
        <w:spacing w:before="100" w:line="223" w:lineRule="auto"/>
        <w:ind w:left="2868"/>
      </w:pPr>
      <w:r>
        <w:rPr>
          <w:b/>
          <w:bCs/>
          <w:spacing w:val="-5"/>
        </w:rPr>
        <w:t>委托管理人类型：可为银行、信托、保险以及其他资管公司。(1)委托管理人资质：</w:t>
      </w:r>
    </w:p>
    <w:p>
      <w:pPr>
        <w:pStyle w:val="BodyText"/>
        <w:spacing w:before="52" w:line="269" w:lineRule="auto"/>
        <w:ind w:left="2865" w:right="64"/>
      </w:pPr>
      <w:r>
        <w:rPr>
          <w:spacing w:val="1"/>
        </w:rPr>
        <w:t>委托管理人需要具备授权资格，具有一定资管规模，同时近三年不存在合资金管理</w:t>
      </w:r>
      <w:r>
        <w:t xml:space="preserve"> </w:t>
      </w:r>
      <w:r>
        <w:rPr>
          <w:spacing w:val="-1"/>
        </w:rPr>
        <w:t>相关重大风险且信用评级较高。</w:t>
      </w:r>
      <w:r>
        <w:rPr>
          <w:b/>
          <w:bCs/>
          <w:spacing w:val="-1"/>
        </w:rPr>
        <w:t>(2)聘任委托管理人的模式：</w:t>
      </w:r>
      <w:r>
        <w:rPr>
          <w:spacing w:val="28"/>
        </w:rPr>
        <w:t xml:space="preserve"> </w:t>
      </w:r>
      <w:r>
        <w:rPr>
          <w:spacing w:val="-1"/>
        </w:rPr>
        <w:t>不限时公开</w:t>
      </w:r>
      <w:r>
        <w:rPr>
          <w:spacing w:val="-2"/>
        </w:rPr>
        <w:t>征集，采</w:t>
      </w:r>
      <w:r>
        <w:t xml:space="preserve"> </w:t>
      </w:r>
      <w:r>
        <w:rPr>
          <w:spacing w:val="-2"/>
        </w:rPr>
        <w:t>用管理人申报制。</w:t>
      </w:r>
      <w:r>
        <w:rPr>
          <w:rFonts w:ascii="SimSun" w:eastAsia="SimSun" w:hAnsi="SimSun" w:cs="SimSun"/>
          <w:spacing w:val="-2"/>
        </w:rPr>
        <w:t xml:space="preserve">GPIF </w:t>
      </w:r>
      <w:r>
        <w:rPr>
          <w:spacing w:val="-2"/>
        </w:rPr>
        <w:t>引进管理人申报系统，由资产管理公司针对国内债券、国外</w:t>
      </w:r>
      <w:r>
        <w:rPr>
          <w:spacing w:val="18"/>
        </w:rPr>
        <w:t xml:space="preserve"> </w:t>
      </w:r>
      <w:r>
        <w:rPr>
          <w:spacing w:val="-3"/>
        </w:rPr>
        <w:t>债券、国内股票、国外股票、</w:t>
      </w:r>
      <w:r>
        <w:rPr>
          <w:rFonts w:ascii="Times New Roman" w:eastAsia="Times New Roman" w:hAnsi="Times New Roman" w:cs="Times New Roman"/>
          <w:spacing w:val="-3"/>
        </w:rPr>
        <w:t xml:space="preserve">REITs </w:t>
      </w:r>
      <w:r>
        <w:rPr>
          <w:spacing w:val="-3"/>
        </w:rPr>
        <w:t>五类资产</w:t>
      </w:r>
      <w:r>
        <w:rPr>
          <w:spacing w:val="-4"/>
        </w:rPr>
        <w:t>申报，经过管理部门三次审查后，考虑</w:t>
      </w:r>
      <w:r>
        <w:t xml:space="preserve"> </w:t>
      </w:r>
      <w:r>
        <w:rPr>
          <w:spacing w:val="-3"/>
        </w:rPr>
        <w:t>综合评估结果和管理费率等因素确定聘任单位。</w:t>
      </w:r>
      <w:r>
        <w:rPr>
          <w:spacing w:val="28"/>
        </w:rPr>
        <w:t xml:space="preserve"> </w:t>
      </w:r>
      <w:r>
        <w:rPr>
          <w:b/>
          <w:bCs/>
          <w:spacing w:val="-3"/>
        </w:rPr>
        <w:t>(3)委托</w:t>
      </w:r>
      <w:r>
        <w:rPr>
          <w:b/>
          <w:bCs/>
          <w:spacing w:val="-4"/>
        </w:rPr>
        <w:t>管理人管理：</w:t>
      </w:r>
      <w:r>
        <w:rPr>
          <w:spacing w:val="-4"/>
        </w:rPr>
        <w:t xml:space="preserve"> </w:t>
      </w:r>
      <w:r>
        <w:rPr>
          <w:spacing w:val="-4"/>
        </w:rPr>
        <w:t>持续申报的</w:t>
      </w:r>
      <w:r>
        <w:t xml:space="preserve"> </w:t>
      </w:r>
      <w:r>
        <w:t>外部管理人与已经委托的管理机构形成竞争，动态调整，灵活采用新的运营机构；</w:t>
      </w:r>
      <w:r>
        <w:rPr>
          <w:spacing w:val="13"/>
        </w:rPr>
        <w:t xml:space="preserve"> </w:t>
      </w:r>
      <w:r>
        <w:rPr>
          <w:spacing w:val="2"/>
        </w:rPr>
        <w:t>委托管理过程中，委托管理人被要求定期每月汇报管理业绩和风险</w:t>
      </w:r>
      <w:r>
        <w:rPr>
          <w:spacing w:val="1"/>
        </w:rPr>
        <w:t>状况，必要时召</w:t>
      </w:r>
      <w:r>
        <w:t xml:space="preserve"> </w:t>
      </w:r>
      <w:r>
        <w:rPr>
          <w:spacing w:val="-5"/>
        </w:rPr>
        <w:t>开会议并听取说明；每年进行年度综合评估，对估值较低</w:t>
      </w:r>
      <w:r>
        <w:rPr>
          <w:spacing w:val="-6"/>
        </w:rPr>
        <w:t>的基金产品进行改善调整，</w:t>
      </w:r>
      <w:r>
        <w:t xml:space="preserve"> </w:t>
      </w:r>
      <w:r>
        <w:rPr>
          <w:spacing w:val="1"/>
        </w:rPr>
        <w:t>同时采用过渡管理人制度以平滑受托机构调整带来的影响。此外</w:t>
      </w:r>
      <w:r>
        <w:t>主动管理机构引入</w:t>
      </w:r>
      <w:r>
        <w:t xml:space="preserve"> </w:t>
      </w:r>
      <w:r>
        <w:rPr>
          <w:spacing w:val="-4"/>
        </w:rPr>
        <w:t>与超额收益挂钩的报酬机制。</w:t>
      </w:r>
    </w:p>
    <w:p>
      <w:pPr>
        <w:spacing w:line="320" w:lineRule="auto"/>
        <w:rPr>
          <w:rFonts w:ascii="Arial"/>
          <w:sz w:val="21"/>
        </w:rPr>
      </w:pPr>
    </w:p>
    <w:p>
      <w:pPr>
        <w:pStyle w:val="BodyText"/>
        <w:spacing w:before="68" w:line="220" w:lineRule="auto"/>
        <w:ind w:left="2868"/>
      </w:pPr>
      <w:r>
        <w:rPr>
          <w:b/>
          <w:bCs/>
          <w:color w:val="000080"/>
          <w:spacing w:val="37"/>
          <w:u w:val="single" w:color="auto"/>
        </w:rPr>
        <w:t>图25:</w:t>
      </w:r>
      <w:r>
        <w:rPr>
          <w:b/>
          <w:bCs/>
          <w:color w:val="000080"/>
          <w:u w:val="single" w:color="auto"/>
        </w:rPr>
        <w:t>GP</w:t>
      </w:r>
      <w:r>
        <w:rPr>
          <w:color w:val="000080"/>
          <w:spacing w:val="-20"/>
        </w:rPr>
        <w:t xml:space="preserve"> </w:t>
      </w:r>
      <w:r>
        <w:rPr>
          <w:b/>
          <w:bCs/>
          <w:color w:val="000080"/>
          <w:u w:val="single" w:color="auto"/>
        </w:rPr>
        <w:t>IF</w:t>
      </w:r>
      <w:r>
        <w:rPr>
          <w:b/>
          <w:bCs/>
          <w:color w:val="000080"/>
          <w:spacing w:val="37"/>
          <w:u w:val="single" w:color="auto"/>
        </w:rPr>
        <w:t>聘任委托管理人经过3轮审查，考察要素较为全面</w:t>
      </w:r>
      <w:r>
        <w:rPr>
          <w:color w:val="000080"/>
          <w:u w:val="single" w:color="auto"/>
        </w:rPr>
        <w:t xml:space="preserve">          </w:t>
      </w:r>
    </w:p>
    <w:p>
      <w:pPr>
        <w:pStyle w:val="BodyText"/>
        <w:spacing w:before="173" w:line="300" w:lineRule="exact"/>
        <w:ind w:firstLine="7685"/>
      </w:pPr>
      <w:r>
        <w:rPr>
          <w:position w:val="-5"/>
        </w:rPr>
        <w:pict>
          <v:group id="_x0000_i1091" style="width:76.5pt;height:15pt;mso-position-horizontal-relative:char;mso-position-vertical-relative:line" coordorigin="0,0" coordsize="1530,300" filled="f" stroked="f">
            <v:shape id="_x0000_s1092" type="#_x0000_t75" style="width:1530;height:300;position:absolute" filled="f" stroked="f">
              <v:imagedata r:id="rId118" o:title=""/>
            </v:shape>
            <v:shape id="_x0000_s1093" type="#_x0000_t202" style="width:1570;height:340;left:-20;position:absolute;top:-20" filled="f" stroked="f">
              <o:lock v:ext="edit" aspectratio="f"/>
              <v:textbox inset="0,0,0,0">
                <w:txbxContent>
                  <w:p>
                    <w:pPr>
                      <w:spacing w:before="160" w:line="223" w:lineRule="auto"/>
                      <w:ind w:left="501"/>
                      <w:rPr>
                        <w:rFonts w:ascii="KaiTi" w:eastAsia="KaiTi" w:hAnsi="KaiTi" w:cs="KaiTi"/>
                        <w:sz w:val="14"/>
                        <w:szCs w:val="14"/>
                      </w:rPr>
                    </w:pPr>
                    <w:r>
                      <w:rPr>
                        <w:rFonts w:ascii="KaiTi" w:eastAsia="KaiTi" w:hAnsi="KaiTi" w:cs="KaiTi"/>
                        <w:b/>
                        <w:bCs/>
                        <w:color w:val="FFFFFF"/>
                        <w:spacing w:val="12"/>
                        <w:sz w:val="14"/>
                        <w:szCs w:val="14"/>
                      </w:rPr>
                      <w:t>评估基准</w:t>
                    </w:r>
                  </w:p>
                </w:txbxContent>
              </v:textbox>
            </v:shape>
            <w10:wrap type="none"/>
          </v:group>
        </w:pict>
      </w:r>
    </w:p>
    <w:p>
      <w:pPr>
        <w:spacing w:before="88"/>
      </w:pPr>
    </w:p>
    <w:tbl>
      <w:tblPr>
        <w:tblStyle w:val="TableNormal11"/>
        <w:tblW w:w="2260" w:type="dxa"/>
        <w:tblInd w:w="7640" w:type="dxa"/>
        <w:tblBorders>
          <w:top w:val="single" w:sz="2" w:space="0" w:color="0000FF"/>
          <w:left w:val="single" w:sz="4" w:space="0" w:color="0000FF"/>
          <w:bottom w:val="single" w:sz="4" w:space="0" w:color="0000FF"/>
          <w:right w:val="single" w:sz="4" w:space="0" w:color="0000FF"/>
        </w:tblBorders>
        <w:tblLayout w:type="fixed"/>
      </w:tblPr>
      <w:tblGrid>
        <w:gridCol w:w="2260"/>
      </w:tblGrid>
      <w:tr>
        <w:tblPrEx>
          <w:tblW w:w="2260" w:type="dxa"/>
          <w:tblInd w:w="7640" w:type="dxa"/>
          <w:tblBorders>
            <w:top w:val="single" w:sz="2" w:space="0" w:color="0000FF"/>
            <w:left w:val="single" w:sz="4" w:space="0" w:color="0000FF"/>
            <w:bottom w:val="single" w:sz="4" w:space="0" w:color="0000FF"/>
            <w:right w:val="single" w:sz="4" w:space="0" w:color="0000FF"/>
          </w:tblBorders>
          <w:tblLayout w:type="fixed"/>
        </w:tblPrEx>
        <w:trPr>
          <w:trHeight w:val="2064"/>
        </w:trPr>
        <w:tc>
          <w:tcPr>
            <w:tcW w:w="2260" w:type="dxa"/>
            <w:vAlign w:val="top"/>
          </w:tcPr>
          <w:p>
            <w:pPr>
              <w:spacing w:before="97" w:line="224" w:lineRule="auto"/>
              <w:ind w:left="100"/>
              <w:rPr>
                <w:rFonts w:ascii="KaiTi" w:eastAsia="KaiTi" w:hAnsi="KaiTi" w:cs="KaiTi"/>
                <w:sz w:val="14"/>
                <w:szCs w:val="14"/>
              </w:rPr>
            </w:pPr>
            <w:r>
              <w:rPr>
                <w:rFonts w:ascii="KaiTi" w:eastAsia="KaiTi" w:hAnsi="KaiTi" w:cs="KaiTi"/>
                <w:spacing w:val="10"/>
                <w:sz w:val="14"/>
                <w:szCs w:val="14"/>
              </w:rPr>
              <w:t>投资策略</w:t>
            </w:r>
          </w:p>
          <w:p>
            <w:pPr>
              <w:spacing w:before="39" w:line="214" w:lineRule="exact"/>
              <w:ind w:left="100"/>
              <w:rPr>
                <w:rFonts w:ascii="SimSun" w:eastAsia="SimSun" w:hAnsi="SimSun" w:cs="SimSun"/>
                <w:sz w:val="14"/>
                <w:szCs w:val="14"/>
              </w:rPr>
            </w:pPr>
            <w:r>
              <w:rPr>
                <w:rFonts w:ascii="KaiTi" w:eastAsia="KaiTi" w:hAnsi="KaiTi" w:cs="KaiTi"/>
                <w:spacing w:val="15"/>
                <w:position w:val="5"/>
                <w:sz w:val="14"/>
                <w:szCs w:val="14"/>
              </w:rPr>
              <w:t>运作流程(考虑</w:t>
            </w:r>
            <w:r>
              <w:rPr>
                <w:rFonts w:ascii="SimSun" w:eastAsia="SimSun" w:hAnsi="SimSun" w:cs="SimSun"/>
                <w:position w:val="5"/>
                <w:sz w:val="14"/>
                <w:szCs w:val="14"/>
              </w:rPr>
              <w:t>ESG</w:t>
            </w:r>
            <w:r>
              <w:rPr>
                <w:rFonts w:ascii="SimSun" w:eastAsia="SimSun" w:hAnsi="SimSun" w:cs="SimSun"/>
                <w:spacing w:val="15"/>
                <w:position w:val="5"/>
                <w:sz w:val="14"/>
                <w:szCs w:val="14"/>
              </w:rPr>
              <w:t>)</w:t>
            </w:r>
          </w:p>
          <w:p>
            <w:pPr>
              <w:spacing w:line="227" w:lineRule="auto"/>
              <w:ind w:left="100"/>
              <w:rPr>
                <w:rFonts w:ascii="KaiTi" w:eastAsia="KaiTi" w:hAnsi="KaiTi" w:cs="KaiTi"/>
                <w:sz w:val="14"/>
                <w:szCs w:val="14"/>
              </w:rPr>
            </w:pPr>
            <w:r>
              <w:rPr>
                <w:rFonts w:ascii="KaiTi" w:eastAsia="KaiTi" w:hAnsi="KaiTi" w:cs="KaiTi"/>
                <w:spacing w:val="10"/>
                <w:sz w:val="14"/>
                <w:szCs w:val="14"/>
              </w:rPr>
              <w:t>组织结构与人才</w:t>
            </w:r>
          </w:p>
          <w:p>
            <w:pPr>
              <w:spacing w:before="35" w:line="224" w:lineRule="auto"/>
              <w:ind w:left="100"/>
              <w:rPr>
                <w:rFonts w:ascii="KaiTi" w:eastAsia="KaiTi" w:hAnsi="KaiTi" w:cs="KaiTi"/>
                <w:sz w:val="14"/>
                <w:szCs w:val="14"/>
              </w:rPr>
            </w:pPr>
            <w:r>
              <w:rPr>
                <w:rFonts w:ascii="KaiTi" w:eastAsia="KaiTi" w:hAnsi="KaiTi" w:cs="KaiTi"/>
                <w:spacing w:val="9"/>
                <w:sz w:val="14"/>
                <w:szCs w:val="14"/>
              </w:rPr>
              <w:t>内部控制</w:t>
            </w:r>
          </w:p>
          <w:p>
            <w:pPr>
              <w:spacing w:before="28" w:line="211" w:lineRule="exact"/>
              <w:ind w:left="100"/>
              <w:rPr>
                <w:rFonts w:ascii="KaiTi" w:eastAsia="KaiTi" w:hAnsi="KaiTi" w:cs="KaiTi"/>
                <w:sz w:val="14"/>
                <w:szCs w:val="14"/>
              </w:rPr>
            </w:pPr>
            <w:r>
              <w:rPr>
                <w:rFonts w:ascii="KaiTi" w:eastAsia="KaiTi" w:hAnsi="KaiTi" w:cs="KaiTi"/>
                <w:spacing w:val="11"/>
                <w:position w:val="5"/>
                <w:sz w:val="14"/>
                <w:szCs w:val="14"/>
              </w:rPr>
              <w:t>管理责任安排</w:t>
            </w:r>
          </w:p>
          <w:p>
            <w:pPr>
              <w:spacing w:line="224" w:lineRule="auto"/>
              <w:ind w:left="100"/>
              <w:rPr>
                <w:rFonts w:ascii="KaiTi" w:eastAsia="KaiTi" w:hAnsi="KaiTi" w:cs="KaiTi"/>
                <w:sz w:val="14"/>
                <w:szCs w:val="14"/>
              </w:rPr>
            </w:pPr>
            <w:r>
              <w:rPr>
                <w:rFonts w:ascii="KaiTi" w:eastAsia="KaiTi" w:hAnsi="KaiTi" w:cs="KaiTi"/>
                <w:spacing w:val="9"/>
                <w:sz w:val="14"/>
                <w:szCs w:val="14"/>
              </w:rPr>
              <w:t>事务处理机制</w:t>
            </w:r>
          </w:p>
          <w:p>
            <w:pPr>
              <w:spacing w:before="32" w:line="227" w:lineRule="auto"/>
              <w:ind w:left="100"/>
              <w:rPr>
                <w:rFonts w:ascii="KaiTi" w:eastAsia="KaiTi" w:hAnsi="KaiTi" w:cs="KaiTi"/>
                <w:sz w:val="14"/>
                <w:szCs w:val="14"/>
              </w:rPr>
            </w:pPr>
            <w:r>
              <w:rPr>
                <w:rFonts w:ascii="KaiTi" w:eastAsia="KaiTi" w:hAnsi="KaiTi" w:cs="KaiTi"/>
                <w:spacing w:val="10"/>
                <w:sz w:val="14"/>
                <w:szCs w:val="14"/>
              </w:rPr>
              <w:t>信息安全措施</w:t>
            </w:r>
          </w:p>
          <w:p>
            <w:pPr>
              <w:spacing w:before="32" w:line="232" w:lineRule="auto"/>
              <w:ind w:left="100"/>
              <w:rPr>
                <w:rFonts w:ascii="KaiTi" w:eastAsia="KaiTi" w:hAnsi="KaiTi" w:cs="KaiTi"/>
                <w:sz w:val="14"/>
                <w:szCs w:val="14"/>
              </w:rPr>
            </w:pPr>
            <w:r>
              <w:rPr>
                <w:rFonts w:ascii="KaiTi" w:eastAsia="KaiTi" w:hAnsi="KaiTi" w:cs="KaiTi"/>
                <w:spacing w:val="7"/>
                <w:sz w:val="14"/>
                <w:szCs w:val="14"/>
              </w:rPr>
              <w:t>信息提供</w:t>
            </w:r>
          </w:p>
          <w:p>
            <w:pPr>
              <w:spacing w:before="37" w:line="223" w:lineRule="auto"/>
              <w:ind w:left="100"/>
              <w:rPr>
                <w:rFonts w:ascii="KaiTi" w:eastAsia="KaiTi" w:hAnsi="KaiTi" w:cs="KaiTi"/>
                <w:sz w:val="14"/>
                <w:szCs w:val="14"/>
              </w:rPr>
            </w:pPr>
            <w:r>
              <w:rPr>
                <w:rFonts w:ascii="KaiTi" w:eastAsia="KaiTi" w:hAnsi="KaiTi" w:cs="KaiTi"/>
                <w:spacing w:val="11"/>
                <w:sz w:val="14"/>
                <w:szCs w:val="14"/>
              </w:rPr>
              <w:t>管理费</w:t>
            </w:r>
          </w:p>
        </w:tc>
      </w:tr>
    </w:tbl>
    <w:p>
      <w:pPr>
        <w:spacing w:line="432" w:lineRule="auto"/>
        <w:rPr>
          <w:rFonts w:ascii="Arial"/>
          <w:sz w:val="21"/>
        </w:rPr>
      </w:pPr>
    </w:p>
    <w:p>
      <w:pPr>
        <w:pStyle w:val="BodyText"/>
        <w:spacing w:before="46" w:line="223" w:lineRule="auto"/>
        <w:ind w:left="4837"/>
        <w:rPr>
          <w:sz w:val="14"/>
          <w:szCs w:val="14"/>
        </w:rPr>
      </w:pPr>
      <w:r>
        <w:drawing>
          <wp:anchor distT="0" distB="0" distL="0" distR="0" simplePos="0" relativeHeight="251713536" behindDoc="1" locked="0" layoutInCell="1" allowOverlap="1">
            <wp:simplePos x="0" y="0"/>
            <wp:positionH relativeFrom="column">
              <wp:posOffset>1870140</wp:posOffset>
            </wp:positionH>
            <wp:positionV relativeFrom="paragraph">
              <wp:posOffset>-2022267</wp:posOffset>
            </wp:positionV>
            <wp:extent cx="2806649" cy="3086115"/>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xmlns:r="http://schemas.openxmlformats.org/officeDocument/2006/relationships" r:embed="rId119"/>
                    <a:stretch>
                      <a:fillRect/>
                    </a:stretch>
                  </pic:blipFill>
                  <pic:spPr>
                    <a:xfrm>
                      <a:off x="0" y="0"/>
                      <a:ext cx="2806649" cy="3086115"/>
                    </a:xfrm>
                    <a:prstGeom prst="rect">
                      <a:avLst/>
                    </a:prstGeom>
                  </pic:spPr>
                </pic:pic>
              </a:graphicData>
            </a:graphic>
          </wp:anchor>
        </w:drawing>
      </w:r>
      <w:r>
        <w:rPr>
          <w:b/>
          <w:bCs/>
          <w:spacing w:val="-4"/>
          <w:sz w:val="14"/>
          <w:szCs w:val="14"/>
        </w:rPr>
        <w:t>第3次审查</w:t>
      </w:r>
    </w:p>
    <w:p>
      <w:pPr>
        <w:pStyle w:val="BodyText"/>
        <w:spacing w:before="41" w:line="220" w:lineRule="auto"/>
        <w:ind w:left="3215"/>
        <w:rPr>
          <w:sz w:val="14"/>
          <w:szCs w:val="14"/>
        </w:rPr>
      </w:pPr>
      <w:r>
        <w:rPr>
          <w:spacing w:val="-10"/>
          <w:sz w:val="14"/>
          <w:szCs w:val="14"/>
        </w:rPr>
        <w:t>(进行现场听证，评估运营系统，运营能力等。此外，还将评估管理</w:t>
      </w:r>
    </w:p>
    <w:p>
      <w:pPr>
        <w:pStyle w:val="BodyText"/>
        <w:spacing w:before="3" w:line="220" w:lineRule="auto"/>
        <w:ind w:left="4325"/>
        <w:rPr>
          <w:sz w:val="14"/>
          <w:szCs w:val="14"/>
        </w:rPr>
      </w:pPr>
      <w:r>
        <w:rPr>
          <w:spacing w:val="-8"/>
          <w:sz w:val="14"/>
          <w:szCs w:val="14"/>
        </w:rPr>
        <w:t>费的合理性，确定综合评分)</w:t>
      </w:r>
    </w:p>
    <w:p>
      <w:pPr>
        <w:spacing w:line="297" w:lineRule="auto"/>
        <w:rPr>
          <w:rFonts w:ascii="Arial"/>
          <w:sz w:val="21"/>
        </w:rPr>
      </w:pPr>
    </w:p>
    <w:p>
      <w:pPr>
        <w:pStyle w:val="BodyText"/>
        <w:spacing w:before="46" w:line="225" w:lineRule="auto"/>
        <w:ind w:left="4727"/>
        <w:rPr>
          <w:sz w:val="14"/>
          <w:szCs w:val="14"/>
        </w:rPr>
      </w:pPr>
      <w:r>
        <w:rPr>
          <w:b/>
          <w:bCs/>
          <w:spacing w:val="8"/>
          <w:sz w:val="14"/>
          <w:szCs w:val="14"/>
        </w:rPr>
        <w:t>确定招聘对象</w:t>
      </w:r>
    </w:p>
    <w:p>
      <w:pPr>
        <w:pStyle w:val="BodyText"/>
        <w:spacing w:before="30" w:line="234" w:lineRule="auto"/>
        <w:ind w:left="3215"/>
        <w:rPr>
          <w:sz w:val="14"/>
          <w:szCs w:val="14"/>
        </w:rPr>
      </w:pPr>
      <w:r>
        <w:rPr>
          <w:spacing w:val="-10"/>
          <w:sz w:val="14"/>
          <w:szCs w:val="14"/>
        </w:rPr>
        <w:t>(从适当的管理规模和分散的风险风格等角度考虑受托管理机构的组</w:t>
      </w:r>
    </w:p>
    <w:p>
      <w:pPr>
        <w:pStyle w:val="BodyText"/>
        <w:spacing w:line="220" w:lineRule="auto"/>
        <w:ind w:left="3215"/>
        <w:rPr>
          <w:sz w:val="14"/>
          <w:szCs w:val="14"/>
        </w:rPr>
      </w:pPr>
      <w:r>
        <w:rPr>
          <w:spacing w:val="-9"/>
          <w:sz w:val="14"/>
          <w:szCs w:val="14"/>
        </w:rPr>
        <w:t>成，并确定要聘用的管理机构，并将选定结果报告管理委员会)</w:t>
      </w:r>
    </w:p>
    <w:p>
      <w:pPr>
        <w:pStyle w:val="BodyText"/>
        <w:spacing w:before="279" w:line="224" w:lineRule="auto"/>
        <w:ind w:left="2865"/>
      </w:pPr>
      <w:r>
        <w:rPr>
          <w:spacing w:val="-20"/>
          <w:w w:val="97"/>
        </w:rPr>
        <w:t>资料来源：</w:t>
      </w:r>
      <w:r>
        <w:rPr>
          <w:rFonts w:ascii="Times New Roman" w:eastAsia="Times New Roman" w:hAnsi="Times New Roman" w:cs="Times New Roman"/>
          <w:spacing w:val="-20"/>
          <w:w w:val="97"/>
        </w:rPr>
        <w:t>GPIF</w:t>
      </w:r>
      <w:r>
        <w:rPr>
          <w:rFonts w:ascii="SimSun" w:eastAsia="SimSun" w:hAnsi="SimSun" w:cs="SimSun"/>
          <w:spacing w:val="-20"/>
          <w:w w:val="97"/>
        </w:rPr>
        <w:t>、</w:t>
      </w:r>
      <w:r>
        <w:rPr>
          <w:spacing w:val="-20"/>
          <w:w w:val="97"/>
        </w:rPr>
        <w:t>开源证券研究所</w:t>
      </w:r>
    </w:p>
    <w:p>
      <w:pPr>
        <w:spacing w:before="108"/>
      </w:pPr>
    </w:p>
    <w:tbl>
      <w:tblPr>
        <w:tblStyle w:val="TableNormal11"/>
        <w:tblW w:w="105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402"/>
        <w:gridCol w:w="2326"/>
        <w:gridCol w:w="4792"/>
      </w:tblGrid>
      <w:tr>
        <w:tblPrEx>
          <w:tblW w:w="105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9"/>
        </w:trPr>
        <w:tc>
          <w:tcPr>
            <w:tcW w:w="5728" w:type="dxa"/>
            <w:gridSpan w:val="2"/>
            <w:tcBorders>
              <w:top w:val="nil"/>
              <w:right w:val="nil"/>
            </w:tcBorders>
            <w:shd w:val="clear" w:color="auto" w:fill="00007F"/>
            <w:vAlign w:val="top"/>
          </w:tcPr>
          <w:p>
            <w:pPr>
              <w:spacing w:before="13" w:line="351" w:lineRule="auto"/>
              <w:jc w:val="right"/>
              <w:rPr>
                <w:rFonts w:ascii="SimSun" w:eastAsia="SimSun" w:hAnsi="SimSun" w:cs="SimSun"/>
                <w:sz w:val="18"/>
                <w:szCs w:val="18"/>
              </w:rPr>
            </w:pPr>
            <w:r>
              <w:rPr>
                <w:rFonts w:ascii="SimSun" w:eastAsia="SimSun" w:hAnsi="SimSun" w:cs="SimSun"/>
                <w:b/>
                <w:bCs/>
                <w:color w:val="FFFFFF"/>
                <w:sz w:val="18"/>
                <w:szCs w:val="18"/>
                <w:u w:val="single" w:color="auto"/>
              </w:rPr>
              <w:t>表</w:t>
            </w:r>
            <w:r>
              <w:rPr>
                <w:rFonts w:ascii="SimSun" w:eastAsia="SimSun" w:hAnsi="SimSun" w:cs="SimSun"/>
                <w:color w:val="FFFFFF"/>
                <w:sz w:val="18"/>
                <w:szCs w:val="18"/>
                <w:u w:val="single" w:color="auto"/>
              </w:rPr>
              <w:t xml:space="preserve"> </w:t>
            </w:r>
            <w:r>
              <w:rPr>
                <w:rFonts w:ascii="SimSun" w:eastAsia="SimSun" w:hAnsi="SimSun" w:cs="SimSun"/>
                <w:b/>
                <w:bCs/>
                <w:color w:val="FFFFFF"/>
                <w:sz w:val="18"/>
                <w:szCs w:val="18"/>
                <w:u w:val="single" w:color="auto"/>
              </w:rPr>
              <w:t>1</w:t>
            </w:r>
            <w:r>
              <w:rPr>
                <w:rFonts w:ascii="SimSun" w:eastAsia="SimSun" w:hAnsi="SimSun" w:cs="SimSun"/>
                <w:b/>
                <w:bCs/>
                <w:color w:val="FFFFFF"/>
                <w:sz w:val="18"/>
                <w:szCs w:val="18"/>
              </w:rPr>
              <w:t>1</w:t>
            </w:r>
            <w:r>
              <w:rPr>
                <w:rFonts w:ascii="SimSun" w:eastAsia="SimSun" w:hAnsi="SimSun" w:cs="SimSun"/>
                <w:color w:val="FFFFFF"/>
                <w:spacing w:val="-23"/>
                <w:sz w:val="18"/>
                <w:szCs w:val="18"/>
              </w:rPr>
              <w:t xml:space="preserve"> </w:t>
            </w:r>
            <w:r>
              <w:rPr>
                <w:rFonts w:ascii="SimSun" w:eastAsia="SimSun" w:hAnsi="SimSun" w:cs="SimSun"/>
                <w:b/>
                <w:bCs/>
                <w:color w:val="FFFFFF"/>
                <w:sz w:val="18"/>
                <w:szCs w:val="18"/>
              </w:rPr>
              <w:t>:GP</w:t>
            </w:r>
            <w:r>
              <w:rPr>
                <w:rFonts w:ascii="SimSun" w:eastAsia="SimSun" w:hAnsi="SimSun" w:cs="SimSun"/>
                <w:color w:val="FFFFFF"/>
                <w:spacing w:val="-40"/>
                <w:sz w:val="18"/>
                <w:szCs w:val="18"/>
              </w:rPr>
              <w:t xml:space="preserve"> </w:t>
            </w:r>
            <w:r>
              <w:rPr>
                <w:rFonts w:ascii="SimSun" w:eastAsia="SimSun" w:hAnsi="SimSun" w:cs="SimSun"/>
                <w:b/>
                <w:bCs/>
                <w:color w:val="FFFFFF"/>
                <w:sz w:val="18"/>
                <w:szCs w:val="18"/>
              </w:rPr>
              <w:t>IF委托管理人以具有</w:t>
            </w:r>
            <w:r>
              <w:rPr>
                <w:rFonts w:ascii="SimSun" w:eastAsia="SimSun" w:hAnsi="SimSun" w:cs="SimSun"/>
                <w:color w:val="FFFFFF"/>
                <w:spacing w:val="-47"/>
                <w:sz w:val="18"/>
                <w:szCs w:val="18"/>
              </w:rPr>
              <w:t xml:space="preserve"> </w:t>
            </w:r>
            <w:r>
              <w:rPr>
                <w:rFonts w:ascii="SimSun" w:eastAsia="SimSun" w:hAnsi="SimSun" w:cs="SimSun"/>
                <w:b/>
                <w:bCs/>
                <w:color w:val="FFFFFF"/>
                <w:sz w:val="18"/>
                <w:szCs w:val="18"/>
              </w:rPr>
              <w:t>一</w:t>
            </w:r>
            <w:r>
              <w:rPr>
                <w:rFonts w:ascii="SimSun" w:eastAsia="SimSun" w:hAnsi="SimSun" w:cs="SimSun"/>
                <w:color w:val="FFFFFF"/>
                <w:spacing w:val="-46"/>
                <w:sz w:val="18"/>
                <w:szCs w:val="18"/>
              </w:rPr>
              <w:t xml:space="preserve"> </w:t>
            </w:r>
            <w:r>
              <w:rPr>
                <w:rFonts w:ascii="SimSun" w:eastAsia="SimSun" w:hAnsi="SimSun" w:cs="SimSun"/>
                <w:b/>
                <w:bCs/>
                <w:color w:val="FFFFFF"/>
                <w:sz w:val="18"/>
                <w:szCs w:val="18"/>
              </w:rPr>
              <w:t>定</w:t>
            </w:r>
            <w:r>
              <w:rPr>
                <w:rFonts w:ascii="SimSun" w:eastAsia="SimSun" w:hAnsi="SimSun" w:cs="SimSun"/>
                <w:b/>
                <w:bCs/>
                <w:color w:val="FFFFFF"/>
                <w:sz w:val="18"/>
                <w:szCs w:val="18"/>
                <w:u w:val="single" w:color="auto"/>
              </w:rPr>
              <w:t>规</w:t>
            </w:r>
            <w:r>
              <w:rPr>
                <w:rFonts w:ascii="SimSun" w:eastAsia="SimSun" w:hAnsi="SimSun" w:cs="SimSun"/>
                <w:color w:val="FFFFFF"/>
                <w:spacing w:val="-20"/>
                <w:sz w:val="18"/>
                <w:szCs w:val="18"/>
                <w:u w:val="single" w:color="auto"/>
              </w:rPr>
              <w:t xml:space="preserve"> </w:t>
            </w:r>
            <w:r>
              <w:rPr>
                <w:rFonts w:ascii="SimSun" w:eastAsia="SimSun" w:hAnsi="SimSun" w:cs="SimSun"/>
                <w:b/>
                <w:bCs/>
                <w:color w:val="FFFFFF"/>
                <w:sz w:val="18"/>
                <w:szCs w:val="18"/>
                <w:u w:val="single" w:color="auto"/>
              </w:rPr>
              <w:t>模</w:t>
            </w:r>
            <w:r>
              <w:rPr>
                <w:rFonts w:ascii="SimSun" w:eastAsia="SimSun" w:hAnsi="SimSun" w:cs="SimSun"/>
                <w:color w:val="FFFFFF"/>
                <w:sz w:val="18"/>
                <w:szCs w:val="18"/>
                <w:u w:val="single" w:color="auto"/>
              </w:rPr>
              <w:t xml:space="preserve"> </w:t>
            </w:r>
            <w:r>
              <w:rPr>
                <w:rFonts w:ascii="SimSun" w:eastAsia="SimSun" w:hAnsi="SimSun" w:cs="SimSun"/>
                <w:b/>
                <w:bCs/>
                <w:color w:val="FFFFFF"/>
                <w:spacing w:val="-1"/>
                <w:sz w:val="18"/>
                <w:szCs w:val="18"/>
                <w:u w:val="single" w:color="auto"/>
              </w:rPr>
              <w:t>的</w:t>
            </w:r>
            <w:r>
              <w:rPr>
                <w:rFonts w:ascii="SimSun" w:eastAsia="SimSun" w:hAnsi="SimSun" w:cs="SimSun"/>
                <w:b/>
                <w:bCs/>
                <w:color w:val="FFFFFF"/>
                <w:spacing w:val="-1"/>
                <w:sz w:val="18"/>
                <w:szCs w:val="18"/>
              </w:rPr>
              <w:t>资</w:t>
            </w:r>
            <w:r>
              <w:rPr>
                <w:rFonts w:ascii="SimSun" w:eastAsia="SimSun" w:hAnsi="SimSun" w:cs="SimSun"/>
                <w:color w:val="FFFFFF"/>
                <w:spacing w:val="-33"/>
                <w:sz w:val="18"/>
                <w:szCs w:val="18"/>
              </w:rPr>
              <w:t xml:space="preserve"> </w:t>
            </w:r>
            <w:r>
              <w:rPr>
                <w:rFonts w:ascii="SimSun" w:eastAsia="SimSun" w:hAnsi="SimSun" w:cs="SimSun"/>
                <w:b/>
                <w:bCs/>
                <w:color w:val="FFFFFF"/>
                <w:spacing w:val="-1"/>
                <w:sz w:val="18"/>
                <w:szCs w:val="18"/>
              </w:rPr>
              <w:t>产</w:t>
            </w:r>
            <w:r>
              <w:rPr>
                <w:rFonts w:ascii="SimSun" w:eastAsia="SimSun" w:hAnsi="SimSun" w:cs="SimSun"/>
                <w:color w:val="FFFFFF"/>
                <w:spacing w:val="-29"/>
                <w:sz w:val="18"/>
                <w:szCs w:val="18"/>
              </w:rPr>
              <w:t xml:space="preserve"> </w:t>
            </w:r>
            <w:r>
              <w:rPr>
                <w:rFonts w:ascii="SimSun" w:eastAsia="SimSun" w:hAnsi="SimSun" w:cs="SimSun"/>
                <w:b/>
                <w:bCs/>
                <w:color w:val="FFFFFF"/>
                <w:spacing w:val="-1"/>
                <w:sz w:val="18"/>
                <w:szCs w:val="18"/>
              </w:rPr>
              <w:t>管</w:t>
            </w:r>
            <w:r>
              <w:rPr>
                <w:rFonts w:ascii="SimSun" w:eastAsia="SimSun" w:hAnsi="SimSun" w:cs="SimSun"/>
                <w:color w:val="FFFFFF"/>
                <w:spacing w:val="-30"/>
                <w:sz w:val="18"/>
                <w:szCs w:val="18"/>
              </w:rPr>
              <w:t xml:space="preserve"> </w:t>
            </w:r>
            <w:r>
              <w:rPr>
                <w:rFonts w:ascii="SimSun" w:eastAsia="SimSun" w:hAnsi="SimSun" w:cs="SimSun"/>
                <w:b/>
                <w:bCs/>
                <w:color w:val="FFFFFF"/>
                <w:spacing w:val="-1"/>
                <w:sz w:val="18"/>
                <w:szCs w:val="18"/>
              </w:rPr>
              <w:t>理</w:t>
            </w:r>
            <w:r>
              <w:rPr>
                <w:rFonts w:ascii="SimSun" w:eastAsia="SimSun" w:hAnsi="SimSun" w:cs="SimSun"/>
                <w:color w:val="FFFFFF"/>
                <w:spacing w:val="-28"/>
                <w:sz w:val="18"/>
                <w:szCs w:val="18"/>
              </w:rPr>
              <w:t xml:space="preserve"> </w:t>
            </w:r>
            <w:r>
              <w:rPr>
                <w:rFonts w:ascii="SimSun" w:eastAsia="SimSun" w:hAnsi="SimSun" w:cs="SimSun"/>
                <w:b/>
                <w:bCs/>
                <w:color w:val="FFFFFF"/>
                <w:spacing w:val="-1"/>
                <w:sz w:val="18"/>
                <w:szCs w:val="18"/>
              </w:rPr>
              <w:t>公</w:t>
            </w:r>
            <w:r>
              <w:rPr>
                <w:rFonts w:ascii="SimSun" w:eastAsia="SimSun" w:hAnsi="SimSun" w:cs="SimSun"/>
                <w:b/>
                <w:bCs/>
                <w:color w:val="FFFFFF"/>
                <w:spacing w:val="-1"/>
                <w:sz w:val="18"/>
                <w:szCs w:val="18"/>
                <w:u w:val="single" w:color="auto"/>
              </w:rPr>
              <w:t>司</w:t>
            </w:r>
            <w:r>
              <w:rPr>
                <w:rFonts w:ascii="SimSun" w:eastAsia="SimSun" w:hAnsi="SimSun" w:cs="SimSun"/>
                <w:color w:val="FFFFFF"/>
                <w:spacing w:val="-1"/>
                <w:sz w:val="18"/>
                <w:szCs w:val="18"/>
                <w:u w:val="single" w:color="auto"/>
              </w:rPr>
              <w:t xml:space="preserve"> </w:t>
            </w:r>
            <w:r>
              <w:rPr>
                <w:rFonts w:ascii="SimSun" w:eastAsia="SimSun" w:hAnsi="SimSun" w:cs="SimSun"/>
                <w:b/>
                <w:bCs/>
                <w:color w:val="FFFFFF"/>
                <w:spacing w:val="-1"/>
                <w:sz w:val="18"/>
                <w:szCs w:val="18"/>
                <w:u w:val="single" w:color="auto"/>
              </w:rPr>
              <w:t>为</w:t>
            </w:r>
            <w:r>
              <w:rPr>
                <w:rFonts w:ascii="SimSun" w:eastAsia="SimSun" w:hAnsi="SimSun" w:cs="SimSun"/>
                <w:b/>
                <w:bCs/>
                <w:color w:val="FFFFFF"/>
                <w:spacing w:val="-1"/>
                <w:sz w:val="18"/>
                <w:szCs w:val="18"/>
              </w:rPr>
              <w:t>主</w:t>
            </w:r>
            <w:r>
              <w:rPr>
                <w:rFonts w:ascii="SimSun" w:eastAsia="SimSun" w:hAnsi="SimSun" w:cs="SimSun"/>
                <w:color w:val="FFFFFF"/>
                <w:spacing w:val="-39"/>
                <w:sz w:val="18"/>
                <w:szCs w:val="18"/>
              </w:rPr>
              <w:t xml:space="preserve"> </w:t>
            </w:r>
            <w:r>
              <w:rPr>
                <w:rFonts w:ascii="SimSun" w:eastAsia="SimSun" w:hAnsi="SimSun" w:cs="SimSun"/>
                <w:b/>
                <w:bCs/>
                <w:color w:val="FFFFFF"/>
                <w:spacing w:val="-1"/>
                <w:sz w:val="18"/>
                <w:szCs w:val="18"/>
              </w:rPr>
              <w:t>，</w:t>
            </w:r>
          </w:p>
          <w:p>
            <w:pPr>
              <w:spacing w:line="208" w:lineRule="auto"/>
              <w:ind w:left="1457"/>
              <w:rPr>
                <w:rFonts w:ascii="SimSun" w:eastAsia="SimSun" w:hAnsi="SimSun" w:cs="SimSun"/>
                <w:sz w:val="18"/>
                <w:szCs w:val="18"/>
              </w:rPr>
            </w:pPr>
            <w:r>
              <w:rPr>
                <w:rFonts w:ascii="SimSun" w:eastAsia="SimSun" w:hAnsi="SimSun" w:cs="SimSun"/>
                <w:b/>
                <w:bCs/>
                <w:color w:val="FFFFFF"/>
                <w:spacing w:val="-5"/>
                <w:sz w:val="18"/>
                <w:szCs w:val="18"/>
              </w:rPr>
              <w:t>关键词</w:t>
            </w:r>
          </w:p>
        </w:tc>
        <w:tc>
          <w:tcPr>
            <w:tcW w:w="4792" w:type="dxa"/>
            <w:tcBorders>
              <w:top w:val="nil"/>
              <w:left w:val="nil"/>
            </w:tcBorders>
            <w:shd w:val="clear" w:color="auto" w:fill="00007F"/>
            <w:vAlign w:val="top"/>
          </w:tcPr>
          <w:p>
            <w:pPr>
              <w:spacing w:before="13" w:line="360" w:lineRule="auto"/>
              <w:ind w:left="93"/>
              <w:rPr>
                <w:rFonts w:ascii="SimSun" w:eastAsia="SimSun" w:hAnsi="SimSun" w:cs="SimSun"/>
                <w:sz w:val="18"/>
                <w:szCs w:val="18"/>
              </w:rPr>
            </w:pPr>
            <w:r>
              <w:rPr>
                <w:rFonts w:ascii="SimSun" w:eastAsia="SimSun" w:hAnsi="SimSun" w:cs="SimSun"/>
                <w:b/>
                <w:bCs/>
                <w:color w:val="FFFFFF"/>
                <w:spacing w:val="-15"/>
                <w:sz w:val="18"/>
                <w:szCs w:val="18"/>
              </w:rPr>
              <w:t>每</w:t>
            </w:r>
            <w:r>
              <w:rPr>
                <w:rFonts w:ascii="SimSun" w:eastAsia="SimSun" w:hAnsi="SimSun" w:cs="SimSun"/>
                <w:color w:val="FFFFFF"/>
                <w:spacing w:val="-16"/>
                <w:sz w:val="18"/>
                <w:szCs w:val="18"/>
              </w:rPr>
              <w:t xml:space="preserve"> </w:t>
            </w:r>
            <w:r>
              <w:rPr>
                <w:rFonts w:ascii="SimSun" w:eastAsia="SimSun" w:hAnsi="SimSun" w:cs="SimSun"/>
                <w:b/>
                <w:bCs/>
                <w:color w:val="FFFFFF"/>
                <w:spacing w:val="-15"/>
                <w:sz w:val="18"/>
                <w:szCs w:val="18"/>
              </w:rPr>
              <w:t>年</w:t>
            </w:r>
            <w:r>
              <w:rPr>
                <w:rFonts w:ascii="SimSun" w:eastAsia="SimSun" w:hAnsi="SimSun" w:cs="SimSun"/>
                <w:b/>
                <w:bCs/>
                <w:color w:val="FFFFFF"/>
                <w:spacing w:val="-15"/>
                <w:sz w:val="18"/>
                <w:szCs w:val="18"/>
                <w:u w:val="single" w:color="auto"/>
              </w:rPr>
              <w:t>要</w:t>
            </w:r>
            <w:r>
              <w:rPr>
                <w:rFonts w:ascii="SimSun" w:eastAsia="SimSun" w:hAnsi="SimSun" w:cs="SimSun"/>
                <w:color w:val="FFFFFF"/>
                <w:spacing w:val="-15"/>
                <w:sz w:val="18"/>
                <w:szCs w:val="18"/>
                <w:u w:val="single" w:color="auto"/>
              </w:rPr>
              <w:t xml:space="preserve"> </w:t>
            </w:r>
            <w:r>
              <w:rPr>
                <w:rFonts w:ascii="SimSun" w:eastAsia="SimSun" w:hAnsi="SimSun" w:cs="SimSun"/>
                <w:b/>
                <w:bCs/>
                <w:color w:val="FFFFFF"/>
                <w:spacing w:val="-15"/>
                <w:sz w:val="18"/>
                <w:szCs w:val="18"/>
                <w:u w:val="single" w:color="auto"/>
              </w:rPr>
              <w:t>求</w:t>
            </w:r>
            <w:r>
              <w:rPr>
                <w:rFonts w:ascii="SimSun" w:eastAsia="SimSun" w:hAnsi="SimSun" w:cs="SimSun"/>
                <w:color w:val="FFFFFF"/>
                <w:spacing w:val="-15"/>
                <w:sz w:val="18"/>
                <w:szCs w:val="18"/>
                <w:u w:val="single" w:color="auto"/>
              </w:rPr>
              <w:t xml:space="preserve"> </w:t>
            </w:r>
            <w:r>
              <w:rPr>
                <w:rFonts w:ascii="SimSun" w:eastAsia="SimSun" w:hAnsi="SimSun" w:cs="SimSun"/>
                <w:b/>
                <w:bCs/>
                <w:color w:val="FFFFFF"/>
                <w:spacing w:val="-15"/>
                <w:sz w:val="18"/>
                <w:szCs w:val="18"/>
                <w:u w:val="single" w:color="auto"/>
              </w:rPr>
              <w:t>综</w:t>
            </w:r>
            <w:r>
              <w:rPr>
                <w:rFonts w:ascii="SimSun" w:eastAsia="SimSun" w:hAnsi="SimSun" w:cs="SimSun"/>
                <w:color w:val="FFFFFF"/>
                <w:spacing w:val="-17"/>
                <w:sz w:val="18"/>
                <w:szCs w:val="18"/>
                <w:u w:val="single" w:color="auto"/>
              </w:rPr>
              <w:t xml:space="preserve"> </w:t>
            </w:r>
            <w:r>
              <w:rPr>
                <w:rFonts w:ascii="SimSun" w:eastAsia="SimSun" w:hAnsi="SimSun" w:cs="SimSun"/>
                <w:b/>
                <w:bCs/>
                <w:color w:val="FFFFFF"/>
                <w:spacing w:val="-15"/>
                <w:sz w:val="18"/>
                <w:szCs w:val="18"/>
                <w:u w:val="single" w:color="auto"/>
              </w:rPr>
              <w:t>合</w:t>
            </w:r>
            <w:r>
              <w:rPr>
                <w:rFonts w:ascii="SimSun" w:eastAsia="SimSun" w:hAnsi="SimSun" w:cs="SimSun"/>
                <w:color w:val="FFFFFF"/>
                <w:spacing w:val="-18"/>
                <w:sz w:val="18"/>
                <w:szCs w:val="18"/>
                <w:u w:val="single" w:color="auto"/>
              </w:rPr>
              <w:t xml:space="preserve"> </w:t>
            </w:r>
            <w:r>
              <w:rPr>
                <w:rFonts w:ascii="SimSun" w:eastAsia="SimSun" w:hAnsi="SimSun" w:cs="SimSun"/>
                <w:b/>
                <w:bCs/>
                <w:color w:val="FFFFFF"/>
                <w:spacing w:val="-15"/>
                <w:sz w:val="18"/>
                <w:szCs w:val="18"/>
                <w:u w:val="single" w:color="auto"/>
              </w:rPr>
              <w:t>评</w:t>
            </w:r>
            <w:r>
              <w:rPr>
                <w:rFonts w:ascii="SimSun" w:eastAsia="SimSun" w:hAnsi="SimSun" w:cs="SimSun"/>
                <w:color w:val="FFFFFF"/>
                <w:spacing w:val="-18"/>
                <w:sz w:val="18"/>
                <w:szCs w:val="18"/>
                <w:u w:val="single" w:color="auto"/>
              </w:rPr>
              <w:t xml:space="preserve"> </w:t>
            </w:r>
            <w:r>
              <w:rPr>
                <w:rFonts w:ascii="SimSun" w:eastAsia="SimSun" w:hAnsi="SimSun" w:cs="SimSun"/>
                <w:b/>
                <w:bCs/>
                <w:color w:val="FFFFFF"/>
                <w:spacing w:val="-15"/>
                <w:sz w:val="18"/>
                <w:szCs w:val="18"/>
                <w:u w:val="single" w:color="auto"/>
              </w:rPr>
              <w:t>估</w:t>
            </w:r>
            <w:r>
              <w:rPr>
                <w:rFonts w:ascii="SimSun" w:eastAsia="SimSun" w:hAnsi="SimSun" w:cs="SimSun"/>
                <w:color w:val="FFFFFF"/>
                <w:spacing w:val="-24"/>
                <w:sz w:val="18"/>
                <w:szCs w:val="18"/>
                <w:u w:val="single" w:color="auto"/>
              </w:rPr>
              <w:t xml:space="preserve"> </w:t>
            </w:r>
            <w:r>
              <w:rPr>
                <w:rFonts w:ascii="SimSun" w:eastAsia="SimSun" w:hAnsi="SimSun" w:cs="SimSun"/>
                <w:b/>
                <w:bCs/>
                <w:color w:val="FFFFFF"/>
                <w:spacing w:val="-15"/>
                <w:sz w:val="18"/>
                <w:szCs w:val="18"/>
                <w:u w:val="single" w:color="auto"/>
              </w:rPr>
              <w:t>，</w:t>
            </w:r>
            <w:r>
              <w:rPr>
                <w:rFonts w:ascii="SimSun" w:eastAsia="SimSun" w:hAnsi="SimSun" w:cs="SimSun"/>
                <w:b/>
                <w:bCs/>
                <w:color w:val="FFFFFF"/>
                <w:spacing w:val="-15"/>
                <w:sz w:val="18"/>
                <w:szCs w:val="18"/>
              </w:rPr>
              <w:t>动态</w:t>
            </w:r>
            <w:r>
              <w:rPr>
                <w:rFonts w:ascii="SimSun" w:eastAsia="SimSun" w:hAnsi="SimSun" w:cs="SimSun"/>
                <w:color w:val="FFFFFF"/>
                <w:spacing w:val="-39"/>
                <w:sz w:val="18"/>
                <w:szCs w:val="18"/>
              </w:rPr>
              <w:t xml:space="preserve"> </w:t>
            </w:r>
            <w:r>
              <w:rPr>
                <w:rFonts w:ascii="SimSun" w:eastAsia="SimSun" w:hAnsi="SimSun" w:cs="SimSun"/>
                <w:b/>
                <w:bCs/>
                <w:color w:val="FFFFFF"/>
                <w:spacing w:val="-15"/>
                <w:sz w:val="18"/>
                <w:szCs w:val="18"/>
              </w:rPr>
              <w:t>调</w:t>
            </w:r>
            <w:r>
              <w:rPr>
                <w:rFonts w:ascii="SimSun" w:eastAsia="SimSun" w:hAnsi="SimSun" w:cs="SimSun"/>
                <w:color w:val="FFFFFF"/>
                <w:spacing w:val="-38"/>
                <w:sz w:val="18"/>
                <w:szCs w:val="18"/>
              </w:rPr>
              <w:t xml:space="preserve"> </w:t>
            </w:r>
            <w:r>
              <w:rPr>
                <w:rFonts w:ascii="SimSun" w:eastAsia="SimSun" w:hAnsi="SimSun" w:cs="SimSun"/>
                <w:b/>
                <w:bCs/>
                <w:color w:val="FFFFFF"/>
                <w:spacing w:val="-15"/>
                <w:sz w:val="18"/>
                <w:szCs w:val="18"/>
              </w:rPr>
              <w:t>整</w:t>
            </w:r>
            <w:r>
              <w:rPr>
                <w:rFonts w:ascii="SimSun" w:eastAsia="SimSun" w:hAnsi="SimSun" w:cs="SimSun"/>
                <w:color w:val="FFFFFF"/>
                <w:spacing w:val="-40"/>
                <w:sz w:val="18"/>
                <w:szCs w:val="18"/>
              </w:rPr>
              <w:t xml:space="preserve"> </w:t>
            </w:r>
            <w:r>
              <w:rPr>
                <w:rFonts w:ascii="SimSun" w:eastAsia="SimSun" w:hAnsi="SimSun" w:cs="SimSun"/>
                <w:b/>
                <w:bCs/>
                <w:color w:val="FFFFFF"/>
                <w:spacing w:val="-15"/>
                <w:sz w:val="18"/>
                <w:szCs w:val="18"/>
              </w:rPr>
              <w:t>运</w:t>
            </w:r>
            <w:r>
              <w:rPr>
                <w:rFonts w:ascii="SimSun" w:eastAsia="SimSun" w:hAnsi="SimSun" w:cs="SimSun"/>
                <w:color w:val="FFFFFF"/>
                <w:spacing w:val="-34"/>
                <w:sz w:val="18"/>
                <w:szCs w:val="18"/>
              </w:rPr>
              <w:t xml:space="preserve"> </w:t>
            </w:r>
            <w:r>
              <w:rPr>
                <w:rFonts w:ascii="SimSun" w:eastAsia="SimSun" w:hAnsi="SimSun" w:cs="SimSun"/>
                <w:b/>
                <w:bCs/>
                <w:color w:val="FFFFFF"/>
                <w:spacing w:val="-15"/>
                <w:sz w:val="18"/>
                <w:szCs w:val="18"/>
              </w:rPr>
              <w:t>营</w:t>
            </w:r>
            <w:r>
              <w:rPr>
                <w:rFonts w:ascii="SimSun" w:eastAsia="SimSun" w:hAnsi="SimSun" w:cs="SimSun"/>
                <w:color w:val="FFFFFF"/>
                <w:spacing w:val="-40"/>
                <w:sz w:val="18"/>
                <w:szCs w:val="18"/>
              </w:rPr>
              <w:t xml:space="preserve"> </w:t>
            </w:r>
            <w:r>
              <w:rPr>
                <w:rFonts w:ascii="SimSun" w:eastAsia="SimSun" w:hAnsi="SimSun" w:cs="SimSun"/>
                <w:b/>
                <w:bCs/>
                <w:color w:val="FFFFFF"/>
                <w:spacing w:val="-15"/>
                <w:sz w:val="18"/>
                <w:szCs w:val="18"/>
              </w:rPr>
              <w:t>机</w:t>
            </w:r>
            <w:r>
              <w:rPr>
                <w:rFonts w:ascii="SimSun" w:eastAsia="SimSun" w:hAnsi="SimSun" w:cs="SimSun"/>
                <w:color w:val="FFFFFF"/>
                <w:spacing w:val="-37"/>
                <w:sz w:val="18"/>
                <w:szCs w:val="18"/>
              </w:rPr>
              <w:t xml:space="preserve"> </w:t>
            </w:r>
            <w:r>
              <w:rPr>
                <w:rFonts w:ascii="SimSun" w:eastAsia="SimSun" w:hAnsi="SimSun" w:cs="SimSun"/>
                <w:b/>
                <w:bCs/>
                <w:color w:val="FFFFFF"/>
                <w:spacing w:val="-15"/>
                <w:sz w:val="18"/>
                <w:szCs w:val="18"/>
              </w:rPr>
              <w:t>构</w:t>
            </w:r>
            <w:r>
              <w:rPr>
                <w:rFonts w:ascii="SimSun" w:eastAsia="SimSun" w:hAnsi="SimSun" w:cs="SimSun"/>
                <w:color w:val="FFFFFF"/>
                <w:sz w:val="18"/>
                <w:szCs w:val="18"/>
                <w:u w:val="single" w:color="000000"/>
              </w:rPr>
              <w:t xml:space="preserve">    </w:t>
            </w:r>
          </w:p>
          <w:p>
            <w:pPr>
              <w:spacing w:line="199" w:lineRule="auto"/>
              <w:ind w:left="894"/>
              <w:rPr>
                <w:rFonts w:ascii="SimSun" w:eastAsia="SimSun" w:hAnsi="SimSun" w:cs="SimSun"/>
                <w:sz w:val="18"/>
                <w:szCs w:val="18"/>
              </w:rPr>
            </w:pPr>
            <w:r>
              <w:rPr>
                <w:rFonts w:ascii="SimSun" w:eastAsia="SimSun" w:hAnsi="SimSun" w:cs="SimSun"/>
                <w:b/>
                <w:bCs/>
                <w:color w:val="FFFFFF"/>
                <w:spacing w:val="-4"/>
                <w:sz w:val="18"/>
                <w:szCs w:val="18"/>
              </w:rPr>
              <w:t>主要内容</w:t>
            </w:r>
          </w:p>
        </w:tc>
      </w:tr>
      <w:tr>
        <w:tblPrEx>
          <w:tblW w:w="10520" w:type="dxa"/>
          <w:tblInd w:w="5" w:type="dxa"/>
          <w:tblLayout w:type="fixed"/>
        </w:tblPrEx>
        <w:trPr>
          <w:trHeight w:val="299"/>
        </w:trPr>
        <w:tc>
          <w:tcPr>
            <w:tcW w:w="3402" w:type="dxa"/>
            <w:tcBorders>
              <w:bottom w:val="nil"/>
              <w:right w:val="nil"/>
            </w:tcBorders>
            <w:vAlign w:val="top"/>
          </w:tcPr>
          <w:p>
            <w:pPr>
              <w:spacing w:line="332" w:lineRule="auto"/>
              <w:rPr>
                <w:rFonts w:ascii="Arial"/>
                <w:sz w:val="21"/>
              </w:rPr>
            </w:pPr>
          </w:p>
          <w:p>
            <w:pPr>
              <w:spacing w:line="333" w:lineRule="auto"/>
              <w:rPr>
                <w:rFonts w:ascii="Arial"/>
                <w:sz w:val="21"/>
              </w:rPr>
            </w:pPr>
          </w:p>
        </w:tc>
        <w:tc>
          <w:tcPr>
            <w:tcW w:w="7118" w:type="dxa"/>
            <w:gridSpan w:val="2"/>
            <w:tcBorders>
              <w:left w:val="nil"/>
            </w:tcBorders>
            <w:vAlign w:val="top"/>
          </w:tcPr>
          <w:p>
            <w:pPr>
              <w:spacing w:before="58" w:line="219" w:lineRule="auto"/>
              <w:ind w:left="68"/>
              <w:rPr>
                <w:rFonts w:ascii="SimSun" w:eastAsia="SimSun" w:hAnsi="SimSun" w:cs="SimSun"/>
                <w:sz w:val="18"/>
                <w:szCs w:val="18"/>
              </w:rPr>
            </w:pPr>
            <w:r>
              <w:rPr>
                <w:rFonts w:ascii="SimSun" w:eastAsia="SimSun" w:hAnsi="SimSun" w:cs="SimSun"/>
                <w:sz w:val="18"/>
                <w:szCs w:val="18"/>
              </w:rPr>
              <w:t>已获得受托管理和管理养老金公积金所需的授权等</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20" w:history="1">
        <w:r>
          <w:rPr>
            <w:rFonts w:ascii="SimSun" w:eastAsia="SimSun" w:hAnsi="SimSun" w:cs="SimSun"/>
            <w:b/>
            <w:bCs/>
            <w:noProof w:val="0"/>
            <w:snapToGrid/>
            <w:color w:val="0000EE"/>
            <w:kern w:val="0"/>
            <w:sz w:val="30"/>
            <w:szCs w:val="30"/>
            <w:u w:val="single" w:color="0000EE"/>
          </w:rPr>
          <w:t>https://d.book118.com/966152143200010055</w:t>
        </w:r>
      </w:hyperlink>
    </w:p>
    <w:p/>
    <w:sectPr>
      <w:footerReference w:type="default" r:id="rId121"/>
      <w:pgSz w:w="11910" w:h="16840"/>
      <w:pgMar w:top="156" w:right="679" w:bottom="400" w:left="674" w:header="0" w:footer="0" w:gutter="0"/>
      <w:pgNumType w:start="65"/>
      <w:cols w:num="1" w:space="708" w:equalWidth="0">
        <w:col w:w="10556"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71" w:line="211" w:lineRule="auto"/>
      <w:ind w:left="709"/>
      <w:rPr>
        <w:sz w:val="18"/>
        <w:szCs w:val="18"/>
      </w:rPr>
    </w:pPr>
    <w:r>
      <w:drawing>
        <wp:anchor distT="0" distB="0" distL="0" distR="0" simplePos="0" relativeHeight="251658240" behindDoc="0" locked="0" layoutInCell="0" allowOverlap="1">
          <wp:simplePos x="0" y="0"/>
          <wp:positionH relativeFrom="page">
            <wp:posOffset>438115</wp:posOffset>
          </wp:positionH>
          <wp:positionV relativeFrom="page">
            <wp:posOffset>9963126</wp:posOffset>
          </wp:positionV>
          <wp:extent cx="6692971"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6692971"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9pt;height:12.95pt;margin-top:2.13pt;margin-left:534.5pt;position:absolute;z-index:251659264" filled="f" stroked="f">
          <o:lock v:ext="edit" aspectratio="f"/>
          <v:textbox inset="0,0,0,0">
            <w:txbxContent>
              <w:p>
                <w:pPr>
                  <w:spacing w:before="20" w:line="224" w:lineRule="auto"/>
                  <w:ind w:left="20"/>
                  <w:rPr>
                    <w:rFonts w:ascii="SimSun" w:eastAsia="SimSun" w:hAnsi="SimSun" w:cs="SimSun"/>
                    <w:sz w:val="18"/>
                    <w:szCs w:val="18"/>
                  </w:rPr>
                </w:pPr>
                <w:r>
                  <w:rPr>
                    <w:rFonts w:ascii="SimSun" w:eastAsia="SimSun" w:hAnsi="SimSun" w:cs="SimSun"/>
                    <w:spacing w:val="-4"/>
                    <w:sz w:val="18"/>
                    <w:szCs w:val="18"/>
                  </w:rPr>
                  <w:t>1/37</w:t>
                </w:r>
              </w:p>
            </w:txbxContent>
          </v:textbox>
        </v:shape>
      </w:pict>
    </w:r>
    <w:r>
      <w:rPr>
        <w:spacing w:val="20"/>
        <w:sz w:val="18"/>
        <w:szCs w:val="18"/>
      </w:rPr>
      <w:t>请务必参阅正文后面的信息披露和法律声明</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71" w:line="211" w:lineRule="auto"/>
      <w:ind w:left="709"/>
      <w:rPr>
        <w:sz w:val="18"/>
        <w:szCs w:val="18"/>
      </w:rPr>
    </w:pPr>
    <w:r>
      <w:drawing>
        <wp:anchor distT="0" distB="0" distL="0" distR="0" simplePos="0" relativeHeight="251660288" behindDoc="0" locked="0" layoutInCell="0" allowOverlap="1">
          <wp:simplePos x="0" y="0"/>
          <wp:positionH relativeFrom="page">
            <wp:posOffset>438115</wp:posOffset>
          </wp:positionH>
          <wp:positionV relativeFrom="page">
            <wp:posOffset>9963126</wp:posOffset>
          </wp:positionV>
          <wp:extent cx="6692971" cy="6350"/>
          <wp:effectExtent l="0" t="0" r="0" b="0"/>
          <wp:wrapNone/>
          <wp:docPr id="1876017588" name="IM 2"/>
          <wp:cNvGraphicFramePr/>
          <a:graphic xmlns:a="http://schemas.openxmlformats.org/drawingml/2006/main">
            <a:graphicData uri="http://schemas.openxmlformats.org/drawingml/2006/picture">
              <pic:pic xmlns:pic="http://schemas.openxmlformats.org/drawingml/2006/picture">
                <pic:nvPicPr>
                  <pic:cNvPr id="1876017588" name="IM 2"/>
                  <pic:cNvPicPr/>
                </pic:nvPicPr>
                <pic:blipFill>
                  <a:blip xmlns:r="http://schemas.openxmlformats.org/officeDocument/2006/relationships" r:embed="rId1"/>
                  <a:stretch>
                    <a:fillRect/>
                  </a:stretch>
                </pic:blipFill>
                <pic:spPr>
                  <a:xfrm>
                    <a:off x="0" y="0"/>
                    <a:ext cx="6692971"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0" type="#_x0000_t202" style="width:19pt;height:12.95pt;margin-top:2.13pt;margin-left:534.5pt;position:absolute;z-index:251661312" filled="f" stroked="f">
          <o:lock v:ext="edit" aspectratio="f"/>
          <v:textbox inset="0,0,0,0">
            <w:txbxContent>
              <w:p>
                <w:pPr>
                  <w:spacing w:before="20" w:line="224" w:lineRule="auto"/>
                  <w:ind w:left="20"/>
                  <w:rPr>
                    <w:rFonts w:ascii="SimSun" w:eastAsia="SimSun" w:hAnsi="SimSun" w:cs="SimSun"/>
                    <w:sz w:val="18"/>
                    <w:szCs w:val="18"/>
                  </w:rPr>
                </w:pPr>
                <w:r>
                  <w:rPr>
                    <w:rFonts w:ascii="SimSun" w:eastAsia="SimSun" w:hAnsi="SimSun" w:cs="SimSun"/>
                    <w:spacing w:val="-4"/>
                    <w:sz w:val="18"/>
                    <w:szCs w:val="18"/>
                  </w:rPr>
                  <w:t>1/37</w:t>
                </w:r>
              </w:p>
            </w:txbxContent>
          </v:textbox>
        </v:shape>
      </w:pict>
    </w:r>
    <w:r>
      <w:rPr>
        <w:spacing w:val="20"/>
        <w:sz w:val="18"/>
        <w:szCs w:val="18"/>
      </w:rPr>
      <w:t>请务必参阅正文后面的信息披露和法律声明</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71" w:line="211" w:lineRule="auto"/>
      <w:ind w:left="709"/>
      <w:rPr>
        <w:sz w:val="18"/>
        <w:szCs w:val="18"/>
      </w:rPr>
    </w:pPr>
    <w:r>
      <w:drawing>
        <wp:anchor distT="0" distB="0" distL="0" distR="0" simplePos="0" relativeHeight="251662336" behindDoc="0" locked="0" layoutInCell="0" allowOverlap="1">
          <wp:simplePos x="0" y="0"/>
          <wp:positionH relativeFrom="page">
            <wp:posOffset>438115</wp:posOffset>
          </wp:positionH>
          <wp:positionV relativeFrom="page">
            <wp:posOffset>9963126</wp:posOffset>
          </wp:positionV>
          <wp:extent cx="6692971" cy="6350"/>
          <wp:effectExtent l="0" t="0" r="0" b="0"/>
          <wp:wrapNone/>
          <wp:docPr id="1337233164" name="IM 2"/>
          <wp:cNvGraphicFramePr/>
          <a:graphic xmlns:a="http://schemas.openxmlformats.org/drawingml/2006/main">
            <a:graphicData uri="http://schemas.openxmlformats.org/drawingml/2006/picture">
              <pic:pic xmlns:pic="http://schemas.openxmlformats.org/drawingml/2006/picture">
                <pic:nvPicPr>
                  <pic:cNvPr id="1337233164" name="IM 2"/>
                  <pic:cNvPicPr/>
                </pic:nvPicPr>
                <pic:blipFill>
                  <a:blip xmlns:r="http://schemas.openxmlformats.org/officeDocument/2006/relationships" r:embed="rId1"/>
                  <a:stretch>
                    <a:fillRect/>
                  </a:stretch>
                </pic:blipFill>
                <pic:spPr>
                  <a:xfrm>
                    <a:off x="0" y="0"/>
                    <a:ext cx="6692971"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19pt;height:12.95pt;margin-top:2.13pt;margin-left:534.5pt;position:absolute;z-index:251663360" filled="f" stroked="f">
          <o:lock v:ext="edit" aspectratio="f"/>
          <v:textbox inset="0,0,0,0">
            <w:txbxContent>
              <w:p>
                <w:pPr>
                  <w:spacing w:before="20" w:line="224" w:lineRule="auto"/>
                  <w:ind w:left="20"/>
                  <w:rPr>
                    <w:rFonts w:ascii="SimSun" w:eastAsia="SimSun" w:hAnsi="SimSun" w:cs="SimSun"/>
                    <w:sz w:val="18"/>
                    <w:szCs w:val="18"/>
                  </w:rPr>
                </w:pPr>
                <w:r>
                  <w:rPr>
                    <w:rFonts w:ascii="SimSun" w:eastAsia="SimSun" w:hAnsi="SimSun" w:cs="SimSun"/>
                    <w:spacing w:val="-4"/>
                    <w:sz w:val="18"/>
                    <w:szCs w:val="18"/>
                  </w:rPr>
                  <w:t>1/37</w:t>
                </w:r>
              </w:p>
            </w:txbxContent>
          </v:textbox>
        </v:shape>
      </w:pict>
    </w:r>
    <w:r>
      <w:rPr>
        <w:spacing w:val="20"/>
        <w:sz w:val="18"/>
        <w:szCs w:val="18"/>
      </w:rPr>
      <w:t>请务必参阅正文后面的信息披露和法律声明</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71" w:line="211" w:lineRule="auto"/>
      <w:ind w:left="709"/>
      <w:rPr>
        <w:sz w:val="18"/>
        <w:szCs w:val="18"/>
      </w:rPr>
    </w:pPr>
    <w:r>
      <w:drawing>
        <wp:anchor distT="0" distB="0" distL="0" distR="0" simplePos="0" relativeHeight="251664384" behindDoc="0" locked="0" layoutInCell="0" allowOverlap="1">
          <wp:simplePos x="0" y="0"/>
          <wp:positionH relativeFrom="page">
            <wp:posOffset>438115</wp:posOffset>
          </wp:positionH>
          <wp:positionV relativeFrom="page">
            <wp:posOffset>9963126</wp:posOffset>
          </wp:positionV>
          <wp:extent cx="6692971" cy="6350"/>
          <wp:effectExtent l="0" t="0" r="0" b="0"/>
          <wp:wrapNone/>
          <wp:docPr id="581883112" name="IM 2"/>
          <wp:cNvGraphicFramePr/>
          <a:graphic xmlns:a="http://schemas.openxmlformats.org/drawingml/2006/main">
            <a:graphicData uri="http://schemas.openxmlformats.org/drawingml/2006/picture">
              <pic:pic xmlns:pic="http://schemas.openxmlformats.org/drawingml/2006/picture">
                <pic:nvPicPr>
                  <pic:cNvPr id="581883112" name="IM 2"/>
                  <pic:cNvPicPr/>
                </pic:nvPicPr>
                <pic:blipFill>
                  <a:blip xmlns:r="http://schemas.openxmlformats.org/officeDocument/2006/relationships" r:embed="rId1"/>
                  <a:stretch>
                    <a:fillRect/>
                  </a:stretch>
                </pic:blipFill>
                <pic:spPr>
                  <a:xfrm>
                    <a:off x="0" y="0"/>
                    <a:ext cx="6692971"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19pt;height:12.95pt;margin-top:2.13pt;margin-left:534.5pt;position:absolute;z-index:251665408" filled="f" stroked="f">
          <o:lock v:ext="edit" aspectratio="f"/>
          <v:textbox inset="0,0,0,0">
            <w:txbxContent>
              <w:p>
                <w:pPr>
                  <w:spacing w:before="20" w:line="224" w:lineRule="auto"/>
                  <w:ind w:left="20"/>
                  <w:rPr>
                    <w:rFonts w:ascii="SimSun" w:eastAsia="SimSun" w:hAnsi="SimSun" w:cs="SimSun"/>
                    <w:sz w:val="18"/>
                    <w:szCs w:val="18"/>
                  </w:rPr>
                </w:pPr>
                <w:r>
                  <w:rPr>
                    <w:rFonts w:ascii="SimSun" w:eastAsia="SimSun" w:hAnsi="SimSun" w:cs="SimSun"/>
                    <w:spacing w:val="-4"/>
                    <w:sz w:val="18"/>
                    <w:szCs w:val="18"/>
                  </w:rPr>
                  <w:t>1/37</w:t>
                </w:r>
              </w:p>
            </w:txbxContent>
          </v:textbox>
        </v:shape>
      </w:pict>
    </w:r>
    <w:r>
      <w:rPr>
        <w:spacing w:val="20"/>
        <w:sz w:val="18"/>
        <w:szCs w:val="18"/>
      </w:rPr>
      <w:t>请务必参阅正文后面的信息披露和法律声明</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6643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18.7pt;height:10.75pt;margin-top:2.68pt;margin-left:498.5pt;position:absolute;z-index:251667456" filled="f" stroked="f">
          <o:lock v:ext="edit" aspectratio="f"/>
          <v:textbox inset="0,0,0,0">
            <w:txbxContent>
              <w:p>
                <w:pPr>
                  <w:spacing w:before="19" w:line="192" w:lineRule="auto"/>
                  <w:ind w:left="20"/>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2/37</w:t>
                </w:r>
              </w:p>
            </w:txbxContent>
          </v:textbox>
        </v:shape>
      </w:pict>
    </w:r>
    <w:r>
      <w:rPr>
        <w:spacing w:val="9"/>
        <w:sz w:val="19"/>
        <w:szCs w:val="19"/>
      </w:rPr>
      <w:t>请务必参阅正文后面的信息披露和法律声明</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6848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89013894" name="IM 12"/>
          <wp:cNvGraphicFramePr/>
          <a:graphic xmlns:a="http://schemas.openxmlformats.org/drawingml/2006/main">
            <a:graphicData uri="http://schemas.openxmlformats.org/drawingml/2006/picture">
              <pic:pic xmlns:pic="http://schemas.openxmlformats.org/drawingml/2006/picture">
                <pic:nvPicPr>
                  <pic:cNvPr id="189013894" name="IM 12"/>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18.7pt;height:10.75pt;margin-top:2.68pt;margin-left:498.5pt;position:absolute;z-index:251669504" filled="f" stroked="f">
          <o:lock v:ext="edit" aspectratio="f"/>
          <v:textbox inset="0,0,0,0">
            <w:txbxContent>
              <w:p>
                <w:pPr>
                  <w:spacing w:before="19" w:line="192" w:lineRule="auto"/>
                  <w:ind w:left="20"/>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2/37</w:t>
                </w:r>
              </w:p>
            </w:txbxContent>
          </v:textbox>
        </v:shape>
      </w:pict>
    </w:r>
    <w:r>
      <w:rPr>
        <w:spacing w:val="9"/>
        <w:sz w:val="19"/>
        <w:szCs w:val="19"/>
      </w:rPr>
      <w:t>请务必参阅正文后面的信息披露和法律声明</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50"/>
      <w:rPr>
        <w:sz w:val="19"/>
        <w:szCs w:val="19"/>
      </w:rPr>
    </w:pPr>
    <w:r>
      <w:drawing>
        <wp:anchor distT="0" distB="0" distL="0" distR="0" simplePos="0" relativeHeight="25167052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8.5pt;height:10.75pt;margin-top:2.68pt;margin-left:500pt;position:absolute;z-index:251671552" filled="f" stroked="f">
          <o:lock v:ext="edit" aspectratio="f"/>
          <v:textbox inset="0,0,0,0">
            <w:txbxContent>
              <w:p>
                <w:pPr>
                  <w:spacing w:before="19" w:line="192" w:lineRule="auto"/>
                  <w:ind w:left="20"/>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3/37</w:t>
                </w:r>
              </w:p>
            </w:txbxContent>
          </v:textbox>
        </v:shape>
      </w:pict>
    </w:r>
    <w:r>
      <w:rPr>
        <w:spacing w:val="9"/>
        <w:sz w:val="19"/>
        <w:szCs w:val="19"/>
      </w:rPr>
      <w:t>请务必参阅正文后面的信息披露和法律声明</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50"/>
      <w:rPr>
        <w:sz w:val="19"/>
        <w:szCs w:val="19"/>
      </w:rPr>
    </w:pPr>
    <w:r>
      <w:drawing>
        <wp:anchor distT="0" distB="0" distL="0" distR="0" simplePos="0" relativeHeight="25167257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042507381" name="IM 16"/>
          <wp:cNvGraphicFramePr/>
          <a:graphic xmlns:a="http://schemas.openxmlformats.org/drawingml/2006/main">
            <a:graphicData uri="http://schemas.openxmlformats.org/drawingml/2006/picture">
              <pic:pic xmlns:pic="http://schemas.openxmlformats.org/drawingml/2006/picture">
                <pic:nvPicPr>
                  <pic:cNvPr id="1042507381" name="IM 1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18.5pt;height:10.75pt;margin-top:2.68pt;margin-left:500pt;position:absolute;z-index:251673600" filled="f" stroked="f">
          <o:lock v:ext="edit" aspectratio="f"/>
          <v:textbox inset="0,0,0,0">
            <w:txbxContent>
              <w:p>
                <w:pPr>
                  <w:spacing w:before="19" w:line="192" w:lineRule="auto"/>
                  <w:ind w:left="20"/>
                  <w:rPr>
                    <w:rFonts w:ascii="Times New Roman" w:eastAsia="Times New Roman" w:hAnsi="Times New Roman" w:cs="Times New Roman"/>
                    <w:sz w:val="19"/>
                    <w:szCs w:val="19"/>
                  </w:rPr>
                </w:pPr>
                <w:r>
                  <w:rPr>
                    <w:rFonts w:ascii="Times New Roman" w:eastAsia="Times New Roman" w:hAnsi="Times New Roman" w:cs="Times New Roman"/>
                    <w:spacing w:val="-2"/>
                    <w:sz w:val="19"/>
                    <w:szCs w:val="19"/>
                  </w:rPr>
                  <w:t>3/37</w:t>
                </w:r>
              </w:p>
            </w:txbxContent>
          </v:textbox>
        </v:shape>
      </w:pict>
    </w:r>
    <w:r>
      <w:rPr>
        <w:spacing w:val="9"/>
        <w:sz w:val="19"/>
        <w:szCs w:val="19"/>
      </w:rPr>
      <w:t>请务必参阅正文后面的信息披露和法律声明</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47" w:line="210" w:lineRule="auto"/>
      <w:ind w:left="40"/>
      <w:rPr>
        <w:rFonts w:ascii="SimSun" w:eastAsia="SimSun" w:hAnsi="SimSun" w:cs="SimSun"/>
        <w:sz w:val="19"/>
        <w:szCs w:val="19"/>
      </w:rPr>
    </w:pPr>
    <w:r>
      <w:drawing>
        <wp:anchor distT="0" distB="0" distL="0" distR="0" simplePos="0" relativeHeight="25167462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18.75pt;height:10.75pt;margin-top:2.67pt;margin-left:498.5pt;position:absolute;z-index:251675648" filled="f" stroked="f">
          <o:lock v:ext="edit" aspectratio="f"/>
          <v:textbox inset="0,0,0,0">
            <w:txbxContent>
              <w:p>
                <w:pPr>
                  <w:spacing w:before="19" w:line="192" w:lineRule="auto"/>
                  <w:ind w:left="20"/>
                  <w:rPr>
                    <w:rFonts w:ascii="Times New Roman" w:eastAsia="Times New Roman" w:hAnsi="Times New Roman" w:cs="Times New Roman"/>
                    <w:sz w:val="19"/>
                    <w:szCs w:val="19"/>
                  </w:rPr>
                </w:pPr>
                <w:r>
                  <w:rPr>
                    <w:rFonts w:ascii="Times New Roman" w:eastAsia="Times New Roman" w:hAnsi="Times New Roman" w:cs="Times New Roman"/>
                    <w:spacing w:val="-1"/>
                    <w:sz w:val="19"/>
                    <w:szCs w:val="19"/>
                  </w:rPr>
                  <w:t>4/37</w:t>
                </w:r>
              </w:p>
            </w:txbxContent>
          </v:textbox>
        </v:shape>
      </w:pict>
    </w:r>
    <w:r>
      <w:rPr>
        <w:rFonts w:ascii="SimSun" w:eastAsia="SimSun" w:hAnsi="SimSun" w:cs="SimSun"/>
        <w:spacing w:val="8"/>
        <w:sz w:val="19"/>
        <w:szCs w:val="19"/>
      </w:rPr>
      <w:t>请务必参阅正文后面的信息披露和法律声明</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21" w:line="213" w:lineRule="auto"/>
      <w:ind w:left="20"/>
    </w:pPr>
    <w:r>
      <w:drawing>
        <wp:anchor distT="0" distB="0" distL="0" distR="0" simplePos="0" relativeHeight="25167667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22.4pt;height:14.8pt;margin-top:-0.3pt;margin-left:497.5pt;position:absolute;z-index:251677696" filled="f" stroked="f">
          <o:lock v:ext="edit" aspectratio="f"/>
          <v:textbox inset="0,0,0,0">
            <w:txbxContent>
              <w:p>
                <w:pPr>
                  <w:spacing w:before="20" w:line="224" w:lineRule="auto"/>
                  <w:ind w:left="20"/>
                  <w:rPr>
                    <w:rFonts w:ascii="SimSun" w:eastAsia="SimSun" w:hAnsi="SimSun" w:cs="SimSun"/>
                    <w:sz w:val="21"/>
                    <w:szCs w:val="21"/>
                  </w:rPr>
                </w:pPr>
                <w:r>
                  <w:rPr>
                    <w:rFonts w:ascii="SimSun" w:eastAsia="SimSun" w:hAnsi="SimSun" w:cs="SimSun"/>
                    <w:spacing w:val="-3"/>
                    <w:sz w:val="21"/>
                    <w:szCs w:val="21"/>
                  </w:rPr>
                  <w:t>5/37</w:t>
                </w:r>
              </w:p>
            </w:txbxContent>
          </v:textbox>
        </v:shape>
      </w:pict>
    </w:r>
    <w:r>
      <w:rPr>
        <w:spacing w:val="-11"/>
      </w:rPr>
      <w:t>请务必参阅正文后面的信息披露和法律声明</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81" w:line="209" w:lineRule="auto"/>
      <w:ind w:left="20"/>
      <w:rPr>
        <w:sz w:val="15"/>
        <w:szCs w:val="15"/>
      </w:rPr>
    </w:pPr>
    <w:r>
      <w:drawing>
        <wp:anchor distT="0" distB="0" distL="0" distR="0" simplePos="0" relativeHeight="25167872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22.55pt;height:14.8pt;margin-top:-0.28pt;margin-left:497.5pt;position:absolute;z-index:251679744" filled="f" stroked="f">
          <o:lock v:ext="edit" aspectratio="f"/>
          <v:textbox inset="0,0,0,0">
            <w:txbxContent>
              <w:p>
                <w:pPr>
                  <w:spacing w:before="20" w:line="224" w:lineRule="auto"/>
                  <w:ind w:left="20"/>
                  <w:rPr>
                    <w:rFonts w:ascii="SimSun" w:eastAsia="SimSun" w:hAnsi="SimSun" w:cs="SimSun"/>
                    <w:sz w:val="21"/>
                    <w:szCs w:val="21"/>
                  </w:rPr>
                </w:pPr>
                <w:r>
                  <w:rPr>
                    <w:rFonts w:ascii="SimSun" w:eastAsia="SimSun" w:hAnsi="SimSun" w:cs="SimSun"/>
                    <w:spacing w:val="-2"/>
                    <w:sz w:val="21"/>
                    <w:szCs w:val="21"/>
                  </w:rPr>
                  <w:t>6/37</w:t>
                </w:r>
              </w:p>
            </w:txbxContent>
          </v:textbox>
        </v:shape>
      </w:pict>
    </w:r>
    <w:r>
      <w:rPr>
        <w:spacing w:val="-9"/>
        <w:sz w:val="15"/>
        <w:szCs w:val="15"/>
      </w:rPr>
      <w:t>请</w:t>
    </w:r>
    <w:r>
      <w:rPr>
        <w:spacing w:val="-9"/>
        <w:sz w:val="15"/>
        <w:szCs w:val="15"/>
      </w:rPr>
      <w:t xml:space="preserve"> </w:t>
    </w:r>
    <w:r>
      <w:rPr>
        <w:spacing w:val="-9"/>
        <w:sz w:val="15"/>
        <w:szCs w:val="15"/>
      </w:rPr>
      <w:t>务</w:t>
    </w:r>
    <w:r>
      <w:rPr>
        <w:spacing w:val="-9"/>
        <w:sz w:val="15"/>
        <w:szCs w:val="15"/>
      </w:rPr>
      <w:t xml:space="preserve"> </w:t>
    </w:r>
    <w:r>
      <w:rPr>
        <w:spacing w:val="-9"/>
        <w:sz w:val="15"/>
        <w:szCs w:val="15"/>
      </w:rPr>
      <w:t>必</w:t>
    </w:r>
    <w:r>
      <w:rPr>
        <w:spacing w:val="-7"/>
        <w:sz w:val="15"/>
        <w:szCs w:val="15"/>
      </w:rPr>
      <w:t xml:space="preserve"> </w:t>
    </w:r>
    <w:r>
      <w:rPr>
        <w:spacing w:val="-9"/>
        <w:sz w:val="15"/>
        <w:szCs w:val="15"/>
      </w:rPr>
      <w:t>参</w:t>
    </w:r>
    <w:r>
      <w:rPr>
        <w:spacing w:val="-9"/>
        <w:sz w:val="15"/>
        <w:szCs w:val="15"/>
      </w:rPr>
      <w:t xml:space="preserve"> </w:t>
    </w:r>
    <w:r>
      <w:rPr>
        <w:spacing w:val="-9"/>
        <w:sz w:val="15"/>
        <w:szCs w:val="15"/>
      </w:rPr>
      <w:t>阅</w:t>
    </w:r>
    <w:r>
      <w:rPr>
        <w:spacing w:val="-17"/>
        <w:sz w:val="15"/>
        <w:szCs w:val="15"/>
      </w:rPr>
      <w:t xml:space="preserve"> </w:t>
    </w:r>
    <w:r>
      <w:rPr>
        <w:spacing w:val="-9"/>
        <w:sz w:val="15"/>
        <w:szCs w:val="15"/>
      </w:rPr>
      <w:t>正</w:t>
    </w:r>
    <w:r>
      <w:rPr>
        <w:spacing w:val="-12"/>
        <w:sz w:val="15"/>
        <w:szCs w:val="15"/>
      </w:rPr>
      <w:t xml:space="preserve"> </w:t>
    </w:r>
    <w:r>
      <w:rPr>
        <w:spacing w:val="-9"/>
        <w:sz w:val="15"/>
        <w:szCs w:val="15"/>
      </w:rPr>
      <w:t>文</w:t>
    </w:r>
    <w:r>
      <w:rPr>
        <w:spacing w:val="-19"/>
        <w:sz w:val="15"/>
        <w:szCs w:val="15"/>
      </w:rPr>
      <w:t xml:space="preserve"> </w:t>
    </w:r>
    <w:r>
      <w:rPr>
        <w:spacing w:val="-9"/>
        <w:sz w:val="15"/>
        <w:szCs w:val="15"/>
      </w:rPr>
      <w:t>后</w:t>
    </w:r>
    <w:r>
      <w:rPr>
        <w:spacing w:val="-9"/>
        <w:sz w:val="15"/>
        <w:szCs w:val="15"/>
      </w:rPr>
      <w:t xml:space="preserve"> </w:t>
    </w:r>
    <w:r>
      <w:rPr>
        <w:spacing w:val="-9"/>
        <w:sz w:val="15"/>
        <w:szCs w:val="15"/>
      </w:rPr>
      <w:t>面</w:t>
    </w:r>
    <w:r>
      <w:rPr>
        <w:spacing w:val="-9"/>
        <w:sz w:val="15"/>
        <w:szCs w:val="15"/>
      </w:rPr>
      <w:t xml:space="preserve"> </w:t>
    </w:r>
    <w:r>
      <w:rPr>
        <w:spacing w:val="-9"/>
        <w:sz w:val="15"/>
        <w:szCs w:val="15"/>
      </w:rPr>
      <w:t>的</w:t>
    </w:r>
    <w:r>
      <w:rPr>
        <w:spacing w:val="-18"/>
        <w:sz w:val="15"/>
        <w:szCs w:val="15"/>
      </w:rPr>
      <w:t xml:space="preserve"> </w:t>
    </w:r>
    <w:r>
      <w:rPr>
        <w:spacing w:val="-9"/>
        <w:sz w:val="15"/>
        <w:szCs w:val="15"/>
      </w:rPr>
      <w:t>信</w:t>
    </w:r>
    <w:r>
      <w:rPr>
        <w:spacing w:val="-9"/>
        <w:sz w:val="15"/>
        <w:szCs w:val="15"/>
      </w:rPr>
      <w:t xml:space="preserve"> </w:t>
    </w:r>
    <w:r>
      <w:rPr>
        <w:spacing w:val="-9"/>
        <w:sz w:val="15"/>
        <w:szCs w:val="15"/>
      </w:rPr>
      <w:t>息</w:t>
    </w:r>
    <w:r>
      <w:rPr>
        <w:spacing w:val="-17"/>
        <w:sz w:val="15"/>
        <w:szCs w:val="15"/>
      </w:rPr>
      <w:t xml:space="preserve"> </w:t>
    </w:r>
    <w:r>
      <w:rPr>
        <w:spacing w:val="-9"/>
        <w:sz w:val="15"/>
        <w:szCs w:val="15"/>
      </w:rPr>
      <w:t>披</w:t>
    </w:r>
    <w:r>
      <w:rPr>
        <w:spacing w:val="-16"/>
        <w:sz w:val="15"/>
        <w:szCs w:val="15"/>
      </w:rPr>
      <w:t xml:space="preserve"> </w:t>
    </w:r>
    <w:r>
      <w:rPr>
        <w:spacing w:val="-9"/>
        <w:sz w:val="15"/>
        <w:szCs w:val="15"/>
      </w:rPr>
      <w:t>露</w:t>
    </w:r>
    <w:r>
      <w:rPr>
        <w:spacing w:val="-18"/>
        <w:sz w:val="15"/>
        <w:szCs w:val="15"/>
      </w:rPr>
      <w:t xml:space="preserve"> </w:t>
    </w:r>
    <w:r>
      <w:rPr>
        <w:spacing w:val="-9"/>
        <w:sz w:val="15"/>
        <w:szCs w:val="15"/>
      </w:rPr>
      <w:t>和</w:t>
    </w:r>
    <w:r>
      <w:rPr>
        <w:spacing w:val="-9"/>
        <w:sz w:val="15"/>
        <w:szCs w:val="15"/>
      </w:rPr>
      <w:t xml:space="preserve"> </w:t>
    </w:r>
    <w:r>
      <w:rPr>
        <w:spacing w:val="-9"/>
        <w:sz w:val="15"/>
        <w:szCs w:val="15"/>
      </w:rPr>
      <w:t>法</w:t>
    </w:r>
    <w:r>
      <w:rPr>
        <w:spacing w:val="-22"/>
        <w:sz w:val="15"/>
        <w:szCs w:val="15"/>
      </w:rPr>
      <w:t xml:space="preserve"> </w:t>
    </w:r>
    <w:r>
      <w:rPr>
        <w:spacing w:val="-9"/>
        <w:sz w:val="15"/>
        <w:szCs w:val="15"/>
      </w:rPr>
      <w:t>律</w:t>
    </w:r>
    <w:r>
      <w:rPr>
        <w:spacing w:val="-17"/>
        <w:sz w:val="15"/>
        <w:szCs w:val="15"/>
      </w:rPr>
      <w:t xml:space="preserve"> </w:t>
    </w:r>
    <w:r>
      <w:rPr>
        <w:spacing w:val="-9"/>
        <w:sz w:val="15"/>
        <w:szCs w:val="15"/>
      </w:rPr>
      <w:t>声</w:t>
    </w:r>
    <w:r>
      <w:rPr>
        <w:spacing w:val="-9"/>
        <w:sz w:val="15"/>
        <w:szCs w:val="15"/>
      </w:rPr>
      <w:t xml:space="preserve"> </w:t>
    </w:r>
    <w:r>
      <w:rPr>
        <w:spacing w:val="-9"/>
        <w:sz w:val="15"/>
        <w:szCs w:val="15"/>
      </w:rPr>
      <w:t>明</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79"/>
      <w:rPr>
        <w:sz w:val="20"/>
        <w:szCs w:val="20"/>
      </w:rPr>
    </w:pPr>
    <w:r>
      <w:drawing>
        <wp:anchor distT="0" distB="0" distL="0" distR="0" simplePos="0" relativeHeight="251680768" behindDoc="0" locked="0" layoutInCell="0" allowOverlap="1">
          <wp:simplePos x="0" y="0"/>
          <wp:positionH relativeFrom="page">
            <wp:posOffset>457174</wp:posOffset>
          </wp:positionH>
          <wp:positionV relativeFrom="page">
            <wp:posOffset>9975852</wp:posOffset>
          </wp:positionV>
          <wp:extent cx="6692895" cy="63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1"/>
                  <a:stretch>
                    <a:fillRect/>
                  </a:stretch>
                </pic:blipFill>
                <pic:spPr>
                  <a:xfrm>
                    <a:off x="0" y="0"/>
                    <a:ext cx="6692895"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0" type="#_x0000_t202" style="width:21.4pt;height:14.2pt;margin-top:0.19pt;margin-left:501pt;position:absolute;z-index:251681792"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3"/>
                    <w:sz w:val="20"/>
                    <w:szCs w:val="20"/>
                  </w:rPr>
                  <w:t>7/37</w:t>
                </w:r>
              </w:p>
            </w:txbxContent>
          </v:textbox>
        </v:shape>
      </w:pict>
    </w:r>
    <w:r>
      <w:rPr>
        <w:spacing w:val="-1"/>
        <w:sz w:val="20"/>
        <w:szCs w:val="20"/>
      </w:rPr>
      <w:t>请务必参阅正文后面的信息披露和法律声明</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79"/>
      <w:rPr>
        <w:sz w:val="20"/>
        <w:szCs w:val="20"/>
      </w:rPr>
    </w:pPr>
    <w:r>
      <w:drawing>
        <wp:anchor distT="0" distB="0" distL="0" distR="0" simplePos="0" relativeHeight="251682816" behindDoc="0" locked="0" layoutInCell="0" allowOverlap="1">
          <wp:simplePos x="0" y="0"/>
          <wp:positionH relativeFrom="page">
            <wp:posOffset>457174</wp:posOffset>
          </wp:positionH>
          <wp:positionV relativeFrom="page">
            <wp:posOffset>9975852</wp:posOffset>
          </wp:positionV>
          <wp:extent cx="6692895" cy="6350"/>
          <wp:effectExtent l="0" t="0" r="0" b="0"/>
          <wp:wrapNone/>
          <wp:docPr id="350719596" name="IM 36"/>
          <wp:cNvGraphicFramePr/>
          <a:graphic xmlns:a="http://schemas.openxmlformats.org/drawingml/2006/main">
            <a:graphicData uri="http://schemas.openxmlformats.org/drawingml/2006/picture">
              <pic:pic xmlns:pic="http://schemas.openxmlformats.org/drawingml/2006/picture">
                <pic:nvPicPr>
                  <pic:cNvPr id="350719596" name="IM 36"/>
                  <pic:cNvPicPr/>
                </pic:nvPicPr>
                <pic:blipFill>
                  <a:blip xmlns:r="http://schemas.openxmlformats.org/officeDocument/2006/relationships" r:embed="rId1"/>
                  <a:stretch>
                    <a:fillRect/>
                  </a:stretch>
                </pic:blipFill>
                <pic:spPr>
                  <a:xfrm>
                    <a:off x="0" y="0"/>
                    <a:ext cx="6692895"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21.4pt;height:14.2pt;margin-top:0.19pt;margin-left:501pt;position:absolute;z-index:251683840"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3"/>
                    <w:sz w:val="20"/>
                    <w:szCs w:val="20"/>
                  </w:rPr>
                  <w:t>7/37</w:t>
                </w:r>
              </w:p>
            </w:txbxContent>
          </v:textbox>
        </v:shape>
      </w:pict>
    </w:r>
    <w:r>
      <w:rPr>
        <w:spacing w:val="-1"/>
        <w:sz w:val="20"/>
        <w:szCs w:val="20"/>
      </w:rPr>
      <w:t>请务必参阅正文后面的信息披露和法律声明</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79"/>
      <w:rPr>
        <w:sz w:val="20"/>
        <w:szCs w:val="20"/>
      </w:rPr>
    </w:pPr>
    <w:r>
      <w:drawing>
        <wp:anchor distT="0" distB="0" distL="0" distR="0" simplePos="0" relativeHeight="251684864" behindDoc="0" locked="0" layoutInCell="0" allowOverlap="1">
          <wp:simplePos x="0" y="0"/>
          <wp:positionH relativeFrom="page">
            <wp:posOffset>457174</wp:posOffset>
          </wp:positionH>
          <wp:positionV relativeFrom="page">
            <wp:posOffset>9975852</wp:posOffset>
          </wp:positionV>
          <wp:extent cx="6692895" cy="6350"/>
          <wp:effectExtent l="0" t="0" r="0" b="0"/>
          <wp:wrapNone/>
          <wp:docPr id="61112222" name="IM 36"/>
          <wp:cNvGraphicFramePr/>
          <a:graphic xmlns:a="http://schemas.openxmlformats.org/drawingml/2006/main">
            <a:graphicData uri="http://schemas.openxmlformats.org/drawingml/2006/picture">
              <pic:pic xmlns:pic="http://schemas.openxmlformats.org/drawingml/2006/picture">
                <pic:nvPicPr>
                  <pic:cNvPr id="61112222" name="IM 36"/>
                  <pic:cNvPicPr/>
                </pic:nvPicPr>
                <pic:blipFill>
                  <a:blip xmlns:r="http://schemas.openxmlformats.org/officeDocument/2006/relationships" r:embed="rId1"/>
                  <a:stretch>
                    <a:fillRect/>
                  </a:stretch>
                </pic:blipFill>
                <pic:spPr>
                  <a:xfrm>
                    <a:off x="0" y="0"/>
                    <a:ext cx="6692895"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2" type="#_x0000_t202" style="width:21.4pt;height:14.2pt;margin-top:0.19pt;margin-left:501pt;position:absolute;z-index:251685888"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3"/>
                    <w:sz w:val="20"/>
                    <w:szCs w:val="20"/>
                  </w:rPr>
                  <w:t>7/37</w:t>
                </w:r>
              </w:p>
            </w:txbxContent>
          </v:textbox>
        </v:shape>
      </w:pict>
    </w:r>
    <w:r>
      <w:rPr>
        <w:spacing w:val="-1"/>
        <w:sz w:val="20"/>
        <w:szCs w:val="20"/>
      </w:rPr>
      <w:t>请务必参阅正文后面的信息披露和法律声明</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79"/>
      <w:rPr>
        <w:sz w:val="20"/>
        <w:szCs w:val="20"/>
      </w:rPr>
    </w:pPr>
    <w:r>
      <w:drawing>
        <wp:anchor distT="0" distB="0" distL="0" distR="0" simplePos="0" relativeHeight="251686912" behindDoc="0" locked="0" layoutInCell="0" allowOverlap="1">
          <wp:simplePos x="0" y="0"/>
          <wp:positionH relativeFrom="page">
            <wp:posOffset>457174</wp:posOffset>
          </wp:positionH>
          <wp:positionV relativeFrom="page">
            <wp:posOffset>9975852</wp:posOffset>
          </wp:positionV>
          <wp:extent cx="6692895" cy="6350"/>
          <wp:effectExtent l="0" t="0" r="0" b="0"/>
          <wp:wrapNone/>
          <wp:docPr id="1132097551" name="IM 36"/>
          <wp:cNvGraphicFramePr/>
          <a:graphic xmlns:a="http://schemas.openxmlformats.org/drawingml/2006/main">
            <a:graphicData uri="http://schemas.openxmlformats.org/drawingml/2006/picture">
              <pic:pic xmlns:pic="http://schemas.openxmlformats.org/drawingml/2006/picture">
                <pic:nvPicPr>
                  <pic:cNvPr id="1132097551" name="IM 36"/>
                  <pic:cNvPicPr/>
                </pic:nvPicPr>
                <pic:blipFill>
                  <a:blip xmlns:r="http://schemas.openxmlformats.org/officeDocument/2006/relationships" r:embed="rId1"/>
                  <a:stretch>
                    <a:fillRect/>
                  </a:stretch>
                </pic:blipFill>
                <pic:spPr>
                  <a:xfrm>
                    <a:off x="0" y="0"/>
                    <a:ext cx="6692895"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21.4pt;height:14.2pt;margin-top:0.19pt;margin-left:501pt;position:absolute;z-index:251687936"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3"/>
                    <w:sz w:val="20"/>
                    <w:szCs w:val="20"/>
                  </w:rPr>
                  <w:t>7/37</w:t>
                </w:r>
              </w:p>
            </w:txbxContent>
          </v:textbox>
        </v:shape>
      </w:pict>
    </w:r>
    <w:r>
      <w:rPr>
        <w:spacing w:val="-1"/>
        <w:sz w:val="20"/>
        <w:szCs w:val="20"/>
      </w:rPr>
      <w:t>请务必参阅正文后面的信息披露和法律声明</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79"/>
      <w:rPr>
        <w:sz w:val="20"/>
        <w:szCs w:val="20"/>
      </w:rPr>
    </w:pPr>
    <w:r>
      <w:drawing>
        <wp:anchor distT="0" distB="0" distL="0" distR="0" simplePos="0" relativeHeight="251688960" behindDoc="0" locked="0" layoutInCell="0" allowOverlap="1">
          <wp:simplePos x="0" y="0"/>
          <wp:positionH relativeFrom="page">
            <wp:posOffset>457174</wp:posOffset>
          </wp:positionH>
          <wp:positionV relativeFrom="page">
            <wp:posOffset>9975852</wp:posOffset>
          </wp:positionV>
          <wp:extent cx="6692895" cy="6350"/>
          <wp:effectExtent l="0" t="0" r="0" b="0"/>
          <wp:wrapNone/>
          <wp:docPr id="929338047" name="IM 36"/>
          <wp:cNvGraphicFramePr/>
          <a:graphic xmlns:a="http://schemas.openxmlformats.org/drawingml/2006/main">
            <a:graphicData uri="http://schemas.openxmlformats.org/drawingml/2006/picture">
              <pic:pic xmlns:pic="http://schemas.openxmlformats.org/drawingml/2006/picture">
                <pic:nvPicPr>
                  <pic:cNvPr id="929338047" name="IM 36"/>
                  <pic:cNvPicPr/>
                </pic:nvPicPr>
                <pic:blipFill>
                  <a:blip xmlns:r="http://schemas.openxmlformats.org/officeDocument/2006/relationships" r:embed="rId1"/>
                  <a:stretch>
                    <a:fillRect/>
                  </a:stretch>
                </pic:blipFill>
                <pic:spPr>
                  <a:xfrm>
                    <a:off x="0" y="0"/>
                    <a:ext cx="6692895"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21.4pt;height:14.2pt;margin-top:0.19pt;margin-left:501pt;position:absolute;z-index:251689984"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3"/>
                    <w:sz w:val="20"/>
                    <w:szCs w:val="20"/>
                  </w:rPr>
                  <w:t>7/37</w:t>
                </w:r>
              </w:p>
            </w:txbxContent>
          </v:textbox>
        </v:shape>
      </w:pict>
    </w:r>
    <w:r>
      <w:rPr>
        <w:spacing w:val="-1"/>
        <w:sz w:val="20"/>
        <w:szCs w:val="20"/>
      </w:rPr>
      <w:t>请务必参阅正文后面的信息披露和法律声明</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9100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20.6pt;height:13.55pt;margin-top:0.63pt;margin-left:500pt;position:absolute;z-index:251692032"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9305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705394409" name="IM 44"/>
          <wp:cNvGraphicFramePr/>
          <a:graphic xmlns:a="http://schemas.openxmlformats.org/drawingml/2006/main">
            <a:graphicData uri="http://schemas.openxmlformats.org/drawingml/2006/picture">
              <pic:pic xmlns:pic="http://schemas.openxmlformats.org/drawingml/2006/picture">
                <pic:nvPicPr>
                  <pic:cNvPr id="705394409"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6" type="#_x0000_t202" style="width:20.6pt;height:13.55pt;margin-top:0.63pt;margin-left:500pt;position:absolute;z-index:251694080"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9510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848662061" name="IM 44"/>
          <wp:cNvGraphicFramePr/>
          <a:graphic xmlns:a="http://schemas.openxmlformats.org/drawingml/2006/main">
            <a:graphicData uri="http://schemas.openxmlformats.org/drawingml/2006/picture">
              <pic:pic xmlns:pic="http://schemas.openxmlformats.org/drawingml/2006/picture">
                <pic:nvPicPr>
                  <pic:cNvPr id="848662061"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20.6pt;height:13.55pt;margin-top:0.63pt;margin-left:500pt;position:absolute;z-index:251696128"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9715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041854015" name="IM 44"/>
          <wp:cNvGraphicFramePr/>
          <a:graphic xmlns:a="http://schemas.openxmlformats.org/drawingml/2006/main">
            <a:graphicData uri="http://schemas.openxmlformats.org/drawingml/2006/picture">
              <pic:pic xmlns:pic="http://schemas.openxmlformats.org/drawingml/2006/picture">
                <pic:nvPicPr>
                  <pic:cNvPr id="2041854015"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width:20.6pt;height:13.55pt;margin-top:0.63pt;margin-left:500pt;position:absolute;z-index:251698176"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69920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087103528" name="IM 44"/>
          <wp:cNvGraphicFramePr/>
          <a:graphic xmlns:a="http://schemas.openxmlformats.org/drawingml/2006/main">
            <a:graphicData uri="http://schemas.openxmlformats.org/drawingml/2006/picture">
              <pic:pic xmlns:pic="http://schemas.openxmlformats.org/drawingml/2006/picture">
                <pic:nvPicPr>
                  <pic:cNvPr id="1087103528"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20.6pt;height:13.55pt;margin-top:0.63pt;margin-left:500pt;position:absolute;z-index:251700224"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70124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505992768" name="IM 44"/>
          <wp:cNvGraphicFramePr/>
          <a:graphic xmlns:a="http://schemas.openxmlformats.org/drawingml/2006/main">
            <a:graphicData uri="http://schemas.openxmlformats.org/drawingml/2006/picture">
              <pic:pic xmlns:pic="http://schemas.openxmlformats.org/drawingml/2006/picture">
                <pic:nvPicPr>
                  <pic:cNvPr id="505992768"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20.6pt;height:13.55pt;margin-top:0.63pt;margin-left:500pt;position:absolute;z-index:251702272"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70329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496066293" name="IM 44"/>
          <wp:cNvGraphicFramePr/>
          <a:graphic xmlns:a="http://schemas.openxmlformats.org/drawingml/2006/main">
            <a:graphicData uri="http://schemas.openxmlformats.org/drawingml/2006/picture">
              <pic:pic xmlns:pic="http://schemas.openxmlformats.org/drawingml/2006/picture">
                <pic:nvPicPr>
                  <pic:cNvPr id="1496066293"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20.6pt;height:13.55pt;margin-top:0.63pt;margin-left:500pt;position:absolute;z-index:251704320"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41" w:line="212" w:lineRule="auto"/>
      <w:ind w:left="40"/>
      <w:rPr>
        <w:sz w:val="19"/>
        <w:szCs w:val="19"/>
      </w:rPr>
    </w:pPr>
    <w:r>
      <w:drawing>
        <wp:anchor distT="0" distB="0" distL="0" distR="0" simplePos="0" relativeHeight="25170534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137022518" name="IM 44"/>
          <wp:cNvGraphicFramePr/>
          <a:graphic xmlns:a="http://schemas.openxmlformats.org/drawingml/2006/main">
            <a:graphicData uri="http://schemas.openxmlformats.org/drawingml/2006/picture">
              <pic:pic xmlns:pic="http://schemas.openxmlformats.org/drawingml/2006/picture">
                <pic:nvPicPr>
                  <pic:cNvPr id="1137022518" name="IM 4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2" type="#_x0000_t202" style="width:20.6pt;height:13.55pt;margin-top:0.63pt;margin-left:500pt;position:absolute;z-index:251706368" filled="f" stroked="f">
          <o:lock v:ext="edit" aspectratio="f"/>
          <v:textbox inset="0,0,0,0">
            <w:txbxContent>
              <w:p>
                <w:pPr>
                  <w:spacing w:before="20" w:line="224" w:lineRule="auto"/>
                  <w:ind w:left="20"/>
                  <w:rPr>
                    <w:rFonts w:ascii="SimSun" w:eastAsia="SimSun" w:hAnsi="SimSun" w:cs="SimSun"/>
                    <w:sz w:val="19"/>
                    <w:szCs w:val="19"/>
                  </w:rPr>
                </w:pPr>
                <w:r>
                  <w:rPr>
                    <w:rFonts w:ascii="SimSun" w:eastAsia="SimSun" w:hAnsi="SimSun" w:cs="SimSun"/>
                    <w:spacing w:val="-2"/>
                    <w:sz w:val="19"/>
                    <w:szCs w:val="19"/>
                  </w:rPr>
                  <w:t>8/37</w:t>
                </w:r>
              </w:p>
            </w:txbxContent>
          </v:textbox>
        </v:shape>
      </w:pict>
    </w:r>
    <w:r>
      <w:rPr>
        <w:spacing w:val="9"/>
        <w:sz w:val="19"/>
        <w:szCs w:val="19"/>
      </w:rPr>
      <w:t>请务必参阅正文后面的信息披露和法律声明</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0739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9.9pt;height:11.35pt;margin-top:2.57pt;margin-left:499.01pt;position:absolute;z-index:251708416"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0944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13932935" name="IM 70"/>
          <wp:cNvGraphicFramePr/>
          <a:graphic xmlns:a="http://schemas.openxmlformats.org/drawingml/2006/main">
            <a:graphicData uri="http://schemas.openxmlformats.org/drawingml/2006/picture">
              <pic:pic xmlns:pic="http://schemas.openxmlformats.org/drawingml/2006/picture">
                <pic:nvPicPr>
                  <pic:cNvPr id="213932935"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4" type="#_x0000_t202" style="width:19.9pt;height:11.35pt;margin-top:2.57pt;margin-left:499.01pt;position:absolute;z-index:251710464"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1148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822045336" name="IM 70"/>
          <wp:cNvGraphicFramePr/>
          <a:graphic xmlns:a="http://schemas.openxmlformats.org/drawingml/2006/main">
            <a:graphicData uri="http://schemas.openxmlformats.org/drawingml/2006/picture">
              <pic:pic xmlns:pic="http://schemas.openxmlformats.org/drawingml/2006/picture">
                <pic:nvPicPr>
                  <pic:cNvPr id="822045336"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19.9pt;height:11.35pt;margin-top:2.57pt;margin-left:499.01pt;position:absolute;z-index:251712512"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1353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942392173" name="IM 70"/>
          <wp:cNvGraphicFramePr/>
          <a:graphic xmlns:a="http://schemas.openxmlformats.org/drawingml/2006/main">
            <a:graphicData uri="http://schemas.openxmlformats.org/drawingml/2006/picture">
              <pic:pic xmlns:pic="http://schemas.openxmlformats.org/drawingml/2006/picture">
                <pic:nvPicPr>
                  <pic:cNvPr id="1942392173"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19.9pt;height:11.35pt;margin-top:2.57pt;margin-left:499.01pt;position:absolute;z-index:251714560"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1558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96490348" name="IM 70"/>
          <wp:cNvGraphicFramePr/>
          <a:graphic xmlns:a="http://schemas.openxmlformats.org/drawingml/2006/main">
            <a:graphicData uri="http://schemas.openxmlformats.org/drawingml/2006/picture">
              <pic:pic xmlns:pic="http://schemas.openxmlformats.org/drawingml/2006/picture">
                <pic:nvPicPr>
                  <pic:cNvPr id="296490348"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19.9pt;height:11.35pt;margin-top:2.57pt;margin-left:499.01pt;position:absolute;z-index:251716608"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1763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018570938" name="IM 70"/>
          <wp:cNvGraphicFramePr/>
          <a:graphic xmlns:a="http://schemas.openxmlformats.org/drawingml/2006/main">
            <a:graphicData uri="http://schemas.openxmlformats.org/drawingml/2006/picture">
              <pic:pic xmlns:pic="http://schemas.openxmlformats.org/drawingml/2006/picture">
                <pic:nvPicPr>
                  <pic:cNvPr id="2018570938"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8" type="#_x0000_t202" style="width:19.9pt;height:11.35pt;margin-top:2.57pt;margin-left:499.01pt;position:absolute;z-index:251718656"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1968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983628301" name="IM 70"/>
          <wp:cNvGraphicFramePr/>
          <a:graphic xmlns:a="http://schemas.openxmlformats.org/drawingml/2006/main">
            <a:graphicData uri="http://schemas.openxmlformats.org/drawingml/2006/picture">
              <pic:pic xmlns:pic="http://schemas.openxmlformats.org/drawingml/2006/picture">
                <pic:nvPicPr>
                  <pic:cNvPr id="983628301"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9.9pt;height:11.35pt;margin-top:2.57pt;margin-left:499.01pt;position:absolute;z-index:251720704"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51" w:line="211" w:lineRule="auto"/>
      <w:ind w:left="30"/>
      <w:rPr>
        <w:sz w:val="18"/>
        <w:szCs w:val="18"/>
      </w:rPr>
    </w:pPr>
    <w:r>
      <w:drawing>
        <wp:anchor distT="0" distB="0" distL="0" distR="0" simplePos="0" relativeHeight="25172172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745405436" name="IM 70"/>
          <wp:cNvGraphicFramePr/>
          <a:graphic xmlns:a="http://schemas.openxmlformats.org/drawingml/2006/main">
            <a:graphicData uri="http://schemas.openxmlformats.org/drawingml/2006/picture">
              <pic:pic xmlns:pic="http://schemas.openxmlformats.org/drawingml/2006/picture">
                <pic:nvPicPr>
                  <pic:cNvPr id="745405436" name="IM 70"/>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0" type="#_x0000_t202" style="width:19.9pt;height:11.35pt;margin-top:2.57pt;margin-left:499.01pt;position:absolute;z-index:251722752" filled="f" stroked="f">
          <o:lock v:ext="edit" aspectratio="f"/>
          <v:textbox inset="0,0,0,0">
            <w:txbxContent>
              <w:p>
                <w:pPr>
                  <w:pStyle w:val="BodyText"/>
                  <w:spacing w:before="19" w:line="191" w:lineRule="auto"/>
                  <w:ind w:left="20"/>
                  <w:rPr>
                    <w:sz w:val="18"/>
                    <w:szCs w:val="18"/>
                  </w:rPr>
                </w:pPr>
                <w:r>
                  <w:rPr>
                    <w:spacing w:val="-1"/>
                    <w:sz w:val="18"/>
                    <w:szCs w:val="18"/>
                  </w:rPr>
                  <w:t>9/37</w:t>
                </w:r>
              </w:p>
            </w:txbxContent>
          </v:textbox>
        </v:shape>
      </w:pict>
    </w:r>
    <w:r>
      <w:rPr>
        <w:spacing w:val="18"/>
        <w:sz w:val="18"/>
        <w:szCs w:val="18"/>
      </w:rPr>
      <w:t>请务必参阅正文后面的信息披露和法律声明</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2377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25.9pt;height:14.2pt;margin-top:0.19pt;margin-left:494.5pt;position:absolute;z-index:251724800"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10/37</w:t>
                </w:r>
              </w:p>
            </w:txbxContent>
          </v:textbox>
        </v:shape>
      </w:pict>
    </w:r>
    <w:r>
      <w:rPr>
        <w:spacing w:val="-1"/>
        <w:sz w:val="20"/>
        <w:szCs w:val="20"/>
      </w:rPr>
      <w:t>请务必参阅正文后面的信息披露和法律声明</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2582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915968880" name="IM 78"/>
          <wp:cNvGraphicFramePr/>
          <a:graphic xmlns:a="http://schemas.openxmlformats.org/drawingml/2006/main">
            <a:graphicData uri="http://schemas.openxmlformats.org/drawingml/2006/picture">
              <pic:pic xmlns:pic="http://schemas.openxmlformats.org/drawingml/2006/picture">
                <pic:nvPicPr>
                  <pic:cNvPr id="1915968880" name="IM 78"/>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25.9pt;height:14.2pt;margin-top:0.19pt;margin-left:494.5pt;position:absolute;z-index:251726848"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10/37</w:t>
                </w:r>
              </w:p>
            </w:txbxContent>
          </v:textbox>
        </v:shape>
      </w:pict>
    </w:r>
    <w:r>
      <w:rPr>
        <w:spacing w:val="-1"/>
        <w:sz w:val="20"/>
        <w:szCs w:val="20"/>
      </w:rPr>
      <w:t>请务必参阅正文后面的信息披露和法律声明</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2787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22.3pt;height:12.35pt;margin-top:1.56pt;margin-left:495.25pt;position:absolute;z-index:251728896"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2992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20701848" name="IM 106"/>
          <wp:cNvGraphicFramePr/>
          <a:graphic xmlns:a="http://schemas.openxmlformats.org/drawingml/2006/main">
            <a:graphicData uri="http://schemas.openxmlformats.org/drawingml/2006/picture">
              <pic:pic xmlns:pic="http://schemas.openxmlformats.org/drawingml/2006/picture">
                <pic:nvPicPr>
                  <pic:cNvPr id="220701848"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4" type="#_x0000_t202" style="width:22.3pt;height:12.35pt;margin-top:1.56pt;margin-left:495.25pt;position:absolute;z-index:251730944"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3196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611882925" name="IM 106"/>
          <wp:cNvGraphicFramePr/>
          <a:graphic xmlns:a="http://schemas.openxmlformats.org/drawingml/2006/main">
            <a:graphicData uri="http://schemas.openxmlformats.org/drawingml/2006/picture">
              <pic:pic xmlns:pic="http://schemas.openxmlformats.org/drawingml/2006/picture">
                <pic:nvPicPr>
                  <pic:cNvPr id="611882925"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22.3pt;height:12.35pt;margin-top:1.56pt;margin-left:495.25pt;position:absolute;z-index:251732992"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3401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2041215785" name="IM 106"/>
          <wp:cNvGraphicFramePr/>
          <a:graphic xmlns:a="http://schemas.openxmlformats.org/drawingml/2006/main">
            <a:graphicData uri="http://schemas.openxmlformats.org/drawingml/2006/picture">
              <pic:pic xmlns:pic="http://schemas.openxmlformats.org/drawingml/2006/picture">
                <pic:nvPicPr>
                  <pic:cNvPr id="2041215785"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6" type="#_x0000_t202" style="width:22.3pt;height:12.35pt;margin-top:1.56pt;margin-left:495.25pt;position:absolute;z-index:251735040"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3606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872149262" name="IM 106"/>
          <wp:cNvGraphicFramePr/>
          <a:graphic xmlns:a="http://schemas.openxmlformats.org/drawingml/2006/main">
            <a:graphicData uri="http://schemas.openxmlformats.org/drawingml/2006/picture">
              <pic:pic xmlns:pic="http://schemas.openxmlformats.org/drawingml/2006/picture">
                <pic:nvPicPr>
                  <pic:cNvPr id="1872149262"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22.3pt;height:12.35pt;margin-top:1.56pt;margin-left:495.25pt;position:absolute;z-index:251737088"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3811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344316234" name="IM 106"/>
          <wp:cNvGraphicFramePr/>
          <a:graphic xmlns:a="http://schemas.openxmlformats.org/drawingml/2006/main">
            <a:graphicData uri="http://schemas.openxmlformats.org/drawingml/2006/picture">
              <pic:pic xmlns:pic="http://schemas.openxmlformats.org/drawingml/2006/picture">
                <pic:nvPicPr>
                  <pic:cNvPr id="1344316234"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8" type="#_x0000_t202" style="width:22.3pt;height:12.35pt;margin-top:1.56pt;margin-left:495.25pt;position:absolute;z-index:251739136"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4016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472951555" name="IM 106"/>
          <wp:cNvGraphicFramePr/>
          <a:graphic xmlns:a="http://schemas.openxmlformats.org/drawingml/2006/main">
            <a:graphicData uri="http://schemas.openxmlformats.org/drawingml/2006/picture">
              <pic:pic xmlns:pic="http://schemas.openxmlformats.org/drawingml/2006/picture">
                <pic:nvPicPr>
                  <pic:cNvPr id="472951555"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22.3pt;height:12.35pt;margin-top:1.56pt;margin-left:495.25pt;position:absolute;z-index:251741184"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61" w:line="211" w:lineRule="auto"/>
      <w:ind w:left="45"/>
      <w:rPr>
        <w:sz w:val="17"/>
        <w:szCs w:val="17"/>
      </w:rPr>
    </w:pPr>
    <w:r>
      <w:drawing>
        <wp:anchor distT="0" distB="0" distL="0" distR="0" simplePos="0" relativeHeight="25174220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780967460" name="IM 106"/>
          <wp:cNvGraphicFramePr/>
          <a:graphic xmlns:a="http://schemas.openxmlformats.org/drawingml/2006/main">
            <a:graphicData uri="http://schemas.openxmlformats.org/drawingml/2006/picture">
              <pic:pic xmlns:pic="http://schemas.openxmlformats.org/drawingml/2006/picture">
                <pic:nvPicPr>
                  <pic:cNvPr id="1780967460" name="IM 10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0" type="#_x0000_t202" style="width:22.3pt;height:12.35pt;margin-top:1.56pt;margin-left:495.25pt;position:absolute;z-index:251743232" filled="f" stroked="f">
          <o:lock v:ext="edit" aspectratio="f"/>
          <v:textbox inset="0,0,0,0">
            <w:txbxContent>
              <w:p>
                <w:pPr>
                  <w:spacing w:before="20" w:line="224" w:lineRule="auto"/>
                  <w:ind w:left="20"/>
                  <w:rPr>
                    <w:rFonts w:ascii="SimSun" w:eastAsia="SimSun" w:hAnsi="SimSun" w:cs="SimSun"/>
                    <w:sz w:val="17"/>
                    <w:szCs w:val="17"/>
                  </w:rPr>
                </w:pPr>
                <w:r>
                  <w:rPr>
                    <w:rFonts w:ascii="SimSun" w:eastAsia="SimSun" w:hAnsi="SimSun" w:cs="SimSun"/>
                    <w:spacing w:val="-4"/>
                    <w:sz w:val="17"/>
                    <w:szCs w:val="17"/>
                  </w:rPr>
                  <w:t>13/37</w:t>
                </w:r>
              </w:p>
            </w:txbxContent>
          </v:textbox>
        </v:shape>
      </w:pict>
    </w:r>
    <w:r>
      <w:rPr>
        <w:spacing w:val="28"/>
        <w:sz w:val="17"/>
        <w:szCs w:val="17"/>
      </w:rPr>
      <w:t>请务必参阅正文后面的信息披露和法律声明</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71" w:line="210" w:lineRule="auto"/>
      <w:ind w:left="20"/>
      <w:rPr>
        <w:sz w:val="16"/>
        <w:szCs w:val="16"/>
      </w:rPr>
    </w:pPr>
    <w:r>
      <w:drawing>
        <wp:anchor distT="0" distB="0" distL="0" distR="0" simplePos="0" relativeHeight="25174425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21.1pt;height:11.75pt;margin-top:2.04pt;margin-left:494.5pt;position:absolute;z-index:251745280" filled="f" stroked="f">
          <o:lock v:ext="edit" aspectratio="f"/>
          <v:textbox inset="0,0,0,0">
            <w:txbxContent>
              <w:p>
                <w:pPr>
                  <w:spacing w:before="20" w:line="224" w:lineRule="auto"/>
                  <w:ind w:left="20"/>
                  <w:rPr>
                    <w:rFonts w:ascii="SimSun" w:eastAsia="SimSun" w:hAnsi="SimSun" w:cs="SimSun"/>
                    <w:sz w:val="16"/>
                    <w:szCs w:val="16"/>
                  </w:rPr>
                </w:pPr>
                <w:r>
                  <w:rPr>
                    <w:rFonts w:ascii="SimSun" w:eastAsia="SimSun" w:hAnsi="SimSun" w:cs="SimSun"/>
                    <w:spacing w:val="-3"/>
                    <w:sz w:val="16"/>
                    <w:szCs w:val="16"/>
                  </w:rPr>
                  <w:t>15/37</w:t>
                </w:r>
              </w:p>
            </w:txbxContent>
          </v:textbox>
        </v:shape>
      </w:pict>
    </w:r>
    <w:r>
      <w:rPr>
        <w:spacing w:val="-10"/>
        <w:sz w:val="16"/>
        <w:szCs w:val="16"/>
      </w:rPr>
      <w:t>请</w:t>
    </w:r>
    <w:r>
      <w:rPr>
        <w:spacing w:val="-23"/>
        <w:sz w:val="16"/>
        <w:szCs w:val="16"/>
      </w:rPr>
      <w:t xml:space="preserve"> </w:t>
    </w:r>
    <w:r>
      <w:rPr>
        <w:spacing w:val="-10"/>
        <w:sz w:val="16"/>
        <w:szCs w:val="16"/>
      </w:rPr>
      <w:t>务</w:t>
    </w:r>
    <w:r>
      <w:rPr>
        <w:spacing w:val="-25"/>
        <w:sz w:val="16"/>
        <w:szCs w:val="16"/>
      </w:rPr>
      <w:t xml:space="preserve"> </w:t>
    </w:r>
    <w:r>
      <w:rPr>
        <w:spacing w:val="-10"/>
        <w:sz w:val="16"/>
        <w:szCs w:val="16"/>
      </w:rPr>
      <w:t>必</w:t>
    </w:r>
    <w:r>
      <w:rPr>
        <w:spacing w:val="-33"/>
        <w:sz w:val="16"/>
        <w:szCs w:val="16"/>
      </w:rPr>
      <w:t xml:space="preserve"> </w:t>
    </w:r>
    <w:r>
      <w:rPr>
        <w:spacing w:val="-10"/>
        <w:sz w:val="16"/>
        <w:szCs w:val="16"/>
      </w:rPr>
      <w:t>参</w:t>
    </w:r>
    <w:r>
      <w:rPr>
        <w:spacing w:val="-19"/>
        <w:sz w:val="16"/>
        <w:szCs w:val="16"/>
      </w:rPr>
      <w:t xml:space="preserve"> </w:t>
    </w:r>
    <w:r>
      <w:rPr>
        <w:spacing w:val="-10"/>
        <w:sz w:val="16"/>
        <w:szCs w:val="16"/>
      </w:rPr>
      <w:t>阅</w:t>
    </w:r>
    <w:r>
      <w:rPr>
        <w:spacing w:val="-32"/>
        <w:sz w:val="16"/>
        <w:szCs w:val="16"/>
      </w:rPr>
      <w:t xml:space="preserve"> </w:t>
    </w:r>
    <w:r>
      <w:rPr>
        <w:spacing w:val="-10"/>
        <w:sz w:val="16"/>
        <w:szCs w:val="16"/>
      </w:rPr>
      <w:t>正</w:t>
    </w:r>
    <w:r>
      <w:rPr>
        <w:spacing w:val="-27"/>
        <w:sz w:val="16"/>
        <w:szCs w:val="16"/>
      </w:rPr>
      <w:t xml:space="preserve"> </w:t>
    </w:r>
    <w:r>
      <w:rPr>
        <w:spacing w:val="-10"/>
        <w:sz w:val="16"/>
        <w:szCs w:val="16"/>
      </w:rPr>
      <w:t>文</w:t>
    </w:r>
    <w:r>
      <w:rPr>
        <w:spacing w:val="-34"/>
        <w:sz w:val="16"/>
        <w:szCs w:val="16"/>
      </w:rPr>
      <w:t xml:space="preserve"> </w:t>
    </w:r>
    <w:r>
      <w:rPr>
        <w:spacing w:val="-10"/>
        <w:sz w:val="16"/>
        <w:szCs w:val="16"/>
      </w:rPr>
      <w:t>后</w:t>
    </w:r>
    <w:r>
      <w:rPr>
        <w:spacing w:val="-20"/>
        <w:sz w:val="16"/>
        <w:szCs w:val="16"/>
      </w:rPr>
      <w:t xml:space="preserve"> </w:t>
    </w:r>
    <w:r>
      <w:rPr>
        <w:spacing w:val="-10"/>
        <w:sz w:val="16"/>
        <w:szCs w:val="16"/>
      </w:rPr>
      <w:t>面</w:t>
    </w:r>
    <w:r>
      <w:rPr>
        <w:spacing w:val="-23"/>
        <w:sz w:val="16"/>
        <w:szCs w:val="16"/>
      </w:rPr>
      <w:t xml:space="preserve"> </w:t>
    </w:r>
    <w:r>
      <w:rPr>
        <w:spacing w:val="-10"/>
        <w:sz w:val="16"/>
        <w:szCs w:val="16"/>
      </w:rPr>
      <w:t>的</w:t>
    </w:r>
    <w:r>
      <w:rPr>
        <w:spacing w:val="-34"/>
        <w:sz w:val="16"/>
        <w:szCs w:val="16"/>
      </w:rPr>
      <w:t xml:space="preserve"> </w:t>
    </w:r>
    <w:r>
      <w:rPr>
        <w:spacing w:val="-10"/>
        <w:sz w:val="16"/>
        <w:szCs w:val="16"/>
      </w:rPr>
      <w:t>信</w:t>
    </w:r>
    <w:r>
      <w:rPr>
        <w:spacing w:val="-19"/>
        <w:sz w:val="16"/>
        <w:szCs w:val="16"/>
      </w:rPr>
      <w:t xml:space="preserve"> </w:t>
    </w:r>
    <w:r>
      <w:rPr>
        <w:spacing w:val="-10"/>
        <w:sz w:val="16"/>
        <w:szCs w:val="16"/>
      </w:rPr>
      <w:t>息</w:t>
    </w:r>
    <w:r>
      <w:rPr>
        <w:spacing w:val="-32"/>
        <w:sz w:val="16"/>
        <w:szCs w:val="16"/>
      </w:rPr>
      <w:t xml:space="preserve"> </w:t>
    </w:r>
    <w:r>
      <w:rPr>
        <w:spacing w:val="-10"/>
        <w:sz w:val="16"/>
        <w:szCs w:val="16"/>
      </w:rPr>
      <w:t>披</w:t>
    </w:r>
    <w:r>
      <w:rPr>
        <w:spacing w:val="-31"/>
        <w:sz w:val="16"/>
        <w:szCs w:val="16"/>
      </w:rPr>
      <w:t xml:space="preserve"> </w:t>
    </w:r>
    <w:r>
      <w:rPr>
        <w:spacing w:val="-10"/>
        <w:sz w:val="16"/>
        <w:szCs w:val="16"/>
      </w:rPr>
      <w:t>露</w:t>
    </w:r>
    <w:r>
      <w:rPr>
        <w:spacing w:val="-33"/>
        <w:sz w:val="16"/>
        <w:szCs w:val="16"/>
      </w:rPr>
      <w:t xml:space="preserve"> </w:t>
    </w:r>
    <w:r>
      <w:rPr>
        <w:spacing w:val="-10"/>
        <w:sz w:val="16"/>
        <w:szCs w:val="16"/>
      </w:rPr>
      <w:t>和</w:t>
    </w:r>
    <w:r>
      <w:rPr>
        <w:spacing w:val="-21"/>
        <w:sz w:val="16"/>
        <w:szCs w:val="16"/>
      </w:rPr>
      <w:t xml:space="preserve"> </w:t>
    </w:r>
    <w:r>
      <w:rPr>
        <w:spacing w:val="-10"/>
        <w:sz w:val="16"/>
        <w:szCs w:val="16"/>
      </w:rPr>
      <w:t>法</w:t>
    </w:r>
    <w:r>
      <w:rPr>
        <w:spacing w:val="-37"/>
        <w:sz w:val="16"/>
        <w:szCs w:val="16"/>
      </w:rPr>
      <w:t xml:space="preserve"> </w:t>
    </w:r>
    <w:r>
      <w:rPr>
        <w:spacing w:val="-10"/>
        <w:sz w:val="16"/>
        <w:szCs w:val="16"/>
      </w:rPr>
      <w:t>律</w:t>
    </w:r>
    <w:r>
      <w:rPr>
        <w:spacing w:val="-32"/>
        <w:sz w:val="16"/>
        <w:szCs w:val="16"/>
      </w:rPr>
      <w:t xml:space="preserve"> </w:t>
    </w:r>
    <w:r>
      <w:rPr>
        <w:spacing w:val="-10"/>
        <w:sz w:val="16"/>
        <w:szCs w:val="16"/>
      </w:rPr>
      <w:t>声</w:t>
    </w:r>
    <w:r>
      <w:rPr>
        <w:spacing w:val="-18"/>
        <w:sz w:val="16"/>
        <w:szCs w:val="16"/>
      </w:rPr>
      <w:t xml:space="preserve"> </w:t>
    </w:r>
    <w:r>
      <w:rPr>
        <w:spacing w:val="-10"/>
        <w:sz w:val="16"/>
        <w:szCs w:val="16"/>
      </w:rPr>
      <w:t>明</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4630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2" type="#_x0000_t202" style="width:26.1pt;height:12.35pt;margin-top:1.8pt;margin-left:494.5pt;position:absolute;z-index:251747328" filled="f" stroked="f">
          <o:lock v:ext="edit" aspectratio="f"/>
          <v:textbox inset="0,0,0,0">
            <w:txbxContent>
              <w:p>
                <w:pPr>
                  <w:pStyle w:val="BodyText"/>
                  <w:spacing w:before="19" w:line="191" w:lineRule="auto"/>
                  <w:ind w:left="20"/>
                  <w:rPr>
                    <w:sz w:val="20"/>
                    <w:szCs w:val="20"/>
                  </w:rPr>
                </w:pPr>
                <w:r>
                  <w:rPr>
                    <w:spacing w:val="-3"/>
                    <w:sz w:val="20"/>
                    <w:szCs w:val="20"/>
                  </w:rPr>
                  <w:t>16/37</w:t>
                </w:r>
              </w:p>
            </w:txbxContent>
          </v:textbox>
        </v:shape>
      </w:pict>
    </w:r>
    <w:r>
      <w:rPr>
        <w:spacing w:val="-1"/>
        <w:sz w:val="20"/>
        <w:szCs w:val="20"/>
      </w:rPr>
      <w:t>请务必参阅正文后面的信息披露和法律声明</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4835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465221674" name="IM 134"/>
          <wp:cNvGraphicFramePr/>
          <a:graphic xmlns:a="http://schemas.openxmlformats.org/drawingml/2006/main">
            <a:graphicData uri="http://schemas.openxmlformats.org/drawingml/2006/picture">
              <pic:pic xmlns:pic="http://schemas.openxmlformats.org/drawingml/2006/picture">
                <pic:nvPicPr>
                  <pic:cNvPr id="465221674" name="IM 134"/>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26.1pt;height:12.35pt;margin-top:1.8pt;margin-left:494.5pt;position:absolute;z-index:251749376" filled="f" stroked="f">
          <o:lock v:ext="edit" aspectratio="f"/>
          <v:textbox inset="0,0,0,0">
            <w:txbxContent>
              <w:p>
                <w:pPr>
                  <w:pStyle w:val="BodyText"/>
                  <w:spacing w:before="19" w:line="191" w:lineRule="auto"/>
                  <w:ind w:left="20"/>
                  <w:rPr>
                    <w:sz w:val="20"/>
                    <w:szCs w:val="20"/>
                  </w:rPr>
                </w:pPr>
                <w:r>
                  <w:rPr>
                    <w:spacing w:val="-3"/>
                    <w:sz w:val="20"/>
                    <w:szCs w:val="20"/>
                  </w:rPr>
                  <w:t>16/37</w:t>
                </w:r>
              </w:p>
            </w:txbxContent>
          </v:textbox>
        </v:shape>
      </w:pict>
    </w:r>
    <w:r>
      <w:rPr>
        <w:spacing w:val="-1"/>
        <w:sz w:val="20"/>
        <w:szCs w:val="20"/>
      </w:rPr>
      <w:t>请务必参阅正文后面的信息披露和法律声明</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5040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4" type="#_x0000_t202" style="width:25.9pt;height:14.2pt;margin-top:0.19pt;margin-left:494.5pt;position:absolute;z-index:251751424"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17/37</w:t>
                </w:r>
              </w:p>
            </w:txbxContent>
          </v:textbox>
        </v:shape>
      </w:pict>
    </w:r>
    <w:r>
      <w:rPr>
        <w:spacing w:val="-1"/>
        <w:sz w:val="20"/>
        <w:szCs w:val="20"/>
      </w:rPr>
      <w:t>请务必参阅正文后面的信息披露和法律声明</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52448"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052900702" name="IM 146"/>
          <wp:cNvGraphicFramePr/>
          <a:graphic xmlns:a="http://schemas.openxmlformats.org/drawingml/2006/main">
            <a:graphicData uri="http://schemas.openxmlformats.org/drawingml/2006/picture">
              <pic:pic xmlns:pic="http://schemas.openxmlformats.org/drawingml/2006/picture">
                <pic:nvPicPr>
                  <pic:cNvPr id="1052900702" name="IM 14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width:25.9pt;height:14.2pt;margin-top:0.19pt;margin-left:494.5pt;position:absolute;z-index:251753472"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17/37</w:t>
                </w:r>
              </w:p>
            </w:txbxContent>
          </v:textbox>
        </v:shape>
      </w:pict>
    </w:r>
    <w:r>
      <w:rPr>
        <w:spacing w:val="-1"/>
        <w:sz w:val="20"/>
        <w:szCs w:val="20"/>
      </w:rPr>
      <w:t>请务必参阅正文后面的信息披露和法律声明</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54496"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686433394" name="IM 146"/>
          <wp:cNvGraphicFramePr/>
          <a:graphic xmlns:a="http://schemas.openxmlformats.org/drawingml/2006/main">
            <a:graphicData uri="http://schemas.openxmlformats.org/drawingml/2006/picture">
              <pic:pic xmlns:pic="http://schemas.openxmlformats.org/drawingml/2006/picture">
                <pic:nvPicPr>
                  <pic:cNvPr id="686433394" name="IM 14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6" type="#_x0000_t202" style="width:25.9pt;height:14.2pt;margin-top:0.19pt;margin-left:494.5pt;position:absolute;z-index:251755520"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17/37</w:t>
                </w:r>
              </w:p>
            </w:txbxContent>
          </v:textbox>
        </v:shape>
      </w:pict>
    </w:r>
    <w:r>
      <w:rPr>
        <w:spacing w:val="-1"/>
        <w:sz w:val="20"/>
        <w:szCs w:val="20"/>
      </w:rPr>
      <w:t>请务必参阅正文后面的信息披露和法律声明</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56544"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013787934" name="IM 146"/>
          <wp:cNvGraphicFramePr/>
          <a:graphic xmlns:a="http://schemas.openxmlformats.org/drawingml/2006/main">
            <a:graphicData uri="http://schemas.openxmlformats.org/drawingml/2006/picture">
              <pic:pic xmlns:pic="http://schemas.openxmlformats.org/drawingml/2006/picture">
                <pic:nvPicPr>
                  <pic:cNvPr id="1013787934" name="IM 14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25.9pt;height:14.2pt;margin-top:0.19pt;margin-left:494.5pt;position:absolute;z-index:251757568"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17/37</w:t>
                </w:r>
              </w:p>
            </w:txbxContent>
          </v:textbox>
        </v:shape>
      </w:pict>
    </w:r>
    <w:r>
      <w:rPr>
        <w:spacing w:val="-1"/>
        <w:sz w:val="20"/>
        <w:szCs w:val="20"/>
      </w:rPr>
      <w:t>请务必参阅正文后面的信息披露和法律声明</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58592"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559764534" name="IM 146"/>
          <wp:cNvGraphicFramePr/>
          <a:graphic xmlns:a="http://schemas.openxmlformats.org/drawingml/2006/main">
            <a:graphicData uri="http://schemas.openxmlformats.org/drawingml/2006/picture">
              <pic:pic xmlns:pic="http://schemas.openxmlformats.org/drawingml/2006/picture">
                <pic:nvPicPr>
                  <pic:cNvPr id="559764534" name="IM 14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8" type="#_x0000_t202" style="width:25.9pt;height:14.2pt;margin-top:0.19pt;margin-left:494.5pt;position:absolute;z-index:251759616"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17/37</w:t>
                </w:r>
              </w:p>
            </w:txbxContent>
          </v:textbox>
        </v:shape>
      </w:pict>
    </w:r>
    <w:r>
      <w:rPr>
        <w:spacing w:val="-1"/>
        <w:sz w:val="20"/>
        <w:szCs w:val="20"/>
      </w:rPr>
      <w:t>请务必参阅正文后面的信息披露和法律声明</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32" w:line="212" w:lineRule="auto"/>
      <w:ind w:left="20"/>
      <w:rPr>
        <w:sz w:val="20"/>
        <w:szCs w:val="20"/>
      </w:rPr>
    </w:pPr>
    <w:r>
      <w:drawing>
        <wp:anchor distT="0" distB="0" distL="0" distR="0" simplePos="0" relativeHeight="251760640" behindDoc="0" locked="0" layoutInCell="0" allowOverlap="1">
          <wp:simplePos x="0" y="0"/>
          <wp:positionH relativeFrom="page">
            <wp:posOffset>457174</wp:posOffset>
          </wp:positionH>
          <wp:positionV relativeFrom="page">
            <wp:posOffset>9975852</wp:posOffset>
          </wp:positionV>
          <wp:extent cx="6686543" cy="6350"/>
          <wp:effectExtent l="0" t="0" r="0" b="0"/>
          <wp:wrapNone/>
          <wp:docPr id="1284455729" name="IM 146"/>
          <wp:cNvGraphicFramePr/>
          <a:graphic xmlns:a="http://schemas.openxmlformats.org/drawingml/2006/main">
            <a:graphicData uri="http://schemas.openxmlformats.org/drawingml/2006/picture">
              <pic:pic xmlns:pic="http://schemas.openxmlformats.org/drawingml/2006/picture">
                <pic:nvPicPr>
                  <pic:cNvPr id="1284455729" name="IM 146"/>
                  <pic:cNvPicPr/>
                </pic:nvPicPr>
                <pic:blipFill>
                  <a:blip xmlns:r="http://schemas.openxmlformats.org/officeDocument/2006/relationships" r:embed="rId1"/>
                  <a:stretch>
                    <a:fillRect/>
                  </a:stretch>
                </pic:blipFill>
                <pic:spPr>
                  <a:xfrm>
                    <a:off x="0" y="0"/>
                    <a:ext cx="6686543"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width:25.9pt;height:14.2pt;margin-top:0.19pt;margin-left:494.5pt;position:absolute;z-index:251761664" filled="f" stroked="f">
          <o:lock v:ext="edit" aspectratio="f"/>
          <v:textbox inset="0,0,0,0">
            <w:txbxContent>
              <w:p>
                <w:pPr>
                  <w:spacing w:before="20" w:line="224" w:lineRule="auto"/>
                  <w:ind w:left="20"/>
                  <w:rPr>
                    <w:rFonts w:ascii="SimSun" w:eastAsia="SimSun" w:hAnsi="SimSun" w:cs="SimSun"/>
                    <w:sz w:val="20"/>
                    <w:szCs w:val="20"/>
                  </w:rPr>
                </w:pPr>
                <w:r>
                  <w:rPr>
                    <w:rFonts w:ascii="SimSun" w:eastAsia="SimSun" w:hAnsi="SimSun" w:cs="SimSun"/>
                    <w:spacing w:val="-4"/>
                    <w:sz w:val="20"/>
                    <w:szCs w:val="20"/>
                  </w:rPr>
                  <w:t>17/37</w:t>
                </w:r>
              </w:p>
            </w:txbxContent>
          </v:textbox>
        </v:shape>
      </w:pict>
    </w:r>
    <w:r>
      <w:rPr>
        <w:spacing w:val="-1"/>
        <w:sz w:val="20"/>
        <w:szCs w:val="20"/>
      </w:rPr>
      <w:t>请务必参阅正文后面的信息披露和法律声明</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KaiTi" w:eastAsia="KaiTi" w:hAnsi="KaiTi" w:cs="KaiTi"/>
      <w:sz w:val="21"/>
      <w:szCs w:val="21"/>
      <w:lang w:val="en-US" w:eastAsia="en-US" w:bidi="ar-SA"/>
    </w:rPr>
  </w:style>
  <w:style w:type="paragraph" w:customStyle="1" w:styleId="TableText">
    <w:name w:val="Table Text"/>
    <w:basedOn w:val="Normal"/>
    <w:semiHidden/>
    <w:qFormat/>
    <w:rPr>
      <w:rFonts w:ascii="Times New Roman" w:eastAsia="Times New Roman" w:hAnsi="Times New Roman" w:cs="Times New Roma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image" Target="media/image43.png" /><Relationship Id="rId101" Type="http://schemas.openxmlformats.org/officeDocument/2006/relationships/image" Target="media/image44.png" /><Relationship Id="rId102" Type="http://schemas.openxmlformats.org/officeDocument/2006/relationships/image" Target="media/image45.jpeg" /><Relationship Id="rId103" Type="http://schemas.openxmlformats.org/officeDocument/2006/relationships/image" Target="media/image46.jpeg" /><Relationship Id="rId104" Type="http://schemas.openxmlformats.org/officeDocument/2006/relationships/image" Target="media/image47.jpeg" /><Relationship Id="rId105" Type="http://schemas.openxmlformats.org/officeDocument/2006/relationships/footer" Target="footer57.xml" /><Relationship Id="rId106" Type="http://schemas.openxmlformats.org/officeDocument/2006/relationships/footer" Target="footer58.xml" /><Relationship Id="rId107" Type="http://schemas.openxmlformats.org/officeDocument/2006/relationships/image" Target="media/image48.jpeg" /><Relationship Id="rId108" Type="http://schemas.openxmlformats.org/officeDocument/2006/relationships/footer" Target="footer59.xml" /><Relationship Id="rId109" Type="http://schemas.openxmlformats.org/officeDocument/2006/relationships/footer" Target="footer60.xml" /><Relationship Id="rId11" Type="http://schemas.openxmlformats.org/officeDocument/2006/relationships/footer" Target="footer4.xml" /><Relationship Id="rId110" Type="http://schemas.openxmlformats.org/officeDocument/2006/relationships/footer" Target="footer61.xml" /><Relationship Id="rId111" Type="http://schemas.openxmlformats.org/officeDocument/2006/relationships/image" Target="media/image49.jpeg" /><Relationship Id="rId112" Type="http://schemas.openxmlformats.org/officeDocument/2006/relationships/footer" Target="footer62.xml" /><Relationship Id="rId113" Type="http://schemas.openxmlformats.org/officeDocument/2006/relationships/footer" Target="footer63.xml" /><Relationship Id="rId114" Type="http://schemas.openxmlformats.org/officeDocument/2006/relationships/image" Target="media/image50.jpeg" /><Relationship Id="rId115" Type="http://schemas.openxmlformats.org/officeDocument/2006/relationships/footer" Target="footer64.xml" /><Relationship Id="rId116" Type="http://schemas.openxmlformats.org/officeDocument/2006/relationships/image" Target="media/image51.png" /><Relationship Id="rId117" Type="http://schemas.openxmlformats.org/officeDocument/2006/relationships/image" Target="media/image52.jpeg" /><Relationship Id="rId118" Type="http://schemas.openxmlformats.org/officeDocument/2006/relationships/image" Target="media/image53.jpeg" /><Relationship Id="rId119" Type="http://schemas.openxmlformats.org/officeDocument/2006/relationships/image" Target="media/image54.jpeg" /><Relationship Id="rId12" Type="http://schemas.openxmlformats.org/officeDocument/2006/relationships/image" Target="media/image6.jpeg" /><Relationship Id="rId120" Type="http://schemas.openxmlformats.org/officeDocument/2006/relationships/hyperlink" Target="https://d.book118.com/966152143200010055" TargetMode="External" /><Relationship Id="rId121" Type="http://schemas.openxmlformats.org/officeDocument/2006/relationships/footer" Target="footer65.xml" /><Relationship Id="rId122" Type="http://schemas.openxmlformats.org/officeDocument/2006/relationships/theme" Target="theme/theme1.xml" /><Relationship Id="rId123" Type="http://schemas.openxmlformats.org/officeDocument/2006/relationships/styles" Target="styles.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image" Target="media/image8.jpeg"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image" Target="media/image11.jpeg" /><Relationship Id="rId23" Type="http://schemas.openxmlformats.org/officeDocument/2006/relationships/image" Target="media/image12.png" /><Relationship Id="rId24" Type="http://schemas.openxmlformats.org/officeDocument/2006/relationships/image" Target="media/image13.jpeg" /><Relationship Id="rId25" Type="http://schemas.openxmlformats.org/officeDocument/2006/relationships/footer" Target="footer11.xml" /><Relationship Id="rId26" Type="http://schemas.openxmlformats.org/officeDocument/2006/relationships/image" Target="media/image14.jpeg" /><Relationship Id="rId27" Type="http://schemas.openxmlformats.org/officeDocument/2006/relationships/footer" Target="footer12.xml"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6.jpeg" /><Relationship Id="rId31" Type="http://schemas.openxmlformats.org/officeDocument/2006/relationships/footer" Target="footer15.xml" /><Relationship Id="rId32" Type="http://schemas.openxmlformats.org/officeDocument/2006/relationships/footer" Target="footer16.xml" /><Relationship Id="rId33" Type="http://schemas.openxmlformats.org/officeDocument/2006/relationships/image" Target="media/image17.jpeg" /><Relationship Id="rId34" Type="http://schemas.openxmlformats.org/officeDocument/2006/relationships/image" Target="media/image18.jpeg" /><Relationship Id="rId35" Type="http://schemas.openxmlformats.org/officeDocument/2006/relationships/footer" Target="footer17.xml" /><Relationship Id="rId36" Type="http://schemas.openxmlformats.org/officeDocument/2006/relationships/image" Target="media/image19.png" /><Relationship Id="rId37" Type="http://schemas.openxmlformats.org/officeDocument/2006/relationships/footer" Target="footer18.xml" /><Relationship Id="rId38" Type="http://schemas.openxmlformats.org/officeDocument/2006/relationships/footer" Target="footer19.xml" /><Relationship Id="rId39" Type="http://schemas.openxmlformats.org/officeDocument/2006/relationships/image" Target="media/image20.jpeg" /><Relationship Id="rId4" Type="http://schemas.openxmlformats.org/officeDocument/2006/relationships/image" Target="media/image1.jpeg" /><Relationship Id="rId40" Type="http://schemas.openxmlformats.org/officeDocument/2006/relationships/image" Target="media/image21.jpeg" /><Relationship Id="rId41" Type="http://schemas.openxmlformats.org/officeDocument/2006/relationships/footer" Target="footer20.xml" /><Relationship Id="rId42" Type="http://schemas.openxmlformats.org/officeDocument/2006/relationships/footer" Target="footer21.xml" /><Relationship Id="rId43" Type="http://schemas.openxmlformats.org/officeDocument/2006/relationships/image" Target="media/image22.jpeg" /><Relationship Id="rId44" Type="http://schemas.openxmlformats.org/officeDocument/2006/relationships/image" Target="media/image23.jpeg" /><Relationship Id="rId45" Type="http://schemas.openxmlformats.org/officeDocument/2006/relationships/image" Target="media/image24.png" /><Relationship Id="rId46" Type="http://schemas.openxmlformats.org/officeDocument/2006/relationships/image" Target="media/image25.jpeg" /><Relationship Id="rId47" Type="http://schemas.openxmlformats.org/officeDocument/2006/relationships/footer" Target="footer22.xml" /><Relationship Id="rId48" Type="http://schemas.openxmlformats.org/officeDocument/2006/relationships/footer" Target="footer23.xml" /><Relationship Id="rId49" Type="http://schemas.openxmlformats.org/officeDocument/2006/relationships/footer" Target="footer24.xml" /><Relationship Id="rId5" Type="http://schemas.openxmlformats.org/officeDocument/2006/relationships/image" Target="media/image2.jpeg" /><Relationship Id="rId50" Type="http://schemas.openxmlformats.org/officeDocument/2006/relationships/image" Target="media/image7.jpeg" /><Relationship Id="rId51" Type="http://schemas.openxmlformats.org/officeDocument/2006/relationships/image" Target="media/image26.png" /><Relationship Id="rId52" Type="http://schemas.openxmlformats.org/officeDocument/2006/relationships/footer" Target="footer25.xml" /><Relationship Id="rId53" Type="http://schemas.openxmlformats.org/officeDocument/2006/relationships/footer" Target="footer26.xml" /><Relationship Id="rId54" Type="http://schemas.openxmlformats.org/officeDocument/2006/relationships/footer" Target="footer27.xml" /><Relationship Id="rId55" Type="http://schemas.openxmlformats.org/officeDocument/2006/relationships/footer" Target="footer28.xml" /><Relationship Id="rId56" Type="http://schemas.openxmlformats.org/officeDocument/2006/relationships/footer" Target="footer29.xml" /><Relationship Id="rId57" Type="http://schemas.openxmlformats.org/officeDocument/2006/relationships/footer" Target="footer30.xml" /><Relationship Id="rId58" Type="http://schemas.openxmlformats.org/officeDocument/2006/relationships/footer" Target="footer31.xml" /><Relationship Id="rId59" Type="http://schemas.openxmlformats.org/officeDocument/2006/relationships/footer" Target="footer32.xml" /><Relationship Id="rId6" Type="http://schemas.openxmlformats.org/officeDocument/2006/relationships/image" Target="media/image3.jpeg" /><Relationship Id="rId60" Type="http://schemas.openxmlformats.org/officeDocument/2006/relationships/footer" Target="footer33.xml" /><Relationship Id="rId61" Type="http://schemas.openxmlformats.org/officeDocument/2006/relationships/footer" Target="footer34.xml" /><Relationship Id="rId62" Type="http://schemas.openxmlformats.org/officeDocument/2006/relationships/image" Target="media/image27.png" /><Relationship Id="rId63" Type="http://schemas.openxmlformats.org/officeDocument/2006/relationships/footer" Target="footer35.xml" /><Relationship Id="rId64" Type="http://schemas.openxmlformats.org/officeDocument/2006/relationships/image" Target="media/image28.jpeg" /><Relationship Id="rId65" Type="http://schemas.openxmlformats.org/officeDocument/2006/relationships/image" Target="media/image29.jpeg" /><Relationship Id="rId66" Type="http://schemas.openxmlformats.org/officeDocument/2006/relationships/image" Target="media/image30.jpeg" /><Relationship Id="rId67" Type="http://schemas.openxmlformats.org/officeDocument/2006/relationships/image" Target="media/image31.jpeg" /><Relationship Id="rId68" Type="http://schemas.openxmlformats.org/officeDocument/2006/relationships/footer" Target="footer36.xml" /><Relationship Id="rId69" Type="http://schemas.openxmlformats.org/officeDocument/2006/relationships/footer" Target="footer37.xml" /><Relationship Id="rId7" Type="http://schemas.openxmlformats.org/officeDocument/2006/relationships/footer" Target="footer1.xml" /><Relationship Id="rId70" Type="http://schemas.openxmlformats.org/officeDocument/2006/relationships/footer" Target="footer38.xml" /><Relationship Id="rId71" Type="http://schemas.openxmlformats.org/officeDocument/2006/relationships/footer" Target="footer39.xml" /><Relationship Id="rId72" Type="http://schemas.openxmlformats.org/officeDocument/2006/relationships/image" Target="media/image32.jpeg" /><Relationship Id="rId73" Type="http://schemas.openxmlformats.org/officeDocument/2006/relationships/image" Target="media/image33.jpeg" /><Relationship Id="rId74" Type="http://schemas.openxmlformats.org/officeDocument/2006/relationships/footer" Target="footer40.xml" /><Relationship Id="rId75" Type="http://schemas.openxmlformats.org/officeDocument/2006/relationships/footer" Target="footer41.xml" /><Relationship Id="rId76" Type="http://schemas.openxmlformats.org/officeDocument/2006/relationships/footer" Target="footer42.xml" /><Relationship Id="rId77" Type="http://schemas.openxmlformats.org/officeDocument/2006/relationships/footer" Target="footer43.xml" /><Relationship Id="rId78" Type="http://schemas.openxmlformats.org/officeDocument/2006/relationships/footer" Target="footer44.xml" /><Relationship Id="rId79" Type="http://schemas.openxmlformats.org/officeDocument/2006/relationships/image" Target="media/image34.png" /><Relationship Id="rId8" Type="http://schemas.openxmlformats.org/officeDocument/2006/relationships/image" Target="media/image5.jpeg" /><Relationship Id="rId80" Type="http://schemas.openxmlformats.org/officeDocument/2006/relationships/image" Target="media/image35.png" /><Relationship Id="rId81" Type="http://schemas.openxmlformats.org/officeDocument/2006/relationships/footer" Target="footer45.xml" /><Relationship Id="rId82" Type="http://schemas.openxmlformats.org/officeDocument/2006/relationships/footer" Target="footer46.xml" /><Relationship Id="rId83" Type="http://schemas.openxmlformats.org/officeDocument/2006/relationships/footer" Target="footer47.xml" /><Relationship Id="rId84" Type="http://schemas.openxmlformats.org/officeDocument/2006/relationships/footer" Target="footer48.xml" /><Relationship Id="rId85" Type="http://schemas.openxmlformats.org/officeDocument/2006/relationships/footer" Target="footer49.xml" /><Relationship Id="rId86" Type="http://schemas.openxmlformats.org/officeDocument/2006/relationships/image" Target="media/image36.jpeg" /><Relationship Id="rId87" Type="http://schemas.openxmlformats.org/officeDocument/2006/relationships/image" Target="media/image37.jpeg" /><Relationship Id="rId88" Type="http://schemas.openxmlformats.org/officeDocument/2006/relationships/footer" Target="footer50.xml" /><Relationship Id="rId89" Type="http://schemas.openxmlformats.org/officeDocument/2006/relationships/footer" Target="footer51.xml" /><Relationship Id="rId9" Type="http://schemas.openxmlformats.org/officeDocument/2006/relationships/footer" Target="footer2.xml" /><Relationship Id="rId90" Type="http://schemas.openxmlformats.org/officeDocument/2006/relationships/footer" Target="footer52.xml" /><Relationship Id="rId91" Type="http://schemas.openxmlformats.org/officeDocument/2006/relationships/image" Target="media/image38.jpeg" /><Relationship Id="rId92" Type="http://schemas.openxmlformats.org/officeDocument/2006/relationships/footer" Target="footer53.xml" /><Relationship Id="rId93" Type="http://schemas.openxmlformats.org/officeDocument/2006/relationships/footer" Target="footer54.xml" /><Relationship Id="rId94" Type="http://schemas.openxmlformats.org/officeDocument/2006/relationships/footer" Target="footer55.xml" /><Relationship Id="rId95" Type="http://schemas.openxmlformats.org/officeDocument/2006/relationships/image" Target="media/image39.jpeg" /><Relationship Id="rId96" Type="http://schemas.openxmlformats.org/officeDocument/2006/relationships/image" Target="media/image40.jpeg" /><Relationship Id="rId97" Type="http://schemas.openxmlformats.org/officeDocument/2006/relationships/image" Target="media/image41.png" /><Relationship Id="rId98" Type="http://schemas.openxmlformats.org/officeDocument/2006/relationships/image" Target="media/image42.jpeg" /><Relationship Id="rId99" Type="http://schemas.openxmlformats.org/officeDocument/2006/relationships/footer" Target="footer56.xml" /></Relationships>
</file>

<file path=word/_rels/footer1.xml.rels><?xml version="1.0" encoding="utf-8" standalone="yes"?><Relationships xmlns="http://schemas.openxmlformats.org/package/2006/relationships"><Relationship Id="rId1" Type="http://schemas.openxmlformats.org/officeDocument/2006/relationships/image" Target="media/image4.png" /></Relationships>
</file>

<file path=word/_rels/footer2.xml.rels><?xml version="1.0" encoding="utf-8" standalone="yes"?><Relationships xmlns="http://schemas.openxmlformats.org/package/2006/relationships"><Relationship Id="rId1" Type="http://schemas.openxmlformats.org/officeDocument/2006/relationships/image" Target="media/image4.png" /></Relationships>
</file>

<file path=word/_rels/footer3.xml.rels><?xml version="1.0" encoding="utf-8" standalone="yes"?><Relationships xmlns="http://schemas.openxmlformats.org/package/2006/relationships"><Relationship Id="rId1" Type="http://schemas.openxmlformats.org/officeDocument/2006/relationships/image" Target="media/image4.png" /></Relationships>
</file>

<file path=word/_rels/footer4.xml.rels><?xml version="1.0" encoding="utf-8" standalone="yes"?><Relationships xmlns="http://schemas.openxmlformats.org/package/2006/relationships"><Relationship Id="rId1" Type="http://schemas.openxmlformats.org/officeDocument/2006/relationships/image" Target="media/image4.png" /></Relationships>
</file>

<file path=word/_rels/footer5.xml.rels><?xml version="1.0" encoding="utf-8" standalone="yes"?><Relationships xmlns="http://schemas.openxmlformats.org/package/2006/relationships"><Relationship Id="rId1" Type="http://schemas.openxmlformats.org/officeDocument/2006/relationships/image" Target="media/image7.jpeg" /></Relationships>
</file>

<file path=word/_rels/footer6.xml.rels><?xml version="1.0" encoding="utf-8" standalone="yes"?><Relationships xmlns="http://schemas.openxmlformats.org/package/2006/relationships"><Relationship Id="rId1" Type="http://schemas.openxmlformats.org/officeDocument/2006/relationships/image" Target="media/image7.jpeg" /></Relationships>
</file>

<file path=word/_rels/footer7.xml.rels><?xml version="1.0" encoding="utf-8" standalone="yes"?><Relationships xmlns="http://schemas.openxmlformats.org/package/2006/relationships"><Relationship Id="rId1" Type="http://schemas.openxmlformats.org/officeDocument/2006/relationships/image" Target="media/image7.jpeg" /></Relationships>
</file>

<file path=word/_rels/footer8.xml.rels><?xml version="1.0" encoding="utf-8" standalone="yes"?><Relationships xmlns="http://schemas.openxmlformats.org/package/2006/relationships"><Relationship Id="rId1" Type="http://schemas.openxmlformats.org/officeDocument/2006/relationships/image" Target="media/image7.jpeg" /></Relationships>
</file>

<file path=word/_rels/footer9.xml.rels><?xml version="1.0" encoding="utf-8" standalone="yes"?><Relationships xmlns="http://schemas.openxmlformats.org/package/2006/relationships"><Relationship Id="rId1" Type="http://schemas.openxmlformats.org/officeDocument/2006/relationships/image" Target="media/image7.jpeg" /></Relationships>
</file>

<file path=word/_rels/footer10.xml.rels><?xml version="1.0" encoding="utf-8" standalone="yes"?><Relationships xmlns="http://schemas.openxmlformats.org/package/2006/relationships"><Relationship Id="rId1" Type="http://schemas.openxmlformats.org/officeDocument/2006/relationships/image" Target="media/image7.jpeg" /></Relationships>
</file>

<file path=word/_rels/footer11.xml.rels><?xml version="1.0" encoding="utf-8" standalone="yes"?><Relationships xmlns="http://schemas.openxmlformats.org/package/2006/relationships"><Relationship Id="rId1" Type="http://schemas.openxmlformats.org/officeDocument/2006/relationships/image" Target="media/image7.jpeg" /></Relationships>
</file>

<file path=word/_rels/footer12.xml.rels><?xml version="1.0" encoding="utf-8" standalone="yes"?><Relationships xmlns="http://schemas.openxmlformats.org/package/2006/relationships"><Relationship Id="rId1" Type="http://schemas.openxmlformats.org/officeDocument/2006/relationships/image" Target="media/image15.jpeg" /></Relationships>
</file>

<file path=word/_rels/footer13.xml.rels><?xml version="1.0" encoding="utf-8" standalone="yes"?><Relationships xmlns="http://schemas.openxmlformats.org/package/2006/relationships"><Relationship Id="rId1" Type="http://schemas.openxmlformats.org/officeDocument/2006/relationships/image" Target="media/image15.jpeg" /></Relationships>
</file>

<file path=word/_rels/footer14.xml.rels><?xml version="1.0" encoding="utf-8" standalone="yes"?><Relationships xmlns="http://schemas.openxmlformats.org/package/2006/relationships"><Relationship Id="rId1" Type="http://schemas.openxmlformats.org/officeDocument/2006/relationships/image" Target="media/image15.jpeg" /></Relationships>
</file>

<file path=word/_rels/footer15.xml.rels><?xml version="1.0" encoding="utf-8" standalone="yes"?><Relationships xmlns="http://schemas.openxmlformats.org/package/2006/relationships"><Relationship Id="rId1" Type="http://schemas.openxmlformats.org/officeDocument/2006/relationships/image" Target="media/image15.jpeg" /></Relationships>
</file>

<file path=word/_rels/footer16.xml.rels><?xml version="1.0" encoding="utf-8" standalone="yes"?><Relationships xmlns="http://schemas.openxmlformats.org/package/2006/relationships"><Relationship Id="rId1" Type="http://schemas.openxmlformats.org/officeDocument/2006/relationships/image" Target="media/image15.jpeg" /></Relationships>
</file>

<file path=word/_rels/footer17.xml.rels><?xml version="1.0" encoding="utf-8" standalone="yes"?><Relationships xmlns="http://schemas.openxmlformats.org/package/2006/relationships"><Relationship Id="rId1" Type="http://schemas.openxmlformats.org/officeDocument/2006/relationships/image" Target="media/image7.jpeg" /></Relationships>
</file>

<file path=word/_rels/footer18.xml.rels><?xml version="1.0" encoding="utf-8" standalone="yes"?><Relationships xmlns="http://schemas.openxmlformats.org/package/2006/relationships"><Relationship Id="rId1" Type="http://schemas.openxmlformats.org/officeDocument/2006/relationships/image" Target="media/image7.jpeg" /></Relationships>
</file>

<file path=word/_rels/footer19.xml.rels><?xml version="1.0" encoding="utf-8" standalone="yes"?><Relationships xmlns="http://schemas.openxmlformats.org/package/2006/relationships"><Relationship Id="rId1" Type="http://schemas.openxmlformats.org/officeDocument/2006/relationships/image" Target="media/image7.jpeg" /></Relationships>
</file>

<file path=word/_rels/footer20.xml.rels><?xml version="1.0" encoding="utf-8" standalone="yes"?><Relationships xmlns="http://schemas.openxmlformats.org/package/2006/relationships"><Relationship Id="rId1" Type="http://schemas.openxmlformats.org/officeDocument/2006/relationships/image" Target="media/image7.jpeg" /></Relationships>
</file>

<file path=word/_rels/footer21.xml.rels><?xml version="1.0" encoding="utf-8" standalone="yes"?><Relationships xmlns="http://schemas.openxmlformats.org/package/2006/relationships"><Relationship Id="rId1" Type="http://schemas.openxmlformats.org/officeDocument/2006/relationships/image" Target="media/image7.jpeg" /></Relationships>
</file>

<file path=word/_rels/footer22.xml.rels><?xml version="1.0" encoding="utf-8" standalone="yes"?><Relationships xmlns="http://schemas.openxmlformats.org/package/2006/relationships"><Relationship Id="rId1" Type="http://schemas.openxmlformats.org/officeDocument/2006/relationships/image" Target="media/image7.jpeg" /></Relationships>
</file>

<file path=word/_rels/footer23.xml.rels><?xml version="1.0" encoding="utf-8" standalone="yes"?><Relationships xmlns="http://schemas.openxmlformats.org/package/2006/relationships"><Relationship Id="rId1" Type="http://schemas.openxmlformats.org/officeDocument/2006/relationships/image" Target="media/image7.jpeg" /></Relationships>
</file>

<file path=word/_rels/footer24.xml.rels><?xml version="1.0" encoding="utf-8" standalone="yes"?><Relationships xmlns="http://schemas.openxmlformats.org/package/2006/relationships"><Relationship Id="rId1" Type="http://schemas.openxmlformats.org/officeDocument/2006/relationships/image" Target="media/image7.jpeg" /></Relationships>
</file>

<file path=word/_rels/footer25.xml.rels><?xml version="1.0" encoding="utf-8" standalone="yes"?><Relationships xmlns="http://schemas.openxmlformats.org/package/2006/relationships"><Relationship Id="rId1" Type="http://schemas.openxmlformats.org/officeDocument/2006/relationships/image" Target="media/image7.jpeg" /></Relationships>
</file>

<file path=word/_rels/footer26.xml.rels><?xml version="1.0" encoding="utf-8" standalone="yes"?><Relationships xmlns="http://schemas.openxmlformats.org/package/2006/relationships"><Relationship Id="rId1" Type="http://schemas.openxmlformats.org/officeDocument/2006/relationships/image" Target="media/image7.jpeg" /></Relationships>
</file>

<file path=word/_rels/footer27.xml.rels><?xml version="1.0" encoding="utf-8" standalone="yes"?><Relationships xmlns="http://schemas.openxmlformats.org/package/2006/relationships"><Relationship Id="rId1" Type="http://schemas.openxmlformats.org/officeDocument/2006/relationships/image" Target="media/image7.jpeg" /></Relationships>
</file>

<file path=word/_rels/footer28.xml.rels><?xml version="1.0" encoding="utf-8" standalone="yes"?><Relationships xmlns="http://schemas.openxmlformats.org/package/2006/relationships"><Relationship Id="rId1" Type="http://schemas.openxmlformats.org/officeDocument/2006/relationships/image" Target="media/image7.jpeg" /></Relationships>
</file>

<file path=word/_rels/footer29.xml.rels><?xml version="1.0" encoding="utf-8" standalone="yes"?><Relationships xmlns="http://schemas.openxmlformats.org/package/2006/relationships"><Relationship Id="rId1" Type="http://schemas.openxmlformats.org/officeDocument/2006/relationships/image" Target="media/image7.jpeg" /></Relationships>
</file>

<file path=word/_rels/footer30.xml.rels><?xml version="1.0" encoding="utf-8" standalone="yes"?><Relationships xmlns="http://schemas.openxmlformats.org/package/2006/relationships"><Relationship Id="rId1" Type="http://schemas.openxmlformats.org/officeDocument/2006/relationships/image" Target="media/image7.jpeg" /></Relationships>
</file>

<file path=word/_rels/footer31.xml.rels><?xml version="1.0" encoding="utf-8" standalone="yes"?><Relationships xmlns="http://schemas.openxmlformats.org/package/2006/relationships"><Relationship Id="rId1" Type="http://schemas.openxmlformats.org/officeDocument/2006/relationships/image" Target="media/image7.jpeg" /></Relationships>
</file>

<file path=word/_rels/footer32.xml.rels><?xml version="1.0" encoding="utf-8" standalone="yes"?><Relationships xmlns="http://schemas.openxmlformats.org/package/2006/relationships"><Relationship Id="rId1" Type="http://schemas.openxmlformats.org/officeDocument/2006/relationships/image" Target="media/image7.jpeg" /></Relationships>
</file>

<file path=word/_rels/footer33.xml.rels><?xml version="1.0" encoding="utf-8" standalone="yes"?><Relationships xmlns="http://schemas.openxmlformats.org/package/2006/relationships"><Relationship Id="rId1" Type="http://schemas.openxmlformats.org/officeDocument/2006/relationships/image" Target="media/image7.jpeg" /></Relationships>
</file>

<file path=word/_rels/footer34.xml.rels><?xml version="1.0" encoding="utf-8" standalone="yes"?><Relationships xmlns="http://schemas.openxmlformats.org/package/2006/relationships"><Relationship Id="rId1" Type="http://schemas.openxmlformats.org/officeDocument/2006/relationships/image" Target="media/image7.jpeg" /></Relationships>
</file>

<file path=word/_rels/footer45.xml.rels><?xml version="1.0" encoding="utf-8" standalone="yes"?><Relationships xmlns="http://schemas.openxmlformats.org/package/2006/relationships"><Relationship Id="rId1" Type="http://schemas.openxmlformats.org/officeDocument/2006/relationships/image" Target="media/image7.jpeg" /></Relationships>
</file>

<file path=word/_rels/footer46.xml.rels><?xml version="1.0" encoding="utf-8" standalone="yes"?><Relationships xmlns="http://schemas.openxmlformats.org/package/2006/relationships"><Relationship Id="rId1" Type="http://schemas.openxmlformats.org/officeDocument/2006/relationships/image" Target="media/image7.jpeg" /></Relationships>
</file>

<file path=word/_rels/footer47.xml.rels><?xml version="1.0" encoding="utf-8" standalone="yes"?><Relationships xmlns="http://schemas.openxmlformats.org/package/2006/relationships"><Relationship Id="rId1" Type="http://schemas.openxmlformats.org/officeDocument/2006/relationships/image" Target="media/image7.jpeg" /></Relationships>
</file>

<file path=word/_rels/footer48.xml.rels><?xml version="1.0" encoding="utf-8" standalone="yes"?><Relationships xmlns="http://schemas.openxmlformats.org/package/2006/relationships"><Relationship Id="rId1" Type="http://schemas.openxmlformats.org/officeDocument/2006/relationships/image" Target="media/image7.jpeg" /></Relationships>
</file>

<file path=word/_rels/footer49.xml.rels><?xml version="1.0" encoding="utf-8" standalone="yes"?><Relationships xmlns="http://schemas.openxmlformats.org/package/2006/relationships"><Relationship Id="rId1" Type="http://schemas.openxmlformats.org/officeDocument/2006/relationships/image" Target="media/image7.jpeg" /></Relationships>
</file>

<file path=word/_rels/footer50.xml.rels><?xml version="1.0" encoding="utf-8" standalone="yes"?><Relationships xmlns="http://schemas.openxmlformats.org/package/2006/relationships"><Relationship Id="rId1" Type="http://schemas.openxmlformats.org/officeDocument/2006/relationships/image" Target="media/image7.jpeg" /></Relationships>
</file>

<file path=word/_rels/footer51.xml.rels><?xml version="1.0" encoding="utf-8" standalone="yes"?><Relationships xmlns="http://schemas.openxmlformats.org/package/2006/relationships"><Relationship Id="rId1" Type="http://schemas.openxmlformats.org/officeDocument/2006/relationships/image" Target="media/image7.jpeg" /></Relationships>
</file>

<file path=word/_rels/footer52.xml.rels><?xml version="1.0" encoding="utf-8" standalone="yes"?><Relationships xmlns="http://schemas.openxmlformats.org/package/2006/relationships"><Relationship Id="rId1" Type="http://schemas.openxmlformats.org/officeDocument/2006/relationships/image" Target="media/image7.jpeg" /></Relationships>
</file>

<file path=word/_rels/footer56.xml.rels><?xml version="1.0" encoding="utf-8" standalone="yes"?><Relationships xmlns="http://schemas.openxmlformats.org/package/2006/relationships"><Relationship Id="rId1" Type="http://schemas.openxmlformats.org/officeDocument/2006/relationships/image" Target="media/image7.jpeg" /></Relationships>
</file>

<file path=word/_rels/footer57.xml.rels><?xml version="1.0" encoding="utf-8" standalone="yes"?><Relationships xmlns="http://schemas.openxmlformats.org/package/2006/relationships"><Relationship Id="rId1" Type="http://schemas.openxmlformats.org/officeDocument/2006/relationships/image" Target="media/image7.jpeg" /></Relationships>
</file>

<file path=word/_rels/footer58.xml.rels><?xml version="1.0" encoding="utf-8" standalone="yes"?><Relationships xmlns="http://schemas.openxmlformats.org/package/2006/relationships"><Relationship Id="rId1" Type="http://schemas.openxmlformats.org/officeDocument/2006/relationships/image" Target="media/image7.jpeg" /></Relationships>
</file>

<file path=word/_rels/footer59.xml.rels><?xml version="1.0" encoding="utf-8" standalone="yes"?><Relationships xmlns="http://schemas.openxmlformats.org/package/2006/relationships"><Relationship Id="rId1" Type="http://schemas.openxmlformats.org/officeDocument/2006/relationships/image" Target="media/image7.jpeg" /></Relationships>
</file>

<file path=word/_rels/footer60.xml.rels><?xml version="1.0" encoding="utf-8" standalone="yes"?><Relationships xmlns="http://schemas.openxmlformats.org/package/2006/relationships"><Relationship Id="rId1" Type="http://schemas.openxmlformats.org/officeDocument/2006/relationships/image" Target="media/image7.jpeg" /></Relationships>
</file>

<file path=word/_rels/footer61.xml.rels><?xml version="1.0" encoding="utf-8" standalone="yes"?><Relationships xmlns="http://schemas.openxmlformats.org/package/2006/relationships"><Relationship Id="rId1" Type="http://schemas.openxmlformats.org/officeDocument/2006/relationships/image" Target="media/image7.jpeg" /></Relationships>
</file>

<file path=word/_rels/footer62.xml.rels><?xml version="1.0" encoding="utf-8" standalone="yes"?><Relationships xmlns="http://schemas.openxmlformats.org/package/2006/relationships"><Relationship Id="rId1" Type="http://schemas.openxmlformats.org/officeDocument/2006/relationships/image" Target="media/image7.jpeg" /></Relationships>
</file>

<file path=word/_rels/footer63.xml.rels><?xml version="1.0" encoding="utf-8" standalone="yes"?><Relationships xmlns="http://schemas.openxmlformats.org/package/2006/relationships"><Relationship Id="rId1" Type="http://schemas.openxmlformats.org/officeDocument/2006/relationships/image" Target="media/image7.jpeg" /></Relationships>
</file>

<file path=word/_rels/footer64.xml.rels><?xml version="1.0" encoding="utf-8" standalone="yes"?><Relationships xmlns="http://schemas.openxmlformats.org/package/2006/relationships"><Relationship Id="rId1" Type="http://schemas.openxmlformats.org/officeDocument/2006/relationships/image" Target="media/image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2024-03-08T22:56:49Z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2024-03-08T22:57:00Z</vt:filetime>
  </property>
  <property fmtid="{D5CDD505-2E9C-101B-9397-08002B2CF9AE}" pid="3" name="CRO">
    <vt:lpwstr>wqlLaW5nc29mdCBQREYgdG8gV1BTIDkw</vt:lpwstr>
  </property>
  <property fmtid="{D5CDD505-2E9C-101B-9397-08002B2CF9AE}" pid="4" name="UsrData">
    <vt:lpwstr>65eb272971bc50001f43ee66wl</vt:lpwstr>
  </property>
</Properties>
</file>