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2018-2023年山西老区职业技术学院高职单招（数学／语文／英语）历年常考试题库含答案解析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“我则或一日而返焉，或二三日而返焉，或五六日而返焉”所运用的修辞方法是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B.比喻、层递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C.层递、夸张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D.排比、夸张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郭沫若诗集《女神》收录有诗作（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A.《雨巷》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B.《炉中煤》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C.《恢复》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D.《棠棣之花》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岑参《白雪歌送武判官归京》“山回路转不见君，雪上空留马行处”两句的抒情方式是（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A.直抒胸臆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B.借景抒情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C.借典故抒情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D.借议论抒情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李煜《虞美人》的主题是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A.羁旅行役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B.亡国之恨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C.伤春悲秋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D.怀古伤今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《长亭送别》中，表现莺莺对现实不满的最为强烈的曲词是（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A.有梦也难寻觅。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B.但得一个并头莲，煞强如状元及第。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C.前暮私情，昨夜成亲，今日别离。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下列句子中，使用了反诘修辞格的是（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A.叹年来踪迹，何事苦淹留？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B.不知天上宫阙，今夕是何年？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D.明明如月，何时可掇？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“山不厌高，水不厌深”的作者是（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C.曹操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短篇小说《断魂枪》所描写的时代背景是（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A.古代社会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B.近代中国（辛亥革命前后）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C.元代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D.戊戌变法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“文章的布局也就是一种阵势，每一段就是一个队伍，摆在最得力的地位才可以发生最大效用”，这句话的修辞方法是（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D.反复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苏轼《水调歌头（明月几时有）》是一首（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A.悼亡词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B.中秋词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C.端午词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D.爱情词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在先秦诸子中，文风以想象丰富、辞藻瑰丽、汪洋恣肆而著称的是（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D.墨子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下列各个句子中加点的词，词义相同的一组是（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972112" cy="232434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2112" cy="232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《报刘一丈书》中“权者”的形象特征是（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B.贪婪虚伪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https://d.book118.com/967042065156006044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967042065156006044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