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5"/>
          <w:footerReference w:type="default" r:id="rId6"/>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核燃料元件及组件相关项目可行性研究报告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3" w:history="1">
        <w:r>
          <w:rPr>
            <w:rFonts w:ascii="仿宋" w:eastAsia="仿宋" w:hAnsi="仿宋" w:cs="仿宋" w:hint="eastAsia"/>
            <w:lang w:eastAsia="zh-CN"/>
          </w:rPr>
          <w:t>概述</w:t>
        </w:r>
        <w:r>
          <w:tab/>
        </w:r>
        <w:r>
          <w:fldChar w:fldCharType="begin"/>
        </w:r>
        <w:r>
          <w:instrText xml:space="preserve"> PAGEREF _Toc2683 \h </w:instrText>
        </w:r>
        <w:r>
          <w:fldChar w:fldCharType="separate"/>
        </w:r>
        <w:r>
          <w:t>3</w:t>
        </w:r>
        <w:r>
          <w:fldChar w:fldCharType="end"/>
        </w:r>
      </w:hyperlink>
    </w:p>
    <w:p>
      <w:pPr>
        <w:pStyle w:val="TOC1"/>
        <w:tabs>
          <w:tab w:val="right" w:leader="dot" w:pos="8306"/>
        </w:tabs>
      </w:pPr>
      <w:hyperlink w:anchor="_Toc30408" w:history="1">
        <w:r>
          <w:rPr>
            <w:rFonts w:ascii="仿宋" w:eastAsia="仿宋" w:hAnsi="仿宋" w:cs="仿宋" w:hint="eastAsia"/>
            <w:lang w:eastAsia="zh-CN"/>
          </w:rPr>
          <w:t>一、物资采购和管理</w:t>
        </w:r>
        <w:r>
          <w:tab/>
        </w:r>
        <w:r>
          <w:fldChar w:fldCharType="begin"/>
        </w:r>
        <w:r>
          <w:instrText xml:space="preserve"> PAGEREF _Toc30408 \h </w:instrText>
        </w:r>
        <w:r>
          <w:fldChar w:fldCharType="separate"/>
        </w:r>
        <w:r>
          <w:t>3</w:t>
        </w:r>
        <w:r>
          <w:fldChar w:fldCharType="end"/>
        </w:r>
      </w:hyperlink>
    </w:p>
    <w:p>
      <w:pPr>
        <w:pStyle w:val="TOC2"/>
        <w:tabs>
          <w:tab w:val="right" w:leader="dot" w:pos="8306"/>
        </w:tabs>
      </w:pPr>
      <w:hyperlink w:anchor="_Toc7761" w:history="1">
        <w:r>
          <w:rPr>
            <w:rFonts w:ascii="仿宋" w:eastAsia="仿宋" w:hAnsi="仿宋" w:cs="仿宋" w:hint="eastAsia"/>
            <w:lang w:eastAsia="zh-CN"/>
          </w:rPr>
          <w:t>(一)、物资采购的程序和标准</w:t>
        </w:r>
        <w:r>
          <w:tab/>
        </w:r>
        <w:r>
          <w:fldChar w:fldCharType="begin"/>
        </w:r>
        <w:r>
          <w:instrText xml:space="preserve"> PAGEREF _Toc7761 \h </w:instrText>
        </w:r>
        <w:r>
          <w:fldChar w:fldCharType="separate"/>
        </w:r>
        <w:r>
          <w:t>3</w:t>
        </w:r>
        <w:r>
          <w:fldChar w:fldCharType="end"/>
        </w:r>
      </w:hyperlink>
    </w:p>
    <w:p>
      <w:pPr>
        <w:pStyle w:val="TOC2"/>
        <w:tabs>
          <w:tab w:val="right" w:leader="dot" w:pos="8306"/>
        </w:tabs>
      </w:pPr>
      <w:hyperlink w:anchor="_Toc29529" w:history="1">
        <w:r>
          <w:rPr>
            <w:rFonts w:ascii="仿宋" w:eastAsia="仿宋" w:hAnsi="仿宋" w:cs="仿宋" w:hint="eastAsia"/>
            <w:lang w:eastAsia="zh-CN"/>
          </w:rPr>
          <w:t>(二)、物资管理的措施和办法</w:t>
        </w:r>
        <w:r>
          <w:tab/>
        </w:r>
        <w:r>
          <w:fldChar w:fldCharType="begin"/>
        </w:r>
        <w:r>
          <w:instrText xml:space="preserve"> PAGEREF _Toc29529 \h </w:instrText>
        </w:r>
        <w:r>
          <w:fldChar w:fldCharType="separate"/>
        </w:r>
        <w:r>
          <w:t>4</w:t>
        </w:r>
        <w:r>
          <w:fldChar w:fldCharType="end"/>
        </w:r>
      </w:hyperlink>
    </w:p>
    <w:p>
      <w:pPr>
        <w:pStyle w:val="TOC2"/>
        <w:tabs>
          <w:tab w:val="right" w:leader="dot" w:pos="8306"/>
        </w:tabs>
      </w:pPr>
      <w:hyperlink w:anchor="_Toc7820" w:history="1">
        <w:r>
          <w:rPr>
            <w:rFonts w:ascii="仿宋" w:eastAsia="仿宋" w:hAnsi="仿宋" w:cs="仿宋" w:hint="eastAsia"/>
            <w:lang w:eastAsia="zh-CN"/>
          </w:rPr>
          <w:t>(三)、物资质量和库存的控制和监督</w:t>
        </w:r>
        <w:r>
          <w:tab/>
        </w:r>
        <w:r>
          <w:fldChar w:fldCharType="begin"/>
        </w:r>
        <w:r>
          <w:instrText xml:space="preserve"> PAGEREF _Toc7820 \h </w:instrText>
        </w:r>
        <w:r>
          <w:fldChar w:fldCharType="separate"/>
        </w:r>
        <w:r>
          <w:t>6</w:t>
        </w:r>
        <w:r>
          <w:fldChar w:fldCharType="end"/>
        </w:r>
      </w:hyperlink>
    </w:p>
    <w:p>
      <w:pPr>
        <w:pStyle w:val="TOC1"/>
        <w:tabs>
          <w:tab w:val="right" w:leader="dot" w:pos="8306"/>
        </w:tabs>
      </w:pPr>
      <w:hyperlink w:anchor="_Toc13952" w:history="1">
        <w:r>
          <w:rPr>
            <w:rFonts w:ascii="仿宋" w:eastAsia="仿宋" w:hAnsi="仿宋" w:cs="仿宋" w:hint="eastAsia"/>
            <w:lang w:eastAsia="zh-CN"/>
          </w:rPr>
          <w:t>二、核燃料元件及组件行业社会文化影响评估</w:t>
        </w:r>
        <w:r>
          <w:tab/>
        </w:r>
        <w:r>
          <w:fldChar w:fldCharType="begin"/>
        </w:r>
        <w:r>
          <w:instrText xml:space="preserve"> PAGEREF _Toc13952 \h </w:instrText>
        </w:r>
        <w:r>
          <w:fldChar w:fldCharType="separate"/>
        </w:r>
        <w:r>
          <w:t>8</w:t>
        </w:r>
        <w:r>
          <w:fldChar w:fldCharType="end"/>
        </w:r>
      </w:hyperlink>
    </w:p>
    <w:p>
      <w:pPr>
        <w:pStyle w:val="TOC2"/>
        <w:tabs>
          <w:tab w:val="right" w:leader="dot" w:pos="8306"/>
        </w:tabs>
      </w:pPr>
      <w:hyperlink w:anchor="_Toc6314" w:history="1">
        <w:r>
          <w:rPr>
            <w:rFonts w:ascii="仿宋" w:eastAsia="仿宋" w:hAnsi="仿宋" w:cs="仿宋" w:hint="eastAsia"/>
            <w:lang w:eastAsia="zh-CN"/>
          </w:rPr>
          <w:t>(一)、核燃料元件及组件在文化和艺术中的地位</w:t>
        </w:r>
        <w:r>
          <w:tab/>
        </w:r>
        <w:r>
          <w:fldChar w:fldCharType="begin"/>
        </w:r>
        <w:r>
          <w:instrText xml:space="preserve"> PAGEREF _Toc6314 \h </w:instrText>
        </w:r>
        <w:r>
          <w:fldChar w:fldCharType="separate"/>
        </w:r>
        <w:r>
          <w:t>8</w:t>
        </w:r>
        <w:r>
          <w:fldChar w:fldCharType="end"/>
        </w:r>
      </w:hyperlink>
    </w:p>
    <w:p>
      <w:pPr>
        <w:pStyle w:val="TOC2"/>
        <w:tabs>
          <w:tab w:val="right" w:leader="dot" w:pos="8306"/>
        </w:tabs>
      </w:pPr>
      <w:hyperlink w:anchor="_Toc20489" w:history="1">
        <w:r>
          <w:rPr>
            <w:rFonts w:ascii="仿宋" w:eastAsia="仿宋" w:hAnsi="仿宋" w:cs="仿宋" w:hint="eastAsia"/>
            <w:lang w:eastAsia="zh-CN"/>
          </w:rPr>
          <w:t>(二)、文化趋势对核燃料元件及组件需求的影响</w:t>
        </w:r>
        <w:r>
          <w:tab/>
        </w:r>
        <w:r>
          <w:fldChar w:fldCharType="begin"/>
        </w:r>
        <w:r>
          <w:instrText xml:space="preserve"> PAGEREF _Toc20489 \h </w:instrText>
        </w:r>
        <w:r>
          <w:fldChar w:fldCharType="separate"/>
        </w:r>
        <w:r>
          <w:t>9</w:t>
        </w:r>
        <w:r>
          <w:fldChar w:fldCharType="end"/>
        </w:r>
      </w:hyperlink>
    </w:p>
    <w:p>
      <w:pPr>
        <w:pStyle w:val="TOC2"/>
        <w:tabs>
          <w:tab w:val="right" w:leader="dot" w:pos="8306"/>
        </w:tabs>
      </w:pPr>
      <w:hyperlink w:anchor="_Toc15494" w:history="1">
        <w:r>
          <w:rPr>
            <w:rFonts w:ascii="仿宋" w:eastAsia="仿宋" w:hAnsi="仿宋" w:cs="仿宋" w:hint="eastAsia"/>
            <w:lang w:eastAsia="zh-CN"/>
          </w:rPr>
          <w:t>(三)、社会文化因素的可行性分析</w:t>
        </w:r>
        <w:r>
          <w:tab/>
        </w:r>
        <w:r>
          <w:fldChar w:fldCharType="begin"/>
        </w:r>
        <w:r>
          <w:instrText xml:space="preserve"> PAGEREF _Toc15494 \h </w:instrText>
        </w:r>
        <w:r>
          <w:fldChar w:fldCharType="separate"/>
        </w:r>
        <w:r>
          <w:t>10</w:t>
        </w:r>
        <w:r>
          <w:fldChar w:fldCharType="end"/>
        </w:r>
      </w:hyperlink>
    </w:p>
    <w:p>
      <w:pPr>
        <w:pStyle w:val="TOC1"/>
        <w:tabs>
          <w:tab w:val="right" w:leader="dot" w:pos="8306"/>
        </w:tabs>
      </w:pPr>
      <w:hyperlink w:anchor="_Toc31413" w:history="1">
        <w:r>
          <w:rPr>
            <w:rFonts w:ascii="仿宋" w:eastAsia="仿宋" w:hAnsi="仿宋" w:cs="仿宋" w:hint="eastAsia"/>
            <w:lang w:eastAsia="zh-CN"/>
          </w:rPr>
          <w:t>三、核燃料元件及组件行业未来技术发展趋势</w:t>
        </w:r>
        <w:r>
          <w:tab/>
        </w:r>
        <w:r>
          <w:fldChar w:fldCharType="begin"/>
        </w:r>
        <w:r>
          <w:instrText xml:space="preserve"> PAGEREF _Toc31413 \h </w:instrText>
        </w:r>
        <w:r>
          <w:fldChar w:fldCharType="separate"/>
        </w:r>
        <w:r>
          <w:t>11</w:t>
        </w:r>
        <w:r>
          <w:fldChar w:fldCharType="end"/>
        </w:r>
      </w:hyperlink>
    </w:p>
    <w:p>
      <w:pPr>
        <w:pStyle w:val="TOC1"/>
        <w:tabs>
          <w:tab w:val="right" w:leader="dot" w:pos="8306"/>
        </w:tabs>
      </w:pPr>
      <w:hyperlink w:anchor="_Toc17121" w:history="1">
        <w:r>
          <w:rPr>
            <w:rFonts w:ascii="仿宋" w:eastAsia="仿宋" w:hAnsi="仿宋" w:cs="仿宋" w:hint="eastAsia"/>
            <w:lang w:eastAsia="zh-CN"/>
          </w:rPr>
          <w:t>四、核燃料元件及组件项目概论</w:t>
        </w:r>
        <w:r>
          <w:tab/>
        </w:r>
        <w:r>
          <w:fldChar w:fldCharType="begin"/>
        </w:r>
        <w:r>
          <w:instrText xml:space="preserve"> PAGEREF _Toc17121 \h </w:instrText>
        </w:r>
        <w:r>
          <w:fldChar w:fldCharType="separate"/>
        </w:r>
        <w:r>
          <w:t>11</w:t>
        </w:r>
        <w:r>
          <w:fldChar w:fldCharType="end"/>
        </w:r>
      </w:hyperlink>
    </w:p>
    <w:p>
      <w:pPr>
        <w:pStyle w:val="TOC2"/>
        <w:tabs>
          <w:tab w:val="right" w:leader="dot" w:pos="8306"/>
        </w:tabs>
      </w:pPr>
      <w:hyperlink w:anchor="_Toc31010" w:history="1">
        <w:r>
          <w:rPr>
            <w:rFonts w:ascii="仿宋" w:eastAsia="仿宋" w:hAnsi="仿宋" w:cs="仿宋" w:hint="eastAsia"/>
            <w:lang w:eastAsia="zh-CN"/>
          </w:rPr>
          <w:t>(一)、核燃料元件及组件项目名称及承办单位</w:t>
        </w:r>
        <w:r>
          <w:tab/>
        </w:r>
        <w:r>
          <w:fldChar w:fldCharType="begin"/>
        </w:r>
        <w:r>
          <w:instrText xml:space="preserve"> PAGEREF _Toc31010 \h </w:instrText>
        </w:r>
        <w:r>
          <w:fldChar w:fldCharType="separate"/>
        </w:r>
        <w:r>
          <w:t>11</w:t>
        </w:r>
        <w:r>
          <w:fldChar w:fldCharType="end"/>
        </w:r>
      </w:hyperlink>
    </w:p>
    <w:p>
      <w:pPr>
        <w:pStyle w:val="TOC2"/>
        <w:tabs>
          <w:tab w:val="right" w:leader="dot" w:pos="8306"/>
        </w:tabs>
      </w:pPr>
      <w:hyperlink w:anchor="_Toc9536" w:history="1">
        <w:r>
          <w:rPr>
            <w:rFonts w:ascii="仿宋" w:eastAsia="仿宋" w:hAnsi="仿宋" w:cs="仿宋" w:hint="eastAsia"/>
            <w:lang w:eastAsia="zh-CN"/>
          </w:rPr>
          <w:t>(二)、核燃料元件及组件项目拟建地址</w:t>
        </w:r>
        <w:r>
          <w:tab/>
        </w:r>
        <w:r>
          <w:fldChar w:fldCharType="begin"/>
        </w:r>
        <w:r>
          <w:instrText xml:space="preserve"> PAGEREF _Toc9536 \h </w:instrText>
        </w:r>
        <w:r>
          <w:fldChar w:fldCharType="separate"/>
        </w:r>
        <w:r>
          <w:t>12</w:t>
        </w:r>
        <w:r>
          <w:fldChar w:fldCharType="end"/>
        </w:r>
      </w:hyperlink>
    </w:p>
    <w:p>
      <w:pPr>
        <w:pStyle w:val="TOC2"/>
        <w:tabs>
          <w:tab w:val="right" w:leader="dot" w:pos="8306"/>
        </w:tabs>
      </w:pPr>
      <w:hyperlink w:anchor="_Toc693" w:history="1">
        <w:r>
          <w:rPr>
            <w:rFonts w:ascii="仿宋" w:eastAsia="仿宋" w:hAnsi="仿宋" w:cs="仿宋" w:hint="eastAsia"/>
            <w:lang w:eastAsia="zh-CN"/>
          </w:rPr>
          <w:t>(三)、核燃料元件及组件项目提出的背景</w:t>
        </w:r>
        <w:r>
          <w:tab/>
        </w:r>
        <w:r>
          <w:fldChar w:fldCharType="begin"/>
        </w:r>
        <w:r>
          <w:instrText xml:space="preserve"> PAGEREF _Toc693 \h </w:instrText>
        </w:r>
        <w:r>
          <w:fldChar w:fldCharType="separate"/>
        </w:r>
        <w:r>
          <w:t>13</w:t>
        </w:r>
        <w:r>
          <w:fldChar w:fldCharType="end"/>
        </w:r>
      </w:hyperlink>
    </w:p>
    <w:p>
      <w:pPr>
        <w:pStyle w:val="TOC2"/>
        <w:tabs>
          <w:tab w:val="right" w:leader="dot" w:pos="8306"/>
        </w:tabs>
      </w:pPr>
      <w:hyperlink w:anchor="_Toc6557" w:history="1">
        <w:r>
          <w:rPr>
            <w:rFonts w:ascii="仿宋" w:eastAsia="仿宋" w:hAnsi="仿宋" w:cs="仿宋" w:hint="eastAsia"/>
            <w:lang w:eastAsia="zh-CN"/>
          </w:rPr>
          <w:t>(四)、报告研究范围</w:t>
        </w:r>
        <w:r>
          <w:tab/>
        </w:r>
        <w:r>
          <w:fldChar w:fldCharType="begin"/>
        </w:r>
        <w:r>
          <w:instrText xml:space="preserve"> PAGEREF _Toc6557 \h </w:instrText>
        </w:r>
        <w:r>
          <w:fldChar w:fldCharType="separate"/>
        </w:r>
        <w:r>
          <w:t>14</w:t>
        </w:r>
        <w:r>
          <w:fldChar w:fldCharType="end"/>
        </w:r>
      </w:hyperlink>
    </w:p>
    <w:p>
      <w:pPr>
        <w:pStyle w:val="TOC2"/>
        <w:tabs>
          <w:tab w:val="right" w:leader="dot" w:pos="8306"/>
        </w:tabs>
      </w:pPr>
      <w:hyperlink w:anchor="_Toc2302" w:history="1">
        <w:r>
          <w:rPr>
            <w:rFonts w:ascii="仿宋" w:eastAsia="仿宋" w:hAnsi="仿宋" w:cs="仿宋" w:hint="eastAsia"/>
            <w:lang w:eastAsia="zh-CN"/>
          </w:rPr>
          <w:t>(五)、核燃料元件及组件项目建设必要性分析</w:t>
        </w:r>
        <w:r>
          <w:tab/>
        </w:r>
        <w:r>
          <w:fldChar w:fldCharType="begin"/>
        </w:r>
        <w:r>
          <w:instrText xml:space="preserve"> PAGEREF _Toc2302 \h </w:instrText>
        </w:r>
        <w:r>
          <w:fldChar w:fldCharType="separate"/>
        </w:r>
        <w:r>
          <w:t>15</w:t>
        </w:r>
        <w:r>
          <w:fldChar w:fldCharType="end"/>
        </w:r>
      </w:hyperlink>
    </w:p>
    <w:p>
      <w:pPr>
        <w:pStyle w:val="TOC2"/>
        <w:tabs>
          <w:tab w:val="right" w:leader="dot" w:pos="8306"/>
        </w:tabs>
      </w:pPr>
      <w:hyperlink w:anchor="_Toc6335" w:history="1">
        <w:r>
          <w:rPr>
            <w:rFonts w:ascii="仿宋" w:eastAsia="仿宋" w:hAnsi="仿宋" w:cs="仿宋" w:hint="eastAsia"/>
            <w:lang w:eastAsia="zh-CN"/>
          </w:rPr>
          <w:t>(六)、产品方案</w:t>
        </w:r>
        <w:r>
          <w:tab/>
        </w:r>
        <w:r>
          <w:fldChar w:fldCharType="begin"/>
        </w:r>
        <w:r>
          <w:instrText xml:space="preserve"> PAGEREF _Toc6335 \h </w:instrText>
        </w:r>
        <w:r>
          <w:fldChar w:fldCharType="separate"/>
        </w:r>
        <w:r>
          <w:t>15</w:t>
        </w:r>
        <w:r>
          <w:fldChar w:fldCharType="end"/>
        </w:r>
      </w:hyperlink>
    </w:p>
    <w:p>
      <w:pPr>
        <w:pStyle w:val="TOC2"/>
        <w:tabs>
          <w:tab w:val="right" w:leader="dot" w:pos="8306"/>
        </w:tabs>
      </w:pPr>
      <w:hyperlink w:anchor="_Toc8508" w:history="1">
        <w:r>
          <w:rPr>
            <w:rFonts w:ascii="仿宋" w:eastAsia="仿宋" w:hAnsi="仿宋" w:cs="仿宋" w:hint="eastAsia"/>
            <w:lang w:eastAsia="zh-CN"/>
          </w:rPr>
          <w:t>(七)、核燃料元件及组件项目总投资估算</w:t>
        </w:r>
        <w:r>
          <w:tab/>
        </w:r>
        <w:r>
          <w:fldChar w:fldCharType="begin"/>
        </w:r>
        <w:r>
          <w:instrText xml:space="preserve"> PAGEREF _Toc8508 \h </w:instrText>
        </w:r>
        <w:r>
          <w:fldChar w:fldCharType="separate"/>
        </w:r>
        <w:r>
          <w:t>15</w:t>
        </w:r>
        <w:r>
          <w:fldChar w:fldCharType="end"/>
        </w:r>
      </w:hyperlink>
    </w:p>
    <w:p>
      <w:pPr>
        <w:pStyle w:val="TOC2"/>
        <w:tabs>
          <w:tab w:val="right" w:leader="dot" w:pos="8306"/>
        </w:tabs>
      </w:pPr>
      <w:hyperlink w:anchor="_Toc11319" w:history="1">
        <w:r>
          <w:rPr>
            <w:rFonts w:ascii="仿宋" w:eastAsia="仿宋" w:hAnsi="仿宋" w:cs="仿宋" w:hint="eastAsia"/>
            <w:lang w:eastAsia="zh-CN"/>
          </w:rPr>
          <w:t>(八)、核燃料元件及组件项目工艺技术装备方案的选择</w:t>
        </w:r>
        <w:r>
          <w:tab/>
        </w:r>
        <w:r>
          <w:fldChar w:fldCharType="begin"/>
        </w:r>
        <w:r>
          <w:instrText xml:space="preserve"> PAGEREF _Toc11319 \h </w:instrText>
        </w:r>
        <w:r>
          <w:fldChar w:fldCharType="separate"/>
        </w:r>
        <w:r>
          <w:t>16</w:t>
        </w:r>
        <w:r>
          <w:fldChar w:fldCharType="end"/>
        </w:r>
      </w:hyperlink>
    </w:p>
    <w:p>
      <w:pPr>
        <w:pStyle w:val="TOC2"/>
        <w:tabs>
          <w:tab w:val="right" w:leader="dot" w:pos="8306"/>
        </w:tabs>
      </w:pPr>
      <w:hyperlink w:anchor="_Toc31455" w:history="1">
        <w:r>
          <w:rPr>
            <w:rFonts w:ascii="仿宋" w:eastAsia="仿宋" w:hAnsi="仿宋" w:cs="仿宋" w:hint="eastAsia"/>
            <w:lang w:eastAsia="zh-CN"/>
          </w:rPr>
          <w:t>(九)、核燃料元件及组件项目实施进度建议</w:t>
        </w:r>
        <w:r>
          <w:tab/>
        </w:r>
        <w:r>
          <w:fldChar w:fldCharType="begin"/>
        </w:r>
        <w:r>
          <w:instrText xml:space="preserve"> PAGEREF _Toc31455 \h </w:instrText>
        </w:r>
        <w:r>
          <w:fldChar w:fldCharType="separate"/>
        </w:r>
        <w:r>
          <w:t>16</w:t>
        </w:r>
        <w:r>
          <w:fldChar w:fldCharType="end"/>
        </w:r>
      </w:hyperlink>
    </w:p>
    <w:p>
      <w:pPr>
        <w:pStyle w:val="TOC2"/>
        <w:tabs>
          <w:tab w:val="right" w:leader="dot" w:pos="8306"/>
        </w:tabs>
      </w:pPr>
      <w:hyperlink w:anchor="_Toc26959" w:history="1">
        <w:r>
          <w:rPr>
            <w:rFonts w:ascii="仿宋" w:eastAsia="仿宋" w:hAnsi="仿宋" w:cs="仿宋" w:hint="eastAsia"/>
            <w:lang w:eastAsia="zh-CN"/>
          </w:rPr>
          <w:t>(十)、核燃料元件及组件相关研究结论</w:t>
        </w:r>
        <w:r>
          <w:tab/>
        </w:r>
        <w:r>
          <w:fldChar w:fldCharType="begin"/>
        </w:r>
        <w:r>
          <w:instrText xml:space="preserve"> PAGEREF _Toc26959 \h </w:instrText>
        </w:r>
        <w:r>
          <w:fldChar w:fldCharType="separate"/>
        </w:r>
        <w:r>
          <w:t>16</w:t>
        </w:r>
        <w:r>
          <w:fldChar w:fldCharType="end"/>
        </w:r>
      </w:hyperlink>
    </w:p>
    <w:p>
      <w:pPr>
        <w:pStyle w:val="TOC2"/>
        <w:tabs>
          <w:tab w:val="right" w:leader="dot" w:pos="8306"/>
        </w:tabs>
      </w:pPr>
      <w:hyperlink w:anchor="_Toc21307" w:history="1">
        <w:r>
          <w:rPr>
            <w:rFonts w:ascii="仿宋" w:eastAsia="仿宋" w:hAnsi="仿宋" w:cs="仿宋" w:hint="eastAsia"/>
            <w:lang w:eastAsia="zh-CN"/>
          </w:rPr>
          <w:t>(十一)、核燃料元件及组件项目规划及市场分析</w:t>
        </w:r>
        <w:r>
          <w:tab/>
        </w:r>
        <w:r>
          <w:fldChar w:fldCharType="begin"/>
        </w:r>
        <w:r>
          <w:instrText xml:space="preserve"> PAGEREF _Toc21307 \h </w:instrText>
        </w:r>
        <w:r>
          <w:fldChar w:fldCharType="separate"/>
        </w:r>
        <w:r>
          <w:t>17</w:t>
        </w:r>
        <w:r>
          <w:fldChar w:fldCharType="end"/>
        </w:r>
      </w:hyperlink>
    </w:p>
    <w:p>
      <w:pPr>
        <w:pStyle w:val="TOC1"/>
        <w:tabs>
          <w:tab w:val="right" w:leader="dot" w:pos="8306"/>
        </w:tabs>
      </w:pPr>
      <w:hyperlink w:anchor="_Toc26737" w:history="1">
        <w:r>
          <w:rPr>
            <w:rFonts w:ascii="仿宋" w:eastAsia="仿宋" w:hAnsi="仿宋" w:cs="仿宋" w:hint="eastAsia"/>
            <w:lang w:eastAsia="zh-CN"/>
          </w:rPr>
          <w:t>五、核燃料元件及组件项目节能分析</w:t>
        </w:r>
        <w:r>
          <w:tab/>
        </w:r>
        <w:r>
          <w:fldChar w:fldCharType="begin"/>
        </w:r>
        <w:r>
          <w:instrText xml:space="preserve"> PAGEREF _Toc26737 \h </w:instrText>
        </w:r>
        <w:r>
          <w:fldChar w:fldCharType="separate"/>
        </w:r>
        <w:r>
          <w:t>17</w:t>
        </w:r>
        <w:r>
          <w:fldChar w:fldCharType="end"/>
        </w:r>
      </w:hyperlink>
    </w:p>
    <w:p>
      <w:pPr>
        <w:pStyle w:val="TOC2"/>
        <w:tabs>
          <w:tab w:val="right" w:leader="dot" w:pos="8306"/>
        </w:tabs>
      </w:pPr>
      <w:hyperlink w:anchor="_Toc6098" w:history="1">
        <w:r>
          <w:rPr>
            <w:rFonts w:ascii="仿宋" w:eastAsia="仿宋" w:hAnsi="仿宋" w:cs="仿宋" w:hint="eastAsia"/>
            <w:lang w:eastAsia="zh-CN"/>
          </w:rPr>
          <w:t>(一)、核燃料元件及组件项目建设的节能原则</w:t>
        </w:r>
        <w:r>
          <w:tab/>
        </w:r>
        <w:r>
          <w:fldChar w:fldCharType="begin"/>
        </w:r>
        <w:r>
          <w:instrText xml:space="preserve"> PAGEREF _Toc6098 \h </w:instrText>
        </w:r>
        <w:r>
          <w:fldChar w:fldCharType="separate"/>
        </w:r>
        <w:r>
          <w:t>17</w:t>
        </w:r>
        <w:r>
          <w:fldChar w:fldCharType="end"/>
        </w:r>
      </w:hyperlink>
    </w:p>
    <w:p>
      <w:pPr>
        <w:pStyle w:val="TOC2"/>
        <w:tabs>
          <w:tab w:val="right" w:leader="dot" w:pos="8306"/>
        </w:tabs>
      </w:pPr>
      <w:hyperlink w:anchor="_Toc17618" w:history="1">
        <w:r>
          <w:rPr>
            <w:rFonts w:ascii="仿宋" w:eastAsia="仿宋" w:hAnsi="仿宋" w:cs="仿宋" w:hint="eastAsia"/>
            <w:lang w:eastAsia="zh-CN"/>
          </w:rPr>
          <w:t>(二)、设计依据</w:t>
        </w:r>
        <w:r>
          <w:tab/>
        </w:r>
        <w:r>
          <w:fldChar w:fldCharType="begin"/>
        </w:r>
        <w:r>
          <w:instrText xml:space="preserve"> PAGEREF _Toc17618 \h </w:instrText>
        </w:r>
        <w:r>
          <w:fldChar w:fldCharType="separate"/>
        </w:r>
        <w:r>
          <w:t>17</w:t>
        </w:r>
        <w:r>
          <w:fldChar w:fldCharType="end"/>
        </w:r>
      </w:hyperlink>
    </w:p>
    <w:p>
      <w:pPr>
        <w:pStyle w:val="TOC2"/>
        <w:tabs>
          <w:tab w:val="right" w:leader="dot" w:pos="8306"/>
        </w:tabs>
      </w:pPr>
      <w:hyperlink w:anchor="_Toc13271" w:history="1">
        <w:r>
          <w:rPr>
            <w:rFonts w:ascii="仿宋" w:eastAsia="仿宋" w:hAnsi="仿宋" w:cs="仿宋" w:hint="eastAsia"/>
            <w:lang w:eastAsia="zh-CN"/>
          </w:rPr>
          <w:t>(三)、核燃料元件及组件项目节能背景分析</w:t>
        </w:r>
        <w:r>
          <w:tab/>
        </w:r>
        <w:r>
          <w:fldChar w:fldCharType="begin"/>
        </w:r>
        <w:r>
          <w:instrText xml:space="preserve"> PAGEREF _Toc13271 \h </w:instrText>
        </w:r>
        <w:r>
          <w:fldChar w:fldCharType="separate"/>
        </w:r>
        <w:r>
          <w:t>18</w:t>
        </w:r>
        <w:r>
          <w:fldChar w:fldCharType="end"/>
        </w:r>
      </w:hyperlink>
    </w:p>
    <w:p>
      <w:pPr>
        <w:pStyle w:val="TOC2"/>
        <w:tabs>
          <w:tab w:val="right" w:leader="dot" w:pos="8306"/>
        </w:tabs>
      </w:pPr>
      <w:hyperlink w:anchor="_Toc20069" w:history="1">
        <w:r>
          <w:rPr>
            <w:rFonts w:ascii="仿宋" w:eastAsia="仿宋" w:hAnsi="仿宋" w:cs="仿宋" w:hint="eastAsia"/>
            <w:lang w:eastAsia="zh-CN"/>
          </w:rPr>
          <w:t>(四)、核燃料元件及组件项目能源消耗种类和数量分析</w:t>
        </w:r>
        <w:r>
          <w:tab/>
        </w:r>
        <w:r>
          <w:fldChar w:fldCharType="begin"/>
        </w:r>
        <w:r>
          <w:instrText xml:space="preserve"> PAGEREF _Toc20069 \h </w:instrText>
        </w:r>
        <w:r>
          <w:fldChar w:fldCharType="separate"/>
        </w:r>
        <w:r>
          <w:t>18</w:t>
        </w:r>
        <w:r>
          <w:fldChar w:fldCharType="end"/>
        </w:r>
      </w:hyperlink>
    </w:p>
    <w:p>
      <w:pPr>
        <w:pStyle w:val="TOC2"/>
        <w:tabs>
          <w:tab w:val="right" w:leader="dot" w:pos="8306"/>
        </w:tabs>
      </w:pPr>
      <w:hyperlink w:anchor="_Toc10969" w:history="1">
        <w:r>
          <w:rPr>
            <w:rFonts w:ascii="仿宋" w:eastAsia="仿宋" w:hAnsi="仿宋" w:cs="仿宋" w:hint="eastAsia"/>
            <w:lang w:eastAsia="zh-CN"/>
          </w:rPr>
          <w:t>(五)、核燃料元件及组件项目用能品种选择的可靠性分析</w:t>
        </w:r>
        <w:r>
          <w:tab/>
        </w:r>
        <w:r>
          <w:fldChar w:fldCharType="begin"/>
        </w:r>
        <w:r>
          <w:instrText xml:space="preserve"> PAGEREF _Toc10969 \h </w:instrText>
        </w:r>
        <w:r>
          <w:fldChar w:fldCharType="separate"/>
        </w:r>
        <w:r>
          <w:t>18</w:t>
        </w:r>
        <w:r>
          <w:fldChar w:fldCharType="end"/>
        </w:r>
      </w:hyperlink>
    </w:p>
    <w:p>
      <w:pPr>
        <w:pStyle w:val="TOC2"/>
        <w:tabs>
          <w:tab w:val="right" w:leader="dot" w:pos="8306"/>
        </w:tabs>
      </w:pPr>
      <w:hyperlink w:anchor="_Toc10329" w:history="1">
        <w:r>
          <w:rPr>
            <w:rFonts w:ascii="仿宋" w:eastAsia="仿宋" w:hAnsi="仿宋" w:cs="仿宋" w:hint="eastAsia"/>
            <w:lang w:eastAsia="zh-CN"/>
          </w:rPr>
          <w:t>(六)、核燃料元件及组件项目建筑结构节能设计</w:t>
        </w:r>
        <w:r>
          <w:tab/>
        </w:r>
        <w:r>
          <w:fldChar w:fldCharType="begin"/>
        </w:r>
        <w:r>
          <w:instrText xml:space="preserve"> PAGEREF _Toc10329 \h </w:instrText>
        </w:r>
        <w:r>
          <w:fldChar w:fldCharType="separate"/>
        </w:r>
        <w:r>
          <w:t>19</w:t>
        </w:r>
        <w:r>
          <w:fldChar w:fldCharType="end"/>
        </w:r>
      </w:hyperlink>
    </w:p>
    <w:p>
      <w:pPr>
        <w:pStyle w:val="TOC2"/>
        <w:tabs>
          <w:tab w:val="right" w:leader="dot" w:pos="8306"/>
        </w:tabs>
      </w:pPr>
      <w:hyperlink w:anchor="_Toc29109" w:history="1">
        <w:r>
          <w:rPr>
            <w:rFonts w:ascii="仿宋" w:eastAsia="仿宋" w:hAnsi="仿宋" w:cs="仿宋" w:hint="eastAsia"/>
            <w:lang w:eastAsia="zh-CN"/>
          </w:rPr>
          <w:t>(七)、核燃料元件及组件项目节能效果分析与建议</w:t>
        </w:r>
        <w:r>
          <w:tab/>
        </w:r>
        <w:r>
          <w:fldChar w:fldCharType="begin"/>
        </w:r>
        <w:r>
          <w:instrText xml:space="preserve"> PAGEREF _Toc29109 \h </w:instrText>
        </w:r>
        <w:r>
          <w:fldChar w:fldCharType="separate"/>
        </w:r>
        <w:r>
          <w:t>19</w:t>
        </w:r>
        <w:r>
          <w:fldChar w:fldCharType="end"/>
        </w:r>
      </w:hyperlink>
    </w:p>
    <w:p>
      <w:pPr>
        <w:pStyle w:val="TOC1"/>
        <w:tabs>
          <w:tab w:val="right" w:leader="dot" w:pos="8306"/>
        </w:tabs>
      </w:pPr>
      <w:hyperlink w:anchor="_Toc8379" w:history="1">
        <w:r>
          <w:rPr>
            <w:rFonts w:ascii="仿宋" w:eastAsia="仿宋" w:hAnsi="仿宋" w:cs="仿宋" w:hint="eastAsia"/>
            <w:lang w:eastAsia="zh-CN"/>
          </w:rPr>
          <w:t>六、企业文化和员工培训</w:t>
        </w:r>
        <w:r>
          <w:tab/>
        </w:r>
        <w:r>
          <w:fldChar w:fldCharType="begin"/>
        </w:r>
        <w:r>
          <w:instrText xml:space="preserve"> PAGEREF _Toc8379 \h </w:instrText>
        </w:r>
        <w:r>
          <w:fldChar w:fldCharType="separate"/>
        </w:r>
        <w:r>
          <w:t>20</w:t>
        </w:r>
        <w:r>
          <w:fldChar w:fldCharType="end"/>
        </w:r>
      </w:hyperlink>
    </w:p>
    <w:p>
      <w:pPr>
        <w:pStyle w:val="TOC2"/>
        <w:tabs>
          <w:tab w:val="right" w:leader="dot" w:pos="8306"/>
        </w:tabs>
      </w:pPr>
      <w:hyperlink w:anchor="_Toc16456" w:history="1">
        <w:r>
          <w:rPr>
            <w:rFonts w:ascii="仿宋" w:eastAsia="仿宋" w:hAnsi="仿宋" w:cs="仿宋" w:hint="eastAsia"/>
            <w:lang w:eastAsia="zh-CN"/>
          </w:rPr>
          <w:t>(一)、企业文化的建设和传承</w:t>
        </w:r>
        <w:r>
          <w:tab/>
        </w:r>
        <w:r>
          <w:fldChar w:fldCharType="begin"/>
        </w:r>
        <w:r>
          <w:instrText xml:space="preserve"> PAGEREF _Toc16456 \h </w:instrText>
        </w:r>
        <w:r>
          <w:fldChar w:fldCharType="separate"/>
        </w:r>
        <w:r>
          <w:t>20</w:t>
        </w:r>
        <w:r>
          <w:fldChar w:fldCharType="end"/>
        </w:r>
      </w:hyperlink>
    </w:p>
    <w:p>
      <w:pPr>
        <w:pStyle w:val="TOC2"/>
        <w:tabs>
          <w:tab w:val="right" w:leader="dot" w:pos="8306"/>
        </w:tabs>
      </w:pPr>
      <w:hyperlink w:anchor="_Toc12785" w:history="1">
        <w:r>
          <w:rPr>
            <w:rFonts w:ascii="仿宋" w:eastAsia="仿宋" w:hAnsi="仿宋" w:cs="仿宋" w:hint="eastAsia"/>
            <w:lang w:eastAsia="zh-CN"/>
          </w:rPr>
          <w:t>(二)、员工培训的方案和实施</w:t>
        </w:r>
        <w:r>
          <w:tab/>
        </w:r>
        <w:r>
          <w:fldChar w:fldCharType="begin"/>
        </w:r>
        <w:r>
          <w:instrText xml:space="preserve"> PAGEREF _Toc12785 \h </w:instrText>
        </w:r>
        <w:r>
          <w:fldChar w:fldCharType="separate"/>
        </w:r>
        <w:r>
          <w:t>21</w:t>
        </w:r>
        <w:r>
          <w:fldChar w:fldCharType="end"/>
        </w:r>
      </w:hyperlink>
    </w:p>
    <w:p>
      <w:pPr>
        <w:pStyle w:val="TOC2"/>
        <w:tabs>
          <w:tab w:val="right" w:leader="dot" w:pos="8306"/>
        </w:tabs>
      </w:pPr>
      <w:hyperlink w:anchor="_Toc10613" w:history="1">
        <w:r>
          <w:rPr>
            <w:rFonts w:ascii="仿宋" w:eastAsia="仿宋" w:hAnsi="仿宋" w:cs="仿宋" w:hint="eastAsia"/>
            <w:lang w:eastAsia="zh-CN"/>
          </w:rPr>
          <w:t>(三)、企业文化和员工培训的互动和融合</w:t>
        </w:r>
        <w:r>
          <w:tab/>
        </w:r>
        <w:r>
          <w:fldChar w:fldCharType="begin"/>
        </w:r>
        <w:r>
          <w:instrText xml:space="preserve"> PAGEREF _Toc10613 \h </w:instrText>
        </w:r>
        <w:r>
          <w:fldChar w:fldCharType="separate"/>
        </w:r>
        <w:r>
          <w:t>22</w:t>
        </w:r>
        <w:r>
          <w:fldChar w:fldCharType="end"/>
        </w:r>
      </w:hyperlink>
    </w:p>
    <w:p>
      <w:pPr>
        <w:pStyle w:val="TOC1"/>
        <w:tabs>
          <w:tab w:val="right" w:leader="dot" w:pos="8306"/>
        </w:tabs>
      </w:pPr>
      <w:hyperlink w:anchor="_Toc25887" w:history="1">
        <w:r>
          <w:rPr>
            <w:rFonts w:ascii="仿宋" w:eastAsia="仿宋" w:hAnsi="仿宋" w:cs="仿宋" w:hint="eastAsia"/>
            <w:lang w:eastAsia="zh-CN"/>
          </w:rPr>
          <w:t>七、市场创新和颠覆潜力</w:t>
        </w:r>
        <w:r>
          <w:tab/>
        </w:r>
        <w:r>
          <w:fldChar w:fldCharType="begin"/>
        </w:r>
        <w:r>
          <w:instrText xml:space="preserve"> PAGEREF _Toc25887 \h </w:instrText>
        </w:r>
        <w:r>
          <w:fldChar w:fldCharType="separate"/>
        </w:r>
        <w:r>
          <w:t>24</w:t>
        </w:r>
        <w:r>
          <w:fldChar w:fldCharType="end"/>
        </w:r>
      </w:hyperlink>
    </w:p>
    <w:p>
      <w:pPr>
        <w:pStyle w:val="TOC2"/>
        <w:tabs>
          <w:tab w:val="right" w:leader="dot" w:pos="8306"/>
        </w:tabs>
      </w:pPr>
      <w:hyperlink w:anchor="_Toc29808" w:history="1">
        <w:r>
          <w:rPr>
            <w:rFonts w:ascii="仿宋" w:eastAsia="仿宋" w:hAnsi="仿宋" w:cs="仿宋" w:hint="eastAsia"/>
            <w:lang w:eastAsia="zh-CN"/>
          </w:rPr>
          <w:t>(一)、市场创新对核燃料元件及组件行业的潜力</w:t>
        </w:r>
        <w:r>
          <w:tab/>
        </w:r>
        <w:r>
          <w:fldChar w:fldCharType="begin"/>
        </w:r>
        <w:r>
          <w:instrText xml:space="preserve"> PAGEREF _Toc29808 \h </w:instrText>
        </w:r>
        <w:r>
          <w:fldChar w:fldCharType="separate"/>
        </w:r>
        <w:r>
          <w:t>24</w:t>
        </w:r>
        <w:r>
          <w:fldChar w:fldCharType="end"/>
        </w:r>
      </w:hyperlink>
    </w:p>
    <w:p>
      <w:pPr>
        <w:pStyle w:val="TOC2"/>
        <w:tabs>
          <w:tab w:val="right" w:leader="dot" w:pos="8306"/>
        </w:tabs>
      </w:pPr>
      <w:hyperlink w:anchor="_Toc17600" w:history="1">
        <w:r>
          <w:rPr>
            <w:rFonts w:ascii="仿宋" w:eastAsia="仿宋" w:hAnsi="仿宋" w:cs="仿宋" w:hint="eastAsia"/>
            <w:lang w:eastAsia="zh-CN"/>
          </w:rPr>
          <w:t>(二)、核燃料元件及组件技术的颠覆性影响</w:t>
        </w:r>
        <w:r>
          <w:tab/>
        </w:r>
        <w:r>
          <w:fldChar w:fldCharType="begin"/>
        </w:r>
        <w:r>
          <w:instrText xml:space="preserve"> PAGEREF _Toc17600 \h </w:instrText>
        </w:r>
        <w:r>
          <w:fldChar w:fldCharType="separate"/>
        </w:r>
        <w:r>
          <w:t>25</w:t>
        </w:r>
        <w:r>
          <w:fldChar w:fldCharType="end"/>
        </w:r>
      </w:hyperlink>
    </w:p>
    <w:p>
      <w:pPr>
        <w:pStyle w:val="TOC2"/>
        <w:tabs>
          <w:tab w:val="right" w:leader="dot" w:pos="8306"/>
        </w:tabs>
      </w:pPr>
      <w:hyperlink w:anchor="_Toc18812" w:history="1">
        <w:r>
          <w:rPr>
            <w:rFonts w:ascii="仿宋" w:eastAsia="仿宋" w:hAnsi="仿宋" w:cs="仿宋" w:hint="eastAsia"/>
            <w:lang w:eastAsia="zh-CN"/>
          </w:rPr>
          <w:t>(三)、创新和市场颠覆的可行性分析</w:t>
        </w:r>
        <w:r>
          <w:tab/>
        </w:r>
        <w:r>
          <w:fldChar w:fldCharType="begin"/>
        </w:r>
        <w:r>
          <w:instrText xml:space="preserve"> PAGEREF _Toc18812 \h </w:instrText>
        </w:r>
        <w:r>
          <w:fldChar w:fldCharType="separate"/>
        </w:r>
        <w:r>
          <w:t>26</w:t>
        </w:r>
        <w:r>
          <w:fldChar w:fldCharType="end"/>
        </w:r>
      </w:hyperlink>
    </w:p>
    <w:p>
      <w:pPr>
        <w:pStyle w:val="TOC1"/>
        <w:tabs>
          <w:tab w:val="right" w:leader="dot" w:pos="8306"/>
        </w:tabs>
      </w:pPr>
      <w:hyperlink w:anchor="_Toc18674" w:history="1">
        <w:r>
          <w:rPr>
            <w:rFonts w:ascii="仿宋" w:eastAsia="仿宋" w:hAnsi="仿宋" w:cs="仿宋" w:hint="eastAsia"/>
            <w:lang w:eastAsia="zh-CN"/>
          </w:rPr>
          <w:t>八、客户服务和消费者权益保护</w:t>
        </w:r>
        <w:r>
          <w:tab/>
        </w:r>
        <w:r>
          <w:fldChar w:fldCharType="begin"/>
        </w:r>
        <w:r>
          <w:instrText xml:space="preserve"> PAGEREF _Toc18674 \h </w:instrText>
        </w:r>
        <w:r>
          <w:fldChar w:fldCharType="separate"/>
        </w:r>
        <w:r>
          <w:t>27</w:t>
        </w:r>
        <w:r>
          <w:fldChar w:fldCharType="end"/>
        </w:r>
      </w:hyperlink>
    </w:p>
    <w:p>
      <w:pPr>
        <w:pStyle w:val="TOC2"/>
        <w:tabs>
          <w:tab w:val="right" w:leader="dot" w:pos="8306"/>
        </w:tabs>
      </w:pPr>
      <w:hyperlink w:anchor="_Toc5499" w:history="1">
        <w:r>
          <w:rPr>
            <w:rFonts w:ascii="仿宋" w:eastAsia="仿宋" w:hAnsi="仿宋" w:cs="仿宋" w:hint="eastAsia"/>
            <w:lang w:eastAsia="zh-CN"/>
          </w:rPr>
          <w:t>(一)、客户服务的标准和流程</w:t>
        </w:r>
        <w:r>
          <w:tab/>
        </w:r>
        <w:r>
          <w:fldChar w:fldCharType="begin"/>
        </w:r>
        <w:r>
          <w:instrText xml:space="preserve"> PAGEREF _Toc5499 \h </w:instrText>
        </w:r>
        <w:r>
          <w:fldChar w:fldCharType="separate"/>
        </w:r>
        <w:r>
          <w:t>27</w:t>
        </w:r>
        <w:r>
          <w:fldChar w:fldCharType="end"/>
        </w:r>
      </w:hyperlink>
    </w:p>
    <w:p>
      <w:pPr>
        <w:pStyle w:val="TOC2"/>
        <w:tabs>
          <w:tab w:val="right" w:leader="dot" w:pos="8306"/>
        </w:tabs>
      </w:pPr>
      <w:hyperlink w:anchor="_Toc13136" w:history="1">
        <w:r>
          <w:rPr>
            <w:rFonts w:ascii="仿宋" w:eastAsia="仿宋" w:hAnsi="仿宋" w:cs="仿宋" w:hint="eastAsia"/>
            <w:lang w:eastAsia="zh-CN"/>
          </w:rPr>
          <w:t>(二)、消费者权益保护的措施和办法</w:t>
        </w:r>
        <w:r>
          <w:tab/>
        </w:r>
        <w:r>
          <w:fldChar w:fldCharType="begin"/>
        </w:r>
        <w:r>
          <w:instrText xml:space="preserve"> PAGEREF _Toc13136 \h </w:instrText>
        </w:r>
        <w:r>
          <w:fldChar w:fldCharType="separate"/>
        </w:r>
        <w:r>
          <w:t>28</w:t>
        </w:r>
        <w:r>
          <w:fldChar w:fldCharType="end"/>
        </w:r>
      </w:hyperlink>
    </w:p>
    <w:p>
      <w:pPr>
        <w:pStyle w:val="TOC2"/>
        <w:tabs>
          <w:tab w:val="right" w:leader="dot" w:pos="8306"/>
        </w:tabs>
        <w:sectPr>
          <w:headerReference w:type="default" r:id="rId7"/>
          <w:footerReference w:type="default" r:id="rId8"/>
          <w:type w:val="nextPage"/>
          <w:pgSz w:w="11906" w:h="16838"/>
          <w:pgMar w:top="1440" w:right="1800" w:bottom="1440" w:left="1800" w:header="851" w:footer="992" w:gutter="0"/>
          <w:pgNumType w:start="2"/>
          <w:cols w:num="1" w:space="425"/>
          <w:titlePg w:val="0"/>
          <w:docGrid w:type="lines" w:linePitch="312" w:charSpace="0"/>
        </w:sectPr>
      </w:pPr>
      <w:hyperlink w:anchor="_Toc25335" w:history="1">
        <w:r>
          <w:rPr>
            <w:rFonts w:ascii="仿宋" w:eastAsia="仿宋" w:hAnsi="仿宋" w:cs="仿宋" w:hint="eastAsia"/>
            <w:lang w:eastAsia="zh-CN"/>
          </w:rPr>
          <w:t>(三)、客户反馈和投诉处理的机制建设</w:t>
        </w:r>
        <w:r>
          <w:tab/>
        </w:r>
        <w:r>
          <w:fldChar w:fldCharType="begin"/>
        </w:r>
        <w:r>
          <w:instrText xml:space="preserve"> PAGEREF _Toc25335 \h </w:instrText>
        </w:r>
        <w:r>
          <w:fldChar w:fldCharType="separate"/>
        </w:r>
        <w:r>
          <w:t>30</w:t>
        </w:r>
        <w:r>
          <w:fldChar w:fldCharType="end"/>
        </w:r>
      </w:hyperlink>
    </w:p>
    <w:p>
      <w:pPr>
        <w:pStyle w:val="TOC1"/>
        <w:tabs>
          <w:tab w:val="right" w:leader="dot" w:pos="8306"/>
        </w:tabs>
      </w:pPr>
      <w:hyperlink w:anchor="_Toc15936" w:history="1">
        <w:r>
          <w:rPr>
            <w:rFonts w:ascii="仿宋" w:eastAsia="仿宋" w:hAnsi="仿宋" w:cs="仿宋" w:hint="eastAsia"/>
            <w:lang w:eastAsia="zh-CN"/>
          </w:rPr>
          <w:t>九、消防安全</w:t>
        </w:r>
        <w:r>
          <w:tab/>
        </w:r>
        <w:r>
          <w:fldChar w:fldCharType="begin"/>
        </w:r>
        <w:r>
          <w:instrText xml:space="preserve"> PAGEREF _Toc15936 \h </w:instrText>
        </w:r>
        <w:r>
          <w:fldChar w:fldCharType="separate"/>
        </w:r>
        <w:r>
          <w:t>31</w:t>
        </w:r>
        <w:r>
          <w:fldChar w:fldCharType="end"/>
        </w:r>
      </w:hyperlink>
    </w:p>
    <w:p>
      <w:pPr>
        <w:pStyle w:val="TOC2"/>
        <w:tabs>
          <w:tab w:val="right" w:leader="dot" w:pos="8306"/>
        </w:tabs>
      </w:pPr>
      <w:hyperlink w:anchor="_Toc7319" w:history="1">
        <w:r>
          <w:rPr>
            <w:rFonts w:ascii="仿宋" w:eastAsia="仿宋" w:hAnsi="仿宋" w:cs="仿宋" w:hint="eastAsia"/>
            <w:lang w:eastAsia="zh-CN"/>
          </w:rPr>
          <w:t>(一)、核燃料元件及组件项目消防设计依据及原则</w:t>
        </w:r>
        <w:r>
          <w:tab/>
        </w:r>
        <w:r>
          <w:fldChar w:fldCharType="begin"/>
        </w:r>
        <w:r>
          <w:instrText xml:space="preserve"> PAGEREF _Toc7319 \h </w:instrText>
        </w:r>
        <w:r>
          <w:fldChar w:fldCharType="separate"/>
        </w:r>
        <w:r>
          <w:t>31</w:t>
        </w:r>
        <w:r>
          <w:fldChar w:fldCharType="end"/>
        </w:r>
      </w:hyperlink>
    </w:p>
    <w:p>
      <w:pPr>
        <w:pStyle w:val="TOC2"/>
        <w:tabs>
          <w:tab w:val="right" w:leader="dot" w:pos="8306"/>
        </w:tabs>
      </w:pPr>
      <w:hyperlink w:anchor="_Toc25642" w:history="1">
        <w:r>
          <w:rPr>
            <w:rFonts w:ascii="仿宋" w:eastAsia="仿宋" w:hAnsi="仿宋" w:cs="仿宋" w:hint="eastAsia"/>
            <w:lang w:eastAsia="zh-CN"/>
          </w:rPr>
          <w:t>(二)、核燃料元件及组件项目火灾危险性分析</w:t>
        </w:r>
        <w:r>
          <w:tab/>
        </w:r>
        <w:r>
          <w:fldChar w:fldCharType="begin"/>
        </w:r>
        <w:r>
          <w:instrText xml:space="preserve"> PAGEREF _Toc25642 \h </w:instrText>
        </w:r>
        <w:r>
          <w:fldChar w:fldCharType="separate"/>
        </w:r>
        <w:r>
          <w:t>32</w:t>
        </w:r>
        <w:r>
          <w:fldChar w:fldCharType="end"/>
        </w:r>
      </w:hyperlink>
    </w:p>
    <w:p>
      <w:pPr>
        <w:pStyle w:val="TOC1"/>
        <w:tabs>
          <w:tab w:val="right" w:leader="dot" w:pos="8306"/>
        </w:tabs>
      </w:pPr>
      <w:hyperlink w:anchor="_Toc3100" w:history="1">
        <w:r>
          <w:rPr>
            <w:rFonts w:ascii="仿宋" w:eastAsia="仿宋" w:hAnsi="仿宋" w:cs="仿宋" w:hint="eastAsia"/>
            <w:lang w:eastAsia="zh-CN"/>
          </w:rPr>
          <w:t>十、技术创新和研发成果转化</w:t>
        </w:r>
        <w:r>
          <w:tab/>
        </w:r>
        <w:r>
          <w:fldChar w:fldCharType="begin"/>
        </w:r>
        <w:r>
          <w:instrText xml:space="preserve"> PAGEREF _Toc3100 \h </w:instrText>
        </w:r>
        <w:r>
          <w:fldChar w:fldCharType="separate"/>
        </w:r>
        <w:r>
          <w:t>33</w:t>
        </w:r>
        <w:r>
          <w:fldChar w:fldCharType="end"/>
        </w:r>
      </w:hyperlink>
    </w:p>
    <w:p>
      <w:pPr>
        <w:pStyle w:val="TOC2"/>
        <w:tabs>
          <w:tab w:val="right" w:leader="dot" w:pos="8306"/>
        </w:tabs>
      </w:pPr>
      <w:hyperlink w:anchor="_Toc25843" w:history="1">
        <w:r>
          <w:rPr>
            <w:rFonts w:ascii="仿宋" w:eastAsia="仿宋" w:hAnsi="仿宋" w:cs="仿宋" w:hint="eastAsia"/>
            <w:lang w:eastAsia="zh-CN"/>
          </w:rPr>
          <w:t>(一)、技术创新的目标和途径</w:t>
        </w:r>
        <w:r>
          <w:tab/>
        </w:r>
        <w:r>
          <w:fldChar w:fldCharType="begin"/>
        </w:r>
        <w:r>
          <w:instrText xml:space="preserve"> PAGEREF _Toc25843 \h </w:instrText>
        </w:r>
        <w:r>
          <w:fldChar w:fldCharType="separate"/>
        </w:r>
        <w:r>
          <w:t>33</w:t>
        </w:r>
        <w:r>
          <w:fldChar w:fldCharType="end"/>
        </w:r>
      </w:hyperlink>
    </w:p>
    <w:p>
      <w:pPr>
        <w:pStyle w:val="TOC2"/>
        <w:tabs>
          <w:tab w:val="right" w:leader="dot" w:pos="8306"/>
        </w:tabs>
      </w:pPr>
      <w:hyperlink w:anchor="_Toc16983" w:history="1">
        <w:r>
          <w:rPr>
            <w:rFonts w:ascii="仿宋" w:eastAsia="仿宋" w:hAnsi="仿宋" w:cs="仿宋" w:hint="eastAsia"/>
            <w:lang w:eastAsia="zh-CN"/>
          </w:rPr>
          <w:t>(二)、研发成果转化的流程和机制</w:t>
        </w:r>
        <w:r>
          <w:tab/>
        </w:r>
        <w:r>
          <w:fldChar w:fldCharType="begin"/>
        </w:r>
        <w:r>
          <w:instrText xml:space="preserve"> PAGEREF _Toc16983 \h </w:instrText>
        </w:r>
        <w:r>
          <w:fldChar w:fldCharType="separate"/>
        </w:r>
        <w:r>
          <w:t>34</w:t>
        </w:r>
        <w:r>
          <w:fldChar w:fldCharType="end"/>
        </w:r>
      </w:hyperlink>
    </w:p>
    <w:p>
      <w:pPr>
        <w:pStyle w:val="TOC2"/>
        <w:tabs>
          <w:tab w:val="right" w:leader="dot" w:pos="8306"/>
        </w:tabs>
      </w:pPr>
      <w:hyperlink w:anchor="_Toc9383" w:history="1">
        <w:r>
          <w:rPr>
            <w:rFonts w:ascii="仿宋" w:eastAsia="仿宋" w:hAnsi="仿宋" w:cs="仿宋" w:hint="eastAsia"/>
            <w:lang w:eastAsia="zh-CN"/>
          </w:rPr>
          <w:t>(三)、技术创新和研发成果转化的风险控制</w:t>
        </w:r>
        <w:r>
          <w:tab/>
        </w:r>
        <w:r>
          <w:fldChar w:fldCharType="begin"/>
        </w:r>
        <w:r>
          <w:instrText xml:space="preserve"> PAGEREF _Toc9383 \h </w:instrText>
        </w:r>
        <w:r>
          <w:fldChar w:fldCharType="separate"/>
        </w:r>
        <w:r>
          <w:t>36</w:t>
        </w:r>
        <w:r>
          <w:fldChar w:fldCharType="end"/>
        </w:r>
      </w:hyperlink>
    </w:p>
    <w:p>
      <w:pPr>
        <w:pStyle w:val="TOC1"/>
        <w:tabs>
          <w:tab w:val="right" w:leader="dot" w:pos="8306"/>
        </w:tabs>
      </w:pPr>
      <w:hyperlink w:anchor="_Toc14259" w:history="1">
        <w:r>
          <w:rPr>
            <w:rFonts w:ascii="仿宋" w:eastAsia="仿宋" w:hAnsi="仿宋" w:cs="仿宋" w:hint="eastAsia"/>
            <w:lang w:eastAsia="zh-CN"/>
          </w:rPr>
          <w:t>十一、社会技术影响评估</w:t>
        </w:r>
        <w:r>
          <w:tab/>
        </w:r>
        <w:r>
          <w:fldChar w:fldCharType="begin"/>
        </w:r>
        <w:r>
          <w:instrText xml:space="preserve"> PAGEREF _Toc14259 \h </w:instrText>
        </w:r>
        <w:r>
          <w:fldChar w:fldCharType="separate"/>
        </w:r>
        <w:r>
          <w:t>38</w:t>
        </w:r>
        <w:r>
          <w:fldChar w:fldCharType="end"/>
        </w:r>
      </w:hyperlink>
    </w:p>
    <w:p>
      <w:pPr>
        <w:pStyle w:val="TOC2"/>
        <w:tabs>
          <w:tab w:val="right" w:leader="dot" w:pos="8306"/>
        </w:tabs>
      </w:pPr>
      <w:hyperlink w:anchor="_Toc5190" w:history="1">
        <w:r>
          <w:rPr>
            <w:rFonts w:ascii="仿宋" w:eastAsia="仿宋" w:hAnsi="仿宋" w:cs="仿宋" w:hint="eastAsia"/>
            <w:lang w:eastAsia="zh-CN"/>
          </w:rPr>
          <w:t>(一)、核燃料元件及组件在社会技术系统中的角色</w:t>
        </w:r>
        <w:r>
          <w:tab/>
        </w:r>
        <w:r>
          <w:fldChar w:fldCharType="begin"/>
        </w:r>
        <w:r>
          <w:instrText xml:space="preserve"> PAGEREF _Toc5190 \h </w:instrText>
        </w:r>
        <w:r>
          <w:fldChar w:fldCharType="separate"/>
        </w:r>
        <w:r>
          <w:t>38</w:t>
        </w:r>
        <w:r>
          <w:fldChar w:fldCharType="end"/>
        </w:r>
      </w:hyperlink>
    </w:p>
    <w:p>
      <w:pPr>
        <w:pStyle w:val="TOC2"/>
        <w:tabs>
          <w:tab w:val="right" w:leader="dot" w:pos="8306"/>
        </w:tabs>
      </w:pPr>
      <w:hyperlink w:anchor="_Toc12885" w:history="1">
        <w:r>
          <w:rPr>
            <w:rFonts w:ascii="仿宋" w:eastAsia="仿宋" w:hAnsi="仿宋" w:cs="仿宋" w:hint="eastAsia"/>
            <w:lang w:eastAsia="zh-CN"/>
          </w:rPr>
          <w:t>(二)、技术对核燃料元件及组件使用和市场的影响</w:t>
        </w:r>
        <w:r>
          <w:tab/>
        </w:r>
        <w:r>
          <w:fldChar w:fldCharType="begin"/>
        </w:r>
        <w:r>
          <w:instrText xml:space="preserve"> PAGEREF _Toc12885 \h </w:instrText>
        </w:r>
        <w:r>
          <w:fldChar w:fldCharType="separate"/>
        </w:r>
        <w:r>
          <w:t>39</w:t>
        </w:r>
        <w:r>
          <w:fldChar w:fldCharType="end"/>
        </w:r>
      </w:hyperlink>
    </w:p>
    <w:p>
      <w:pPr>
        <w:pStyle w:val="TOC2"/>
        <w:tabs>
          <w:tab w:val="right" w:leader="dot" w:pos="8306"/>
        </w:tabs>
      </w:pPr>
      <w:hyperlink w:anchor="_Toc7683" w:history="1">
        <w:r>
          <w:rPr>
            <w:rFonts w:ascii="仿宋" w:eastAsia="仿宋" w:hAnsi="仿宋" w:cs="仿宋" w:hint="eastAsia"/>
            <w:lang w:eastAsia="zh-CN"/>
          </w:rPr>
          <w:t>(三)、社会技术趋势对可行性的影响</w:t>
        </w:r>
        <w:r>
          <w:tab/>
        </w:r>
        <w:r>
          <w:fldChar w:fldCharType="begin"/>
        </w:r>
        <w:r>
          <w:instrText xml:space="preserve"> PAGEREF _Toc7683 \h </w:instrText>
        </w:r>
        <w:r>
          <w:fldChar w:fldCharType="separate"/>
        </w:r>
        <w:r>
          <w:t>39</w:t>
        </w:r>
        <w:r>
          <w:fldChar w:fldCharType="end"/>
        </w:r>
      </w:hyperlink>
    </w:p>
    <w:p>
      <w:pPr>
        <w:pStyle w:val="TOC1"/>
        <w:tabs>
          <w:tab w:val="right" w:leader="dot" w:pos="8306"/>
        </w:tabs>
      </w:pPr>
      <w:hyperlink w:anchor="_Toc9686" w:history="1">
        <w:r>
          <w:rPr>
            <w:rFonts w:ascii="仿宋" w:eastAsia="仿宋" w:hAnsi="仿宋" w:cs="仿宋" w:hint="eastAsia"/>
            <w:lang w:eastAsia="zh-CN"/>
          </w:rPr>
          <w:t>十二、供应链管理和合作伙伴选择</w:t>
        </w:r>
        <w:r>
          <w:tab/>
        </w:r>
        <w:r>
          <w:fldChar w:fldCharType="begin"/>
        </w:r>
        <w:r>
          <w:instrText xml:space="preserve"> PAGEREF _Toc9686 \h </w:instrText>
        </w:r>
        <w:r>
          <w:fldChar w:fldCharType="separate"/>
        </w:r>
        <w:r>
          <w:t>41</w:t>
        </w:r>
        <w:r>
          <w:fldChar w:fldCharType="end"/>
        </w:r>
      </w:hyperlink>
    </w:p>
    <w:p>
      <w:pPr>
        <w:pStyle w:val="TOC2"/>
        <w:tabs>
          <w:tab w:val="right" w:leader="dot" w:pos="8306"/>
        </w:tabs>
      </w:pPr>
      <w:hyperlink w:anchor="_Toc6268" w:history="1">
        <w:r>
          <w:rPr>
            <w:rFonts w:ascii="仿宋" w:eastAsia="仿宋" w:hAnsi="仿宋" w:cs="仿宋" w:hint="eastAsia"/>
            <w:lang w:eastAsia="zh-CN"/>
          </w:rPr>
          <w:t>(一)、供应链管理和合作伙伴关系概述</w:t>
        </w:r>
        <w:r>
          <w:tab/>
        </w:r>
        <w:r>
          <w:fldChar w:fldCharType="begin"/>
        </w:r>
        <w:r>
          <w:instrText xml:space="preserve"> PAGEREF _Toc6268 \h </w:instrText>
        </w:r>
        <w:r>
          <w:fldChar w:fldCharType="separate"/>
        </w:r>
        <w:r>
          <w:t>41</w:t>
        </w:r>
        <w:r>
          <w:fldChar w:fldCharType="end"/>
        </w:r>
      </w:hyperlink>
    </w:p>
    <w:p>
      <w:pPr>
        <w:pStyle w:val="TOC2"/>
        <w:tabs>
          <w:tab w:val="right" w:leader="dot" w:pos="8306"/>
        </w:tabs>
      </w:pPr>
      <w:hyperlink w:anchor="_Toc8733" w:history="1">
        <w:r>
          <w:rPr>
            <w:rFonts w:ascii="仿宋" w:eastAsia="仿宋" w:hAnsi="仿宋" w:cs="仿宋" w:hint="eastAsia"/>
            <w:lang w:eastAsia="zh-CN"/>
          </w:rPr>
          <w:t>(二)、供应商选择和评估标准</w:t>
        </w:r>
        <w:r>
          <w:tab/>
        </w:r>
        <w:r>
          <w:fldChar w:fldCharType="begin"/>
        </w:r>
        <w:r>
          <w:instrText xml:space="preserve"> PAGEREF _Toc8733 \h </w:instrText>
        </w:r>
        <w:r>
          <w:fldChar w:fldCharType="separate"/>
        </w:r>
        <w:r>
          <w:t>42</w:t>
        </w:r>
        <w:r>
          <w:fldChar w:fldCharType="end"/>
        </w:r>
      </w:hyperlink>
    </w:p>
    <w:p>
      <w:pPr>
        <w:pStyle w:val="TOC2"/>
        <w:tabs>
          <w:tab w:val="right" w:leader="dot" w:pos="8306"/>
        </w:tabs>
      </w:pPr>
      <w:hyperlink w:anchor="_Toc8371" w:history="1">
        <w:r>
          <w:rPr>
            <w:rFonts w:ascii="仿宋" w:eastAsia="仿宋" w:hAnsi="仿宋" w:cs="仿宋" w:hint="eastAsia"/>
            <w:lang w:eastAsia="zh-CN"/>
          </w:rPr>
          <w:t>(三)、物流和运输方案</w:t>
        </w:r>
        <w:r>
          <w:tab/>
        </w:r>
        <w:r>
          <w:fldChar w:fldCharType="begin"/>
        </w:r>
        <w:r>
          <w:instrText xml:space="preserve"> PAGEREF _Toc8371 \h </w:instrText>
        </w:r>
        <w:r>
          <w:fldChar w:fldCharType="separate"/>
        </w:r>
        <w:r>
          <w:t>43</w:t>
        </w:r>
        <w:r>
          <w:fldChar w:fldCharType="end"/>
        </w:r>
      </w:hyperlink>
    </w:p>
    <w:p>
      <w:pPr>
        <w:pStyle w:val="TOC1"/>
        <w:tabs>
          <w:tab w:val="right" w:leader="dot" w:pos="8306"/>
        </w:tabs>
      </w:pPr>
      <w:hyperlink w:anchor="_Toc20981" w:history="1">
        <w:r>
          <w:rPr>
            <w:rFonts w:ascii="仿宋" w:eastAsia="仿宋" w:hAnsi="仿宋" w:cs="仿宋" w:hint="eastAsia"/>
            <w:lang w:eastAsia="zh-CN"/>
          </w:rPr>
          <w:t>十三、企业文化和员工培训</w:t>
        </w:r>
        <w:r>
          <w:tab/>
        </w:r>
        <w:r>
          <w:fldChar w:fldCharType="begin"/>
        </w:r>
        <w:r>
          <w:instrText xml:space="preserve"> PAGEREF _Toc20981 \h </w:instrText>
        </w:r>
        <w:r>
          <w:fldChar w:fldCharType="separate"/>
        </w:r>
        <w:r>
          <w:t>44</w:t>
        </w:r>
        <w:r>
          <w:fldChar w:fldCharType="end"/>
        </w:r>
      </w:hyperlink>
    </w:p>
    <w:p>
      <w:pPr>
        <w:pStyle w:val="TOC2"/>
        <w:tabs>
          <w:tab w:val="right" w:leader="dot" w:pos="8306"/>
        </w:tabs>
      </w:pPr>
      <w:hyperlink w:anchor="_Toc30929" w:history="1">
        <w:r>
          <w:rPr>
            <w:rFonts w:ascii="仿宋" w:eastAsia="仿宋" w:hAnsi="仿宋" w:cs="仿宋" w:hint="eastAsia"/>
            <w:lang w:eastAsia="zh-CN"/>
          </w:rPr>
          <w:t>(一)、企业文化的建设和传承</w:t>
        </w:r>
        <w:r>
          <w:tab/>
        </w:r>
        <w:r>
          <w:fldChar w:fldCharType="begin"/>
        </w:r>
        <w:r>
          <w:instrText xml:space="preserve"> PAGEREF _Toc30929 \h </w:instrText>
        </w:r>
        <w:r>
          <w:fldChar w:fldCharType="separate"/>
        </w:r>
        <w:r>
          <w:t>44</w:t>
        </w:r>
        <w:r>
          <w:fldChar w:fldCharType="end"/>
        </w:r>
      </w:hyperlink>
    </w:p>
    <w:p>
      <w:pPr>
        <w:pStyle w:val="TOC2"/>
        <w:tabs>
          <w:tab w:val="right" w:leader="dot" w:pos="8306"/>
        </w:tabs>
      </w:pPr>
      <w:hyperlink w:anchor="_Toc20294" w:history="1">
        <w:r>
          <w:rPr>
            <w:rFonts w:ascii="仿宋" w:eastAsia="仿宋" w:hAnsi="仿宋" w:cs="仿宋" w:hint="eastAsia"/>
            <w:lang w:eastAsia="zh-CN"/>
          </w:rPr>
          <w:t>(二)、员工培训的方案和实施</w:t>
        </w:r>
        <w:r>
          <w:tab/>
        </w:r>
        <w:r>
          <w:fldChar w:fldCharType="begin"/>
        </w:r>
        <w:r>
          <w:instrText xml:space="preserve"> PAGEREF _Toc20294 \h </w:instrText>
        </w:r>
        <w:r>
          <w:fldChar w:fldCharType="separate"/>
        </w:r>
        <w:r>
          <w:t>45</w:t>
        </w:r>
        <w:r>
          <w:fldChar w:fldCharType="end"/>
        </w:r>
      </w:hyperlink>
    </w:p>
    <w:p>
      <w:pPr>
        <w:pStyle w:val="TOC2"/>
        <w:tabs>
          <w:tab w:val="right" w:leader="dot" w:pos="8306"/>
        </w:tabs>
      </w:pPr>
      <w:hyperlink w:anchor="_Toc14840" w:history="1">
        <w:r>
          <w:rPr>
            <w:rFonts w:ascii="仿宋" w:eastAsia="仿宋" w:hAnsi="仿宋" w:cs="仿宋" w:hint="eastAsia"/>
            <w:lang w:eastAsia="zh-CN"/>
          </w:rPr>
          <w:t>(三)、企业文化和员工培训的互动和融合</w:t>
        </w:r>
        <w:r>
          <w:tab/>
        </w:r>
        <w:r>
          <w:fldChar w:fldCharType="begin"/>
        </w:r>
        <w:r>
          <w:instrText xml:space="preserve"> PAGEREF _Toc14840 \h </w:instrText>
        </w:r>
        <w:r>
          <w:fldChar w:fldCharType="separate"/>
        </w:r>
        <w:r>
          <w:t>46</w:t>
        </w:r>
        <w:r>
          <w:fldChar w:fldCharType="end"/>
        </w:r>
      </w:hyperlink>
    </w:p>
    <w:p>
      <w:pPr>
        <w:pStyle w:val="TOC1"/>
        <w:tabs>
          <w:tab w:val="right" w:leader="dot" w:pos="8306"/>
        </w:tabs>
      </w:pPr>
      <w:hyperlink w:anchor="_Toc541" w:history="1">
        <w:r>
          <w:rPr>
            <w:rFonts w:ascii="仿宋" w:eastAsia="仿宋" w:hAnsi="仿宋" w:cs="仿宋" w:hint="eastAsia"/>
            <w:lang w:eastAsia="zh-CN"/>
          </w:rPr>
          <w:t>十四、企业社会责任和公益活动</w:t>
        </w:r>
        <w:r>
          <w:tab/>
        </w:r>
        <w:r>
          <w:fldChar w:fldCharType="begin"/>
        </w:r>
        <w:r>
          <w:instrText xml:space="preserve"> PAGEREF _Toc541 \h </w:instrText>
        </w:r>
        <w:r>
          <w:fldChar w:fldCharType="separate"/>
        </w:r>
        <w:r>
          <w:t>48</w:t>
        </w:r>
        <w:r>
          <w:fldChar w:fldCharType="end"/>
        </w:r>
      </w:hyperlink>
    </w:p>
    <w:p>
      <w:pPr>
        <w:pStyle w:val="TOC2"/>
        <w:tabs>
          <w:tab w:val="right" w:leader="dot" w:pos="8306"/>
        </w:tabs>
      </w:pPr>
      <w:hyperlink w:anchor="_Toc22961" w:history="1">
        <w:r>
          <w:rPr>
            <w:rFonts w:ascii="仿宋" w:eastAsia="仿宋" w:hAnsi="仿宋" w:cs="仿宋" w:hint="eastAsia"/>
            <w:lang w:eastAsia="zh-CN"/>
          </w:rPr>
          <w:t>(一)、企业社会责任的内涵和履行</w:t>
        </w:r>
        <w:r>
          <w:tab/>
        </w:r>
        <w:r>
          <w:fldChar w:fldCharType="begin"/>
        </w:r>
        <w:r>
          <w:instrText xml:space="preserve"> PAGEREF _Toc22961 \h </w:instrText>
        </w:r>
        <w:r>
          <w:fldChar w:fldCharType="separate"/>
        </w:r>
        <w:r>
          <w:t>48</w:t>
        </w:r>
        <w:r>
          <w:fldChar w:fldCharType="end"/>
        </w:r>
      </w:hyperlink>
    </w:p>
    <w:p>
      <w:pPr>
        <w:pStyle w:val="TOC2"/>
        <w:tabs>
          <w:tab w:val="right" w:leader="dot" w:pos="8306"/>
        </w:tabs>
      </w:pPr>
      <w:hyperlink w:anchor="_Toc10466" w:history="1">
        <w:r>
          <w:rPr>
            <w:rFonts w:ascii="仿宋" w:eastAsia="仿宋" w:hAnsi="仿宋" w:cs="仿宋" w:hint="eastAsia"/>
            <w:lang w:eastAsia="zh-CN"/>
          </w:rPr>
          <w:t>(二)、公益活动的策划和实施</w:t>
        </w:r>
        <w:r>
          <w:tab/>
        </w:r>
        <w:r>
          <w:fldChar w:fldCharType="begin"/>
        </w:r>
        <w:r>
          <w:instrText xml:space="preserve"> PAGEREF _Toc10466 \h </w:instrText>
        </w:r>
        <w:r>
          <w:fldChar w:fldCharType="separate"/>
        </w:r>
        <w:r>
          <w:t>49</w:t>
        </w:r>
        <w:r>
          <w:fldChar w:fldCharType="end"/>
        </w:r>
      </w:hyperlink>
    </w:p>
    <w:p>
      <w:pPr>
        <w:pStyle w:val="TOC2"/>
        <w:tabs>
          <w:tab w:val="right" w:leader="dot" w:pos="8306"/>
        </w:tabs>
      </w:pPr>
      <w:hyperlink w:anchor="_Toc18357" w:history="1">
        <w:r>
          <w:rPr>
            <w:rFonts w:ascii="仿宋" w:eastAsia="仿宋" w:hAnsi="仿宋" w:cs="仿宋" w:hint="eastAsia"/>
            <w:lang w:eastAsia="zh-CN"/>
          </w:rPr>
          <w:t>(三)、企业社会责任和公益活动的宣传和推广</w:t>
        </w:r>
        <w:r>
          <w:tab/>
        </w:r>
        <w:r>
          <w:fldChar w:fldCharType="begin"/>
        </w:r>
        <w:r>
          <w:instrText xml:space="preserve"> PAGEREF _Toc18357 \h </w:instrText>
        </w:r>
        <w:r>
          <w:fldChar w:fldCharType="separate"/>
        </w:r>
        <w:r>
          <w:t>51</w:t>
        </w:r>
        <w:r>
          <w:fldChar w:fldCharType="end"/>
        </w:r>
      </w:hyperlink>
    </w:p>
    <w:p>
      <w:pPr>
        <w:pStyle w:val="TOC1"/>
        <w:tabs>
          <w:tab w:val="right" w:leader="dot" w:pos="8306"/>
        </w:tabs>
      </w:pPr>
      <w:hyperlink w:anchor="_Toc23417" w:history="1">
        <w:r>
          <w:rPr>
            <w:rFonts w:ascii="仿宋" w:eastAsia="仿宋" w:hAnsi="仿宋" w:cs="仿宋" w:hint="eastAsia"/>
            <w:lang w:eastAsia="zh-CN"/>
          </w:rPr>
          <w:t>十五、安全卫生和职业健康</w:t>
        </w:r>
        <w:r>
          <w:tab/>
        </w:r>
        <w:r>
          <w:fldChar w:fldCharType="begin"/>
        </w:r>
        <w:r>
          <w:instrText xml:space="preserve"> PAGEREF _Toc23417 \h </w:instrText>
        </w:r>
        <w:r>
          <w:fldChar w:fldCharType="separate"/>
        </w:r>
        <w:r>
          <w:t>52</w:t>
        </w:r>
        <w:r>
          <w:fldChar w:fldCharType="end"/>
        </w:r>
      </w:hyperlink>
    </w:p>
    <w:p>
      <w:pPr>
        <w:pStyle w:val="TOC2"/>
        <w:tabs>
          <w:tab w:val="right" w:leader="dot" w:pos="8306"/>
        </w:tabs>
      </w:pPr>
      <w:hyperlink w:anchor="_Toc20264" w:history="1">
        <w:r>
          <w:rPr>
            <w:rFonts w:ascii="仿宋" w:eastAsia="仿宋" w:hAnsi="仿宋" w:cs="仿宋" w:hint="eastAsia"/>
            <w:lang w:eastAsia="zh-CN"/>
          </w:rPr>
          <w:t>(一)、安全卫生和职业健康的管理体系</w:t>
        </w:r>
        <w:r>
          <w:tab/>
        </w:r>
        <w:r>
          <w:fldChar w:fldCharType="begin"/>
        </w:r>
        <w:r>
          <w:instrText xml:space="preserve"> PAGEREF _Toc20264 \h </w:instrText>
        </w:r>
        <w:r>
          <w:fldChar w:fldCharType="separate"/>
        </w:r>
        <w:r>
          <w:t>52</w:t>
        </w:r>
        <w:r>
          <w:fldChar w:fldCharType="end"/>
        </w:r>
      </w:hyperlink>
    </w:p>
    <w:p>
      <w:pPr>
        <w:pStyle w:val="TOC2"/>
        <w:tabs>
          <w:tab w:val="right" w:leader="dot" w:pos="8306"/>
        </w:tabs>
      </w:pPr>
      <w:hyperlink w:anchor="_Toc10265" w:history="1">
        <w:r>
          <w:rPr>
            <w:rFonts w:ascii="仿宋" w:eastAsia="仿宋" w:hAnsi="仿宋" w:cs="仿宋" w:hint="eastAsia"/>
            <w:lang w:eastAsia="zh-CN"/>
          </w:rPr>
          <w:t>(二)、安全卫生和职业健康的风险评估</w:t>
        </w:r>
        <w:r>
          <w:tab/>
        </w:r>
        <w:r>
          <w:fldChar w:fldCharType="begin"/>
        </w:r>
        <w:r>
          <w:instrText xml:space="preserve"> PAGEREF _Toc10265 \h </w:instrText>
        </w:r>
        <w:r>
          <w:fldChar w:fldCharType="separate"/>
        </w:r>
        <w:r>
          <w:t>53</w:t>
        </w:r>
        <w:r>
          <w:fldChar w:fldCharType="end"/>
        </w:r>
      </w:hyperlink>
    </w:p>
    <w:p>
      <w:pPr>
        <w:pStyle w:val="TOC2"/>
        <w:tabs>
          <w:tab w:val="right" w:leader="dot" w:pos="8306"/>
        </w:tabs>
      </w:pPr>
      <w:hyperlink w:anchor="_Toc32382" w:history="1">
        <w:r>
          <w:rPr>
            <w:rFonts w:ascii="仿宋" w:eastAsia="仿宋" w:hAnsi="仿宋" w:cs="仿宋" w:hint="eastAsia"/>
            <w:lang w:eastAsia="zh-CN"/>
          </w:rPr>
          <w:t>(三)、安全卫生和职业健康的防范措施</w:t>
        </w:r>
        <w:r>
          <w:tab/>
        </w:r>
        <w:r>
          <w:fldChar w:fldCharType="begin"/>
        </w:r>
        <w:r>
          <w:instrText xml:space="preserve"> PAGEREF _Toc32382 \h </w:instrText>
        </w:r>
        <w:r>
          <w:fldChar w:fldCharType="separate"/>
        </w:r>
        <w:r>
          <w:t>55</w:t>
        </w:r>
        <w:r>
          <w:fldChar w:fldCharType="end"/>
        </w:r>
      </w:hyperlink>
    </w:p>
    <w:p>
      <w:pPr>
        <w:pStyle w:val="TOC1"/>
        <w:tabs>
          <w:tab w:val="right" w:leader="dot" w:pos="8306"/>
        </w:tabs>
      </w:pPr>
      <w:hyperlink w:anchor="_Toc8217" w:history="1">
        <w:r>
          <w:rPr>
            <w:rFonts w:ascii="仿宋" w:eastAsia="仿宋" w:hAnsi="仿宋" w:cs="仿宋" w:hint="eastAsia"/>
            <w:lang w:eastAsia="zh-CN"/>
          </w:rPr>
          <w:t>十六、产品定价和销售策略</w:t>
        </w:r>
        <w:r>
          <w:tab/>
        </w:r>
        <w:r>
          <w:fldChar w:fldCharType="begin"/>
        </w:r>
        <w:r>
          <w:instrText xml:space="preserve"> PAGEREF _Toc8217 \h </w:instrText>
        </w:r>
        <w:r>
          <w:fldChar w:fldCharType="separate"/>
        </w:r>
        <w:r>
          <w:t>56</w:t>
        </w:r>
        <w:r>
          <w:fldChar w:fldCharType="end"/>
        </w:r>
      </w:hyperlink>
    </w:p>
    <w:p>
      <w:pPr>
        <w:pStyle w:val="TOC2"/>
        <w:tabs>
          <w:tab w:val="right" w:leader="dot" w:pos="8306"/>
        </w:tabs>
      </w:pPr>
      <w:hyperlink w:anchor="_Toc13210" w:history="1">
        <w:r>
          <w:rPr>
            <w:rFonts w:ascii="仿宋" w:eastAsia="仿宋" w:hAnsi="仿宋" w:cs="仿宋" w:hint="eastAsia"/>
            <w:lang w:eastAsia="zh-CN"/>
          </w:rPr>
          <w:t>(一)、产品定价的原则和策略</w:t>
        </w:r>
        <w:r>
          <w:tab/>
        </w:r>
        <w:r>
          <w:fldChar w:fldCharType="begin"/>
        </w:r>
        <w:r>
          <w:instrText xml:space="preserve"> PAGEREF _Toc13210 \h </w:instrText>
        </w:r>
        <w:r>
          <w:fldChar w:fldCharType="separate"/>
        </w:r>
        <w:r>
          <w:t>56</w:t>
        </w:r>
        <w:r>
          <w:fldChar w:fldCharType="end"/>
        </w:r>
      </w:hyperlink>
    </w:p>
    <w:p>
      <w:pPr>
        <w:pStyle w:val="TOC2"/>
        <w:tabs>
          <w:tab w:val="right" w:leader="dot" w:pos="8306"/>
        </w:tabs>
      </w:pPr>
      <w:hyperlink w:anchor="_Toc7184" w:history="1">
        <w:r>
          <w:rPr>
            <w:rFonts w:ascii="仿宋" w:eastAsia="仿宋" w:hAnsi="仿宋" w:cs="仿宋" w:hint="eastAsia"/>
            <w:lang w:eastAsia="zh-CN"/>
          </w:rPr>
          <w:t>(二)、销售渠道的选择和拓展</w:t>
        </w:r>
        <w:r>
          <w:tab/>
        </w:r>
        <w:r>
          <w:fldChar w:fldCharType="begin"/>
        </w:r>
        <w:r>
          <w:instrText xml:space="preserve"> PAGEREF _Toc7184 \h </w:instrText>
        </w:r>
        <w:r>
          <w:fldChar w:fldCharType="separate"/>
        </w:r>
        <w:r>
          <w:t>58</w:t>
        </w:r>
        <w:r>
          <w:fldChar w:fldCharType="end"/>
        </w:r>
      </w:hyperlink>
    </w:p>
    <w:p>
      <w:pPr>
        <w:pStyle w:val="TOC2"/>
        <w:tabs>
          <w:tab w:val="right" w:leader="dot" w:pos="8306"/>
        </w:tabs>
      </w:pPr>
      <w:hyperlink w:anchor="_Toc5617" w:history="1">
        <w:r>
          <w:rPr>
            <w:rFonts w:ascii="仿宋" w:eastAsia="仿宋" w:hAnsi="仿宋" w:cs="仿宋" w:hint="eastAsia"/>
            <w:lang w:eastAsia="zh-CN"/>
          </w:rPr>
          <w:t>(三)、销售促进和营销活动的策划和实施</w:t>
        </w:r>
        <w:r>
          <w:tab/>
        </w:r>
        <w:r>
          <w:fldChar w:fldCharType="begin"/>
        </w:r>
        <w:r>
          <w:instrText xml:space="preserve"> PAGEREF _Toc5617 \h </w:instrText>
        </w:r>
        <w:r>
          <w:fldChar w:fldCharType="separate"/>
        </w:r>
        <w:r>
          <w:t>59</w:t>
        </w:r>
        <w:r>
          <w:fldChar w:fldCharType="end"/>
        </w:r>
      </w:hyperlink>
    </w:p>
    <w:p>
      <w:pPr>
        <w:sectPr>
          <w:headerReference w:type="default" r:id="rId9"/>
          <w:footerReference w:type="default" r:id="rId10"/>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3"/>
      <w:r>
        <w:rPr>
          <w:rFonts w:ascii="仿宋" w:eastAsia="仿宋" w:hAnsi="仿宋" w:cs="仿宋" w:hint="eastAsia"/>
          <w:lang w:eastAsia="zh-CN"/>
        </w:rPr>
        <w:t>概述</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研究的主要目的是评估核燃料元件及组件行业的可行性，深入了解该行业的各个方面，并提供有关如何应对当前和未来挑战的建议。我们将对核燃料元件及组件生产过程、市场需求、竞争格局、环境影响、技术趋势以及法规合规性等多个方面进行全面研究和分析。</w:t>
      </w:r>
    </w:p>
    <w:p>
      <w:pPr>
        <w:pStyle w:val="Heading1"/>
        <w:ind w:firstLine="560" w:firstLineChars="200"/>
        <w:rPr>
          <w:rFonts w:ascii="仿宋" w:eastAsia="仿宋" w:hAnsi="仿宋" w:cs="仿宋" w:hint="eastAsia"/>
          <w:sz w:val="28"/>
          <w:lang w:eastAsia="zh-CN"/>
        </w:rPr>
      </w:pPr>
      <w:bookmarkStart w:id="2" w:name="_Toc30408"/>
      <w:r>
        <w:rPr>
          <w:rFonts w:ascii="仿宋" w:eastAsia="仿宋" w:hAnsi="仿宋" w:cs="仿宋" w:hint="eastAsia"/>
          <w:sz w:val="28"/>
          <w:lang w:eastAsia="zh-CN"/>
        </w:rPr>
        <w:t>一、物资采购和管理</w:t>
      </w:r>
      <w:bookmarkEnd w:id="2"/>
    </w:p>
    <w:p>
      <w:pPr>
        <w:pStyle w:val="Heading2"/>
        <w:rPr>
          <w:rFonts w:ascii="仿宋" w:eastAsia="仿宋" w:hAnsi="仿宋" w:cs="仿宋" w:hint="eastAsia"/>
          <w:lang w:eastAsia="zh-CN"/>
        </w:rPr>
      </w:pPr>
      <w:bookmarkStart w:id="3" w:name="_Toc7761"/>
      <w:r>
        <w:rPr>
          <w:rFonts w:ascii="仿宋" w:eastAsia="仿宋" w:hAnsi="仿宋" w:cs="仿宋" w:hint="eastAsia"/>
          <w:lang w:eastAsia="zh-CN"/>
        </w:rPr>
        <w:t>(一)、物资采购的程序和标准</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采购程序：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需求确认：明确物资采购的需求，包括数量、规格、质量要求等，与相关部门和人员进行沟通和确认，确保采购的准确性和满足性。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供应商选择：根据采购需求，进行供应商的筛选和评估，考虑供应商的信誉、价格、交货能力等因素，选择合适的供应商进行采购。</w:t>
      </w:r>
    </w:p>
    <w:p>
      <w:pPr>
        <w:ind w:firstLine="560" w:firstLineChars="200"/>
        <w:rPr>
          <w:rFonts w:ascii="仿宋" w:eastAsia="仿宋" w:hAnsi="仿宋" w:cs="仿宋" w:hint="eastAsia"/>
          <w:sz w:val="28"/>
        </w:rPr>
      </w:pPr>
      <w:r>
        <w:rPr>
          <w:rFonts w:ascii="仿宋" w:eastAsia="仿宋" w:hAnsi="仿宋" w:cs="仿宋" w:hint="eastAsia"/>
          <w:sz w:val="28"/>
          <w:lang w:eastAsia="zh-CN"/>
        </w:rPr>
        <w:t>报价和谈判：向供应商索取报价，进行价格谈判和合同条款的商议，确保采购的价格合理和合同条款明确。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订单确认：根据谈判结果，与供应商签订采购订单，明确物资的数量、价格、交货时间等，确保采购的准确性和合法性。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交货和验收：监督供应商按照订单要求进行物资的交货，进行验收和质量检查，确保物资的质量和符合要求。</w:t>
      </w:r>
    </w:p>
    <w:p>
      <w:pPr>
        <w:ind w:firstLine="560" w:firstLineChars="200"/>
        <w:rPr>
          <w:rFonts w:ascii="仿宋" w:eastAsia="仿宋" w:hAnsi="仿宋" w:cs="仿宋" w:hint="eastAsia"/>
          <w:sz w:val="28"/>
        </w:rPr>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结算和支付：根据供应商提供的发票和交货单据，进行结算和支付，确保采购的合规性和及时性。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质量标准：明确物资采购的质量标准和要求，包括产品的质量认证、检验标准、合规要求等，确保采购的物资符合质量标准。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价格标准：根据市场行情和供需情况，制定合理的价格标准，确保采购的价格合理和公平。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交货期标准：明确物资采购的交货期要求，与供应商协商确定合理的交货时间，确保采购的及时性和供应链的顺畅性。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合规标准：遵守相关法律法规和政策要求，包括环境保护、劳工权益、知识产权等方面的合规标准，确保采购的合法性和道德性。</w:t>
      </w:r>
    </w:p>
    <w:p>
      <w:pPr>
        <w:ind w:firstLine="560" w:firstLineChars="200"/>
        <w:rPr>
          <w:rFonts w:ascii="仿宋" w:eastAsia="仿宋" w:hAnsi="仿宋" w:cs="仿宋" w:hint="eastAsia"/>
          <w:sz w:val="28"/>
        </w:rPr>
      </w:pPr>
      <w:r>
        <w:rPr>
          <w:rFonts w:ascii="仿宋" w:eastAsia="仿宋" w:hAnsi="仿宋" w:cs="仿宋" w:hint="eastAsia"/>
          <w:sz w:val="28"/>
          <w:lang w:eastAsia="zh-CN"/>
        </w:rPr>
        <w:t>注意事项和建议：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供应商评估：建立供应商评估机制，定期对供应商进行评估和监督，确保供应商的稳定性和可靠性。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合同管理：建立健全的合同管理制度，明确合同条款和责任，加强对合同履行的监督和管理。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风险管理：识别和评估采购过程中的风险，制定相应的风险管理措施，减少采购风险对核燃料元件及组件项目的影响。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信息化支持：利用信息化技术，建立物资采购的信息管理系统，提高采购流程的效率和透明度。</w:t>
      </w:r>
    </w:p>
    <w:p>
      <w:pPr>
        <w:pStyle w:val="Heading2"/>
        <w:ind w:firstLine="560" w:firstLineChars="200"/>
        <w:rPr>
          <w:rFonts w:ascii="仿宋" w:eastAsia="仿宋" w:hAnsi="仿宋" w:cs="仿宋" w:hint="eastAsia"/>
          <w:sz w:val="28"/>
          <w:lang w:eastAsia="zh-CN"/>
        </w:rPr>
      </w:pPr>
      <w:bookmarkStart w:id="4" w:name="_Toc29529"/>
      <w:r>
        <w:rPr>
          <w:rFonts w:ascii="仿宋" w:eastAsia="仿宋" w:hAnsi="仿宋" w:cs="仿宋" w:hint="eastAsia"/>
          <w:sz w:val="28"/>
          <w:lang w:eastAsia="zh-CN"/>
        </w:rPr>
        <w:t>(二)、物资管理的措施和办法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物资分类和编码：</w:t>
      </w:r>
    </w:p>
    <w:p>
      <w:pPr>
        <w:ind w:firstLine="560" w:firstLineChars="200"/>
        <w:rPr>
          <w:rFonts w:ascii="仿宋" w:eastAsia="仿宋" w:hAnsi="仿宋" w:cs="仿宋" w:hint="eastAsia"/>
          <w:sz w:val="28"/>
        </w:rPr>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分类体系：建立适合核燃料元件及组件项目需求的物资分类体系，根据物资的属性、用途、特性等进行分类，便于管理和查询。</w:t>
      </w:r>
    </w:p>
    <w:p>
      <w:pPr>
        <w:ind w:firstLine="560" w:firstLineChars="200"/>
        <w:rPr>
          <w:rFonts w:ascii="仿宋" w:eastAsia="仿宋" w:hAnsi="仿宋" w:cs="仿宋" w:hint="eastAsia"/>
          <w:sz w:val="28"/>
        </w:rPr>
      </w:pPr>
      <w:r>
        <w:rPr>
          <w:rFonts w:ascii="仿宋" w:eastAsia="仿宋" w:hAnsi="仿宋" w:cs="仿宋" w:hint="eastAsia"/>
          <w:sz w:val="28"/>
          <w:lang w:eastAsia="zh-CN"/>
        </w:rPr>
        <w:t>编码系统：制定统一的物资编码系统，为每种物资分配唯一的编码，方便识别、追踪和管理。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定期盘点：制定定期盘点计划，对库存物资进行周期性盘点，确保库存数据的准确性和及时性。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安全库存：根据需求和供应链情况，确定合理的安全库存水平，以应对突发情况和供应不确定性。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物资跟踪：建立物资跟踪系统，追踪物资的入库、出库和流转情况，及时了解库存状况和物资使用情况。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采购计划和供应链管理：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采购计划：制定合理的采购计划，根据核燃料元件及组件项目需求和库存情况，合理安排物资的采购时间和数量。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供应链合作：与供应商建立良好的合作关系，加强沟通和协调，确保物资供应的及时性和稳定性。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质量控制：建立质量控制体系，包括物资的质量检验、抽样检测等，确保物资的质量符合要求。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不合格品处理：建立不合格品处理流程，对不合格品进行分类、记录和处理，防止不合格品流入使用环节。</w:t>
      </w:r>
    </w:p>
    <w:p>
      <w:pPr>
        <w:ind w:firstLine="560" w:firstLineChars="200"/>
        <w:rPr>
          <w:rFonts w:ascii="仿宋" w:eastAsia="仿宋" w:hAnsi="仿宋" w:cs="仿宋" w:hint="eastAsia"/>
          <w:sz w:val="28"/>
        </w:rPr>
      </w:pPr>
      <w:r>
        <w:rPr>
          <w:rFonts w:ascii="仿宋" w:eastAsia="仿宋" w:hAnsi="仿宋" w:cs="仿宋" w:hint="eastAsia"/>
          <w:sz w:val="28"/>
          <w:lang w:eastAsia="zh-CN"/>
        </w:rPr>
        <w:t>报废和处置：</w:t>
      </w:r>
    </w:p>
    <w:p>
      <w:pPr>
        <w:ind w:firstLine="560" w:firstLineChars="200"/>
        <w:rPr>
          <w:rFonts w:ascii="仿宋" w:eastAsia="仿宋" w:hAnsi="仿宋" w:cs="仿宋" w:hint="eastAsia"/>
          <w:sz w:val="28"/>
        </w:rPr>
        <w:sectPr>
          <w:headerReference w:type="default" r:id="rId15"/>
          <w:footerReference w:type="default" r:id="rId16"/>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报废管理：建立报废物资的管理程序，对过期、损坏或无法使用的物资进行及时报废处理，避免资源浪费和库存积压。</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环境友好处置：根据物资的性质和特点，选择合适的环境友好的处置方式，如回收利用、再利用等，降低对环境的影响。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技术支持和信息化：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技术支持：引入适当的物资管理技术和工具，如条码识别、RFID等，提高物资管理的效率和准确性。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信息化系统：建立物资管理的信息化系统，实现物资信息的集中管理、查询和分析，提升管理的智能化和科学化。</w:t>
      </w:r>
    </w:p>
    <w:p>
      <w:pPr>
        <w:pStyle w:val="Heading2"/>
        <w:ind w:firstLine="560" w:firstLineChars="200"/>
        <w:rPr>
          <w:rFonts w:ascii="仿宋" w:eastAsia="仿宋" w:hAnsi="仿宋" w:cs="仿宋" w:hint="eastAsia"/>
          <w:sz w:val="28"/>
          <w:lang w:eastAsia="zh-CN"/>
        </w:rPr>
      </w:pPr>
      <w:bookmarkStart w:id="5" w:name="_Toc7820"/>
      <w:r>
        <w:rPr>
          <w:rFonts w:ascii="仿宋" w:eastAsia="仿宋" w:hAnsi="仿宋" w:cs="仿宋" w:hint="eastAsia"/>
          <w:sz w:val="28"/>
          <w:lang w:eastAsia="zh-CN"/>
        </w:rPr>
        <w:t>(三)、物资质量和库存的控制和监督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质量控制和监督：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质量标准：明确物资的质量标准和要求，包括产品的质量认证、检验标准、合规要求等，确保物资的质量符合标准。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质量检验：建立质量检验程序和流程，对进货物资进行抽样检测、实验室测试等，确保物资的质量符合要求。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不合格品处理：建立不合格品处理流程，对不符合质量标准的物资进行分类、记录和处理，防止不合格品流入使用环节。</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供应商评估：建立供应商质量评估机制，对供应商的质量管理能力进行评估和监督，确保供应商提供的物资符合质量标准。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库存控制和监督：</w:t>
      </w:r>
    </w:p>
    <w:p>
      <w:pPr>
        <w:ind w:firstLine="560" w:firstLineChars="200"/>
        <w:rPr>
          <w:rFonts w:ascii="仿宋" w:eastAsia="仿宋" w:hAnsi="仿宋" w:cs="仿宋" w:hint="eastAsia"/>
          <w:sz w:val="28"/>
        </w:rPr>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定期盘点：制定定期盘点计划，对库存物资进行周期性盘点，确保库存数据的准确性和及时性。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安全库存：根据需求和供应链情况，确定合理的安全库存水平，以应对突发情况和供应不确定性。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物资跟踪：建立物资跟踪系统，追踪物资的入库、出库和流转情况，及时了解库存状况和物资使用情况。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库存优化：通过优化库存管理策略，如采用先进的库存管理模型和技术，合理控制物资的进货、出货和补货，降低库存成本和风险。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监督措施和建议：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内部监督机制：建立内部监督机制，包括设立专门的物资管理部门或岗位，明确责任和权限，加强对物资质量和库存的监督和管理。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外部监督和认证：与第三方机构合作，进行物资质量的外部监督和认证，确保物资符合国家标准和法规要求。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数据分析和报告：利用数据分析工具和技术，对物资质量和库存数据进行分析和报告，发现问题和改进机会，提高管理决策的科学性和准确性。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培训计划：制定物资质量和库存管理的培训计划，对相关人员进行培训，提升其质量控制和库存管理的专业能力。</w:t>
      </w:r>
    </w:p>
    <w:p>
      <w:pPr>
        <w:ind w:firstLine="560" w:firstLineChars="200"/>
        <w:rPr>
          <w:rFonts w:ascii="仿宋" w:eastAsia="仿宋" w:hAnsi="仿宋" w:cs="仿宋" w:hint="eastAsia"/>
          <w:sz w:val="28"/>
        </w:rPr>
        <w:sectPr>
          <w:headerReference w:type="default" r:id="rId19"/>
          <w:footerReference w:type="default" r:id="rId20"/>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培养团队文化：建立积极的团队文化，强调质量意识和库存管理的重要性，激发团队成员的积极性和责任感。</w:t>
      </w:r>
    </w:p>
    <w:p>
      <w:pPr>
        <w:pStyle w:val="Heading1"/>
        <w:ind w:firstLine="560" w:firstLineChars="200"/>
        <w:rPr>
          <w:rFonts w:ascii="仿宋" w:eastAsia="仿宋" w:hAnsi="仿宋" w:cs="仿宋" w:hint="eastAsia"/>
          <w:sz w:val="28"/>
          <w:lang w:eastAsia="zh-CN"/>
        </w:rPr>
      </w:pPr>
      <w:bookmarkStart w:id="6" w:name="_Toc13952"/>
      <w:r>
        <w:rPr>
          <w:rFonts w:ascii="仿宋" w:eastAsia="仿宋" w:hAnsi="仿宋" w:cs="仿宋" w:hint="eastAsia"/>
          <w:sz w:val="28"/>
          <w:lang w:eastAsia="zh-CN"/>
        </w:rPr>
        <w:t>二、核燃料元件及组件行业社会文化影响评估</w:t>
      </w:r>
      <w:bookmarkEnd w:id="6"/>
    </w:p>
    <w:p>
      <w:pPr>
        <w:pStyle w:val="Heading2"/>
        <w:rPr>
          <w:rFonts w:ascii="仿宋" w:eastAsia="仿宋" w:hAnsi="仿宋" w:cs="仿宋" w:hint="eastAsia"/>
          <w:lang w:eastAsia="zh-CN"/>
        </w:rPr>
      </w:pPr>
      <w:bookmarkStart w:id="7" w:name="_Toc6314"/>
      <w:r>
        <w:rPr>
          <w:rFonts w:ascii="仿宋" w:eastAsia="仿宋" w:hAnsi="仿宋" w:cs="仿宋" w:hint="eastAsia"/>
          <w:lang w:eastAsia="zh-CN"/>
        </w:rPr>
        <w:t>(一)、核燃料元件及组件在文化和艺术中的地位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创造力的拓展：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为艺术家和创作者提供了新的工具和媒介，可以拓展他们的创造力和表达方式。通过核燃料元件及组件，艺术家可以探索新的艺术形式、交互式作品和沉浸式体验，从而为观众带来全新的视听感受。</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艺术作品的互动性：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的技术特性使得观众可以积极参与艺术作品的创作和演示过程。例如，虚拟现实和增强现实技术可以创造出与观众互动的艺术装置和展览，使观众成为艺术作品的一部分，提升了艺术体验的参与度和个性化。</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艺术品的数字化保存和传播：</w:t>
      </w:r>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技术可以用于数字化保存和传播艺术品，为文化遗产的保护和传承提供了新的途径。通过数字化技术，艺术品可以以高保真度的形式被保存下来，并通过互联网和虚拟展览等方式向全球观众展示，促进了艺术的跨地域传播和交流。</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艺术与科技的融合：</w:t>
      </w:r>
    </w:p>
    <w:p>
      <w:pPr>
        <w:ind w:firstLine="560" w:firstLineChars="200"/>
        <w:rPr>
          <w:rFonts w:ascii="仿宋" w:eastAsia="仿宋" w:hAnsi="仿宋" w:cs="仿宋" w:hint="eastAsia"/>
          <w:sz w:val="28"/>
        </w:rPr>
        <w:sectPr>
          <w:headerReference w:type="default" r:id="rId21"/>
          <w:footerReference w:type="default" r:id="rId22"/>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在文化和艺术中的应用推动了艺术与科技的融合。艺术家和科技专家可以共同合作，创造出结合艺术和科技元素的作品，探索人类与技术的关系，挑战传统艺术形式的边界，以及探索新的艺术语言和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文化创意产业的发展：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为文化创意产业的发展提供了新的机遇。通过将核燃料元件及组件技术与文化创意产业相结合，可以创造出具有艺术价值和商业潜力的产品和服务。这有助于推动文化创意产业的创新和增长，并为经济发展带来积极的影响。</w:t>
      </w:r>
    </w:p>
    <w:p>
      <w:pPr>
        <w:pStyle w:val="Heading2"/>
        <w:ind w:firstLine="560" w:firstLineChars="200"/>
        <w:rPr>
          <w:rFonts w:ascii="仿宋" w:eastAsia="仿宋" w:hAnsi="仿宋" w:cs="仿宋" w:hint="eastAsia"/>
          <w:sz w:val="28"/>
          <w:lang w:eastAsia="zh-CN"/>
        </w:rPr>
      </w:pPr>
      <w:bookmarkStart w:id="8" w:name="_Toc20489"/>
      <w:r>
        <w:rPr>
          <w:rFonts w:ascii="仿宋" w:eastAsia="仿宋" w:hAnsi="仿宋" w:cs="仿宋" w:hint="eastAsia"/>
          <w:sz w:val="28"/>
          <w:lang w:eastAsia="zh-CN"/>
        </w:rPr>
        <w:t>(二)、文化趋势对核燃料元件及组件需求的影响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数字化生活方式的普及：</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数字化技术的普及，人们的生活方式发生了巨大变化。人们越来越依赖于数字设备和互联网来获取信息、进行交流和娱乐。这种数字化生活方式对核燃料元件及组件的需求产生了影响，人们对于更好的用户体验、个性化定制和互动性的期望也在增加。</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多元化和个性化的文化表达：</w:t>
      </w:r>
    </w:p>
    <w:p>
      <w:pPr>
        <w:ind w:firstLine="560" w:firstLineChars="200"/>
        <w:rPr>
          <w:rFonts w:ascii="仿宋" w:eastAsia="仿宋" w:hAnsi="仿宋" w:cs="仿宋" w:hint="eastAsia"/>
          <w:sz w:val="28"/>
        </w:rPr>
      </w:pPr>
      <w:r>
        <w:rPr>
          <w:rFonts w:ascii="仿宋" w:eastAsia="仿宋" w:hAnsi="仿宋" w:cs="仿宋" w:hint="eastAsia"/>
          <w:sz w:val="28"/>
          <w:lang w:eastAsia="zh-CN"/>
        </w:rPr>
        <w:t>当今社会，多元化和个性化的文化表达方式得到了广泛关注。人们对于独特、个性化的艺术和文化体验的需求不断增加。核燃料元件及组件技术能够提供创新的艺术形式和个性化的文化产品，满足人们对于多样化文化表达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参与性文化的兴起：</w:t>
      </w:r>
    </w:p>
    <w:p>
      <w:pPr>
        <w:ind w:firstLine="560" w:firstLineChars="200"/>
        <w:rPr>
          <w:rFonts w:ascii="仿宋" w:eastAsia="仿宋" w:hAnsi="仿宋" w:cs="仿宋" w:hint="eastAsia"/>
          <w:sz w:val="28"/>
        </w:rPr>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参与性文化是指观众和用户参与到文化和艺术创作中的趋势。人们不再满足于被动地接受文化产品，而是希望积极参与其中，成为创作者或共同创造者。核燃料元件及组件技术的互动性和参与性特点与参与性文化的需求相契合，为人们提供了更具参与性的文化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可持续发展和环保意识的崛起：</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和环保意识是当今社会的重要议题。人们对于环境保护和可持续性的关注不断增加，对于环保型的技术和产品的需求也在上升。在核燃料元件及组件的应用中，注重环境友好性和可持续性的设计和开发将受到更多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跨文化交流和文化融合：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全球化和跨文化交流的加强促进了不同文化之间的交流和融合。人们对于了解和体验其他文化的需求增加，对于能够促进跨文化交流的技术和产品的需求也在上升。核燃料元件及组件技术可以通过虚拟现实、语言翻译等功能，促进跨文化交流和文化融合。</w:t>
      </w:r>
    </w:p>
    <w:p>
      <w:pPr>
        <w:pStyle w:val="Heading2"/>
        <w:ind w:firstLine="560" w:firstLineChars="200"/>
        <w:rPr>
          <w:rFonts w:ascii="仿宋" w:eastAsia="仿宋" w:hAnsi="仿宋" w:cs="仿宋" w:hint="eastAsia"/>
          <w:sz w:val="28"/>
          <w:lang w:eastAsia="zh-CN"/>
        </w:rPr>
      </w:pPr>
      <w:bookmarkStart w:id="9" w:name="_Toc15494"/>
      <w:r>
        <w:rPr>
          <w:rFonts w:ascii="仿宋" w:eastAsia="仿宋" w:hAnsi="仿宋" w:cs="仿宋" w:hint="eastAsia"/>
          <w:sz w:val="28"/>
          <w:lang w:eastAsia="zh-CN"/>
        </w:rPr>
        <w:t>(三)、社会文化因素的可行性分析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社会价值观念的影响：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价值观念是指社会对于道德、伦理和文化价值的认知和评价。社会价值观念对技术的需求和应用提出了要求。例如，在艺术和文化领域，社会价值观念对于艺术品的审美标准、文化传承和保护等方面产生影响。在核燃料元件及组件技术的应用中，需要考虑社会价值观念对于技术应用的影响，确保技术的应用符合社会的伦理和道德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文化传统和文化政策的影响：</w:t>
      </w:r>
    </w:p>
    <w:p>
      <w:pPr>
        <w:ind w:firstLine="560" w:firstLineChars="200"/>
        <w:rPr>
          <w:rFonts w:ascii="仿宋" w:eastAsia="仿宋" w:hAnsi="仿宋" w:cs="仿宋" w:hint="eastAsia"/>
          <w:sz w:val="28"/>
        </w:rPr>
        <w:sectPr>
          <w:headerReference w:type="default" r:id="rId25"/>
          <w:footerReference w:type="default" r:id="rId26"/>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传统和文化政策对于文化和艺术的发展和创新具有重要意义。在核燃料元件及组件技术的应用中，需要考虑文化传统和文化政策对于技术应用的影响，确保技术的应用符合文化传统和文化政策的要求。例如，在文化遗产保护和传承方面，需要考虑文化传统的保护和传承，同时结合核燃料元件及组件技术的应用，推动文化遗产的数字化保存和传播。</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社会需求和市场趋势的分析：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需求和市场趋势是评估技术可行性的重要因素。在核燃料元件及组件技术的应用中，需要考虑社会需求和市场趋势的变化，以及技术应用的市场前景和商业模式。通过对市场需求和趋势的分析，可以确定技术应用的商业模式和市场定位，提高核燃料元件及组件项目的商业价值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文化多样性和文化交流的促进：</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多样性和文化交流是当今社会的重要趋势。在核燃料元件及组件技术的应用中，需要考虑如何促进文化多样性和文化交流，创造出具有跨文化特色和价值的文化和艺术产品。通过结合文化多样性和文化交流的特点，可以推动文化和艺术的创新和发展，提高核燃料元件及组件项目的社会价值和文化影响力。</w:t>
      </w:r>
    </w:p>
    <w:p>
      <w:pPr>
        <w:pStyle w:val="Heading1"/>
        <w:ind w:firstLine="560" w:firstLineChars="200"/>
        <w:rPr>
          <w:rFonts w:ascii="仿宋" w:eastAsia="仿宋" w:hAnsi="仿宋" w:cs="仿宋" w:hint="eastAsia"/>
          <w:sz w:val="28"/>
          <w:lang w:eastAsia="zh-CN"/>
        </w:rPr>
      </w:pPr>
      <w:bookmarkStart w:id="10" w:name="_Toc31413"/>
      <w:r>
        <w:rPr>
          <w:rFonts w:ascii="仿宋" w:eastAsia="仿宋" w:hAnsi="仿宋" w:cs="仿宋" w:hint="eastAsia"/>
          <w:sz w:val="28"/>
          <w:lang w:eastAsia="zh-CN"/>
        </w:rPr>
        <w:t>三、核燃料元件及组件行业未来技术发展趋势</w:t>
      </w:r>
      <w:bookmarkEnd w:id="10"/>
    </w:p>
    <w:p>
      <w:pPr>
        <w:pStyle w:val="Heading1"/>
        <w:rPr>
          <w:rFonts w:ascii="仿宋" w:eastAsia="仿宋" w:hAnsi="仿宋" w:cs="仿宋" w:hint="eastAsia"/>
          <w:lang w:eastAsia="zh-CN"/>
        </w:rPr>
      </w:pPr>
      <w:bookmarkStart w:id="11" w:name="_Toc17121"/>
      <w:r>
        <w:rPr>
          <w:rFonts w:ascii="仿宋" w:eastAsia="仿宋" w:hAnsi="仿宋" w:cs="仿宋" w:hint="eastAsia"/>
          <w:lang w:eastAsia="zh-CN"/>
        </w:rPr>
        <w:t>四、核燃料元件及组件项目概论</w:t>
      </w:r>
      <w:bookmarkEnd w:id="11"/>
    </w:p>
    <w:p>
      <w:pPr>
        <w:pStyle w:val="Heading2"/>
        <w:rPr>
          <w:rFonts w:ascii="仿宋" w:eastAsia="仿宋" w:hAnsi="仿宋" w:cs="仿宋" w:hint="eastAsia"/>
          <w:lang w:eastAsia="zh-CN"/>
        </w:rPr>
      </w:pPr>
      <w:bookmarkStart w:id="12" w:name="_Toc31010"/>
      <w:r>
        <w:rPr>
          <w:rFonts w:ascii="仿宋" w:eastAsia="仿宋" w:hAnsi="仿宋" w:cs="仿宋" w:hint="eastAsia"/>
          <w:lang w:eastAsia="zh-CN"/>
        </w:rPr>
        <w:t>(一)、核燃料元件及组件项目名称及承办单位</w:t>
      </w:r>
      <w:bookmarkEnd w:id="12"/>
    </w:p>
    <w:p>
      <w:pPr>
        <w:ind w:firstLine="560" w:firstLineChars="200"/>
        <w:rPr>
          <w:rFonts w:ascii="仿宋" w:eastAsia="仿宋" w:hAnsi="仿宋" w:cs="仿宋" w:hint="eastAsia"/>
          <w:sz w:val="28"/>
        </w:rPr>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核燃料元件及组件项目名称：核燃料元件及组件建设项目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2、核燃料元件及组件项目建设性质：新建</w:t>
      </w:r>
    </w:p>
    <w:p>
      <w:pPr>
        <w:pStyle w:val="Heading2"/>
        <w:ind w:firstLine="560" w:firstLineChars="200"/>
        <w:rPr>
          <w:rFonts w:ascii="仿宋" w:eastAsia="仿宋" w:hAnsi="仿宋" w:cs="仿宋" w:hint="eastAsia"/>
          <w:sz w:val="28"/>
          <w:lang w:eastAsia="zh-CN"/>
        </w:rPr>
      </w:pPr>
      <w:bookmarkStart w:id="13" w:name="_Toc9536"/>
      <w:r>
        <w:rPr>
          <w:rFonts w:ascii="仿宋" w:eastAsia="仿宋" w:hAnsi="仿宋" w:cs="仿宋" w:hint="eastAsia"/>
          <w:sz w:val="28"/>
          <w:lang w:eastAsia="zh-CN"/>
        </w:rPr>
        <w:t>(二)、核燃料元件及组件项目拟建地址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核燃料元件及组件项目规划位置位于某某某某经济开发区。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核燃料元件及组件项目建设地的社会经济分析过程中，我们将遵循《中国制造2025》等相关实施意见的具体要求。我们坚持以创新、协调、绿色、开放和共享的发展理念为指导，积极适应并引领经济发展的新常态。同时，我们将抓住全球制造业格局的重大调整以及我国实施制造强国战略的有利时机，充分发挥当地制造业和信息化的基础优势。我们以先进装备制造业为突破口，将智能制造作为核心和主攻方向，以新一代信息技术与制造业深度融合作为切入点，推动先进装备制造业的快速发展，带动当地制造业的升级转型。最终，我们的目标是将该地区打造成为“中国制造2025”的典范示范区，以及世界先进制造业的新兴高地。</w:t>
      </w:r>
    </w:p>
    <w:p>
      <w:pPr>
        <w:ind w:firstLine="560" w:firstLineChars="200"/>
        <w:rPr>
          <w:rFonts w:ascii="仿宋" w:eastAsia="仿宋" w:hAnsi="仿宋" w:cs="仿宋" w:hint="eastAsia"/>
          <w:sz w:val="28"/>
        </w:rPr>
        <w:sectPr>
          <w:headerReference w:type="default" r:id="rId29"/>
          <w:footerReference w:type="default" r:id="rId30"/>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基于当地市场先进装备制造业的基础上，我们将实施有针对性的支持和控制措施。通过采取结构性和差异化的土地供应策略，我们将规划和完善多层次、全方位的产业空间载体，促进产业的集聚化和高端化发展。通过改革创新，我们将提高土地利用效率，在土地整备、二次开发利用以及产业用地用房供应等方面取得突破，从而释放产业发展的空间，推动产业的转型升级。同时，通过社会化和市场化的运作，我们还将加强工业园区的基础配套设施建设，包括物流、文化、生活、医疗和教育等方面，为企业提供良好的发展环境，助力产业稳步发展。我们的目标是将重点工业园区打造成为设施完善、功能齐备、环境优美、产业布局合理、经济发展强劲的现代化工业园区。</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进一步推广“互联网+制造”的模式，推动制造业实现数字化、网络化和智能化的转型。通过这一转变，我们将提高制造业的质量和效益，实现从制造大国向制造强国的跨越。同时，我们也将高度重视环境保护和可持续发展，推动绿色制造和循环经济的发展，以确保在经济发展的同时，也能保护和维护良好的生态环境。我们将追求经济、社会和环境的协调发展。</w:t>
      </w:r>
    </w:p>
    <w:p>
      <w:pPr>
        <w:pStyle w:val="Heading2"/>
        <w:ind w:firstLine="560" w:firstLineChars="200"/>
        <w:rPr>
          <w:rFonts w:ascii="仿宋" w:eastAsia="仿宋" w:hAnsi="仿宋" w:cs="仿宋" w:hint="eastAsia"/>
          <w:sz w:val="28"/>
          <w:lang w:eastAsia="zh-CN"/>
        </w:rPr>
      </w:pPr>
      <w:bookmarkStart w:id="14" w:name="_Toc693"/>
      <w:r>
        <w:rPr>
          <w:rFonts w:ascii="仿宋" w:eastAsia="仿宋" w:hAnsi="仿宋" w:cs="仿宋" w:hint="eastAsia"/>
          <w:sz w:val="28"/>
          <w:lang w:eastAsia="zh-CN"/>
        </w:rPr>
        <w:t>(三)、核燃料元件及组件项目提出的背景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许多公司在当前的核燃料元件及组件行业中都在寻求创新的方法来提高效率和降低成本。这个核燃料元件及组件项目的目标是为企业提供全新的解决方案，帮助他们提高生产效率、降低成本并获得竞争优势。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核燃料元件及组件行业的迅速发展，竞争也变得越来越激烈。为了在市场上取得成功，企业需要不断创新。这个核燃料元件及组件项目旨在为行业提供一种创新的解决方案，帮助企业提高生产效率、降低成本并获得竞争优势。</w:t>
      </w:r>
    </w:p>
    <w:p>
      <w:pPr>
        <w:ind w:firstLine="560" w:firstLineChars="200"/>
        <w:rPr>
          <w:rFonts w:ascii="仿宋" w:eastAsia="仿宋" w:hAnsi="仿宋" w:cs="仿宋" w:hint="eastAsia"/>
          <w:sz w:val="28"/>
        </w:rPr>
        <w:sectPr>
          <w:headerReference w:type="default" r:id="rId31"/>
          <w:footerReference w:type="default" r:id="rId32"/>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前的核燃料元件及组件行业中，许多企业都面临着相似的问题，如高成本、低效率和资源浪费。这些问题不仅对企业的盈利能力产生影响，还限制了它们的发展潜力。这个核燃料元件及组件项目旨在解决这些问题，并为企业提供一种创新的解决方案，帮助他们提高生产效率、降低成本并获得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快速发展，核燃料元件及组件行业也在不断变化。企业需要不断更新技术以适应市场的变化。这个核燃料元件及组件项目旨在为行业提供一种创新的解决方案，帮助企业利用最新的技术提高生产效率、降低成本并获得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作为一个处于转型期的国家，在经济发展方面一直保持着良好的基础。然而，在前进的道路上我们面临着一些长期积累的结构性和体制性问题，需要解决。供给侧和需求侧是我国经济增长的两个重要方面，只有通过改革才能解决发展中的问题。此外，《中国制造2025》的发布不仅有利于推动我国传统制造业的转型升级，还进一步明确了未来我国具有发展潜力和空间的战略性新兴产业。这为我国未来产业经济的发展指明了方向，有利于优化资源配置，提高经济效率和经济质量。它对于保障我国经济的平稳、健康发展起到了关键性的作用。我们通过实施《中国制造2025》能够推动产业结构升级，提高科技创新能力，增强企业竞争力，促进经济的可持续发展。</w:t>
      </w:r>
    </w:p>
    <w:p>
      <w:pPr>
        <w:pStyle w:val="Heading2"/>
        <w:ind w:firstLine="560" w:firstLineChars="200"/>
        <w:rPr>
          <w:rFonts w:ascii="仿宋" w:eastAsia="仿宋" w:hAnsi="仿宋" w:cs="仿宋" w:hint="eastAsia"/>
          <w:sz w:val="28"/>
          <w:lang w:eastAsia="zh-CN"/>
        </w:rPr>
      </w:pPr>
      <w:bookmarkStart w:id="15" w:name="_Toc6557"/>
      <w:r>
        <w:rPr>
          <w:rFonts w:ascii="仿宋" w:eastAsia="仿宋" w:hAnsi="仿宋" w:cs="仿宋" w:hint="eastAsia"/>
          <w:sz w:val="28"/>
          <w:lang w:eastAsia="zh-CN"/>
        </w:rPr>
        <w:t>(四)、报告研究范围</w:t>
      </w:r>
      <w:bookmarkEnd w:id="15"/>
    </w:p>
    <w:p>
      <w:pPr>
        <w:ind w:firstLine="560" w:firstLineChars="200"/>
        <w:rPr>
          <w:rFonts w:ascii="仿宋" w:eastAsia="仿宋" w:hAnsi="仿宋" w:cs="仿宋" w:hint="eastAsia"/>
          <w:sz w:val="28"/>
        </w:rPr>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报告的重点在于对国内外核燃料元件及组件相关市场的供需情况和建设规模进行研究、分析和预测，并提供主要的技术经济指标，以便对核燃料元件及组件相关项目的可行性进行较为科学的评估。然而，值得注意的是，这些评估仅供参考之用。</w:t>
      </w:r>
    </w:p>
    <w:p>
      <w:pPr>
        <w:pStyle w:val="Heading2"/>
        <w:ind w:firstLine="560" w:firstLineChars="200"/>
        <w:rPr>
          <w:rFonts w:ascii="仿宋" w:eastAsia="仿宋" w:hAnsi="仿宋" w:cs="仿宋" w:hint="eastAsia"/>
          <w:sz w:val="28"/>
          <w:lang w:eastAsia="zh-CN"/>
        </w:rPr>
      </w:pPr>
      <w:bookmarkStart w:id="16" w:name="_Toc2302"/>
      <w:r>
        <w:rPr>
          <w:rFonts w:ascii="仿宋" w:eastAsia="仿宋" w:hAnsi="仿宋" w:cs="仿宋" w:hint="eastAsia"/>
          <w:sz w:val="28"/>
          <w:lang w:eastAsia="zh-CN"/>
        </w:rPr>
        <w:t>(五)、核燃料元件及组件项目建设必要性分析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当前，重要领域和前沿方向的信息技术、新能源、新材料、生物技术等正经历着革命性的突破和交叉融合。这将引发一轮新的产业变革，对全球制造业产生颠覆性的影响，并逐渐改变全球制造业的发展格局。特别是新一代信息技术与制造业的深度融合，将推动制造模式、生产组织方式和产业形态的深刻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发达国家如德国的工业4.0、美国的工业互联网、法国的新工业等，以建立制造竞争优势为目标，加速在信息基础设施、核心技术产业、数据战略资产、以智能制造为核心的网络经济体系等方面进行战略部署，以保持技术和产业方面的领先优势，并在全球价值链高端制造领域占据有利位置。这无疑对我国产业结构升级提出了挑战，但同时也为我国的制造业发展带来了重要机遇。</w:t>
      </w:r>
    </w:p>
    <w:p>
      <w:pPr>
        <w:pStyle w:val="Heading2"/>
        <w:ind w:firstLine="560" w:firstLineChars="200"/>
        <w:rPr>
          <w:rFonts w:ascii="仿宋" w:eastAsia="仿宋" w:hAnsi="仿宋" w:cs="仿宋" w:hint="eastAsia"/>
          <w:sz w:val="28"/>
          <w:lang w:eastAsia="zh-CN"/>
        </w:rPr>
      </w:pPr>
      <w:bookmarkStart w:id="17" w:name="_Toc6335"/>
      <w:r>
        <w:rPr>
          <w:rFonts w:ascii="仿宋" w:eastAsia="仿宋" w:hAnsi="仿宋" w:cs="仿宋" w:hint="eastAsia"/>
          <w:sz w:val="28"/>
          <w:lang w:eastAsia="zh-CN"/>
        </w:rPr>
        <w:t>(六)、产品方案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本核燃料元件及组件项目投产后的生产经营范围是：核燃料元件及组件相关行业及衍生产业。</w:t>
      </w:r>
    </w:p>
    <w:p>
      <w:pPr>
        <w:pStyle w:val="Heading2"/>
        <w:ind w:firstLine="560" w:firstLineChars="200"/>
        <w:rPr>
          <w:rFonts w:ascii="仿宋" w:eastAsia="仿宋" w:hAnsi="仿宋" w:cs="仿宋" w:hint="eastAsia"/>
          <w:sz w:val="28"/>
          <w:lang w:eastAsia="zh-CN"/>
        </w:rPr>
      </w:pPr>
      <w:bookmarkStart w:id="18" w:name="_Toc8508"/>
      <w:r>
        <w:rPr>
          <w:rFonts w:ascii="仿宋" w:eastAsia="仿宋" w:hAnsi="仿宋" w:cs="仿宋" w:hint="eastAsia"/>
          <w:sz w:val="28"/>
          <w:lang w:eastAsia="zh-CN"/>
        </w:rPr>
        <w:t>(七)、核燃料元件及组件项目总投资估算</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核燃料元件及组件相关项目固定资产投资：XXXXX万元。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流动资金：XXXXX万元。</w:t>
      </w:r>
    </w:p>
    <w:p>
      <w:pPr>
        <w:ind w:firstLine="560" w:firstLineChars="200"/>
        <w:rPr>
          <w:rFonts w:ascii="仿宋" w:eastAsia="仿宋" w:hAnsi="仿宋" w:cs="仿宋" w:hint="eastAsia"/>
          <w:sz w:val="28"/>
        </w:rPr>
        <w:sectPr>
          <w:headerReference w:type="default" r:id="rId35"/>
          <w:footerReference w:type="default" r:id="rId36"/>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核燃料元件及组件项目总投资：XXXXX万元人。</w:t>
      </w:r>
    </w:p>
    <w:p>
      <w:pPr>
        <w:pStyle w:val="Heading2"/>
        <w:ind w:firstLine="560" w:firstLineChars="200"/>
        <w:rPr>
          <w:rFonts w:ascii="仿宋" w:eastAsia="仿宋" w:hAnsi="仿宋" w:cs="仿宋" w:hint="eastAsia"/>
          <w:sz w:val="28"/>
          <w:lang w:eastAsia="zh-CN"/>
        </w:rPr>
      </w:pPr>
      <w:bookmarkStart w:id="19" w:name="_Toc11319"/>
      <w:r>
        <w:rPr>
          <w:rFonts w:ascii="仿宋" w:eastAsia="仿宋" w:hAnsi="仿宋" w:cs="仿宋" w:hint="eastAsia"/>
          <w:sz w:val="28"/>
          <w:lang w:eastAsia="zh-CN"/>
        </w:rPr>
        <w:t>(八)、核燃料元件及组件项目工艺技术装备方案的选择</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根据“保护环境和节约能源”的原则，本方案经过调研和分析后综合考量，已经达到了目前国内较为先进的水平。</w:t>
      </w:r>
    </w:p>
    <w:p>
      <w:pPr>
        <w:pStyle w:val="Heading2"/>
        <w:ind w:firstLine="560" w:firstLineChars="200"/>
        <w:rPr>
          <w:rFonts w:ascii="仿宋" w:eastAsia="仿宋" w:hAnsi="仿宋" w:cs="仿宋" w:hint="eastAsia"/>
          <w:sz w:val="28"/>
          <w:lang w:eastAsia="zh-CN"/>
        </w:rPr>
      </w:pPr>
      <w:bookmarkStart w:id="20" w:name="_Toc31455"/>
      <w:r>
        <w:rPr>
          <w:rFonts w:ascii="仿宋" w:eastAsia="仿宋" w:hAnsi="仿宋" w:cs="仿宋" w:hint="eastAsia"/>
          <w:sz w:val="28"/>
          <w:lang w:eastAsia="zh-CN"/>
        </w:rPr>
        <w:t>(九)、核燃料元件及组件项目实施进度建议</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核燃料元件及组件项目建设期：XX个月。</w:t>
      </w:r>
    </w:p>
    <w:p>
      <w:pPr>
        <w:pStyle w:val="Heading2"/>
        <w:ind w:firstLine="560" w:firstLineChars="200"/>
        <w:rPr>
          <w:rFonts w:ascii="仿宋" w:eastAsia="仿宋" w:hAnsi="仿宋" w:cs="仿宋" w:hint="eastAsia"/>
          <w:sz w:val="28"/>
          <w:lang w:eastAsia="zh-CN"/>
        </w:rPr>
      </w:pPr>
      <w:bookmarkStart w:id="21" w:name="_Toc26959"/>
      <w:r>
        <w:rPr>
          <w:rFonts w:ascii="仿宋" w:eastAsia="仿宋" w:hAnsi="仿宋" w:cs="仿宋" w:hint="eastAsia"/>
          <w:sz w:val="28"/>
          <w:lang w:eastAsia="zh-CN"/>
        </w:rPr>
        <w:t>(十)、核燃料元件及组件相关研究结论</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随着我国国民经济快速持续发展，对核燃料元件及组件的市场需求不断增加。本核燃料元件及组件项目的建设符合国家产业政策和行业发展规划，因此在国内市场上核燃料元件及组件有着广阔的畅销空间，发展前景良好且市场潜力巨大。</w:t>
      </w:r>
    </w:p>
    <w:p>
      <w:pPr>
        <w:ind w:firstLine="560" w:firstLineChars="200"/>
        <w:rPr>
          <w:rFonts w:ascii="仿宋" w:eastAsia="仿宋" w:hAnsi="仿宋" w:cs="仿宋" w:hint="eastAsia"/>
          <w:sz w:val="28"/>
        </w:rPr>
      </w:pPr>
      <w:r>
        <w:rPr>
          <w:rFonts w:ascii="仿宋" w:eastAsia="仿宋" w:hAnsi="仿宋" w:cs="仿宋" w:hint="eastAsia"/>
          <w:sz w:val="28"/>
          <w:lang w:eastAsia="zh-CN"/>
        </w:rPr>
        <w:t>2、核燃料元件及组件项目拟建在xxx开发区，选址符合工业核燃料元件及组件项目用地规划，且该区域交通运输便利。</w:t>
      </w:r>
    </w:p>
    <w:p>
      <w:pPr>
        <w:ind w:firstLine="560" w:firstLineChars="200"/>
        <w:rPr>
          <w:rFonts w:ascii="仿宋" w:eastAsia="仿宋" w:hAnsi="仿宋" w:cs="仿宋" w:hint="eastAsia"/>
          <w:sz w:val="28"/>
        </w:rPr>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拟建工程的总投资额为xxxxx万元，其中固定资产投资为xxxxx万元，流动资金为xxxxx万元。核燃料元件及组件项目实施后，企业年销售收入为xxxxx万元，年利税为xxxxx万元，其中年利润为xxxxx万元，纳税总额为xxxxx万元。核燃料元件及组件项目的税后平均投资利润率为xxxxx%，税后平均投资利税率为xxxxx%，全部投资回报率为xxxxx%，全部投资回收期为X年（含建设期）。由此可见，核燃料元件及组件项目的实施能够取得较好的经济效益，因此核燃料元件及组件项目是可行的。</w:t>
      </w:r>
    </w:p>
    <w:p>
      <w:pPr>
        <w:pStyle w:val="Heading2"/>
        <w:ind w:firstLine="560" w:firstLineChars="200"/>
        <w:rPr>
          <w:rFonts w:ascii="仿宋" w:eastAsia="仿宋" w:hAnsi="仿宋" w:cs="仿宋" w:hint="eastAsia"/>
          <w:sz w:val="28"/>
          <w:lang w:eastAsia="zh-CN"/>
        </w:rPr>
      </w:pPr>
      <w:bookmarkStart w:id="22" w:name="_Toc21307"/>
      <w:r>
        <w:rPr>
          <w:rFonts w:ascii="仿宋" w:eastAsia="仿宋" w:hAnsi="仿宋" w:cs="仿宋" w:hint="eastAsia"/>
          <w:sz w:val="28"/>
          <w:lang w:eastAsia="zh-CN"/>
        </w:rPr>
        <w:t>(十一)、核燃料元件及组件项目规划及市场分析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根据国内市场需求状况，本核燃料元件及组件项目规划的产品是核燃料元件及组件，主要应用于XXXX领域。随着我国人口的增加和消费量的递增，近几年该领域的市场前景更加广阔，为核燃料元件及组件的发展提供了机遇。本核燃料元件及组件项目将为该领域的发展做出积极的贡献。</w:t>
      </w:r>
    </w:p>
    <w:p>
      <w:pPr>
        <w:pStyle w:val="Heading1"/>
        <w:ind w:firstLine="560" w:firstLineChars="200"/>
        <w:rPr>
          <w:rFonts w:ascii="仿宋" w:eastAsia="仿宋" w:hAnsi="仿宋" w:cs="仿宋" w:hint="eastAsia"/>
          <w:sz w:val="28"/>
          <w:lang w:eastAsia="zh-CN"/>
        </w:rPr>
      </w:pPr>
      <w:bookmarkStart w:id="23" w:name="_Toc26737"/>
      <w:r>
        <w:rPr>
          <w:rFonts w:ascii="仿宋" w:eastAsia="仿宋" w:hAnsi="仿宋" w:cs="仿宋" w:hint="eastAsia"/>
          <w:sz w:val="28"/>
          <w:lang w:eastAsia="zh-CN"/>
        </w:rPr>
        <w:t>五、核燃料元件及组件项目节能分析</w:t>
      </w:r>
      <w:bookmarkEnd w:id="23"/>
    </w:p>
    <w:p>
      <w:pPr>
        <w:pStyle w:val="Heading2"/>
        <w:rPr>
          <w:rFonts w:ascii="仿宋" w:eastAsia="仿宋" w:hAnsi="仿宋" w:cs="仿宋" w:hint="eastAsia"/>
          <w:lang w:eastAsia="zh-CN"/>
        </w:rPr>
      </w:pPr>
      <w:bookmarkStart w:id="24" w:name="_Toc6098"/>
      <w:r>
        <w:rPr>
          <w:rFonts w:ascii="仿宋" w:eastAsia="仿宋" w:hAnsi="仿宋" w:cs="仿宋" w:hint="eastAsia"/>
          <w:lang w:eastAsia="zh-CN"/>
        </w:rPr>
        <w:t>(一)、核燃料元件及组件项目建设的节能原则</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核燃料元件及组件项目建设过程中，我们应采用非高耗能的先进生产工艺、技术和设备，这是第一点。同时，我们需要推广应用先进的节能新技术和新设备，确保设备符合国家能效标准，这是第二点。另外，我们要有效回收利用余热和余压，这是第三点。最后，我们要严格控制非生产用电，加强管理、计量和考核，减少厂区辅助、办公和生活等非生产用电，这是第四点。通过这些措施，我们能够实现节能减排的目标，提高能源利用效率。</w:t>
      </w:r>
    </w:p>
    <w:p>
      <w:pPr>
        <w:pStyle w:val="Heading2"/>
        <w:ind w:firstLine="560" w:firstLineChars="200"/>
        <w:rPr>
          <w:rFonts w:ascii="仿宋" w:eastAsia="仿宋" w:hAnsi="仿宋" w:cs="仿宋" w:hint="eastAsia"/>
          <w:sz w:val="28"/>
          <w:lang w:eastAsia="zh-CN"/>
        </w:rPr>
      </w:pPr>
      <w:bookmarkStart w:id="25" w:name="_Toc17618"/>
      <w:r>
        <w:rPr>
          <w:rFonts w:ascii="仿宋" w:eastAsia="仿宋" w:hAnsi="仿宋" w:cs="仿宋" w:hint="eastAsia"/>
          <w:sz w:val="28"/>
          <w:lang w:eastAsia="zh-CN"/>
        </w:rPr>
        <w:t>(二)、设计依据</w:t>
      </w:r>
      <w:bookmarkEnd w:id="25"/>
    </w:p>
    <w:p>
      <w:pPr>
        <w:ind w:firstLine="560" w:firstLineChars="200"/>
        <w:rPr>
          <w:rFonts w:ascii="仿宋" w:eastAsia="仿宋" w:hAnsi="仿宋" w:cs="仿宋" w:hint="eastAsia"/>
          <w:sz w:val="28"/>
        </w:rPr>
        <w:sectPr>
          <w:headerReference w:type="default" r:id="rId39"/>
          <w:footerReference w:type="default" r:id="rId40"/>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借鉴《中华人民共和国节能能源法》的精神，我们将在推动节能减排、资源的合理利用方面，充分发挥企业的积极作用，为实现可持续发展的愿景做出持续不懈的努力。</w:t>
      </w:r>
    </w:p>
    <w:p>
      <w:pPr>
        <w:pStyle w:val="Heading2"/>
        <w:ind w:firstLine="560" w:firstLineChars="200"/>
        <w:rPr>
          <w:rFonts w:ascii="仿宋" w:eastAsia="仿宋" w:hAnsi="仿宋" w:cs="仿宋" w:hint="eastAsia"/>
          <w:sz w:val="28"/>
          <w:lang w:eastAsia="zh-CN"/>
        </w:rPr>
      </w:pPr>
      <w:bookmarkStart w:id="26" w:name="_Toc13271"/>
      <w:r>
        <w:rPr>
          <w:rFonts w:ascii="仿宋" w:eastAsia="仿宋" w:hAnsi="仿宋" w:cs="仿宋" w:hint="eastAsia"/>
          <w:sz w:val="28"/>
          <w:lang w:eastAsia="zh-CN"/>
        </w:rPr>
        <w:t>(三)、核燃料元件及组件项目节能背景分析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我们应该加强节能环保法律体系建设。加快制定节能环保方面的法律，加强节能环保法律与相关法律的衔接，形成完善的节能环保法律体系。完善节能环保标准体系。加强节能环保标准与节能环保法律、政策的衔接，提高节能环保标准的规范性和约束力，推动节能环保标准的升级。加强节能环保执法监督。加强对节能环保法律法规的执法监督，加大对违法行为的处罚力度，提高节能环保法律法规的权威性和执行力度，促进生态文明建设的不断进步。</w:t>
      </w:r>
    </w:p>
    <w:p>
      <w:pPr>
        <w:pStyle w:val="Heading2"/>
        <w:ind w:firstLine="560" w:firstLineChars="200"/>
        <w:rPr>
          <w:rFonts w:ascii="仿宋" w:eastAsia="仿宋" w:hAnsi="仿宋" w:cs="仿宋" w:hint="eastAsia"/>
          <w:sz w:val="28"/>
          <w:lang w:eastAsia="zh-CN"/>
        </w:rPr>
      </w:pPr>
      <w:bookmarkStart w:id="27" w:name="_Toc20069"/>
      <w:r>
        <w:rPr>
          <w:rFonts w:ascii="仿宋" w:eastAsia="仿宋" w:hAnsi="仿宋" w:cs="仿宋" w:hint="eastAsia"/>
          <w:sz w:val="28"/>
          <w:lang w:eastAsia="zh-CN"/>
        </w:rPr>
        <w:t>(四)、核燃料元件及组件项目能源消耗种类和数量分析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(一)主要耗能装置及能耗种类和数量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1、 主要耗能装置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设备1xxx,设备2xxx，设备3xxx，设备4xxx（根据核燃料元件及组件项目情况填写）</w:t>
      </w:r>
    </w:p>
    <w:p>
      <w:pPr>
        <w:pStyle w:val="Heading2"/>
        <w:ind w:firstLine="560" w:firstLineChars="200"/>
        <w:rPr>
          <w:rFonts w:ascii="仿宋" w:eastAsia="仿宋" w:hAnsi="仿宋" w:cs="仿宋" w:hint="eastAsia"/>
          <w:sz w:val="28"/>
          <w:lang w:eastAsia="zh-CN"/>
        </w:rPr>
      </w:pPr>
      <w:bookmarkStart w:id="28" w:name="_Toc10969"/>
      <w:r>
        <w:rPr>
          <w:rFonts w:ascii="仿宋" w:eastAsia="仿宋" w:hAnsi="仿宋" w:cs="仿宋" w:hint="eastAsia"/>
          <w:sz w:val="28"/>
          <w:lang w:eastAsia="zh-CN"/>
        </w:rPr>
        <w:t>(五)、核燃料元件及组件项目用能品种选择的可靠性分析</w:t>
      </w:r>
      <w:bookmarkEnd w:id="28"/>
    </w:p>
    <w:p>
      <w:pPr>
        <w:ind w:firstLine="560" w:firstLineChars="200"/>
        <w:rPr>
          <w:rFonts w:ascii="仿宋" w:eastAsia="仿宋" w:hAnsi="仿宋" w:cs="仿宋" w:hint="eastAsia"/>
          <w:sz w:val="28"/>
        </w:rPr>
        <w:sectPr>
          <w:headerReference w:type="default" r:id="rId41"/>
          <w:footerReference w:type="default" r:id="rId42"/>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核燃料元件及组件项目所需主要能源为电力。不论是设备的运行，亦或是照明、空调等基础设施的操作，均以电力作为支持。在核燃料元件及组件项目中，亦将专注于节能和能源的合理利用。通过工艺革新和管理优化等途径，旨在减少能源的浪费，提升能源的有效利用率。</w:t>
      </w:r>
    </w:p>
    <w:p>
      <w:pPr>
        <w:pStyle w:val="Heading2"/>
        <w:ind w:firstLine="560" w:firstLineChars="200"/>
        <w:rPr>
          <w:rFonts w:ascii="仿宋" w:eastAsia="仿宋" w:hAnsi="仿宋" w:cs="仿宋" w:hint="eastAsia"/>
          <w:sz w:val="28"/>
          <w:lang w:eastAsia="zh-CN"/>
        </w:rPr>
      </w:pPr>
      <w:bookmarkStart w:id="29" w:name="_Toc10329"/>
      <w:r>
        <w:rPr>
          <w:rFonts w:ascii="仿宋" w:eastAsia="仿宋" w:hAnsi="仿宋" w:cs="仿宋" w:hint="eastAsia"/>
          <w:sz w:val="28"/>
          <w:lang w:eastAsia="zh-CN"/>
        </w:rPr>
        <w:t>(六)、核燃料元件及组件项目建筑结构节能设计</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建筑平面布置：合理规划空间，优化功能分区，提高空间利用率，减少浪费。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建筑设计：采用高效节能建筑材料，优化建筑外形和结构，提高建筑保温隔热性能，降低能量消耗。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维护结构设计：设计合理的维护结构，采用高效保温隔热材料，减少能量传递和散失，提高能源利用效率。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建筑通风设计：合理设计通风系统，采用自然通风和机械通风相结合的方式，减少空调使用，降低能源消耗。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建筑节能控制：采用智能控制系统，对建筑能源进行有效管理，优化能源分配和利用，提高能源利用效率。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建筑节能措施：采取多种节能措施，如自然采光、太阳能利用、能源回收等，降低能源消耗，实现可持续发展。</w:t>
      </w:r>
    </w:p>
    <w:p>
      <w:pPr>
        <w:pStyle w:val="Heading2"/>
        <w:ind w:firstLine="560" w:firstLineChars="200"/>
        <w:rPr>
          <w:rFonts w:ascii="仿宋" w:eastAsia="仿宋" w:hAnsi="仿宋" w:cs="仿宋" w:hint="eastAsia"/>
          <w:sz w:val="28"/>
          <w:lang w:eastAsia="zh-CN"/>
        </w:rPr>
      </w:pPr>
      <w:bookmarkStart w:id="30" w:name="_Toc29109"/>
      <w:r>
        <w:rPr>
          <w:rFonts w:ascii="仿宋" w:eastAsia="仿宋" w:hAnsi="仿宋" w:cs="仿宋" w:hint="eastAsia"/>
          <w:sz w:val="28"/>
          <w:lang w:eastAsia="zh-CN"/>
        </w:rPr>
        <w:t>(七)、核燃料元件及组件项目节能效果分析与建议</w:t>
      </w:r>
      <w:bookmarkEnd w:id="30"/>
    </w:p>
    <w:p>
      <w:pPr>
        <w:ind w:firstLine="560" w:firstLineChars="200"/>
        <w:rPr>
          <w:rFonts w:ascii="仿宋" w:eastAsia="仿宋" w:hAnsi="仿宋" w:cs="仿宋" w:hint="eastAsia"/>
          <w:sz w:val="28"/>
        </w:rPr>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经过分析比较，本核燃料元件及组件项目要求企业制定合理利用能源及节能的技术措施，以有效降低各类能源的消耗。考虑到核燃料元件及组件项目使用的主要能源种类合理，能源供应有保障，从能源利用和节能角度考虑，核燃料元件及组件项目是可行的。</w:t>
      </w:r>
    </w:p>
    <w:p>
      <w:pPr>
        <w:pStyle w:val="Heading1"/>
        <w:ind w:firstLine="560" w:firstLineChars="200"/>
        <w:rPr>
          <w:rFonts w:ascii="仿宋" w:eastAsia="仿宋" w:hAnsi="仿宋" w:cs="仿宋" w:hint="eastAsia"/>
          <w:sz w:val="28"/>
          <w:lang w:eastAsia="zh-CN"/>
        </w:rPr>
      </w:pPr>
      <w:bookmarkStart w:id="31" w:name="_Toc8379"/>
      <w:r>
        <w:rPr>
          <w:rFonts w:ascii="仿宋" w:eastAsia="仿宋" w:hAnsi="仿宋" w:cs="仿宋" w:hint="eastAsia"/>
          <w:sz w:val="28"/>
          <w:lang w:eastAsia="zh-CN"/>
        </w:rPr>
        <w:t>六、企业文化和员工培训</w:t>
      </w:r>
      <w:bookmarkEnd w:id="31"/>
    </w:p>
    <w:p>
      <w:pPr>
        <w:pStyle w:val="Heading2"/>
        <w:rPr>
          <w:rFonts w:ascii="仿宋" w:eastAsia="仿宋" w:hAnsi="仿宋" w:cs="仿宋" w:hint="eastAsia"/>
          <w:lang w:eastAsia="zh-CN"/>
        </w:rPr>
      </w:pPr>
      <w:bookmarkStart w:id="32" w:name="_Toc16456"/>
      <w:r>
        <w:rPr>
          <w:rFonts w:ascii="仿宋" w:eastAsia="仿宋" w:hAnsi="仿宋" w:cs="仿宋" w:hint="eastAsia"/>
          <w:lang w:eastAsia="zh-CN"/>
        </w:rPr>
        <w:t>(一)、企业文化的建设和传承</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文化建设目标和价值观：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确定文化建设目标：明确企业文化建设的目标，例如增强员工凝聚力、塑造积极向上的工作氛围、提升员工满意度等。</w:t>
      </w:r>
    </w:p>
    <w:p>
      <w:pPr>
        <w:ind w:firstLine="560" w:firstLineChars="200"/>
        <w:rPr>
          <w:rFonts w:ascii="仿宋" w:eastAsia="仿宋" w:hAnsi="仿宋" w:cs="仿宋" w:hint="eastAsia"/>
          <w:sz w:val="28"/>
        </w:rPr>
      </w:pPr>
      <w:r>
        <w:rPr>
          <w:rFonts w:ascii="仿宋" w:eastAsia="仿宋" w:hAnsi="仿宋" w:cs="仿宋" w:hint="eastAsia"/>
          <w:sz w:val="28"/>
          <w:lang w:eastAsia="zh-CN"/>
        </w:rPr>
        <w:t>确立核心价值观：制定企业的核心价值观和行为准则，以引导员工的行为和决策，构建积极向上的企业文化。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文化传承和弘扬：</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内部传播和教育：通过内部培训、员工手册、团队建设等方式，向员工传达企业文化的核心价值观、历史传承和行为规范。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领导示范和激励：企业领导要以身作则，积极践行企业文化，通过激励机制和奖励制度，鼓励员工积极参与和传承企业文化。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沟通渠道和平台：建立畅通的沟通渠道，包括员工反馈机制、员工代表会议、内部社交平台等，促进员工之间的交流和参与。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员工参与和贡献：鼓励员工参与企业文化建设，例如组织员工活动、设立奖励制度、提供发展机会等，激发员工的归属感和参与度。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文化体现和落地：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员工行为和工作环境：通过制定明确的行为规范和工作标准，引导员工在工作中体现企业文化，同时创造积极向上的工作环境。</w:t>
      </w:r>
    </w:p>
    <w:p>
      <w:pPr>
        <w:ind w:firstLine="560" w:firstLineChars="200"/>
        <w:rPr>
          <w:rFonts w:ascii="仿宋" w:eastAsia="仿宋" w:hAnsi="仿宋" w:cs="仿宋" w:hint="eastAsia"/>
          <w:sz w:val="28"/>
        </w:rPr>
        <w:sectPr>
          <w:headerReference w:type="default" r:id="rId45"/>
          <w:footerReference w:type="default" r:id="rId46"/>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对外形象和品牌建设：将企业文化体现在对外宣传、产品和服务中，塑造积极的企业形象和品牌形象，提升企业的竞争力和声誉。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文化评估和持续改进：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文化评估指标：制定文化评估指标，例如员工满意度调查、文化传承度评估等，定期评估企业文化的效果和改进空间。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持续改进措施：根据评估结果，采取相应的改进措施，例如调整管理制度、改善员工福利、加强培训等，不断优化企业文化建设和传承的效果。</w:t>
      </w:r>
    </w:p>
    <w:p>
      <w:pPr>
        <w:pStyle w:val="Heading2"/>
        <w:ind w:firstLine="560" w:firstLineChars="200"/>
        <w:rPr>
          <w:rFonts w:ascii="仿宋" w:eastAsia="仿宋" w:hAnsi="仿宋" w:cs="仿宋" w:hint="eastAsia"/>
          <w:sz w:val="28"/>
          <w:lang w:eastAsia="zh-CN"/>
        </w:rPr>
      </w:pPr>
      <w:bookmarkStart w:id="33" w:name="_Toc12785"/>
      <w:r>
        <w:rPr>
          <w:rFonts w:ascii="仿宋" w:eastAsia="仿宋" w:hAnsi="仿宋" w:cs="仿宋" w:hint="eastAsia"/>
          <w:sz w:val="28"/>
          <w:lang w:eastAsia="zh-CN"/>
        </w:rPr>
        <w:t>(二)、员工培训的方案和实施</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确定培训目标：明确培训的目标和期望结果，例如提升员工技能、增强专业知识、改善沟通能力等。</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进行需求调研：通过员工调研、岗位分析等方式，了解员工的培训需求和优先级，确定培训内容和重点。</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培训内容和形式：</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内部培训：根据员工的需求和岗位要求，开展内部培训课程，包括技能培训、管理培训、沟通培训等，提升员工的专业素养和综合能力。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外部培训：与专业培训机构或顾问合作，组织外部培训课程，引入行业先进的知识和技术，提供员工全面的发展机会。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培训计划和安排：</w:t>
      </w:r>
    </w:p>
    <w:p>
      <w:pPr>
        <w:ind w:firstLine="560" w:firstLineChars="200"/>
        <w:rPr>
          <w:rFonts w:ascii="仿宋" w:eastAsia="仿宋" w:hAnsi="仿宋" w:cs="仿宋" w:hint="eastAsia"/>
          <w:sz w:val="28"/>
        </w:rPr>
        <w:sectPr>
          <w:headerReference w:type="default" r:id="rId47"/>
          <w:footerReference w:type="default" r:id="rId48"/>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制定培训计划：根据培训需求和公司战略目标，制定年度或季度的培训计划，明确培训内容、时间和参与人员。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安排培训资源：确定培训预算、培训场地和设备等资源，确保培训的顺利进行。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培训方法和工具：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面授培训：组织传统的面对面培训课程，通过讲座、研讨会、案例分析等形式，向员工传授知识和技能。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在线培训：利用网络平台和学习管理系统，提供在线培训课程，让员工可以根据自己的时间和需求进行学习，提高培训的灵活性和效率。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培训工具和资料：提供培训所需的教材、手册、视频教程等培训工具和资料，帮助员工更好地理解和应用所学知识。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培训评估指标：制定培训评估指标，例如员工满意度调查、培训成果考核等，评估培训效果和质量。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反馈和改进措施：根据评估结果，及时反馈培训效果，针对性地调整培训方案和方法，不断改进培训质量和效果。</w:t>
      </w:r>
    </w:p>
    <w:p>
      <w:pPr>
        <w:pStyle w:val="Heading2"/>
        <w:ind w:firstLine="560" w:firstLineChars="200"/>
        <w:rPr>
          <w:rFonts w:ascii="仿宋" w:eastAsia="仿宋" w:hAnsi="仿宋" w:cs="仿宋" w:hint="eastAsia"/>
          <w:sz w:val="28"/>
          <w:lang w:eastAsia="zh-CN"/>
        </w:rPr>
      </w:pPr>
      <w:bookmarkStart w:id="34" w:name="_Toc10613"/>
      <w:r>
        <w:rPr>
          <w:rFonts w:ascii="仿宋" w:eastAsia="仿宋" w:hAnsi="仿宋" w:cs="仿宋" w:hint="eastAsia"/>
          <w:sz w:val="28"/>
          <w:lang w:eastAsia="zh-CN"/>
        </w:rPr>
        <w:t>(三)、企业文化和员工培训的互动和融合</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文化引领培训：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文化价值观贯穿培训：将企业文化的核心价值观和行为准则融入员工培训中，引导员工在培训过程中树立正确的工作态度和价值观。</w:t>
      </w:r>
    </w:p>
    <w:p>
      <w:pPr>
        <w:ind w:firstLine="560" w:firstLineChars="200"/>
        <w:rPr>
          <w:rFonts w:ascii="仿宋" w:eastAsia="仿宋" w:hAnsi="仿宋" w:cs="仿宋" w:hint="eastAsia"/>
          <w:sz w:val="28"/>
        </w:rPr>
        <w:sectPr>
          <w:headerReference w:type="default" r:id="rId49"/>
          <w:footerReference w:type="default" r:id="rId50"/>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培训课程与文化一致：确保培训课程的内容与企业文化相一致，强调企业的核心价值观和行为规范，帮助员工理解和践行企业文化。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培训促进文化建设：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培训活动与文化活动结合：将员工培训与企业文化活动相结合，例如在培训过程中组织团队建设活动、文化体验等，加强员工之间的交流与合作，营造融洽的工作氛围。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培训内容传递文化信息：在培训中传递企业文化的信息和故事，让员工了解企业的历史、价值观和成功案例，增强对企业文化的认同感和归属感。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培训中鼓励员工参与：在培训过程中鼓励员工参与讨论、分享经验和观点，促进员工之间的互动和交流，培养积极向上的企业文化。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培训激发员工创新：通过培训激发员工的创新思维和能力，鼓励员工提出改进建议和创新方案，推动企业文化的不断演进和提升。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文化评估与培训反馈：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培训评估中考虑文化因素：在培训评估中考虑企业文化的影响，评估培训对企业文化的贡献和融合程度，进一步优化培训方案和实施效果。</w:t>
      </w:r>
    </w:p>
    <w:p>
      <w:pPr>
        <w:ind w:firstLine="560" w:firstLineChars="200"/>
        <w:rPr>
          <w:rFonts w:ascii="仿宋" w:eastAsia="仿宋" w:hAnsi="仿宋" w:cs="仿宋" w:hint="eastAsia"/>
          <w:sz w:val="28"/>
        </w:rPr>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培训反馈与文化建设结合：通过培训反馈机制，收集员工对企业文化的认知和理解，及时调整培训策略和内容，不断提升培训与文化的互动效果。</w:t>
      </w:r>
    </w:p>
    <w:p>
      <w:pPr>
        <w:pStyle w:val="Heading1"/>
        <w:ind w:firstLine="560" w:firstLineChars="200"/>
        <w:rPr>
          <w:rFonts w:ascii="仿宋" w:eastAsia="仿宋" w:hAnsi="仿宋" w:cs="仿宋" w:hint="eastAsia"/>
          <w:sz w:val="28"/>
          <w:lang w:eastAsia="zh-CN"/>
        </w:rPr>
      </w:pPr>
      <w:bookmarkStart w:id="35" w:name="_Toc25887"/>
      <w:r>
        <w:rPr>
          <w:rFonts w:ascii="仿宋" w:eastAsia="仿宋" w:hAnsi="仿宋" w:cs="仿宋" w:hint="eastAsia"/>
          <w:sz w:val="28"/>
          <w:lang w:eastAsia="zh-CN"/>
        </w:rPr>
        <w:t>七、市场创新和颠覆潜力</w:t>
      </w:r>
      <w:bookmarkEnd w:id="35"/>
    </w:p>
    <w:p>
      <w:pPr>
        <w:pStyle w:val="Heading2"/>
        <w:rPr>
          <w:rFonts w:ascii="仿宋" w:eastAsia="仿宋" w:hAnsi="仿宋" w:cs="仿宋" w:hint="eastAsia"/>
          <w:lang w:eastAsia="zh-CN"/>
        </w:rPr>
      </w:pPr>
      <w:bookmarkStart w:id="36" w:name="_Toc29808"/>
      <w:r>
        <w:rPr>
          <w:rFonts w:ascii="仿宋" w:eastAsia="仿宋" w:hAnsi="仿宋" w:cs="仿宋" w:hint="eastAsia"/>
          <w:lang w:eastAsia="zh-CN"/>
        </w:rPr>
        <w:t>(一)、市场创新对核燃料元件及组件行业的潜力</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市场创新的定义和重要性：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创新指的是在市场上引入新的产品、服务、营销策略或商业模式，以满足消费者需求并创造价值。市场创新对于核燃料元件及组件行业的潜力非常重要，它可以帮助企业在竞争激烈的市场中脱颖而出，创造独特的市场地位，并满足不断变化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创新技术和趋势：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行业的潜力与创新技术和趋势密切相关。例如，新兴的技术如人工智能、物联网和大数据分析等，为核燃料元件及组件行业提供了新的机遇。通过应用这些技术，企业可以改进产品和服务，提高效率和质量，并为消费者提供更好的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消费者需求和行为变化：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创新的潜力还与消费者需求和行为的变化密切相关。随着消费者对品质、个性化和可持续性的要求不断增加，核燃料元件及组件行业需要不断创新，以满足这些需求。例如，提供可再生能源解决方案、推出环保产品或提供个性化的服务等，都是市场创新的潜力所在。</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竞争优势和市场份额增长：</w:t>
      </w:r>
    </w:p>
    <w:p>
      <w:pPr>
        <w:ind w:firstLine="560" w:firstLineChars="200"/>
        <w:rPr>
          <w:rFonts w:ascii="仿宋" w:eastAsia="仿宋" w:hAnsi="仿宋" w:cs="仿宋" w:hint="eastAsia"/>
          <w:sz w:val="28"/>
        </w:rPr>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创新可以帮助核燃料元件及组件行业获得竞争优势和增加市场份额。通过推出独特的产品或服务，企业可以吸引更多的消费者，并在市场中建立起良好的品牌声誉。此外，市场创新还可以帮助企业开拓新的市场领域，扩大业务范围，实现可持续的增长。</w:t>
      </w:r>
    </w:p>
    <w:p>
      <w:pPr>
        <w:pStyle w:val="Heading2"/>
        <w:ind w:firstLine="560" w:firstLineChars="200"/>
        <w:rPr>
          <w:rFonts w:ascii="仿宋" w:eastAsia="仿宋" w:hAnsi="仿宋" w:cs="仿宋" w:hint="eastAsia"/>
          <w:sz w:val="28"/>
          <w:lang w:eastAsia="zh-CN"/>
        </w:rPr>
      </w:pPr>
      <w:bookmarkStart w:id="37" w:name="_Toc17600"/>
      <w:r>
        <w:rPr>
          <w:rFonts w:ascii="仿宋" w:eastAsia="仿宋" w:hAnsi="仿宋" w:cs="仿宋" w:hint="eastAsia"/>
          <w:sz w:val="28"/>
          <w:lang w:eastAsia="zh-CN"/>
        </w:rPr>
        <w:t>(二)、核燃料元件及组件技术的颠覆性影响</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技术介绍和特点：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部分，需要对核燃料元件及组件技术进行简要介绍，并强调其独特的特点和优势。例如，核燃料元件及组件技术可能具有高度自动化、智能化、高效性或可扩展性等特点。这些特点使得核燃料元件及组件技术在相关领域中具备颠覆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行业变革和创新：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技术的颠覆性影响将引发行业的变革和创新。它可能改变传统的商业模式、生产方式和供应链管理等方面。例如，核燃料元件及组件技术可能使得生产过程更加智能化和自动化，从而提高生产效率和质量。此外，它还可能改变产品设计和开发的方式，推动创新和个性化定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工作方式和就业形势：</w:t>
      </w:r>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技术的广泛应用可能对就业形势产生重大影响。一方面，它可能导致某些传统工作岗位的减少或消失，因为部分工作可以被核燃料元件及组件技术自动化或智能化取代。另一方面，它也会创造新的就业机会，需要专业技能和知识来支持和应用核燃料元件及组件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社会影响和可持续发展：</w:t>
      </w:r>
    </w:p>
    <w:p>
      <w:pPr>
        <w:ind w:firstLine="560" w:firstLineChars="200"/>
        <w:rPr>
          <w:rFonts w:ascii="仿宋" w:eastAsia="仿宋" w:hAnsi="仿宋" w:cs="仿宋" w:hint="eastAsia"/>
          <w:sz w:val="28"/>
        </w:rPr>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燃料元件及组件技术的颠覆性影响不仅局限于行业范围，还将对社会产生深远的影响。它可能改变人们的生活方式、社交互动方式和消费习惯等方面。此外，核燃料元件及组件技术还可以为可持续发展提供新的解决方案，例如在能源、交通和环境管理等领域。</w:t>
      </w:r>
    </w:p>
    <w:p>
      <w:pPr>
        <w:pStyle w:val="Heading2"/>
        <w:ind w:firstLine="560" w:firstLineChars="200"/>
        <w:rPr>
          <w:rFonts w:ascii="仿宋" w:eastAsia="仿宋" w:hAnsi="仿宋" w:cs="仿宋" w:hint="eastAsia"/>
          <w:sz w:val="28"/>
          <w:lang w:eastAsia="zh-CN"/>
        </w:rPr>
      </w:pPr>
      <w:bookmarkStart w:id="38" w:name="_Toc18812"/>
      <w:r>
        <w:rPr>
          <w:rFonts w:ascii="仿宋" w:eastAsia="仿宋" w:hAnsi="仿宋" w:cs="仿宋" w:hint="eastAsia"/>
          <w:sz w:val="28"/>
          <w:lang w:eastAsia="zh-CN"/>
        </w:rPr>
        <w:t>(三)、创新和市场颠覆的可行性分析</w:t>
      </w:r>
      <w:bookmarkEnd w:id="38"/>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市场需求和机会：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需要评估市场的需求和机会，确定创新和市场颠覆的潜在空间。这包括对目标市场的调研和分析，了解消费者需求和行为变化的趋势。通过确定市场需求和机会，可以评估创新和市场颠覆的可行性，并为进一步的策略制定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市场颠覆往往会面临竞争环境和挑战。需要对现有竞争对手进行分析，了解他们的优势和弱点。同时，还需要评估进入市场所面临的障碍和风险，例如技术难题、法律法规限制或市场接受度等。通过充分了解竞争环境和挑战，可以制定相应的应对策略，并降低创新和市场颠覆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技术和资源可行性：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7" w:history="1">
        <w:r>
          <w:rPr>
            <w:rFonts w:ascii="SimSun" w:eastAsia="SimSun" w:hAnsi="SimSun" w:cs="SimSun"/>
            <w:b/>
            <w:bCs/>
            <w:color w:val="0000EE"/>
            <w:kern w:val="0"/>
            <w:sz w:val="30"/>
            <w:szCs w:val="30"/>
            <w:u w:val="single" w:color="0000EE"/>
          </w:rPr>
          <w:t>https://d.book118.com/967063065003006025</w:t>
        </w:r>
      </w:hyperlink>
    </w:p>
    <w:p>
      <w:pPr>
        <w:ind w:firstLine="560" w:firstLineChars="200"/>
        <w:rPr>
          <w:rFonts w:ascii="仿宋" w:eastAsia="仿宋" w:hAnsi="仿宋" w:cs="仿宋" w:hint="eastAsia"/>
          <w:sz w:val="28"/>
        </w:rPr>
      </w:pPr>
    </w:p>
    <w:sectPr>
      <w:headerReference w:type="default" r:id="rId58"/>
      <w:footerReference w:type="default" r:id="rId59"/>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核燃料元件及组件可行性报告/专业报告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E16A70"/>
    <w:rsid w:val="73E16A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footer" Target="footer22.xml" /><Relationship Id="rId49" Type="http://schemas.openxmlformats.org/officeDocument/2006/relationships/header" Target="header23.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hyperlink" Target="https://d.book118.com/967063065003006025" TargetMode="External" /><Relationship Id="rId58" Type="http://schemas.openxmlformats.org/officeDocument/2006/relationships/header" Target="header27.xml" /><Relationship Id="rId59" Type="http://schemas.openxmlformats.org/officeDocument/2006/relationships/footer" Target="footer27.xml" /><Relationship Id="rId6" Type="http://schemas.openxmlformats.org/officeDocument/2006/relationships/footer" Target="footer1.xml" /><Relationship Id="rId60" Type="http://schemas.openxmlformats.org/officeDocument/2006/relationships/theme" Target="theme/theme1.xml" /><Relationship Id="rId61"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2023-12-15T19:04:00Z</dcterms:created>
  <dcterms:modified xsi:type="dcterms:W3CDTF">2023-12-15T19:04:31Z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