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body>
    <w:p w:rsidR="00E91BEA" w:rsidRPr="00E91BEA" w:rsidP="00E91BEA" w14:paraId="0289C76A" w14:textId="2F8D5128">
      <w:pPr>
        <w:spacing w:before="240" w:beforeLines="100" w:after="240" w:afterLines="100"/>
        <w:ind w:firstLine="640" w:firstLineChars="200"/>
        <w:jc w:val="center"/>
        <w:rPr>
          <w:rFonts w:ascii="微软雅黑" w:eastAsia="微软雅黑" w:hAnsi="微软雅黑"/>
          <w:b/>
          <w:color w:val="000000" w:themeColor="text1"/>
          <w:sz w:val="32"/>
          <w:szCs w:val="32"/>
        </w:rPr>
      </w:pPr>
      <w:r>
        <w:rPr>
          <w:rFonts w:ascii="微软雅黑" w:eastAsia="微软雅黑" w:hAnsi="微软雅黑"/>
          <w:b/>
          <w:noProof/>
          <w:color w:val="000000" w:themeColor="text1"/>
          <w:sz w:val="32"/>
          <w:szCs w:val="32"/>
          <w:lang w:val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-1144905</wp:posOffset>
                </wp:positionH>
                <wp:positionV relativeFrom="paragraph">
                  <wp:posOffset>9681210</wp:posOffset>
                </wp:positionV>
                <wp:extent cx="6350000" cy="63500"/>
                <wp:effectExtent l="0" t="0" r="0" b="0"/>
                <wp:wrapNone/>
                <wp:docPr id="1162361705" name="PageShape1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350000" cy="635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36778" w:rsidRPr="00636778" w14:textId="530E7804">
                            <w:pPr>
                              <w:rPr>
                                <w:rFonts w:ascii="黑体" w:eastAsia="黑体"/>
                                <w:sz w:val="24"/>
                              </w:rPr>
                            </w:pPr>
                            <w:r w:rsidRPr="00636778">
                              <w:rPr>
                                <w:rFonts w:ascii="黑体" w:eastAsia="黑体" w:hint="eastAsia"/>
                                <w:sz w:val="24"/>
                              </w:rPr>
                              <w:t>筹建</w:t>
                            </w:r>
                            <w:r w:rsidRPr="00636778">
                              <w:rPr>
                                <w:rFonts w:ascii="黑体" w:eastAsia="黑体"/>
                                <w:sz w:val="24"/>
                              </w:rPr>
                              <w:t>xx公司可行性分析报告 全文共1页，当前为第1页。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ageShape1" o:spid="_x0000_s1025" type="#_x0000_t202" style="width:500pt;height:5pt;margin-top:762.3pt;margin-left:-90.15pt;mso-wrap-distance-bottom:0;mso-wrap-distance-left:9pt;mso-wrap-distance-right:9pt;mso-wrap-distance-top:0;position:absolute;visibility:hidden;v-text-anchor:top;z-index:251658240" filled="f" fillcolor="this" stroked="t" strokecolor="black" strokeweight="0.5pt">
                <v:textbox>
                  <w:txbxContent>
                    <w:p w:rsidR="00636778" w:rsidRPr="00636778" w14:paraId="28969F61" w14:textId="530E7804">
                      <w:pPr>
                        <w:rPr>
                          <w:rFonts w:ascii="黑体" w:eastAsia="黑体"/>
                          <w:sz w:val="24"/>
                        </w:rPr>
                      </w:pPr>
                      <w:r w:rsidRPr="00636778">
                        <w:rPr>
                          <w:rFonts w:ascii="黑体" w:eastAsia="黑体" w:hint="eastAsia"/>
                          <w:sz w:val="24"/>
                        </w:rPr>
                        <w:t>筹建</w:t>
                      </w:r>
                      <w:r w:rsidRPr="00636778">
                        <w:rPr>
                          <w:rFonts w:ascii="黑体" w:eastAsia="黑体"/>
                          <w:sz w:val="24"/>
                        </w:rPr>
                        <w:t>xx公司可行性分析报告 全文共1页，当前为第1页。</w:t>
                      </w:r>
                    </w:p>
                  </w:txbxContent>
                </v:textbox>
              </v:shape>
            </w:pict>
          </mc:Fallback>
        </mc:AlternateContent>
      </w:r>
      <w:r w:rsidRPr="00E91BEA" w:rsidR="00E91BEA">
        <w:rPr>
          <w:rFonts w:ascii="微软雅黑" w:eastAsia="微软雅黑" w:hAnsi="微软雅黑"/>
          <w:b/>
          <w:color w:val="000000" w:themeColor="text1"/>
          <w:sz w:val="32"/>
          <w:szCs w:val="32"/>
        </w:rPr>
        <w:t>筹建xx公司可行性分析报告</w:t>
      </w:r>
    </w:p>
    <w:p w:rsidR="003744D0" w:rsidRPr="00E91BEA" w:rsidP="00E91BEA" w14:paraId="6C47F81D" w14:textId="4B80D611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b/>
          <w:sz w:val="22"/>
        </w:rPr>
      </w:pPr>
      <w:bookmarkStart w:id="0" w:name="_Hlk228340963"/>
      <w:r w:rsidRPr="00E91BEA">
        <w:rPr>
          <w:rFonts w:ascii="微软雅黑" w:eastAsia="微软雅黑" w:hAnsi="微软雅黑" w:hint="eastAsia"/>
          <w:b/>
          <w:sz w:val="22"/>
        </w:rPr>
        <w:t>1-1、公司筹备名称</w:t>
      </w:r>
    </w:p>
    <w:bookmarkEnd w:id="0"/>
    <w:p w:rsidR="00E91BEA" w:rsidP="00E91BEA" w14:paraId="2344B736" w14:textId="22F51A3C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公司筹备名称:</w:t>
      </w:r>
      <w:r>
        <w:rPr>
          <w:rFonts w:ascii="微软雅黑" w:eastAsia="微软雅黑" w:hAnsi="微软雅黑" w:hint="eastAsia"/>
          <w:sz w:val="22"/>
        </w:rPr>
        <w:t xml:space="preserve"> xxxx</w:t>
      </w:r>
      <w:r w:rsidRPr="00E91BEA">
        <w:rPr>
          <w:rFonts w:ascii="微软雅黑" w:eastAsia="微软雅黑" w:hAnsi="微软雅黑" w:hint="eastAsia"/>
          <w:sz w:val="22"/>
        </w:rPr>
        <w:t xml:space="preserve">公司                   </w:t>
      </w:r>
    </w:p>
    <w:p w:rsidR="003744D0" w:rsidRPr="00E91BEA" w:rsidP="00E91BEA" w14:paraId="626D5AAC" w14:textId="28A13A45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b/>
          <w:sz w:val="22"/>
        </w:rPr>
      </w:pPr>
      <w:r w:rsidRPr="00E91BEA">
        <w:rPr>
          <w:rFonts w:ascii="微软雅黑" w:eastAsia="微软雅黑" w:hAnsi="微软雅黑" w:hint="eastAsia"/>
          <w:b/>
          <w:sz w:val="22"/>
        </w:rPr>
        <w:t>1-2、公司业务范围</w:t>
      </w:r>
    </w:p>
    <w:p w:rsidR="00E91BEA" w:rsidP="00E91BEA" w14:paraId="7D02960F" w14:textId="77777777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公司业务范围：法律允许销售及开发的食品、工艺品（茶叶、茶食品、高档茶具）；食品工艺品领域的投资管咨询、形象策划、商务咨询等等。</w:t>
      </w:r>
    </w:p>
    <w:p w:rsidR="003744D0" w:rsidRPr="00E91BEA" w:rsidP="00E91BEA" w14:paraId="6E661B0E" w14:textId="4C4538B7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b/>
          <w:sz w:val="22"/>
        </w:rPr>
      </w:pPr>
      <w:r w:rsidRPr="00E91BEA">
        <w:rPr>
          <w:rFonts w:ascii="微软雅黑" w:eastAsia="微软雅黑" w:hAnsi="微软雅黑" w:hint="eastAsia"/>
          <w:b/>
          <w:sz w:val="22"/>
        </w:rPr>
        <w:t>1-3、销售推广区域</w:t>
      </w:r>
    </w:p>
    <w:p w:rsidR="003744D0" w:rsidRPr="00E91BEA" w:rsidP="00E91BEA" w14:paraId="5DFD6353" w14:textId="77777777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销售推广区域：</w:t>
      </w:r>
    </w:p>
    <w:p w:rsidR="003744D0" w:rsidRPr="00E91BEA" w:rsidP="00E91BEA" w14:paraId="70DD2F73" w14:textId="51A74848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1</w:t>
      </w:r>
      <w:r w:rsidRPr="00E91BEA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初期销售推广</w:t>
      </w:r>
      <w:r w:rsidR="00E91BEA">
        <w:rPr>
          <w:rFonts w:ascii="微软雅黑" w:eastAsia="微软雅黑" w:hAnsi="微软雅黑" w:hint="eastAsia"/>
          <w:sz w:val="22"/>
        </w:rPr>
        <w:t>xx</w:t>
      </w:r>
      <w:r w:rsidRPr="00E91BEA">
        <w:rPr>
          <w:rFonts w:ascii="微软雅黑" w:eastAsia="微软雅黑" w:hAnsi="微软雅黑" w:hint="eastAsia"/>
          <w:sz w:val="22"/>
        </w:rPr>
        <w:t>、重庆；</w:t>
      </w:r>
    </w:p>
    <w:p w:rsidR="003744D0" w:rsidRPr="00E91BEA" w:rsidP="00E91BEA" w14:paraId="6A27BD8E" w14:textId="4AB13957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2</w:t>
      </w:r>
      <w:r w:rsidRPr="00E91BEA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依托</w:t>
      </w:r>
      <w:r w:rsidR="00E91BEA">
        <w:rPr>
          <w:rFonts w:ascii="微软雅黑" w:eastAsia="微软雅黑" w:hAnsi="微软雅黑" w:hint="eastAsia"/>
          <w:sz w:val="22"/>
        </w:rPr>
        <w:t>xx</w:t>
      </w:r>
      <w:r w:rsidRPr="00E91BEA">
        <w:rPr>
          <w:rFonts w:ascii="微软雅黑" w:eastAsia="微软雅黑" w:hAnsi="微软雅黑" w:hint="eastAsia"/>
          <w:sz w:val="22"/>
        </w:rPr>
        <w:t>地域品牌，着重推广走向国内其它重点城市；</w:t>
      </w:r>
    </w:p>
    <w:p w:rsidR="00E91BEA" w:rsidP="00E91BEA" w14:paraId="2D1FFDCC" w14:textId="77777777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3</w:t>
      </w:r>
      <w:r w:rsidRPr="00E91BEA" w:rsidR="003744D0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后期销售至中国区域内。</w:t>
      </w:r>
    </w:p>
    <w:p w:rsidR="003744D0" w:rsidRPr="00E91BEA" w:rsidP="00E91BEA" w14:paraId="45B528A0" w14:textId="169DA18B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b/>
          <w:sz w:val="22"/>
        </w:rPr>
        <w:t>1-4、现有可开发的资源简介</w:t>
      </w:r>
    </w:p>
    <w:p w:rsidR="003744D0" w:rsidRPr="00E91BEA" w:rsidP="00E91BEA" w14:paraId="409A850D" w14:textId="5A49B6B7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1、可开发的</w:t>
      </w:r>
      <w:r w:rsidR="00E91BEA">
        <w:rPr>
          <w:rFonts w:ascii="微软雅黑" w:eastAsia="微软雅黑" w:hAnsi="微软雅黑" w:hint="eastAsia"/>
          <w:sz w:val="22"/>
        </w:rPr>
        <w:t>xx</w:t>
      </w:r>
      <w:r w:rsidRPr="00E91BEA">
        <w:rPr>
          <w:rFonts w:ascii="微软雅黑" w:eastAsia="微软雅黑" w:hAnsi="微软雅黑" w:hint="eastAsia"/>
          <w:sz w:val="22"/>
        </w:rPr>
        <w:t>茶园（</w:t>
      </w:r>
      <w:r w:rsidR="00E91BEA">
        <w:rPr>
          <w:rFonts w:ascii="微软雅黑" w:eastAsia="微软雅黑" w:hAnsi="微软雅黑" w:hint="eastAsia"/>
          <w:sz w:val="22"/>
        </w:rPr>
        <w:t>xx</w:t>
      </w:r>
      <w:r w:rsidRPr="00E91BEA">
        <w:rPr>
          <w:rFonts w:ascii="微软雅黑" w:eastAsia="微软雅黑" w:hAnsi="微软雅黑" w:hint="eastAsia"/>
          <w:sz w:val="22"/>
        </w:rPr>
        <w:t>茶业简介）</w:t>
      </w:r>
    </w:p>
    <w:p w:rsidR="003744D0" w:rsidRPr="00E91BEA" w:rsidP="00E91BEA" w14:paraId="27936E6A" w14:textId="0F590D10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 w:hint="eastAsia"/>
          <w:sz w:val="22"/>
        </w:rPr>
        <w:t>xx</w:t>
      </w:r>
      <w:r w:rsidRPr="00E91BEA" w:rsidR="009429AE">
        <w:rPr>
          <w:rFonts w:ascii="微软雅黑" w:eastAsia="微软雅黑" w:hAnsi="微软雅黑" w:hint="eastAsia"/>
          <w:sz w:val="22"/>
        </w:rPr>
        <w:t>现有古茶园82234亩，分布于一市二县的100个村寨之中。全州古茶树树龄从100年到1700年不等，大多数在200-500年之间。古茶园大都分布在经济较落后、交通不发达的山区、半山区乡。</w:t>
      </w:r>
    </w:p>
    <w:p w:rsidR="003744D0" w:rsidRPr="00E91BEA" w:rsidP="00E91BEA" w14:paraId="674CF0B7" w14:textId="30599209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古茶园分布面积较大的乡镇有：格朗和乡15000亩，象明乡9721亩，布朗山乡9505亩，易武乡8279亩，勐混镇8010亩，勐龙镇5170亩，基诺山乡2900亩。此次可开发的</w:t>
      </w:r>
      <w:r w:rsidR="00E91BEA">
        <w:rPr>
          <w:rFonts w:ascii="微软雅黑" w:eastAsia="微软雅黑" w:hAnsi="微软雅黑" w:hint="eastAsia"/>
          <w:sz w:val="22"/>
        </w:rPr>
        <w:t>xxxx</w:t>
      </w:r>
      <w:r w:rsidRPr="00E91BEA">
        <w:rPr>
          <w:rFonts w:ascii="微软雅黑" w:eastAsia="微软雅黑" w:hAnsi="微软雅黑" w:hint="eastAsia"/>
          <w:sz w:val="22"/>
        </w:rPr>
        <w:t>茶园，产量规模可达到成为供应整个</w:t>
      </w:r>
      <w:r w:rsidR="00E91BEA">
        <w:rPr>
          <w:rFonts w:ascii="微软雅黑" w:eastAsia="微软雅黑" w:hAnsi="微软雅黑" w:hint="eastAsia"/>
          <w:sz w:val="22"/>
        </w:rPr>
        <w:t>xx</w:t>
      </w:r>
      <w:r w:rsidRPr="00E91BEA">
        <w:rPr>
          <w:rFonts w:ascii="微软雅黑" w:eastAsia="微软雅黑" w:hAnsi="微软雅黑" w:hint="eastAsia"/>
          <w:sz w:val="22"/>
        </w:rPr>
        <w:t>的原料基地。</w:t>
      </w:r>
    </w:p>
    <w:p w:rsidR="003744D0" w:rsidRPr="00E91BEA" w:rsidP="00E91BEA" w14:paraId="5BAF8D7C" w14:textId="5901D7CA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从地理环境看，古茶园分布区域属南亚热带季风气候，土壤为红壤、砖红壤，PH值在4～6</w:t>
      </w:r>
      <w:r w:rsidRPr="00E91BEA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5之间，茶园中大都土层深厚、土壤肥沃，非常适宜茶树的生长。古茶园海拔分布从760米到2060米，海拔高差较大，有1300米。最低海拔在勐腊县曼腊乡曼乃新寨，最高海拔是勐海县勐遮镇、巴达乡、打洛镇交界处曼摞黑山</w:t>
      </w:r>
      <w:r w:rsidRPr="00E91BEA">
        <w:rPr>
          <w:rFonts w:ascii="微软雅黑" w:eastAsia="微软雅黑" w:hAnsi="微软雅黑" w:hint="eastAsia"/>
          <w:sz w:val="22"/>
        </w:rPr>
        <w:t>.</w:t>
      </w:r>
    </w:p>
    <w:p w:rsidR="003744D0" w:rsidRPr="00E91BEA" w:rsidP="00E91BEA" w14:paraId="6FFE282F" w14:textId="26AAE801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 w:hint="eastAsia"/>
          <w:sz w:val="22"/>
        </w:rPr>
        <w:t>xx</w:t>
      </w:r>
      <w:r w:rsidRPr="00E91BEA" w:rsidR="009429AE">
        <w:rPr>
          <w:rFonts w:ascii="微软雅黑" w:eastAsia="微软雅黑" w:hAnsi="微软雅黑" w:hint="eastAsia"/>
          <w:sz w:val="22"/>
        </w:rPr>
        <w:t>植茶历史悠久，茶树品种资源丰富，类型多样，经自然选择及人工选择的结果，形成了多种多样的特色地方品种。</w:t>
      </w:r>
      <w:r>
        <w:rPr>
          <w:rFonts w:ascii="微软雅黑" w:eastAsia="微软雅黑" w:hAnsi="微软雅黑" w:hint="eastAsia"/>
          <w:sz w:val="22"/>
        </w:rPr>
        <w:t>xx</w:t>
      </w:r>
      <w:r w:rsidRPr="00E91BEA" w:rsidR="009429AE">
        <w:rPr>
          <w:rFonts w:ascii="微软雅黑" w:eastAsia="微软雅黑" w:hAnsi="微软雅黑" w:hint="eastAsia"/>
          <w:sz w:val="22"/>
        </w:rPr>
        <w:t>古茶树资源依据地域命名可统称为</w:t>
      </w:r>
      <w:r>
        <w:rPr>
          <w:rFonts w:ascii="微软雅黑" w:eastAsia="微软雅黑" w:hAnsi="微软雅黑" w:hint="eastAsia"/>
          <w:sz w:val="22"/>
        </w:rPr>
        <w:t>xx</w:t>
      </w:r>
      <w:r w:rsidRPr="00E91BEA" w:rsidR="009429AE">
        <w:rPr>
          <w:rFonts w:ascii="微软雅黑" w:eastAsia="微软雅黑" w:hAnsi="微软雅黑" w:hint="eastAsia"/>
          <w:sz w:val="22"/>
        </w:rPr>
        <w:t>大叶茶；再依县域来分，可分为勐海大叶茶、勐腊大叶茶、勐腊小叶茶、景洪大叶茶；从叶形、芽叶色泽、发芽早迟来划分，又可分为大团叶茶、大卵圆叶茶、革质杨柳茶、细叶茶、长叶茶、绿芽茶、黄芽茶、小叶红芽茶、大叶白毫、红芽茶、大黑茶、大黄叶早、早生黑叶等类型。</w:t>
      </w:r>
    </w:p>
    <w:p w:rsidR="00E91BEA" w:rsidP="00E91BEA" w14:paraId="35EE976E" w14:textId="2F8B2581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  <w:sectPr w:rsidSect="00E91BEA">
          <w:headerReference w:type="default" r:id="rId4"/>
          <w:footerReference w:type="default" r:id="rId5"/>
          <w:pgSz w:w="11906" w:h="16838"/>
          <w:pgMar w:top="1417" w:right="1803" w:bottom="1417" w:left="1803" w:header="964" w:footer="624" w:gutter="0"/>
          <w:cols w:space="425"/>
          <w:docGrid w:linePitch="312"/>
        </w:sectPr>
      </w:pPr>
      <w:r w:rsidRPr="00E91BEA">
        <w:rPr>
          <w:rFonts w:ascii="微软雅黑" w:eastAsia="微软雅黑" w:hAnsi="微软雅黑" w:hint="eastAsia"/>
          <w:sz w:val="22"/>
        </w:rPr>
        <w:t>其中，值得一提的是</w:t>
      </w:r>
      <w:r>
        <w:rPr>
          <w:rFonts w:ascii="微软雅黑" w:eastAsia="微软雅黑" w:hAnsi="微软雅黑" w:hint="eastAsia"/>
          <w:sz w:val="22"/>
        </w:rPr>
        <w:t>xx</w:t>
      </w:r>
      <w:r w:rsidRPr="00E91BEA">
        <w:rPr>
          <w:rFonts w:ascii="微软雅黑" w:eastAsia="微软雅黑" w:hAnsi="微软雅黑" w:hint="eastAsia"/>
          <w:sz w:val="22"/>
        </w:rPr>
        <w:t>大叶茶属</w:t>
      </w:r>
      <w:r>
        <w:rPr>
          <w:rFonts w:ascii="微软雅黑" w:eastAsia="微软雅黑" w:hAnsi="微软雅黑" w:hint="eastAsia"/>
          <w:sz w:val="22"/>
        </w:rPr>
        <w:t>xx</w:t>
      </w:r>
      <w:r w:rsidRPr="00E91BEA">
        <w:rPr>
          <w:rFonts w:ascii="微软雅黑" w:eastAsia="微软雅黑" w:hAnsi="微软雅黑" w:hint="eastAsia"/>
          <w:sz w:val="22"/>
        </w:rPr>
        <w:t>大叶茶群体类型之一，是我国最优良的地方</w:t>
      </w:r>
    </w:p>
    <w:p w:rsidR="00E91BEA" w:rsidP="00E91BEA" w14:textId="2F8B2581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 w:rsidR="00636778">
        <w:rPr>
          <w:rFonts w:ascii="微软雅黑" w:eastAsia="微软雅黑" w:hAnsi="微软雅黑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-1144905</wp:posOffset>
                </wp:positionH>
                <wp:positionV relativeFrom="paragraph">
                  <wp:posOffset>9681210</wp:posOffset>
                </wp:positionV>
                <wp:extent cx="6350000" cy="63500"/>
                <wp:effectExtent l="0" t="0" r="0" b="0"/>
                <wp:wrapNone/>
                <wp:docPr id="2079309447" name="PageShape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350000" cy="635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36778" w:rsidRPr="00636778" w14:textId="160ABF29">
                            <w:pPr>
                              <w:rPr>
                                <w:rFonts w:ascii="黑体" w:eastAsia="黑体"/>
                                <w:sz w:val="24"/>
                              </w:rPr>
                            </w:pPr>
                            <w:r w:rsidRPr="00636778">
                              <w:rPr>
                                <w:rFonts w:ascii="黑体" w:eastAsia="黑体" w:hint="eastAsia"/>
                                <w:sz w:val="24"/>
                              </w:rPr>
                              <w:t>筹建</w:t>
                            </w:r>
                            <w:r w:rsidRPr="00636778">
                              <w:rPr>
                                <w:rFonts w:ascii="黑体" w:eastAsia="黑体"/>
                                <w:sz w:val="24"/>
                              </w:rPr>
                              <w:t>xx公司可行性分析报告 全文共2页，当前为第2页。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ageShape2" o:spid="_x0000_s1026" type="#_x0000_t202" style="width:500pt;height:5pt;margin-top:762.3pt;margin-left:-90.15pt;mso-wrap-distance-bottom:0;mso-wrap-distance-left:9pt;mso-wrap-distance-right:9pt;mso-wrap-distance-top:0;position:absolute;visibility:hidden;v-text-anchor:top;z-index:251660288" filled="f" fillcolor="this" stroked="t" strokecolor="black" strokeweight="0.5pt">
                <v:textbox>
                  <w:txbxContent>
                    <w:p w:rsidR="00636778" w:rsidRPr="00636778" w14:paraId="6E6BFBB3" w14:textId="160ABF29">
                      <w:pPr>
                        <w:rPr>
                          <w:rFonts w:ascii="黑体" w:eastAsia="黑体"/>
                          <w:sz w:val="24"/>
                        </w:rPr>
                      </w:pPr>
                      <w:r w:rsidRPr="00636778">
                        <w:rPr>
                          <w:rFonts w:ascii="黑体" w:eastAsia="黑体" w:hint="eastAsia"/>
                          <w:sz w:val="24"/>
                        </w:rPr>
                        <w:t>筹建</w:t>
                      </w:r>
                      <w:r w:rsidRPr="00636778">
                        <w:rPr>
                          <w:rFonts w:ascii="黑体" w:eastAsia="黑体"/>
                          <w:sz w:val="24"/>
                        </w:rPr>
                        <w:t>xx公司可行性分析报告 全文共2页，当前为第2页。</w:t>
                      </w:r>
                    </w:p>
                  </w:txbxContent>
                </v:textbox>
              </v:shape>
            </w:pict>
          </mc:Fallback>
        </mc:AlternateContent>
      </w:r>
      <w:r w:rsidRPr="00E91BEA">
        <w:rPr>
          <w:rFonts w:ascii="微软雅黑" w:eastAsia="微软雅黑" w:hAnsi="微软雅黑" w:hint="eastAsia"/>
          <w:sz w:val="22"/>
        </w:rPr>
        <w:t>茶树品种，萌发早，每年2月中旬即可开采至11月中上旬，芽叶肥状，茸毛多，叶面隆起，叶片肥厚，叶质柔软，持嫩性强，内含物质丰富，品质优、产量高。据</w:t>
      </w:r>
      <w:r w:rsidR="00E91BEA">
        <w:rPr>
          <w:rFonts w:ascii="微软雅黑" w:eastAsia="微软雅黑" w:hAnsi="微软雅黑" w:hint="eastAsia"/>
          <w:sz w:val="22"/>
        </w:rPr>
        <w:t>xx</w:t>
      </w:r>
      <w:r w:rsidRPr="00E91BEA">
        <w:rPr>
          <w:rFonts w:ascii="微软雅黑" w:eastAsia="微软雅黑" w:hAnsi="微软雅黑" w:hint="eastAsia"/>
          <w:sz w:val="22"/>
        </w:rPr>
        <w:t>省农科院茶叶研究所分析，水浸出物含量48</w:t>
      </w:r>
      <w:r w:rsidRPr="00E91BEA" w:rsidR="003744D0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75%，茶多酚32</w:t>
      </w:r>
      <w:r w:rsidRPr="00E91BEA" w:rsidR="003744D0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5%，儿茶素总量1</w:t>
      </w:r>
      <w:r w:rsidRPr="00E91BEA" w:rsidR="003744D0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79%。制红茶香气高鲜，滋味浓强鲜，汤色红艳，驰名中外；制普洱茶汤色红浓，香气具有独特陈香，滋味醇和回甜，叶底褐红色，名重天下。许多茶叶专家认为，</w:t>
      </w:r>
      <w:r w:rsidR="00E91BEA">
        <w:rPr>
          <w:rFonts w:ascii="微软雅黑" w:eastAsia="微软雅黑" w:hAnsi="微软雅黑" w:hint="eastAsia"/>
          <w:sz w:val="22"/>
        </w:rPr>
        <w:t>xx</w:t>
      </w:r>
      <w:r w:rsidRPr="00E91BEA">
        <w:rPr>
          <w:rFonts w:ascii="微软雅黑" w:eastAsia="微软雅黑" w:hAnsi="微软雅黑" w:hint="eastAsia"/>
          <w:sz w:val="22"/>
        </w:rPr>
        <w:t>的大叶茶良种内含物丰富，国内外各地虽能仿制出普洱茶的外形，但不能制出原产地普洱茶的内在品质。</w:t>
      </w:r>
    </w:p>
    <w:p w:rsidR="003744D0" w:rsidRPr="00E91BEA" w:rsidP="00E91BEA" w14:paraId="35CCDC52" w14:textId="158C50B8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 w:hint="eastAsia"/>
          <w:sz w:val="22"/>
        </w:rPr>
        <w:t>xx</w:t>
      </w:r>
      <w:r w:rsidRPr="00E91BEA" w:rsidR="009429AE">
        <w:rPr>
          <w:rFonts w:ascii="微软雅黑" w:eastAsia="微软雅黑" w:hAnsi="微软雅黑" w:hint="eastAsia"/>
          <w:sz w:val="22"/>
        </w:rPr>
        <w:t>茶产业优势总结：</w:t>
      </w:r>
    </w:p>
    <w:p w:rsidR="003744D0" w:rsidRPr="00E91BEA" w:rsidP="00E91BEA" w14:paraId="4E8C875C" w14:textId="121F4822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 w:hint="eastAsia"/>
          <w:sz w:val="22"/>
        </w:rPr>
        <w:t xml:space="preserve"> </w:t>
      </w:r>
      <w:r w:rsidRPr="00E91BEA" w:rsidR="009429AE">
        <w:rPr>
          <w:rFonts w:ascii="微软雅黑" w:eastAsia="微软雅黑" w:hAnsi="微软雅黑" w:hint="eastAsia"/>
          <w:sz w:val="22"/>
        </w:rPr>
        <w:t>普洱茶品种的优势</w:t>
      </w:r>
    </w:p>
    <w:p w:rsidR="003744D0" w:rsidRPr="00E91BEA" w:rsidP="00E91BEA" w14:paraId="0BE5FE4D" w14:textId="21DE4246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 w:hint="eastAsia"/>
          <w:sz w:val="22"/>
        </w:rPr>
        <w:t xml:space="preserve"> </w:t>
      </w:r>
      <w:r w:rsidRPr="00E91BEA" w:rsidR="009429AE">
        <w:rPr>
          <w:rFonts w:ascii="微软雅黑" w:eastAsia="微软雅黑" w:hAnsi="微软雅黑" w:hint="eastAsia"/>
          <w:sz w:val="22"/>
        </w:rPr>
        <w:t>产地优势</w:t>
      </w:r>
    </w:p>
    <w:p w:rsidR="003744D0" w:rsidRPr="00E91BEA" w:rsidP="00E91BEA" w14:paraId="33314606" w14:textId="513409BA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 w:hint="eastAsia"/>
          <w:sz w:val="22"/>
        </w:rPr>
        <w:t xml:space="preserve"> </w:t>
      </w:r>
      <w:r w:rsidRPr="00E91BEA" w:rsidR="009429AE">
        <w:rPr>
          <w:rFonts w:ascii="微软雅黑" w:eastAsia="微软雅黑" w:hAnsi="微软雅黑" w:hint="eastAsia"/>
          <w:sz w:val="22"/>
        </w:rPr>
        <w:t>树种优势</w:t>
      </w:r>
    </w:p>
    <w:p w:rsidR="00E91BEA" w:rsidP="00E91BEA" w14:paraId="29FC23EC" w14:textId="68DAC86F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 w:hint="eastAsia"/>
          <w:sz w:val="22"/>
        </w:rPr>
        <w:t xml:space="preserve"> </w:t>
      </w:r>
      <w:r w:rsidRPr="00E91BEA" w:rsidR="009429AE">
        <w:rPr>
          <w:rFonts w:ascii="微软雅黑" w:eastAsia="微软雅黑" w:hAnsi="微软雅黑" w:hint="eastAsia"/>
          <w:sz w:val="22"/>
        </w:rPr>
        <w:t>产地优势</w:t>
      </w:r>
    </w:p>
    <w:p w:rsidR="003744D0" w:rsidRPr="00E91BEA" w:rsidP="00E91BEA" w14:paraId="71C5D52B" w14:textId="4F3471BC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古茶树</w:t>
      </w:r>
    </w:p>
    <w:p w:rsidR="003744D0" w:rsidRPr="00B2228E" w:rsidP="00B2228E" w14:paraId="19471E0E" w14:textId="6001989C">
      <w:pPr>
        <w:adjustRightInd w:val="0"/>
        <w:snapToGrid w:val="0"/>
        <w:spacing w:before="120" w:beforeLines="50" w:after="120" w:afterLines="50"/>
        <w:ind w:firstLine="1"/>
        <w:jc w:val="left"/>
        <w:rPr>
          <w:rFonts w:ascii="微软雅黑" w:eastAsia="微软雅黑" w:hAnsi="微软雅黑"/>
          <w:b/>
          <w:sz w:val="22"/>
        </w:rPr>
      </w:pPr>
      <w:r w:rsidRPr="00B2228E">
        <w:rPr>
          <w:rFonts w:ascii="微软雅黑" w:eastAsia="微软雅黑" w:hAnsi="微软雅黑" w:hint="eastAsia"/>
          <w:b/>
          <w:sz w:val="22"/>
        </w:rPr>
        <w:t>二、珍稀树种红豆衫，极高的药用价值。</w:t>
      </w:r>
    </w:p>
    <w:p w:rsidR="003744D0" w:rsidRPr="00E91BEA" w:rsidP="00E91BEA" w14:paraId="1182F7F7" w14:textId="43A12CF9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bCs/>
          <w:sz w:val="22"/>
        </w:rPr>
        <w:t>红豆杉</w:t>
      </w:r>
      <w:r w:rsidRPr="00E91BEA">
        <w:rPr>
          <w:rFonts w:ascii="微软雅黑" w:eastAsia="微软雅黑" w:hAnsi="微软雅黑" w:hint="eastAsia"/>
          <w:sz w:val="22"/>
        </w:rPr>
        <w:t>又称紫杉，也称赤柏松。属浅根植物。其主根不明显、侧根发达。是世界公认的濒临灭绝的天然珍稀抗癌植物。是第四纪冰川遗留下来的古老树种，在地球上已有250万年的历史。由于在自然条件下红豆杉生长速度缓慢，再生能力差，长时间以来，红豆杉原料林基地相当珍贵。</w:t>
      </w:r>
    </w:p>
    <w:p w:rsidR="003744D0" w:rsidRPr="00E91BEA" w:rsidP="00E91BEA" w14:paraId="182F3966" w14:textId="6BEC9B88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 w:hint="eastAsia"/>
          <w:sz w:val="22"/>
        </w:rPr>
        <w:t>xx</w:t>
      </w:r>
      <w:r w:rsidRPr="00E91BEA" w:rsidR="009429AE">
        <w:rPr>
          <w:rFonts w:ascii="微软雅黑" w:eastAsia="微软雅黑" w:hAnsi="微软雅黑" w:hint="eastAsia"/>
          <w:sz w:val="22"/>
        </w:rPr>
        <w:t>红豆杉（T</w:t>
      </w:r>
      <w:r w:rsidRPr="00E91BEA">
        <w:rPr>
          <w:rFonts w:ascii="微软雅黑" w:eastAsia="微软雅黑" w:hAnsi="微软雅黑" w:hint="eastAsia"/>
          <w:sz w:val="22"/>
        </w:rPr>
        <w:t>.</w:t>
      </w:r>
      <w:r w:rsidRPr="00E91BEA" w:rsidR="009429AE">
        <w:rPr>
          <w:rFonts w:ascii="微软雅黑" w:eastAsia="微软雅黑" w:hAnsi="微软雅黑" w:hint="eastAsia"/>
          <w:sz w:val="22"/>
        </w:rPr>
        <w:t>YUENNAN ENSIS CHENG ET L</w:t>
      </w:r>
      <w:r w:rsidRPr="00E91BEA">
        <w:rPr>
          <w:rFonts w:ascii="微软雅黑" w:eastAsia="微软雅黑" w:hAnsi="微软雅黑" w:hint="eastAsia"/>
          <w:sz w:val="22"/>
        </w:rPr>
        <w:t>.</w:t>
      </w:r>
      <w:r w:rsidRPr="00E91BEA" w:rsidR="009429AE">
        <w:rPr>
          <w:rFonts w:ascii="微软雅黑" w:eastAsia="微软雅黑" w:hAnsi="微软雅黑" w:hint="eastAsia"/>
          <w:sz w:val="22"/>
        </w:rPr>
        <w:t>K</w:t>
      </w:r>
      <w:r w:rsidRPr="00E91BEA">
        <w:rPr>
          <w:rFonts w:ascii="微软雅黑" w:eastAsia="微软雅黑" w:hAnsi="微软雅黑" w:hint="eastAsia"/>
          <w:sz w:val="22"/>
        </w:rPr>
        <w:t>.</w:t>
      </w:r>
      <w:r w:rsidRPr="00E91BEA" w:rsidR="009429AE">
        <w:rPr>
          <w:rFonts w:ascii="微软雅黑" w:eastAsia="微软雅黑" w:hAnsi="微软雅黑" w:hint="eastAsia"/>
          <w:sz w:val="22"/>
        </w:rPr>
        <w:t>FU）主要分布在滇西与地洲的16个县，总面积约九万平方公理。其特点是分布广、生长分散、无纯木林，多为林中散生木。</w:t>
      </w:r>
    </w:p>
    <w:p w:rsidR="00E91BEA" w:rsidP="00E91BEA" w14:paraId="74EBB2D3" w14:textId="77777777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bCs/>
          <w:sz w:val="22"/>
        </w:rPr>
        <w:t>红豆杉的药用价值主要体现在它的提取物——次生代谢衍生物-——紫杉醇。</w:t>
      </w:r>
      <w:r w:rsidRPr="00E91BEA">
        <w:rPr>
          <w:rFonts w:ascii="微软雅黑" w:eastAsia="微软雅黑" w:hAnsi="微软雅黑" w:hint="eastAsia"/>
          <w:sz w:val="22"/>
        </w:rPr>
        <w:t>紫杉醇是目前世界上公认的广谱、强活性、抗癌药物，具有独特的抗癌机理。</w:t>
      </w:r>
    </w:p>
    <w:p w:rsidR="003744D0" w:rsidRPr="00B2228E" w:rsidP="00B2228E" w14:paraId="77897679" w14:textId="299B82DB">
      <w:pPr>
        <w:adjustRightInd w:val="0"/>
        <w:snapToGrid w:val="0"/>
        <w:spacing w:before="120" w:beforeLines="50" w:after="120" w:afterLines="50"/>
        <w:ind w:firstLine="1"/>
        <w:jc w:val="left"/>
        <w:rPr>
          <w:rFonts w:ascii="微软雅黑" w:eastAsia="微软雅黑" w:hAnsi="微软雅黑"/>
          <w:b/>
          <w:sz w:val="22"/>
        </w:rPr>
      </w:pPr>
      <w:r w:rsidRPr="00B2228E">
        <w:rPr>
          <w:rFonts w:ascii="微软雅黑" w:eastAsia="微软雅黑" w:hAnsi="微软雅黑" w:hint="eastAsia"/>
          <w:b/>
          <w:sz w:val="22"/>
        </w:rPr>
        <w:t>三、珍贵的黑陶，制作高档工艺品材料。</w:t>
      </w:r>
    </w:p>
    <w:p w:rsidR="003744D0" w:rsidRPr="00E91BEA" w:rsidP="00E91BEA" w14:paraId="75D8D24C" w14:textId="77777777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现代黑陶已经逐渐发展成为一种收藏品、高档艺术品和高档礼品。黑陶被作为一种高档商务礼品广泛用于各大企业、行政单位、教育机构以及各行各业，尤其是服务行业、客户关系主导的行业等。</w:t>
      </w:r>
    </w:p>
    <w:p w:rsidR="003744D0" w:rsidRPr="00E91BEA" w:rsidP="00E91BEA" w14:paraId="56D07B09" w14:textId="77777777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  <w:sectPr w:rsidSect="00E91BEA">
          <w:headerReference w:type="default" r:id="rId6"/>
          <w:footerReference w:type="default" r:id="rId7"/>
          <w:type w:val="nextPage"/>
          <w:pgSz w:w="11906" w:h="16838"/>
          <w:pgMar w:top="1417" w:right="1803" w:bottom="1417" w:left="1803" w:header="964" w:footer="624" w:gutter="0"/>
          <w:pgNumType w:start="2"/>
          <w:cols w:space="425"/>
          <w:titlePg w:val="0"/>
          <w:docGrid w:linePitch="312"/>
        </w:sectPr>
      </w:pPr>
      <w:r w:rsidRPr="00E91BEA">
        <w:rPr>
          <w:rFonts w:ascii="微软雅黑" w:eastAsia="微软雅黑" w:hAnsi="微软雅黑" w:hint="eastAsia"/>
          <w:sz w:val="22"/>
        </w:rPr>
        <w:t>黑陶的文化精髓，不局限于地域隔阂。以黑陶文化为核心，综合茶行业发展，现代化的黑陶杰作，将形成广阔的市场前景。</w:t>
      </w:r>
    </w:p>
    <w:p w:rsidR="003744D0" w:rsidRPr="00B2228E" w:rsidP="00B2228E" w14:paraId="7F983C81" w14:textId="6D99F264">
      <w:pPr>
        <w:adjustRightInd w:val="0"/>
        <w:snapToGrid w:val="0"/>
        <w:spacing w:before="120" w:beforeLines="50" w:after="120" w:afterLines="50"/>
        <w:ind w:firstLine="440" w:firstLineChars="200"/>
        <w:jc w:val="center"/>
        <w:rPr>
          <w:rFonts w:ascii="微软雅黑" w:eastAsia="微软雅黑" w:hAnsi="微软雅黑"/>
          <w:b/>
          <w:sz w:val="22"/>
        </w:rPr>
      </w:pPr>
      <w:r>
        <w:rPr>
          <w:rFonts w:ascii="微软雅黑" w:eastAsia="微软雅黑" w:hAnsi="微软雅黑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10617200</wp:posOffset>
                </wp:positionV>
                <wp:extent cx="6350000" cy="63500"/>
                <wp:effectExtent l="0" t="0" r="0" b="0"/>
                <wp:wrapNone/>
                <wp:docPr id="514826176" name="PageShape3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350000" cy="635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36778" w:rsidRPr="00636778" w14:textId="7508C3EE">
                            <w:pPr>
                              <w:rPr>
                                <w:rFonts w:ascii="黑体" w:eastAsia="黑体"/>
                                <w:sz w:val="24"/>
                              </w:rPr>
                            </w:pPr>
                            <w:r w:rsidRPr="00636778">
                              <w:rPr>
                                <w:rFonts w:ascii="黑体" w:eastAsia="黑体" w:hint="eastAsia"/>
                                <w:sz w:val="24"/>
                              </w:rPr>
                              <w:t>筹建</w:t>
                            </w:r>
                            <w:r w:rsidRPr="00636778">
                              <w:rPr>
                                <w:rFonts w:ascii="黑体" w:eastAsia="黑体"/>
                                <w:sz w:val="24"/>
                              </w:rPr>
                              <w:t>xx公司可行性分析报告 全文共3页，当前为第3页。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ageShape3" o:spid="_x0000_s1027" type="#_x0000_t202" style="width:500pt;height:5pt;margin-top:836pt;margin-left:0;mso-wrap-distance-bottom:0;mso-wrap-distance-left:9pt;mso-wrap-distance-right:9pt;mso-wrap-distance-top:0;position:absolute;visibility:hidden;v-text-anchor:top;z-index:251664384" filled="f" fillcolor="this" stroked="t" strokecolor="black" strokeweight="0.5pt">
                <v:textbox>
                  <w:txbxContent>
                    <w:p w:rsidR="00636778" w:rsidRPr="00636778" w14:paraId="28F3D4BD" w14:textId="7508C3EE">
                      <w:pPr>
                        <w:rPr>
                          <w:rFonts w:ascii="黑体" w:eastAsia="黑体"/>
                          <w:sz w:val="24"/>
                        </w:rPr>
                      </w:pPr>
                      <w:r w:rsidRPr="00636778">
                        <w:rPr>
                          <w:rFonts w:ascii="黑体" w:eastAsia="黑体" w:hint="eastAsia"/>
                          <w:sz w:val="24"/>
                        </w:rPr>
                        <w:t>筹建</w:t>
                      </w:r>
                      <w:r w:rsidRPr="00636778">
                        <w:rPr>
                          <w:rFonts w:ascii="黑体" w:eastAsia="黑体"/>
                          <w:sz w:val="24"/>
                        </w:rPr>
                        <w:t>xx公司可行性分析报告 全文共3页，当前为第3页。</w:t>
                      </w:r>
                    </w:p>
                  </w:txbxContent>
                </v:textbox>
              </v:shape>
            </w:pict>
          </mc:Fallback>
        </mc:AlternateContent>
      </w:r>
      <w:r w:rsidRPr="00B2228E" w:rsidR="009429AE">
        <w:rPr>
          <w:rFonts w:ascii="微软雅黑" w:eastAsia="微软雅黑" w:hAnsi="微软雅黑" w:hint="eastAsia"/>
          <w:b/>
          <w:sz w:val="22"/>
        </w:rPr>
        <w:t>第二部份:项目背景</w:t>
      </w:r>
    </w:p>
    <w:p w:rsidR="003744D0" w:rsidRPr="00E91BEA" w:rsidP="00E91BEA" w14:paraId="17FA899D" w14:textId="384B1BE7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2-1、公司筹立的背景</w:t>
      </w:r>
    </w:p>
    <w:p w:rsidR="003744D0" w:rsidRPr="00E91BEA" w:rsidP="00E91BEA" w14:paraId="5C9195CD" w14:textId="347A2E8E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2-2、项目资金投资领域</w:t>
      </w:r>
    </w:p>
    <w:p w:rsidR="003744D0" w:rsidRPr="00E91BEA" w:rsidP="00E91BEA" w14:paraId="460D3F84" w14:textId="4E58DBEC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2-3、项目投资的必要性</w:t>
      </w:r>
    </w:p>
    <w:p w:rsidR="003744D0" w:rsidRPr="00E91BEA" w:rsidP="00E91BEA" w14:paraId="261ED34F" w14:textId="5479C061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b/>
          <w:sz w:val="22"/>
        </w:rPr>
      </w:pPr>
      <w:r w:rsidRPr="00E91BEA">
        <w:rPr>
          <w:rFonts w:ascii="微软雅黑" w:eastAsia="微软雅黑" w:hAnsi="微软雅黑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41910</wp:posOffset>
                </wp:positionH>
                <wp:positionV relativeFrom="paragraph">
                  <wp:posOffset>132715</wp:posOffset>
                </wp:positionV>
                <wp:extent cx="5829300" cy="0"/>
                <wp:effectExtent l="13335" t="8890" r="5715" b="10160"/>
                <wp:wrapNone/>
                <wp:docPr id="137" name="直接连接符 13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137" o:spid="_x0000_s1028" style="mso-height-percent:0;mso-height-relative:page;mso-width-percent:0;mso-width-relative:page;mso-wrap-distance-bottom:0;mso-wrap-distance-left:9pt;mso-wrap-distance-right:9pt;mso-wrap-distance-top:0;position:absolute;v-text-anchor:top;z-index:251662336" from="3.3pt,10.45pt" to="462.3pt,10.45pt" fillcolor="this" stroked="t" strokecolor="black" strokeweight="0.75pt">
                <v:stroke joinstyle="round" dashstyle="1 1" endcap="round"/>
              </v:line>
            </w:pict>
          </mc:Fallback>
        </mc:AlternateContent>
      </w:r>
      <w:r w:rsidRPr="00E91BEA">
        <w:rPr>
          <w:rFonts w:ascii="微软雅黑" w:eastAsia="微软雅黑" w:hAnsi="微软雅黑" w:hint="eastAsia"/>
          <w:b/>
          <w:sz w:val="22"/>
        </w:rPr>
        <w:t>2-1、公司筹立的背景</w:t>
      </w:r>
    </w:p>
    <w:p w:rsidR="00E91BEA" w:rsidP="00E91BEA" w14:paraId="0757E4E8" w14:textId="589AD6EA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为了整合各方的优势资源，源动行业需求，贡献社会效益，有效的促进资本的使用与再增长，是筹备此</w:t>
      </w:r>
      <w:r>
        <w:rPr>
          <w:rFonts w:ascii="微软雅黑" w:eastAsia="微软雅黑" w:hAnsi="微软雅黑" w:hint="eastAsia"/>
          <w:sz w:val="22"/>
        </w:rPr>
        <w:t>xx</w:t>
      </w:r>
      <w:r w:rsidRPr="00E91BEA">
        <w:rPr>
          <w:rFonts w:ascii="微软雅黑" w:eastAsia="微软雅黑" w:hAnsi="微软雅黑" w:hint="eastAsia"/>
          <w:sz w:val="22"/>
        </w:rPr>
        <w:t>公司的初衷背景。</w:t>
      </w:r>
    </w:p>
    <w:p w:rsidR="003744D0" w:rsidRPr="00E91BEA" w:rsidP="00E91BEA" w14:paraId="08A68078" w14:textId="2474FBE6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b/>
          <w:sz w:val="22"/>
        </w:rPr>
      </w:pPr>
      <w:r w:rsidRPr="00E91BEA">
        <w:rPr>
          <w:rFonts w:ascii="微软雅黑" w:eastAsia="微软雅黑" w:hAnsi="微软雅黑" w:hint="eastAsia"/>
          <w:b/>
          <w:sz w:val="22"/>
        </w:rPr>
        <w:t>2-2、项目资金投资领域</w:t>
      </w:r>
    </w:p>
    <w:p w:rsidR="003744D0" w:rsidRPr="00E91BEA" w:rsidP="00E91BEA" w14:paraId="3D18984D" w14:textId="263FE338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 w:hint="eastAsia"/>
          <w:sz w:val="22"/>
        </w:rPr>
        <w:t>xx</w:t>
      </w:r>
      <w:r w:rsidRPr="00E91BEA" w:rsidR="009429AE">
        <w:rPr>
          <w:rFonts w:ascii="微软雅黑" w:eastAsia="微软雅黑" w:hAnsi="微软雅黑" w:hint="eastAsia"/>
          <w:sz w:val="22"/>
        </w:rPr>
        <w:t>公司资金投资领域为以下阶段与部分：</w:t>
      </w:r>
    </w:p>
    <w:p w:rsidR="003744D0" w:rsidRPr="00E91BEA" w:rsidP="00E91BEA" w14:paraId="1C12F749" w14:textId="00007BCD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1</w:t>
      </w:r>
      <w:r w:rsidRPr="00E91BEA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选定优势可作业项目的开发投资；</w:t>
      </w:r>
    </w:p>
    <w:p w:rsidR="003744D0" w:rsidRPr="00E91BEA" w:rsidP="00E91BEA" w14:paraId="4C988783" w14:textId="0A0BE4D8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2</w:t>
      </w:r>
      <w:r w:rsidRPr="00E91BEA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产品代理权投资；</w:t>
      </w:r>
    </w:p>
    <w:p w:rsidR="003744D0" w:rsidRPr="00E91BEA" w:rsidP="00E91BEA" w14:paraId="3F3A4B69" w14:textId="73D40EA8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3</w:t>
      </w:r>
      <w:r w:rsidRPr="00E91BEA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项目技术引进的投资；</w:t>
      </w:r>
    </w:p>
    <w:p w:rsidR="003744D0" w:rsidRPr="00E91BEA" w:rsidP="00E91BEA" w14:paraId="56609303" w14:textId="1520BEFE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4</w:t>
      </w:r>
      <w:r w:rsidRPr="00E91BEA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茶产业深度开发及周边配套；</w:t>
      </w:r>
    </w:p>
    <w:p w:rsidR="003744D0" w:rsidRPr="00E91BEA" w:rsidP="00E91BEA" w14:paraId="32B04E42" w14:textId="0A9BBB85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5</w:t>
      </w:r>
      <w:r w:rsidRPr="00E91BEA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销售渠道的建设投资；</w:t>
      </w:r>
    </w:p>
    <w:p w:rsidR="00E91BEA" w:rsidP="00E91BEA" w14:paraId="481ADDA9" w14:textId="77777777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6</w:t>
      </w:r>
      <w:r w:rsidRPr="00E91BEA" w:rsidR="003744D0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筛选市场现有潜力项目的再包装与再转让投资。</w:t>
      </w:r>
    </w:p>
    <w:p w:rsidR="003744D0" w:rsidRPr="00E91BEA" w:rsidP="00E91BEA" w14:paraId="489A4D13" w14:textId="36F064E5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b/>
          <w:sz w:val="22"/>
        </w:rPr>
      </w:pPr>
      <w:r w:rsidRPr="00E91BEA">
        <w:rPr>
          <w:rFonts w:ascii="微软雅黑" w:eastAsia="微软雅黑" w:hAnsi="微软雅黑" w:hint="eastAsia"/>
          <w:b/>
          <w:sz w:val="22"/>
        </w:rPr>
        <w:t>2-3、项目投资的必要性</w:t>
      </w:r>
    </w:p>
    <w:p w:rsidR="003744D0" w:rsidRPr="00E91BEA" w:rsidP="00E91BEA" w14:paraId="2495DAB2" w14:textId="7AFA9019">
      <w:pPr>
        <w:adjustRightInd w:val="0"/>
        <w:snapToGrid w:val="0"/>
        <w:spacing w:before="120" w:beforeLines="50" w:after="120" w:afterLines="50"/>
        <w:ind w:firstLine="440" w:firstLineChars="200"/>
        <w:outlineLvl w:val="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1</w:t>
      </w:r>
      <w:r w:rsidRPr="00E91BEA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各行各业优胜劣汰的加据，市场环境给新鲜血液的进入空间大增；</w:t>
      </w:r>
    </w:p>
    <w:p w:rsidR="003744D0" w:rsidRPr="00E91BEA" w:rsidP="00E91BEA" w14:paraId="55425DD5" w14:textId="64D7B49E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2</w:t>
      </w:r>
      <w:r w:rsidRPr="00E91BEA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整合优势资源，创造效用与利益价值的最大化；</w:t>
      </w:r>
    </w:p>
    <w:p w:rsidR="003744D0" w:rsidRPr="00E91BEA" w:rsidP="00E91BEA" w14:paraId="7243CD0C" w14:textId="75FF9A8B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3</w:t>
      </w:r>
      <w:r w:rsidRPr="00E91BEA">
        <w:rPr>
          <w:rFonts w:ascii="微软雅黑" w:eastAsia="微软雅黑" w:hAnsi="微软雅黑" w:hint="eastAsia"/>
          <w:sz w:val="22"/>
        </w:rPr>
        <w:t>.</w:t>
      </w:r>
      <w:r w:rsidRPr="00E91BEA">
        <w:rPr>
          <w:rFonts w:ascii="微软雅黑" w:eastAsia="微软雅黑" w:hAnsi="微软雅黑" w:hint="eastAsia"/>
          <w:sz w:val="22"/>
        </w:rPr>
        <w:t>茶产业市场的洗牌及</w:t>
      </w:r>
      <w:r w:rsidR="00E91BEA">
        <w:rPr>
          <w:rFonts w:ascii="微软雅黑" w:eastAsia="微软雅黑" w:hAnsi="微软雅黑" w:hint="eastAsia"/>
          <w:sz w:val="22"/>
        </w:rPr>
        <w:t>xx</w:t>
      </w:r>
      <w:r w:rsidRPr="00E91BEA">
        <w:rPr>
          <w:rFonts w:ascii="微软雅黑" w:eastAsia="微软雅黑" w:hAnsi="微软雅黑" w:hint="eastAsia"/>
          <w:sz w:val="22"/>
        </w:rPr>
        <w:t>茶业市场的震旦梳理，投资环境日趋优异。</w:t>
      </w:r>
    </w:p>
    <w:p w:rsidR="003744D0" w:rsidRPr="00B2228E" w:rsidP="00B2228E" w14:paraId="598500E3" w14:textId="3E310753">
      <w:pPr>
        <w:adjustRightInd w:val="0"/>
        <w:snapToGrid w:val="0"/>
        <w:spacing w:before="120" w:beforeLines="50" w:after="120" w:afterLines="50"/>
        <w:ind w:firstLine="440" w:firstLineChars="200"/>
        <w:jc w:val="center"/>
        <w:rPr>
          <w:rFonts w:ascii="微软雅黑" w:eastAsia="微软雅黑" w:hAnsi="微软雅黑"/>
          <w:b/>
          <w:sz w:val="22"/>
        </w:rPr>
      </w:pPr>
      <w:r w:rsidRPr="00B2228E">
        <w:rPr>
          <w:rFonts w:ascii="微软雅黑" w:eastAsia="微软雅黑" w:hAnsi="微软雅黑" w:hint="eastAsia"/>
          <w:b/>
          <w:sz w:val="22"/>
        </w:rPr>
        <w:t>第三部份:市场研究</w:t>
      </w:r>
    </w:p>
    <w:p w:rsidR="003744D0" w:rsidRPr="00E91BEA" w:rsidP="00E91BEA" w14:paraId="6C6BB1E4" w14:textId="3F5B83D4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3-1、首期投资项目的行业</w:t>
      </w:r>
    </w:p>
    <w:p w:rsidR="003744D0" w:rsidRPr="00E91BEA" w:rsidP="00E91BEA" w14:paraId="2A9D15CC" w14:textId="34DD1F4D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3-2、投资项目的行业历史</w:t>
      </w:r>
    </w:p>
    <w:p w:rsidR="003744D0" w:rsidRPr="00E91BEA" w:rsidP="00E91BEA" w14:paraId="04539C17" w14:textId="2206AB29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3-3、投资项目的行业发展现状</w:t>
      </w:r>
    </w:p>
    <w:p w:rsidR="00E91BEA" w:rsidP="00E91BEA" w14:paraId="77F10CD2" w14:textId="7F6E50BF">
      <w:pPr>
        <w:adjustRightInd w:val="0"/>
        <w:snapToGrid w:val="0"/>
        <w:spacing w:before="120" w:beforeLines="50" w:after="120" w:afterLines="50"/>
        <w:ind w:firstLine="440" w:firstLineChars="200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3-4、投资项目的行业前景</w:t>
      </w:r>
    </w:p>
    <w:p w:rsidR="003744D0" w:rsidRPr="00E91BEA" w:rsidP="00E91BEA" w14:paraId="4A7837B8" w14:textId="775913D7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b/>
          <w:sz w:val="22"/>
        </w:rPr>
      </w:pPr>
      <w:r w:rsidRPr="00E91BEA">
        <w:rPr>
          <w:rFonts w:ascii="微软雅黑" w:eastAsia="微软雅黑" w:hAnsi="微软雅黑" w:hint="eastAsia"/>
          <w:b/>
          <w:sz w:val="22"/>
        </w:rPr>
        <w:t>3-1、首期投资项目的行业</w:t>
      </w:r>
    </w:p>
    <w:p w:rsidR="00E91BEA" w:rsidP="00E91BEA" w14:paraId="270DFBF0" w14:textId="77777777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 w:rsidRPr="00E91BEA">
        <w:rPr>
          <w:rFonts w:ascii="微软雅黑" w:eastAsia="微软雅黑" w:hAnsi="微软雅黑" w:hint="eastAsia"/>
          <w:sz w:val="22"/>
        </w:rPr>
        <w:t>投资项目行业：茶销售，茶产业的深度开发及周边配套。</w:t>
      </w:r>
    </w:p>
    <w:p w:rsidR="003744D0" w:rsidRPr="00E91BEA" w:rsidP="00E91BEA" w14:paraId="65613183" w14:textId="2F5B2980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b/>
          <w:sz w:val="22"/>
        </w:rPr>
      </w:pPr>
      <w:r w:rsidRPr="00E91BEA">
        <w:rPr>
          <w:rFonts w:ascii="微软雅黑" w:eastAsia="微软雅黑" w:hAnsi="微软雅黑" w:hint="eastAsia"/>
          <w:b/>
          <w:sz w:val="22"/>
        </w:rPr>
        <w:t>3-2、投资项目的行业历史</w:t>
      </w:r>
    </w:p>
    <w:p w:rsidR="003744D0" w:rsidRPr="00E91BEA" w:rsidP="00E91BEA" w14:paraId="1A369C28" w14:textId="6D117E16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 w:hint="eastAsia"/>
          <w:sz w:val="22"/>
        </w:rPr>
        <w:t>xx</w:t>
      </w:r>
      <w:r w:rsidRPr="00E91BEA" w:rsidR="009429AE">
        <w:rPr>
          <w:rFonts w:ascii="微软雅黑" w:eastAsia="微软雅黑" w:hAnsi="微软雅黑" w:hint="eastAsia"/>
          <w:sz w:val="22"/>
        </w:rPr>
        <w:t>是世界茶树原生地。全国、全世界各种各样茶叶的根源都在</w:t>
      </w:r>
      <w:r>
        <w:rPr>
          <w:rFonts w:ascii="微软雅黑" w:eastAsia="微软雅黑" w:hAnsi="微软雅黑" w:hint="eastAsia"/>
          <w:sz w:val="22"/>
        </w:rPr>
        <w:t>xx</w:t>
      </w:r>
      <w:r w:rsidRPr="00E91BEA" w:rsidR="009429AE">
        <w:rPr>
          <w:rFonts w:ascii="微软雅黑" w:eastAsia="微软雅黑" w:hAnsi="微软雅黑" w:hint="eastAsia"/>
          <w:sz w:val="22"/>
        </w:rPr>
        <w:t>的普洱茶产</w:t>
      </w:r>
      <w:r w:rsidRPr="00E91BEA">
        <w:rPr>
          <w:rFonts w:ascii="微软雅黑" w:eastAsia="微软雅黑" w:hAnsi="微软雅黑"/>
          <w:sz w:val="22"/>
        </w:rPr>
        <w:br/>
      </w:r>
      <w:r w:rsidRPr="00E91BEA">
        <w:rPr>
          <w:rFonts w:ascii="微软雅黑" w:eastAsia="微软雅黑" w:hAnsi="微软雅黑"/>
          <w:sz w:val="2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https://d.book118.com/967141015155006026</w:t>
        </w:r>
      </w:hyperlink>
    </w:p>
    <w:p w:rsidR="003744D0" w:rsidRPr="00E91BEA" w:rsidP="00E91BEA">
      <w:pPr>
        <w:adjustRightInd w:val="0"/>
        <w:snapToGrid w:val="0"/>
        <w:spacing w:before="120" w:beforeLines="50" w:after="120" w:afterLines="50"/>
        <w:ind w:firstLine="440" w:firstLineChars="200"/>
        <w:jc w:val="left"/>
        <w:rPr>
          <w:rFonts w:ascii="微软雅黑" w:eastAsia="微软雅黑" w:hAnsi="微软雅黑"/>
          <w:sz w:val="22"/>
        </w:rPr>
      </w:pPr>
    </w:p>
    <w:sectPr w:rsidSect="00E91BEA">
      <w:headerReference w:type="default" r:id="rId9"/>
      <w:footerReference w:type="default" r:id="rId10"/>
      <w:type w:val="nextPage"/>
      <w:pgSz w:w="11906" w:h="16838"/>
      <w:pgMar w:top="1417" w:right="1803" w:bottom="1417" w:left="1803" w:header="964" w:footer="624" w:gutter="0"/>
      <w:pgNumType w:start="3"/>
      <w:cols w:space="425"/>
      <w:titlePg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KaiTi_GB2312">
    <w:altName w:val="楷体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SimSun">
    <w:altName w:val="新宋体"/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91BEA" w:rsidRPr="00E91BEA" w:rsidP="00E91BEA" w14:paraId="67BAFD15" w14:textId="13C746DE">
    <w:pPr>
      <w:pStyle w:val="Footer"/>
      <w:adjustRightInd w:val="0"/>
      <w:spacing w:before="120" w:after="120" w:line="312" w:lineRule="auto"/>
      <w:rPr>
        <w:rFonts w:ascii="黑体" w:eastAsia="黑体" w:hAnsi="黑体"/>
        <w:b/>
        <w:sz w:val="16"/>
      </w:rPr>
    </w:pPr>
    <w:r>
      <w:ptab w:relativeTo="margin" w:alignment="right" w:leader="none"/>
    </w:r>
    <w:r>
      <w:rPr>
        <w:rFonts w:ascii="黑体" w:eastAsia="黑体" w:hAnsi="黑体"/>
        <w:b/>
        <w:sz w:val="16"/>
      </w:rPr>
      <w:t>P</w:t>
    </w:r>
    <w:r w:rsidRPr="00E91BEA">
      <w:rPr>
        <w:rFonts w:ascii="黑体" w:eastAsia="黑体" w:hAnsi="黑体"/>
        <w:b/>
        <w:sz w:val="16"/>
      </w:rPr>
      <w:fldChar w:fldCharType="begin"/>
    </w:r>
    <w:r w:rsidRPr="00E91BEA">
      <w:rPr>
        <w:rFonts w:ascii="黑体" w:eastAsia="黑体" w:hAnsi="黑体"/>
        <w:b/>
        <w:sz w:val="16"/>
      </w:rPr>
      <w:instrText>PAGE   \* MERGEFORMAT</w:instrText>
    </w:r>
    <w:r w:rsidRPr="00E91BEA">
      <w:rPr>
        <w:rFonts w:ascii="黑体" w:eastAsia="黑体" w:hAnsi="黑体"/>
        <w:b/>
        <w:sz w:val="16"/>
      </w:rPr>
      <w:fldChar w:fldCharType="separate"/>
    </w:r>
    <w:r w:rsidRPr="00352547" w:rsidR="00352547">
      <w:rPr>
        <w:rFonts w:ascii="黑体" w:eastAsia="黑体" w:hAnsi="黑体"/>
        <w:b/>
        <w:noProof/>
        <w:sz w:val="16"/>
        <w:lang w:val="zh-CN"/>
      </w:rPr>
      <w:t>1</w:t>
    </w:r>
    <w:r w:rsidRPr="00E91BEA">
      <w:rPr>
        <w:rFonts w:ascii="黑体" w:eastAsia="黑体" w:hAnsi="黑体"/>
        <w:b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91BEA" w:rsidRPr="00E91BEA" w:rsidP="00E91BEA" w14:textId="13C746DE">
    <w:pPr>
      <w:pStyle w:val="Footer"/>
      <w:adjustRightInd w:val="0"/>
      <w:spacing w:before="120" w:after="120" w:line="312" w:lineRule="auto"/>
      <w:rPr>
        <w:rFonts w:ascii="黑体" w:eastAsia="黑体" w:hAnsi="黑体"/>
        <w:b/>
        <w:sz w:val="16"/>
      </w:rPr>
    </w:pPr>
    <w:r>
      <w:ptab w:relativeTo="margin" w:alignment="right" w:leader="none"/>
    </w:r>
    <w:r>
      <w:rPr>
        <w:rFonts w:ascii="黑体" w:eastAsia="黑体" w:hAnsi="黑体"/>
        <w:b/>
        <w:sz w:val="16"/>
      </w:rPr>
      <w:t>P</w:t>
    </w:r>
    <w:r w:rsidRPr="00E91BEA">
      <w:rPr>
        <w:rFonts w:ascii="黑体" w:eastAsia="黑体" w:hAnsi="黑体"/>
        <w:b/>
        <w:sz w:val="16"/>
      </w:rPr>
      <w:fldChar w:fldCharType="begin"/>
    </w:r>
    <w:r w:rsidRPr="00E91BEA">
      <w:rPr>
        <w:rFonts w:ascii="黑体" w:eastAsia="黑体" w:hAnsi="黑体"/>
        <w:b/>
        <w:sz w:val="16"/>
      </w:rPr>
      <w:instrText>PAGE   \* MERGEFORMAT</w:instrText>
    </w:r>
    <w:r w:rsidRPr="00E91BEA">
      <w:rPr>
        <w:rFonts w:ascii="黑体" w:eastAsia="黑体" w:hAnsi="黑体"/>
        <w:b/>
        <w:sz w:val="16"/>
      </w:rPr>
      <w:fldChar w:fldCharType="separate"/>
    </w:r>
    <w:r w:rsidRPr="00352547" w:rsidR="00352547">
      <w:rPr>
        <w:rFonts w:ascii="黑体" w:eastAsia="黑体" w:hAnsi="黑体"/>
        <w:b/>
        <w:noProof/>
        <w:sz w:val="16"/>
        <w:lang w:val="zh-CN"/>
      </w:rPr>
      <w:t>2</w:t>
    </w:r>
    <w:r w:rsidRPr="00E91BEA">
      <w:rPr>
        <w:rFonts w:ascii="黑体" w:eastAsia="黑体" w:hAnsi="黑体"/>
        <w:b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91BEA" w:rsidRPr="00E91BEA" w:rsidP="00E91BEA" w14:textId="13C746DE">
    <w:pPr>
      <w:pStyle w:val="Footer"/>
      <w:adjustRightInd w:val="0"/>
      <w:spacing w:before="120" w:after="120" w:line="312" w:lineRule="auto"/>
      <w:rPr>
        <w:rFonts w:ascii="黑体" w:eastAsia="黑体" w:hAnsi="黑体"/>
        <w:b/>
        <w:sz w:val="16"/>
      </w:rPr>
    </w:pPr>
    <w:r>
      <w:ptab w:relativeTo="margin" w:alignment="right" w:leader="none"/>
    </w:r>
    <w:r>
      <w:rPr>
        <w:rFonts w:ascii="黑体" w:eastAsia="黑体" w:hAnsi="黑体"/>
        <w:b/>
        <w:sz w:val="16"/>
      </w:rPr>
      <w:t>P</w:t>
    </w:r>
    <w:r w:rsidRPr="00E91BEA">
      <w:rPr>
        <w:rFonts w:ascii="黑体" w:eastAsia="黑体" w:hAnsi="黑体"/>
        <w:b/>
        <w:sz w:val="16"/>
      </w:rPr>
      <w:fldChar w:fldCharType="begin"/>
    </w:r>
    <w:r w:rsidRPr="00E91BEA">
      <w:rPr>
        <w:rFonts w:ascii="黑体" w:eastAsia="黑体" w:hAnsi="黑体"/>
        <w:b/>
        <w:sz w:val="16"/>
      </w:rPr>
      <w:instrText>PAGE   \* MERGEFORMAT</w:instrText>
    </w:r>
    <w:r w:rsidRPr="00E91BEA">
      <w:rPr>
        <w:rFonts w:ascii="黑体" w:eastAsia="黑体" w:hAnsi="黑体"/>
        <w:b/>
        <w:sz w:val="16"/>
      </w:rPr>
      <w:fldChar w:fldCharType="separate"/>
    </w:r>
    <w:r w:rsidRPr="00352547" w:rsidR="00352547">
      <w:rPr>
        <w:rFonts w:ascii="黑体" w:eastAsia="黑体" w:hAnsi="黑体"/>
        <w:b/>
        <w:noProof/>
        <w:sz w:val="16"/>
        <w:lang w:val="zh-CN"/>
      </w:rPr>
      <w:t>3</w:t>
    </w:r>
    <w:r w:rsidRPr="00E91BEA">
      <w:rPr>
        <w:rFonts w:ascii="黑体" w:eastAsia="黑体" w:hAnsi="黑体"/>
        <w:b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91BEA" w:rsidRPr="00E91BEA" w:rsidP="00636778" w14:paraId="1C271856" w14:textId="0174D06B">
    <w:pPr>
      <w:adjustRightInd w:val="0"/>
      <w:snapToGrid w:val="0"/>
      <w:spacing w:before="120" w:after="120" w:line="312" w:lineRule="auto"/>
      <w:jc w:val="center"/>
      <w:rPr>
        <w:rFonts w:ascii="黑体" w:eastAsia="黑体" w:hAnsi="黑体"/>
        <w:sz w:val="16"/>
      </w:rPr>
    </w:pPr>
    <w:r>
      <w:rPr>
        <w:rFonts w:ascii="黑体" w:eastAsia="黑体" w:hAnsi="黑体" w:hint="eastAsia"/>
        <w:sz w:val="16"/>
      </w:rPr>
      <w:t>筹建</w:t>
    </w:r>
    <w:r>
      <w:rPr>
        <w:rFonts w:ascii="黑体" w:eastAsia="黑体" w:hAnsi="黑体"/>
        <w:sz w:val="16"/>
      </w:rPr>
      <w:t>xx公司可行性分析报告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91BEA" w:rsidRPr="00E91BEA" w:rsidP="00636778" w14:textId="0174D06B">
    <w:pPr>
      <w:adjustRightInd w:val="0"/>
      <w:snapToGrid w:val="0"/>
      <w:spacing w:before="120" w:after="120" w:line="312" w:lineRule="auto"/>
      <w:jc w:val="center"/>
      <w:rPr>
        <w:rFonts w:ascii="黑体" w:eastAsia="黑体" w:hAnsi="黑体"/>
        <w:sz w:val="16"/>
      </w:rPr>
    </w:pPr>
    <w:r>
      <w:rPr>
        <w:rFonts w:ascii="黑体" w:eastAsia="黑体" w:hAnsi="黑体" w:hint="eastAsia"/>
        <w:sz w:val="16"/>
      </w:rPr>
      <w:t>筹建</w:t>
    </w:r>
    <w:r>
      <w:rPr>
        <w:rFonts w:ascii="黑体" w:eastAsia="黑体" w:hAnsi="黑体"/>
        <w:sz w:val="16"/>
      </w:rPr>
      <w:t>xx公司可行性分析报告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91BEA" w:rsidRPr="00E91BEA" w:rsidP="00636778" w14:textId="0174D06B">
    <w:pPr>
      <w:adjustRightInd w:val="0"/>
      <w:snapToGrid w:val="0"/>
      <w:spacing w:before="120" w:after="120" w:line="312" w:lineRule="auto"/>
      <w:jc w:val="center"/>
      <w:rPr>
        <w:rFonts w:ascii="黑体" w:eastAsia="黑体" w:hAnsi="黑体"/>
        <w:sz w:val="16"/>
      </w:rPr>
    </w:pPr>
    <w:r>
      <w:rPr>
        <w:rFonts w:ascii="黑体" w:eastAsia="黑体" w:hAnsi="黑体" w:hint="eastAsia"/>
        <w:sz w:val="16"/>
      </w:rPr>
      <w:t>筹建</w:t>
    </w:r>
    <w:r>
      <w:rPr>
        <w:rFonts w:ascii="黑体" w:eastAsia="黑体" w:hAnsi="黑体"/>
        <w:sz w:val="16"/>
      </w:rPr>
      <w:t>xx公司可行性分析报告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3A0467CD"/>
    <w:multiLevelType w:val="hybridMultilevel"/>
    <w:tmpl w:val="EF4842C8"/>
    <w:lvl w:ilvl="0">
      <w:start w:val="1"/>
      <w:numFmt w:val="bullet"/>
      <w:lvlText w:val="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3F83434A"/>
    <w:multiLevelType w:val="hybridMultilevel"/>
    <w:tmpl w:val="6F78D320"/>
    <w:lvl w:ilvl="0">
      <w:start w:val="1"/>
      <w:numFmt w:val="upperLetter"/>
      <w:pStyle w:val="Heading5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660E6207"/>
    <w:multiLevelType w:val="hybridMultilevel"/>
    <w:tmpl w:val="242CF196"/>
    <w:lvl w:ilvl="0">
      <w:start w:val="1"/>
      <w:numFmt w:val="upperLetter"/>
      <w:pStyle w:val="Heading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japaneseCounting"/>
      <w:lvlText w:val="%2、"/>
      <w:lvlJc w:val="left"/>
      <w:pPr>
        <w:tabs>
          <w:tab w:val="num" w:pos="1035"/>
        </w:tabs>
        <w:ind w:left="1035" w:hanging="615"/>
      </w:pPr>
      <w:rPr>
        <w:rFonts w:ascii="Arial" w:eastAsia="宋体" w:hAnsi="Arial" w:hint="eastAsia"/>
        <w:b/>
        <w:sz w:val="30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 w16cid:durableId="776102219">
    <w:abstractNumId w:val="2"/>
  </w:num>
  <w:num w:numId="2" w16cid:durableId="9304278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5521900">
    <w:abstractNumId w:val="1"/>
  </w:num>
  <w:num w:numId="4" w16cid:durableId="18328689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92314469">
    <w:abstractNumId w:val="0"/>
  </w:num>
  <w:num w:numId="6" w16cid:durableId="111544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documentProtection w:edit="readOnly" w:enforcement="0"/>
  <w:defaultTabStop w:val="31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9AE"/>
    <w:rsid w:val="00023193"/>
    <w:rsid w:val="00266CDB"/>
    <w:rsid w:val="00352547"/>
    <w:rsid w:val="003744D0"/>
    <w:rsid w:val="00636778"/>
    <w:rsid w:val="009429AE"/>
    <w:rsid w:val="00B2228E"/>
    <w:rsid w:val="00E91BE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AF194E3"/>
  <w15:chartTrackingRefBased/>
  <w15:docId w15:val="{29A07AC5-CFAF-40FD-A66D-D9AF29BE3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qFormat/>
    <w:rsid w:val="009429AE"/>
    <w:pPr>
      <w:keepNext/>
      <w:numPr>
        <w:numId w:val="1"/>
      </w:numPr>
      <w:outlineLvl w:val="0"/>
    </w:pPr>
    <w:rPr>
      <w:rFonts w:ascii="Times New Roman" w:eastAsia="宋体" w:hAnsi="Times New Roman" w:cs="Times New Roman"/>
      <w:i/>
      <w:iCs/>
      <w:szCs w:val="24"/>
    </w:rPr>
  </w:style>
  <w:style w:type="paragraph" w:styleId="Heading2">
    <w:name w:val="heading 2"/>
    <w:basedOn w:val="Normal"/>
    <w:next w:val="Normal"/>
    <w:link w:val="2"/>
    <w:semiHidden/>
    <w:unhideWhenUsed/>
    <w:qFormat/>
    <w:rsid w:val="009429AE"/>
    <w:pPr>
      <w:keepNext/>
      <w:keepLines/>
      <w:spacing w:before="260" w:after="260" w:line="415" w:lineRule="auto"/>
      <w:outlineLvl w:val="1"/>
    </w:pPr>
    <w:rPr>
      <w:rFonts w:ascii="Arial" w:eastAsia="黑体" w:hAnsi="Arial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"/>
    <w:semiHidden/>
    <w:unhideWhenUsed/>
    <w:qFormat/>
    <w:rsid w:val="009429AE"/>
    <w:pPr>
      <w:keepNext/>
      <w:keepLines/>
      <w:spacing w:before="260" w:after="260" w:line="415" w:lineRule="auto"/>
      <w:outlineLvl w:val="2"/>
    </w:pPr>
    <w:rPr>
      <w:rFonts w:ascii="Times New Roman" w:eastAsia="宋体" w:hAnsi="Times New Roman" w:cs="Times New Roman"/>
      <w:b/>
      <w:bCs/>
      <w:sz w:val="32"/>
      <w:szCs w:val="32"/>
    </w:rPr>
  </w:style>
  <w:style w:type="paragraph" w:styleId="Heading5">
    <w:name w:val="heading 5"/>
    <w:basedOn w:val="Normal"/>
    <w:next w:val="Normal"/>
    <w:link w:val="5"/>
    <w:semiHidden/>
    <w:unhideWhenUsed/>
    <w:qFormat/>
    <w:rsid w:val="009429AE"/>
    <w:pPr>
      <w:keepNext/>
      <w:numPr>
        <w:numId w:val="3"/>
      </w:numPr>
      <w:outlineLvl w:val="4"/>
    </w:pPr>
    <w:rPr>
      <w:rFonts w:ascii="Times New Roman" w:eastAsia="宋体" w:hAnsi="Times New Roman" w:cs="Times New Roman"/>
      <w:b/>
      <w:bCs/>
      <w:sz w:val="28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rsid w:val="009429AE"/>
    <w:rPr>
      <w:rFonts w:ascii="Times New Roman" w:eastAsia="宋体" w:hAnsi="Times New Roman" w:cs="Times New Roman"/>
      <w:i/>
      <w:iCs/>
      <w:szCs w:val="24"/>
    </w:rPr>
  </w:style>
  <w:style w:type="character" w:customStyle="1" w:styleId="2">
    <w:name w:val="标题 2 字符"/>
    <w:basedOn w:val="DefaultParagraphFont"/>
    <w:link w:val="Heading2"/>
    <w:semiHidden/>
    <w:rsid w:val="009429AE"/>
    <w:rPr>
      <w:rFonts w:ascii="Arial" w:eastAsia="黑体" w:hAnsi="Arial" w:cs="Times New Roman"/>
      <w:b/>
      <w:bCs/>
      <w:sz w:val="32"/>
      <w:szCs w:val="32"/>
    </w:rPr>
  </w:style>
  <w:style w:type="character" w:customStyle="1" w:styleId="3">
    <w:name w:val="标题 3 字符"/>
    <w:basedOn w:val="DefaultParagraphFont"/>
    <w:link w:val="Heading3"/>
    <w:semiHidden/>
    <w:rsid w:val="009429AE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5">
    <w:name w:val="标题 5 字符"/>
    <w:basedOn w:val="DefaultParagraphFont"/>
    <w:link w:val="Heading5"/>
    <w:semiHidden/>
    <w:rsid w:val="009429AE"/>
    <w:rPr>
      <w:rFonts w:ascii="Times New Roman" w:eastAsia="宋体" w:hAnsi="Times New Roman" w:cs="Times New Roman"/>
      <w:b/>
      <w:bCs/>
      <w:sz w:val="28"/>
      <w:szCs w:val="24"/>
      <w:u w:val="single"/>
    </w:rPr>
  </w:style>
  <w:style w:type="character" w:styleId="Hyperlink">
    <w:name w:val="Hyperlink"/>
    <w:basedOn w:val="DefaultParagraphFont"/>
    <w:semiHidden/>
    <w:unhideWhenUsed/>
    <w:rsid w:val="009429AE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9429AE"/>
    <w:rPr>
      <w:color w:val="800080"/>
      <w:u w:val="single"/>
    </w:rPr>
  </w:style>
  <w:style w:type="paragraph" w:styleId="HTMLPreformatted">
    <w:name w:val="HTML Preformatted"/>
    <w:basedOn w:val="Normal"/>
    <w:link w:val="HTML"/>
    <w:semiHidden/>
    <w:unhideWhenUsed/>
    <w:rsid w:val="009429A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eastAsia="黑体" w:hAnsi="Courier New" w:cs="Courier New"/>
      <w:kern w:val="0"/>
      <w:sz w:val="20"/>
      <w:szCs w:val="20"/>
    </w:rPr>
  </w:style>
  <w:style w:type="character" w:customStyle="1" w:styleId="HTML">
    <w:name w:val="HTML 预设格式 字符"/>
    <w:basedOn w:val="DefaultParagraphFont"/>
    <w:link w:val="HTMLPreformatted"/>
    <w:semiHidden/>
    <w:rsid w:val="009429AE"/>
    <w:rPr>
      <w:rFonts w:ascii="黑体" w:eastAsia="黑体" w:hAnsi="Courier New" w:cs="Courier New"/>
      <w:kern w:val="0"/>
      <w:sz w:val="20"/>
      <w:szCs w:val="20"/>
    </w:rPr>
  </w:style>
  <w:style w:type="character" w:styleId="HTMLTypewriter">
    <w:name w:val="HTML Typewriter"/>
    <w:basedOn w:val="DefaultParagraphFont"/>
    <w:semiHidden/>
    <w:unhideWhenUsed/>
    <w:rsid w:val="009429AE"/>
    <w:rPr>
      <w:rFonts w:ascii="黑体" w:eastAsia="黑体" w:hAnsi="Courier New" w:cs="Courier New" w:hint="eastAsia"/>
      <w:sz w:val="22"/>
      <w:szCs w:val="22"/>
    </w:rPr>
  </w:style>
  <w:style w:type="paragraph" w:customStyle="1" w:styleId="msonormal">
    <w:name w:val="msonormal"/>
    <w:basedOn w:val="Normal"/>
    <w:uiPriority w:val="99"/>
    <w:rsid w:val="009429AE"/>
    <w:pPr>
      <w:widowControl/>
      <w:spacing w:before="100" w:beforeAutospacing="1" w:after="100" w:afterAutospacing="1"/>
      <w:jc w:val="left"/>
    </w:pPr>
    <w:rPr>
      <w:rFonts w:ascii="宋体" w:eastAsia="宋体" w:hAnsi="宋体" w:cs="Times New Roman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429AE"/>
    <w:pPr>
      <w:widowControl/>
      <w:spacing w:before="100" w:beforeAutospacing="1" w:after="100" w:afterAutospacing="1"/>
      <w:jc w:val="left"/>
    </w:pPr>
    <w:rPr>
      <w:rFonts w:ascii="宋体" w:eastAsia="宋体" w:hAnsi="宋体" w:cs="Times New Roman"/>
      <w:kern w:val="0"/>
      <w:sz w:val="24"/>
      <w:szCs w:val="24"/>
    </w:rPr>
  </w:style>
  <w:style w:type="paragraph" w:styleId="TOC1">
    <w:name w:val="toc 1"/>
    <w:basedOn w:val="Normal"/>
    <w:autoRedefine/>
    <w:uiPriority w:val="99"/>
    <w:semiHidden/>
    <w:unhideWhenUsed/>
    <w:rsid w:val="009429AE"/>
    <w:pPr>
      <w:widowControl/>
      <w:shd w:val="pct15" w:color="auto" w:fill="FFFFFF"/>
      <w:tabs>
        <w:tab w:val="right" w:leader="dot" w:pos="12600"/>
      </w:tabs>
      <w:spacing w:line="360" w:lineRule="auto"/>
      <w:ind w:left="630" w:leftChars="300"/>
      <w:jc w:val="left"/>
    </w:pPr>
    <w:rPr>
      <w:rFonts w:ascii="宋体" w:eastAsia="宋体" w:hAnsi="宋体" w:cs="Times New Roman"/>
      <w:noProof/>
      <w:color w:val="0000FF"/>
      <w:kern w:val="0"/>
      <w:sz w:val="28"/>
      <w:szCs w:val="24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9429AE"/>
    <w:pPr>
      <w:tabs>
        <w:tab w:val="right" w:leader="dot" w:pos="12600"/>
      </w:tabs>
      <w:ind w:left="1050" w:leftChars="500"/>
    </w:pPr>
    <w:rPr>
      <w:rFonts w:ascii="Times New Roman" w:eastAsia="宋体" w:hAnsi="Times New Roman" w:cs="Times New Roman"/>
      <w:noProof/>
      <w:sz w:val="28"/>
      <w:szCs w:val="24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9429AE"/>
    <w:pPr>
      <w:tabs>
        <w:tab w:val="right" w:leader="dot" w:pos="12600"/>
      </w:tabs>
      <w:ind w:left="1470" w:leftChars="700"/>
    </w:pPr>
    <w:rPr>
      <w:rFonts w:ascii="Times New Roman" w:eastAsia="宋体" w:hAnsi="Times New Roman" w:cs="Times New Roman"/>
      <w:noProof/>
      <w:sz w:val="28"/>
      <w:szCs w:val="24"/>
    </w:rPr>
  </w:style>
  <w:style w:type="paragraph" w:styleId="NormalIndent">
    <w:name w:val="Normal Indent"/>
    <w:basedOn w:val="Normal"/>
    <w:uiPriority w:val="99"/>
    <w:semiHidden/>
    <w:unhideWhenUsed/>
    <w:rsid w:val="009429AE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Header">
    <w:name w:val="header"/>
    <w:basedOn w:val="Normal"/>
    <w:link w:val="a"/>
    <w:uiPriority w:val="99"/>
    <w:unhideWhenUsed/>
    <w:rsid w:val="009429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9429AE"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9429AE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9429AE"/>
    <w:rPr>
      <w:rFonts w:ascii="Times New Roman" w:eastAsia="宋体" w:hAnsi="Times New Roman" w:cs="Times New Roman"/>
      <w:sz w:val="18"/>
      <w:szCs w:val="18"/>
    </w:rPr>
  </w:style>
  <w:style w:type="paragraph" w:styleId="BodyText">
    <w:name w:val="Body Text"/>
    <w:basedOn w:val="Normal"/>
    <w:link w:val="a1"/>
    <w:uiPriority w:val="99"/>
    <w:semiHidden/>
    <w:unhideWhenUsed/>
    <w:rsid w:val="009429AE"/>
    <w:pPr>
      <w:spacing w:line="560" w:lineRule="exact"/>
    </w:pPr>
    <w:rPr>
      <w:rFonts w:ascii="Times New Roman" w:eastAsia="宋体" w:hAnsi="Times New Roman" w:cs="Times New Roman"/>
      <w:sz w:val="24"/>
      <w:szCs w:val="24"/>
    </w:rPr>
  </w:style>
  <w:style w:type="character" w:customStyle="1" w:styleId="a1">
    <w:name w:val="正文文本 字符"/>
    <w:basedOn w:val="DefaultParagraphFont"/>
    <w:link w:val="BodyText"/>
    <w:uiPriority w:val="99"/>
    <w:semiHidden/>
    <w:rsid w:val="009429AE"/>
    <w:rPr>
      <w:rFonts w:ascii="Times New Roman" w:eastAsia="宋体" w:hAnsi="Times New Roman" w:cs="Times New Roman"/>
      <w:sz w:val="24"/>
      <w:szCs w:val="24"/>
    </w:rPr>
  </w:style>
  <w:style w:type="paragraph" w:styleId="BodyTextIndent">
    <w:name w:val="Body Text Indent"/>
    <w:basedOn w:val="Normal"/>
    <w:link w:val="a2"/>
    <w:uiPriority w:val="99"/>
    <w:semiHidden/>
    <w:unhideWhenUsed/>
    <w:rsid w:val="009429AE"/>
    <w:pPr>
      <w:widowControl/>
      <w:spacing w:line="360" w:lineRule="auto"/>
      <w:ind w:firstLine="480" w:firstLineChars="200"/>
      <w:jc w:val="left"/>
    </w:pPr>
    <w:rPr>
      <w:rFonts w:ascii="宋体" w:eastAsia="宋体" w:hAnsi="宋体" w:cs="Times New Roman"/>
      <w:kern w:val="0"/>
      <w:sz w:val="24"/>
      <w:szCs w:val="28"/>
    </w:rPr>
  </w:style>
  <w:style w:type="character" w:customStyle="1" w:styleId="a2">
    <w:name w:val="正文文本缩进 字符"/>
    <w:basedOn w:val="DefaultParagraphFont"/>
    <w:link w:val="BodyTextIndent"/>
    <w:uiPriority w:val="99"/>
    <w:semiHidden/>
    <w:rsid w:val="009429AE"/>
    <w:rPr>
      <w:rFonts w:ascii="宋体" w:eastAsia="宋体" w:hAnsi="宋体" w:cs="Times New Roman"/>
      <w:kern w:val="0"/>
      <w:sz w:val="24"/>
      <w:szCs w:val="28"/>
    </w:rPr>
  </w:style>
  <w:style w:type="paragraph" w:styleId="Date">
    <w:name w:val="Date"/>
    <w:basedOn w:val="Normal"/>
    <w:next w:val="Normal"/>
    <w:link w:val="a3"/>
    <w:uiPriority w:val="99"/>
    <w:semiHidden/>
    <w:unhideWhenUsed/>
    <w:rsid w:val="009429AE"/>
    <w:pPr>
      <w:widowControl/>
      <w:ind w:left="100" w:leftChars="2500"/>
      <w:jc w:val="left"/>
    </w:pPr>
    <w:rPr>
      <w:rFonts w:ascii="黑体" w:eastAsia="黑体" w:hAnsi="Times New Roman" w:cs="Times New Roman"/>
      <w:kern w:val="0"/>
      <w:sz w:val="28"/>
      <w:szCs w:val="24"/>
    </w:rPr>
  </w:style>
  <w:style w:type="character" w:customStyle="1" w:styleId="a3">
    <w:name w:val="日期 字符"/>
    <w:basedOn w:val="DefaultParagraphFont"/>
    <w:link w:val="Date"/>
    <w:uiPriority w:val="99"/>
    <w:semiHidden/>
    <w:rsid w:val="009429AE"/>
    <w:rPr>
      <w:rFonts w:ascii="黑体" w:eastAsia="黑体" w:hAnsi="Times New Roman" w:cs="Times New Roman"/>
      <w:kern w:val="0"/>
      <w:sz w:val="28"/>
      <w:szCs w:val="24"/>
    </w:rPr>
  </w:style>
  <w:style w:type="paragraph" w:styleId="BodyText2">
    <w:name w:val="Body Text 2"/>
    <w:basedOn w:val="Normal"/>
    <w:link w:val="20"/>
    <w:uiPriority w:val="99"/>
    <w:semiHidden/>
    <w:unhideWhenUsed/>
    <w:rsid w:val="009429AE"/>
    <w:rPr>
      <w:rFonts w:ascii="Times New Roman" w:eastAsia="黑体" w:hAnsi="Times New Roman" w:cs="Times New Roman"/>
      <w:sz w:val="28"/>
      <w:szCs w:val="24"/>
    </w:rPr>
  </w:style>
  <w:style w:type="character" w:customStyle="1" w:styleId="20">
    <w:name w:val="正文文本 2 字符"/>
    <w:basedOn w:val="DefaultParagraphFont"/>
    <w:link w:val="BodyText2"/>
    <w:uiPriority w:val="99"/>
    <w:semiHidden/>
    <w:rsid w:val="009429AE"/>
    <w:rPr>
      <w:rFonts w:ascii="Times New Roman" w:eastAsia="黑体" w:hAnsi="Times New Roman" w:cs="Times New Roman"/>
      <w:sz w:val="28"/>
      <w:szCs w:val="24"/>
    </w:rPr>
  </w:style>
  <w:style w:type="paragraph" w:styleId="BodyText3">
    <w:name w:val="Body Text 3"/>
    <w:basedOn w:val="Normal"/>
    <w:link w:val="30"/>
    <w:uiPriority w:val="99"/>
    <w:semiHidden/>
    <w:unhideWhenUsed/>
    <w:rsid w:val="009429AE"/>
    <w:pPr>
      <w:spacing w:line="360" w:lineRule="auto"/>
    </w:pPr>
    <w:rPr>
      <w:rFonts w:ascii="宋体" w:eastAsia="宋体" w:hAnsi="宋体" w:cs="Times New Roman"/>
      <w:color w:val="000000"/>
      <w:sz w:val="24"/>
      <w:szCs w:val="24"/>
    </w:rPr>
  </w:style>
  <w:style w:type="character" w:customStyle="1" w:styleId="30">
    <w:name w:val="正文文本 3 字符"/>
    <w:basedOn w:val="DefaultParagraphFont"/>
    <w:link w:val="BodyText3"/>
    <w:uiPriority w:val="99"/>
    <w:semiHidden/>
    <w:rsid w:val="009429AE"/>
    <w:rPr>
      <w:rFonts w:ascii="宋体" w:eastAsia="宋体" w:hAnsi="宋体" w:cs="Times New Roman"/>
      <w:color w:val="000000"/>
      <w:sz w:val="24"/>
      <w:szCs w:val="24"/>
    </w:rPr>
  </w:style>
  <w:style w:type="paragraph" w:styleId="BodyTextIndent2">
    <w:name w:val="Body Text Indent 2"/>
    <w:basedOn w:val="Normal"/>
    <w:link w:val="21"/>
    <w:uiPriority w:val="99"/>
    <w:semiHidden/>
    <w:unhideWhenUsed/>
    <w:rsid w:val="009429AE"/>
    <w:pPr>
      <w:snapToGrid w:val="0"/>
      <w:spacing w:before="100" w:beforeAutospacing="1" w:after="100" w:afterAutospacing="1" w:line="360" w:lineRule="auto"/>
      <w:ind w:firstLine="540" w:firstLineChars="270"/>
    </w:pPr>
    <w:rPr>
      <w:rFonts w:ascii="Times New Roman" w:eastAsia="KaiTi_GB2312" w:hAnsi="Times New Roman" w:cs="Times New Roman"/>
      <w:sz w:val="24"/>
      <w:szCs w:val="20"/>
    </w:rPr>
  </w:style>
  <w:style w:type="character" w:customStyle="1" w:styleId="21">
    <w:name w:val="正文文本缩进 2 字符"/>
    <w:basedOn w:val="DefaultParagraphFont"/>
    <w:link w:val="BodyTextIndent2"/>
    <w:uiPriority w:val="99"/>
    <w:semiHidden/>
    <w:rsid w:val="009429AE"/>
    <w:rPr>
      <w:rFonts w:ascii="Times New Roman" w:eastAsia="KaiTi_GB2312" w:hAnsi="Times New Roman" w:cs="Times New Roman"/>
      <w:sz w:val="24"/>
      <w:szCs w:val="20"/>
    </w:rPr>
  </w:style>
  <w:style w:type="paragraph" w:styleId="BodyTextIndent3">
    <w:name w:val="Body Text Indent 3"/>
    <w:basedOn w:val="Normal"/>
    <w:link w:val="31"/>
    <w:uiPriority w:val="99"/>
    <w:semiHidden/>
    <w:unhideWhenUsed/>
    <w:rsid w:val="009429AE"/>
    <w:pPr>
      <w:widowControl/>
      <w:spacing w:line="360" w:lineRule="auto"/>
      <w:ind w:firstLine="360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character" w:customStyle="1" w:styleId="31">
    <w:name w:val="正文文本缩进 3 字符"/>
    <w:basedOn w:val="DefaultParagraphFont"/>
    <w:link w:val="BodyTextIndent3"/>
    <w:uiPriority w:val="99"/>
    <w:semiHidden/>
    <w:rsid w:val="009429AE"/>
    <w:rPr>
      <w:rFonts w:ascii="Times New Roman" w:eastAsia="宋体" w:hAnsi="Times New Roman" w:cs="Times New Roman"/>
      <w:kern w:val="0"/>
      <w:sz w:val="24"/>
      <w:szCs w:val="24"/>
    </w:rPr>
  </w:style>
  <w:style w:type="paragraph" w:styleId="DocumentMap">
    <w:name w:val="Document Map"/>
    <w:basedOn w:val="Normal"/>
    <w:link w:val="a4"/>
    <w:uiPriority w:val="99"/>
    <w:semiHidden/>
    <w:unhideWhenUsed/>
    <w:rsid w:val="009429AE"/>
    <w:rPr>
      <w:rFonts w:ascii="宋体" w:eastAsia="宋体" w:hAnsi="Times New Roman" w:cs="Times New Roman"/>
      <w:sz w:val="18"/>
      <w:szCs w:val="18"/>
    </w:rPr>
  </w:style>
  <w:style w:type="character" w:customStyle="1" w:styleId="a4">
    <w:name w:val="文档结构图 字符"/>
    <w:basedOn w:val="DefaultParagraphFont"/>
    <w:link w:val="DocumentMap"/>
    <w:uiPriority w:val="99"/>
    <w:semiHidden/>
    <w:rsid w:val="009429AE"/>
    <w:rPr>
      <w:rFonts w:ascii="宋体" w:eastAsia="宋体" w:hAnsi="Times New Roman" w:cs="Times New Roman"/>
      <w:sz w:val="18"/>
      <w:szCs w:val="18"/>
    </w:rPr>
  </w:style>
  <w:style w:type="paragraph" w:styleId="PlainText">
    <w:name w:val="Plain Text"/>
    <w:basedOn w:val="Normal"/>
    <w:link w:val="a5"/>
    <w:uiPriority w:val="99"/>
    <w:semiHidden/>
    <w:unhideWhenUsed/>
    <w:rsid w:val="009429AE"/>
    <w:rPr>
      <w:rFonts w:ascii="宋体" w:eastAsia="宋体" w:hAnsi="Courier New" w:cs="Courier New"/>
      <w:szCs w:val="21"/>
    </w:rPr>
  </w:style>
  <w:style w:type="character" w:customStyle="1" w:styleId="a5">
    <w:name w:val="纯文本 字符"/>
    <w:basedOn w:val="DefaultParagraphFont"/>
    <w:link w:val="PlainText"/>
    <w:uiPriority w:val="99"/>
    <w:semiHidden/>
    <w:rsid w:val="009429AE"/>
    <w:rPr>
      <w:rFonts w:ascii="宋体" w:eastAsia="宋体" w:hAnsi="Courier New" w:cs="Courier New"/>
      <w:szCs w:val="21"/>
    </w:rPr>
  </w:style>
  <w:style w:type="paragraph" w:styleId="BalloonText">
    <w:name w:val="Balloon Text"/>
    <w:basedOn w:val="Normal"/>
    <w:link w:val="a6"/>
    <w:uiPriority w:val="99"/>
    <w:semiHidden/>
    <w:unhideWhenUsed/>
    <w:rsid w:val="009429AE"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批注框文本 字符"/>
    <w:basedOn w:val="DefaultParagraphFont"/>
    <w:link w:val="BalloonText"/>
    <w:uiPriority w:val="99"/>
    <w:semiHidden/>
    <w:rsid w:val="009429AE"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无间隔 字符"/>
    <w:basedOn w:val="DefaultParagraphFont"/>
    <w:link w:val="NoSpacing"/>
    <w:uiPriority w:val="1"/>
    <w:locked/>
    <w:rsid w:val="009429AE"/>
    <w:rPr>
      <w:rFonts w:ascii="Calibri" w:hAnsi="Calibri" w:cs="Calibri"/>
      <w:sz w:val="22"/>
    </w:rPr>
  </w:style>
  <w:style w:type="paragraph" w:styleId="NoSpacing">
    <w:name w:val="No Spacing"/>
    <w:link w:val="a7"/>
    <w:uiPriority w:val="1"/>
    <w:qFormat/>
    <w:rsid w:val="009429AE"/>
    <w:rPr>
      <w:rFonts w:ascii="Calibri" w:hAnsi="Calibri" w:cs="Calibri"/>
      <w:sz w:val="22"/>
    </w:rPr>
  </w:style>
  <w:style w:type="paragraph" w:customStyle="1" w:styleId="a8">
    <w:name w:val="说明"/>
    <w:basedOn w:val="Normal"/>
    <w:uiPriority w:val="99"/>
    <w:rsid w:val="009429AE"/>
    <w:pPr>
      <w:spacing w:line="360" w:lineRule="auto"/>
    </w:pPr>
    <w:rPr>
      <w:rFonts w:ascii="Times New Roman" w:eastAsia="黑体" w:hAnsi="Times New Roman" w:cs="Times New Roman"/>
      <w:sz w:val="28"/>
      <w:szCs w:val="24"/>
    </w:rPr>
  </w:style>
  <w:style w:type="paragraph" w:customStyle="1" w:styleId="BodyTextIndent31">
    <w:name w:val="Body Text Indent 31"/>
    <w:basedOn w:val="Normal"/>
    <w:uiPriority w:val="99"/>
    <w:rsid w:val="009429AE"/>
    <w:pPr>
      <w:tabs>
        <w:tab w:val="left" w:pos="6660"/>
      </w:tabs>
      <w:adjustRightInd w:val="0"/>
      <w:spacing w:line="480" w:lineRule="exact"/>
      <w:ind w:left="360"/>
      <w:jc w:val="left"/>
    </w:pPr>
    <w:rPr>
      <w:rFonts w:ascii="宋体" w:eastAsia="宋体" w:hAnsi="Times New Roman" w:cs="Times New Roman"/>
      <w:kern w:val="0"/>
      <w:sz w:val="24"/>
      <w:szCs w:val="20"/>
    </w:rPr>
  </w:style>
  <w:style w:type="paragraph" w:customStyle="1" w:styleId="10">
    <w:name w:val="正文缩进1"/>
    <w:basedOn w:val="Normal"/>
    <w:uiPriority w:val="99"/>
    <w:rsid w:val="009429AE"/>
    <w:rPr>
      <w:rFonts w:ascii="Times New Roman" w:eastAsia="宋体" w:hAnsi="Times New Roman" w:cs="Times New Roman"/>
      <w:sz w:val="28"/>
      <w:szCs w:val="24"/>
    </w:rPr>
  </w:style>
  <w:style w:type="paragraph" w:customStyle="1" w:styleId="f14">
    <w:name w:val="f14"/>
    <w:basedOn w:val="Normal"/>
    <w:uiPriority w:val="99"/>
    <w:rsid w:val="009429AE"/>
    <w:pPr>
      <w:widowControl/>
      <w:wordWrap w:val="0"/>
      <w:spacing w:before="100" w:beforeAutospacing="1" w:after="100" w:afterAutospacing="1"/>
      <w:jc w:val="left"/>
    </w:pPr>
    <w:rPr>
      <w:rFonts w:ascii="宋体" w:eastAsia="宋体" w:hAnsi="宋体" w:cs="宋体"/>
      <w:color w:val="333333"/>
      <w:kern w:val="0"/>
      <w:sz w:val="18"/>
      <w:szCs w:val="18"/>
    </w:rPr>
  </w:style>
  <w:style w:type="character" w:customStyle="1" w:styleId="1Char">
    <w:name w:val="样式1 Char"/>
    <w:basedOn w:val="DefaultParagraphFont"/>
    <w:link w:val="11"/>
    <w:locked/>
    <w:rsid w:val="009429AE"/>
    <w:rPr>
      <w:rFonts w:ascii="NSimSun" w:eastAsia="NSimSun" w:hAnsi="NSimSun"/>
      <w:b/>
      <w:color w:val="000000"/>
      <w:sz w:val="32"/>
      <w:szCs w:val="32"/>
    </w:rPr>
  </w:style>
  <w:style w:type="paragraph" w:customStyle="1" w:styleId="11">
    <w:name w:val="样式1"/>
    <w:basedOn w:val="Normal"/>
    <w:link w:val="1Char"/>
    <w:qFormat/>
    <w:rsid w:val="009429AE"/>
    <w:pPr>
      <w:spacing w:line="400" w:lineRule="exact"/>
      <w:ind w:firstLine="723" w:firstLineChars="225"/>
    </w:pPr>
    <w:rPr>
      <w:rFonts w:ascii="NSimSun" w:eastAsia="NSimSun" w:hAnsi="NSimSun"/>
      <w:b/>
      <w:color w:val="000000"/>
      <w:sz w:val="32"/>
      <w:szCs w:val="32"/>
    </w:rPr>
  </w:style>
  <w:style w:type="character" w:customStyle="1" w:styleId="2Char">
    <w:name w:val="样式2 Char"/>
    <w:basedOn w:val="1Char"/>
    <w:link w:val="22"/>
    <w:locked/>
    <w:rsid w:val="009429AE"/>
    <w:rPr>
      <w:rFonts w:ascii="NSimSun" w:eastAsia="NSimSun" w:hAnsi="NSimSun"/>
      <w:b/>
      <w:color w:val="000000"/>
      <w:sz w:val="32"/>
      <w:szCs w:val="32"/>
    </w:rPr>
  </w:style>
  <w:style w:type="paragraph" w:customStyle="1" w:styleId="22">
    <w:name w:val="样式2"/>
    <w:basedOn w:val="11"/>
    <w:link w:val="2Char"/>
    <w:qFormat/>
    <w:rsid w:val="009429AE"/>
  </w:style>
  <w:style w:type="character" w:customStyle="1" w:styleId="3Char">
    <w:name w:val="样式3 Char"/>
    <w:basedOn w:val="2Char"/>
    <w:link w:val="32"/>
    <w:locked/>
    <w:rsid w:val="009429AE"/>
    <w:rPr>
      <w:rFonts w:ascii="NSimSun" w:eastAsia="NSimSun" w:hAnsi="NSimSun"/>
      <w:b/>
      <w:color w:val="000000"/>
      <w:sz w:val="32"/>
      <w:szCs w:val="32"/>
    </w:rPr>
  </w:style>
  <w:style w:type="paragraph" w:customStyle="1" w:styleId="32">
    <w:name w:val="样式3"/>
    <w:basedOn w:val="22"/>
    <w:link w:val="3Char"/>
    <w:qFormat/>
    <w:rsid w:val="009429AE"/>
    <w:pPr>
      <w:ind w:firstLine="0" w:firstLineChars="0"/>
    </w:pPr>
  </w:style>
  <w:style w:type="character" w:customStyle="1" w:styleId="contentfont1">
    <w:name w:val="contentfont1"/>
    <w:basedOn w:val="DefaultParagraphFont"/>
    <w:rsid w:val="009429AE"/>
    <w:rPr>
      <w:rFonts w:ascii="宋体" w:eastAsia="宋体" w:hAnsi="宋体" w:hint="eastAsia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clsfontdeepgray121">
    <w:name w:val="clsfontdeepgray121"/>
    <w:basedOn w:val="DefaultParagraphFont"/>
    <w:rsid w:val="009429AE"/>
    <w:rPr>
      <w:color w:val="333333"/>
      <w:spacing w:val="270"/>
      <w:sz w:val="18"/>
      <w:szCs w:val="18"/>
    </w:rPr>
  </w:style>
  <w:style w:type="table" w:styleId="TableGrid">
    <w:name w:val="Table Grid"/>
    <w:basedOn w:val="TableNormal"/>
    <w:rsid w:val="009429AE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yperlink" Target="https://d.book118.com/967141015155006026" TargetMode="Externa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6493</Words>
  <Characters>7013</Characters>
  <Application>Microsoft Office Word</Application>
  <DocSecurity>0</DocSecurity>
  <Lines>412</Lines>
  <Paragraphs>519</Paragraphs>
  <ScaleCrop>false</ScaleCrop>
  <Company/>
  <LinksUpToDate>false</LinksUpToDate>
  <CharactersWithSpaces>12987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空空不是空空</dc:creator>
  <cp:lastModifiedBy>YH W</cp:lastModifiedBy>
  <cp:revision>2</cp:revision>
  <dcterms:created xsi:type="dcterms:W3CDTF">2024-01-05T09:37:00Z</dcterms:created>
  <dcterms:modified xsi:type="dcterms:W3CDTF">2024-01-05T09:37:00Z</dcterms:modified>
</cp:coreProperties>
</file>