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keepLines/>
        <w:widowControl w:val="0"/>
        <w:numPr>
          <w:ilvl w:val="0"/>
          <w:numId w:val="0"/>
        </w:numPr>
        <w:tabs>
          <w:tab w:val="left" w:pos="851"/>
        </w:tabs>
        <w:spacing w:before="156" w:beforeLines="50" w:line="360" w:lineRule="auto"/>
        <w:ind w:right="0" w:rightChars="0"/>
        <w:jc w:val="center"/>
        <w:outlineLvl w:val="2"/>
        <w:rPr>
          <w:rFonts w:ascii="Times New Roman" w:eastAsia="宋体" w:hAnsi="Times New Roman" w:cs="Times New Roman"/>
          <w:b/>
          <w:bCs/>
          <w:kern w:val="2"/>
          <w:sz w:val="28"/>
          <w:szCs w:val="28"/>
          <w:highlight w:val="none"/>
          <w:lang w:val="en-US" w:bidi="ar-SA"/>
        </w:rPr>
      </w:pPr>
      <w:bookmarkStart w:id="0" w:name="_Toc461005791"/>
      <w:r>
        <w:rPr>
          <w:rFonts w:ascii="Times New Roman" w:eastAsia="宋体" w:hAnsi="Times New Roman" w:cs="Times New Roman" w:hint="eastAsia"/>
          <w:b/>
          <w:bCs/>
          <w:kern w:val="2"/>
          <w:sz w:val="28"/>
          <w:szCs w:val="28"/>
          <w:highlight w:val="none"/>
          <w:lang w:val="en-US" w:eastAsia="zh-CN" w:bidi="ar-SA"/>
        </w:rPr>
        <w:t>海绵城市设施运维方案</w:t>
      </w:r>
      <w:bookmarkEnd w:id="0"/>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海绵城市建设设施种类较多，空间上布局比较分散，总体数量较大，若疏于维护管理，必然会使得局部和整体效果难以达到理想效果。因此，需要梳理海绵城市“渗、滞、蓄、净、用、排”流程，建立从源头到末端的海绵城市设施运营维护制度，对各环节的道路系统、建筑物、小区、管网系统进行立体化运营维护，保证海绵城市设施的正常、持续发挥作用，满足海绵城市考核目标。</w:t>
      </w:r>
    </w:p>
    <w:p>
      <w:pPr>
        <w:keepNext/>
        <w:keepLines/>
        <w:widowControl w:val="0"/>
        <w:numPr>
          <w:ilvl w:val="5"/>
          <w:numId w:val="2"/>
        </w:numPr>
        <w:spacing w:before="156" w:beforeLines="50" w:line="360" w:lineRule="auto"/>
        <w:ind w:firstLine="480" w:firstLineChars="0"/>
        <w:jc w:val="center"/>
        <w:outlineLvl w:val="5"/>
        <w:rPr>
          <w:rFonts w:ascii="Times New Roman" w:eastAsia="宋体" w:hAnsi="Times New Roman" w:cs="Times New Roman"/>
          <w:b/>
          <w:bCs/>
          <w:kern w:val="2"/>
          <w:szCs w:val="21"/>
          <w:highlight w:val="none"/>
          <w:lang w:val="en-US" w:bidi="ar-SA"/>
        </w:rPr>
      </w:pPr>
      <w:r>
        <w:rPr>
          <w:rFonts w:ascii="Times New Roman" w:eastAsia="宋体" w:hAnsi="Times New Roman" w:cs="Times New Roman"/>
          <w:b/>
          <w:bCs/>
          <w:kern w:val="2"/>
          <w:sz w:val="21"/>
          <w:szCs w:val="21"/>
          <w:highlight w:val="none"/>
          <w:lang w:val="en-US" w:eastAsia="zh-CN" w:bidi="ar-SA"/>
        </w:rPr>
        <w:t>海绵城市设施运营维护体系概况</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59"/>
        <w:gridCol w:w="1703"/>
        <w:gridCol w:w="1951"/>
        <w:gridCol w:w="1455"/>
        <w:gridCol w:w="245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环节</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主要维护工程</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维护重点</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维护难点</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维护目标</w:t>
            </w:r>
          </w:p>
        </w:tc>
      </w:tr>
      <w:tr>
        <w:tblPrEx>
          <w:tblW w:w="0" w:type="auto"/>
          <w:jc w:val="center"/>
          <w:tblCellMar>
            <w:top w:w="0" w:type="dxa"/>
            <w:left w:w="108" w:type="dxa"/>
            <w:bottom w:w="0" w:type="dxa"/>
            <w:right w:w="108" w:type="dxa"/>
          </w:tblCellMar>
          <w:tblLook w:val="0000"/>
        </w:tblPrEx>
        <w:trPr>
          <w:trHeight w:val="454"/>
          <w:jc w:val="center"/>
        </w:trPr>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源头控制</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绿色屋顶、雨落管、高位花坛、透水路面、雨水花园、雨水渗沟、渗井</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保持雨水截流设施的有效容积，能及时、充分的截流初期雨水</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透水设施易堵塞、进水需控制雨水外污水进入</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减少雨水径流进入管网，年径流控制率不低于75~85%，减少面源污染物进入管网，控制目标不低于45%</w:t>
            </w:r>
          </w:p>
        </w:tc>
      </w:tr>
      <w:tr>
        <w:tblPrEx>
          <w:tblW w:w="0" w:type="auto"/>
          <w:jc w:val="center"/>
          <w:tblCellMar>
            <w:top w:w="0" w:type="dxa"/>
            <w:left w:w="108" w:type="dxa"/>
            <w:bottom w:w="0" w:type="dxa"/>
            <w:right w:w="108" w:type="dxa"/>
          </w:tblCellMar>
          <w:tblLook w:val="0000"/>
        </w:tblPrEx>
        <w:trPr>
          <w:trHeight w:val="454"/>
          <w:jc w:val="center"/>
        </w:trPr>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过程控制</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雨水管网、生态滞留草沟、下凹式绿地、雨水收集池、调节池</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保证雨水收集、储存设施的进出水管道畅通、进出水调节协调，充分发挥设施的滞、蓄功能</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定期清理管道、池体等，避免淤泥、垃圾堆积堵塞</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以流量调节为主，提升管网排水能力到3年一遇</w:t>
            </w:r>
          </w:p>
        </w:tc>
      </w:tr>
      <w:tr>
        <w:tblPrEx>
          <w:tblW w:w="0" w:type="auto"/>
          <w:jc w:val="center"/>
          <w:tblCellMar>
            <w:top w:w="0" w:type="dxa"/>
            <w:left w:w="108" w:type="dxa"/>
            <w:bottom w:w="0" w:type="dxa"/>
            <w:right w:w="108" w:type="dxa"/>
          </w:tblCellMar>
          <w:tblLook w:val="0000"/>
        </w:tblPrEx>
        <w:trPr>
          <w:trHeight w:val="454"/>
          <w:jc w:val="center"/>
        </w:trPr>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末端治理</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入河初雨分离设施、雨水湿地、植被缓冲带</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维护设施的雨水净化功能</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维护管理植物系统使发挥净化功能</w:t>
            </w:r>
          </w:p>
        </w:tc>
        <w:tc>
          <w:tcPr>
            <w:tcW w:w="0" w:type="auto"/>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控制入河流量，进一步提升雨水径流水质</w:t>
            </w:r>
          </w:p>
        </w:tc>
      </w:tr>
    </w:tbl>
    <w:p>
      <w:pPr>
        <w:keepNext/>
        <w:keepLines/>
        <w:widowControl w:val="0"/>
        <w:numPr>
          <w:ilvl w:val="3"/>
          <w:numId w:val="3"/>
        </w:numPr>
        <w:tabs>
          <w:tab w:val="left" w:pos="1560"/>
        </w:tabs>
        <w:spacing w:before="156" w:beforeLines="50" w:line="360" w:lineRule="auto"/>
        <w:ind w:left="3708" w:hanging="708"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绿色屋顶设施维护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绿色屋顶维护通常集中在植被刚种植的前两年，维护工作主要包括以下方面：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pgSz w:w="11906" w:h="16838"/>
          <w:pgMar w:top="1440" w:right="1800" w:bottom="1440" w:left="1800" w:header="851" w:footer="992" w:gutter="0"/>
          <w:cols w:space="708"/>
          <w:docGrid w:type="lines" w:linePitch="312" w:charSpace="0"/>
        </w:sectPr>
      </w:pPr>
      <w:r>
        <w:rPr>
          <w:rFonts w:ascii="Times New Roman" w:eastAsia="宋体" w:hAnsi="Times New Roman" w:cs="Times New Roman"/>
          <w:kern w:val="2"/>
          <w:sz w:val="24"/>
          <w:highlight w:val="none"/>
          <w:lang w:val="en-US" w:bidi="ar-SA"/>
        </w:rPr>
        <w:t>（1）灌溉。根据植物的生长状况，进行合理的灌溉，最好实现自动灌溉。</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（2）防水层检查。在绿色屋顶初建成的几个月，注意检验防水层是否漏水。</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（3）植被去除。移除自发生长的乔木和灌木，以免其根系会破坏屋顶的防水层。</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（4）垃圾碎片清理。定期清除绿色屋顶表面的垃圾碎片，尤其要保证溢流口和雨落管处无堵塞现象。</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（5）设施检查。绿色屋顶初建成的第一年，每月进行一次例行检查，尤其在每次大降雨事件后应检查基质冲刷、植被生长和屋顶排水的情况；系统运行稳定后，可以每季度检查一次。</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（6）除草。根据设计要求和景观效果，对绿色屋顶植被层进行除草和再种植。</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（7）土壤检测。每年进行两次土壤检测，确保适宜于植物的生长。</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（8）灌溉修剪。干旱期植被易发生自然，故应对植被进行修剪和灌溉，以免火灾发生。</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03" o:spid="_x0000_i1025" type="#_x0000_t75" style="width:199.32pt;height:144.13pt;mso-wrap-distance-left:0;mso-wrap-distance-right:0" o:preferrelative="t" filled="f" stroked="f">
            <v:fill o:detectmouseclick="t"/>
            <v:imagedata r:id="rId4" o:title=""/>
            <v:path o:extrusionok="f"/>
            <o:lock v:ext="edit" aspectratio="t"/>
          </v:shape>
        </w:pict>
      </w:r>
      <w:r>
        <w:rPr>
          <w:rFonts w:ascii="Times New Roman" w:eastAsia="宋体" w:hAnsi="Times New Roman" w:cs="Times New Roman"/>
          <w:kern w:val="2"/>
          <w:sz w:val="24"/>
          <w:highlight w:val="none"/>
          <w:lang w:val="en-US" w:bidi="ar-SA"/>
        </w:rPr>
        <w:pict>
          <v:shape id="图片 904" o:spid="_x0000_i1026" type="#_x0000_t75" style="width:206.09pt;height:143.96pt;mso-wrap-distance-left:0;mso-wrap-distance-right:0" o:preferrelative="t" filled="f" stroked="f">
            <v:fill o:detectmouseclick="t"/>
            <v:imagedata r:id="rId5" o:title=""/>
            <v:path o:extrusionok="f"/>
            <o:lock v:ext="edit" aspectratio="t"/>
          </v:shape>
        </w:pict>
      </w:r>
    </w:p>
    <w:p>
      <w:pPr>
        <w:widowControl w:val="0"/>
        <w:numPr>
          <w:ilvl w:val="6"/>
          <w:numId w:val="2"/>
        </w:numPr>
        <w:spacing w:after="156" w:afterLines="50" w:line="360" w:lineRule="auto"/>
        <w:ind w:left="0" w:firstLine="289" w:firstLineChars="0"/>
        <w:jc w:val="center"/>
        <w:outlineLvl w:val="6"/>
        <w:rPr>
          <w:rFonts w:ascii="Times New Roman" w:eastAsia="宋体" w:hAnsi="Times New Roman" w:cs="Times New Roman"/>
          <w:b/>
          <w:bCs/>
          <w:kern w:val="2"/>
          <w:szCs w:val="21"/>
          <w:highlight w:val="none"/>
          <w:lang w:val="en-US" w:bidi="ar-SA"/>
        </w:rPr>
      </w:pPr>
      <w:r>
        <w:rPr>
          <w:rFonts w:ascii="Times New Roman" w:eastAsia="宋体" w:hAnsi="Times New Roman" w:cs="Times New Roman"/>
          <w:b/>
          <w:bCs/>
          <w:kern w:val="2"/>
          <w:sz w:val="21"/>
          <w:szCs w:val="21"/>
          <w:highlight w:val="none"/>
          <w:lang w:val="en-US" w:eastAsia="zh-CN" w:bidi="ar-SA"/>
        </w:rPr>
        <w:t>屋顶花园的维护</w:t>
      </w:r>
    </w:p>
    <w:p>
      <w:pPr>
        <w:keepNext/>
        <w:keepLines/>
        <w:widowControl w:val="0"/>
        <w:numPr>
          <w:ilvl w:val="3"/>
          <w:numId w:val="2"/>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雨落管维护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type w:val="nextPage"/>
          <w:pgSz w:w="11906" w:h="16838"/>
          <w:pgMar w:top="1440" w:right="1800" w:bottom="1440" w:left="1800" w:header="851" w:footer="992" w:gutter="0"/>
          <w:pgNumType w:start="2"/>
          <w:cols w:space="708"/>
          <w:titlePg w:val="0"/>
          <w:docGrid w:type="lines" w:linePitch="312" w:charSpace="0"/>
        </w:sectPr>
      </w:pPr>
      <w:r>
        <w:rPr>
          <w:rFonts w:ascii="Times New Roman" w:eastAsia="宋体" w:hAnsi="Times New Roman" w:cs="Times New Roman"/>
          <w:kern w:val="2"/>
          <w:sz w:val="24"/>
          <w:highlight w:val="none"/>
          <w:lang w:val="en-US" w:bidi="ar-SA"/>
        </w:rPr>
        <w:t>（1）主要交由小区物业管理。</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（2）重点接收阳台水，防止居民生活排水进入雨落管。出口处保证出水进入高位花坛或雨水收集分离设施。</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（3）定期检查原雨落管老化程度，是否有破损漏点，管卡间距是否合理，卡箍锚固是否结实牢靠，及时修补、修复或更换出现问题的雨落管。</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（4）进水口、出水口堵塞或淤积导致过水不畅时，应及时清理垃圾与沉积物。</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（5）沉积物淤积导致弃流容积不足时应及时进行清淤等。</w:t>
      </w:r>
    </w:p>
    <w:p>
      <w:pPr>
        <w:keepNext/>
        <w:keepLines/>
        <w:widowControl w:val="0"/>
        <w:numPr>
          <w:ilvl w:val="3"/>
          <w:numId w:val="5"/>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高位花坛维护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（1）高位花坛主要利用雨水进行灌溉。雨季应该做好排水，防止积水。非雨季，根据天气情况，适当保证水分供应。</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（2）植物的更换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由于各种花卉都有一定的花期，要使花坛一年四季有花，就必须根据季节和花期，经常进行更换。每次更换都要按照绿化施工养护的要求进行。花坛换花期间，每年必须有1次以上土壤改良和土壤消毒。一级花坛每次换花期间白地裸露不得超过14d，二级花坛每次换花期间白地裸露不得超过20d。</w:t>
      </w:r>
    </w:p>
    <w:p>
      <w:pPr>
        <w:keepNext/>
        <w:keepLines/>
        <w:widowControl w:val="0"/>
        <w:numPr>
          <w:ilvl w:val="3"/>
          <w:numId w:val="5"/>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透水路面维护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透水铺装效果的影响因素主要是面层、基层和土基的堵塞，其寿命还受制于冻胀的影响。透水铺装需要维护与检查的具体项目主要包括以下方面：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（1）表面清理</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面层出现破损时及时进行修补或更换，为减轻泥沙堆积，确保设施的孔隙度，每年进行1-2次的表面清理。高压水系统和空气压缩系统设备会促使表面颗粒进入透水铺装内部造成堵塞，故不适宜于透水铺装表面清理。清理封堵孔隙可采用风机吹扫、高压冲洗或真空清扫等方法。</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（2）车辆限制</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由于货车运送物品特殊性导致某些车辆行驶过程中溢出的灰尘等颗粒会由路面进入渗透设施的内部，造成透水铺装内部堵塞，故道路管理部门应限制渣土车施工车等易产生细小颗粒物的车辆进入透水机动车道路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（3）有害物质</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type w:val="nextPage"/>
          <w:pgSz w:w="11906" w:h="16838"/>
          <w:pgMar w:top="1440" w:right="1800" w:bottom="1440" w:left="1800" w:header="851" w:footer="992" w:gutter="0"/>
          <w:pgNumType w:start="3"/>
          <w:cols w:space="708"/>
          <w:titlePg w:val="0"/>
          <w:docGrid w:type="lines" w:linePitch="312" w:charSpace="0"/>
        </w:sectPr>
      </w:pPr>
      <w:r>
        <w:rPr>
          <w:rFonts w:ascii="Times New Roman" w:eastAsia="宋体" w:hAnsi="Times New Roman" w:cs="Times New Roman"/>
          <w:kern w:val="2"/>
          <w:sz w:val="24"/>
          <w:highlight w:val="none"/>
          <w:lang w:val="en-US" w:bidi="ar-SA"/>
        </w:rPr>
        <w:t>道路监管部门应禁止透水路面区域存放任何有害物质，防止地下水污染。</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（4）颗粒物质</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由于不透水区域以及园林绿地的径流雨水中含有大量颗粒物质，避免其流入透水铺装区域，以免发生堵塞。</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（5）表面低凹</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当透水区域表面发生凹陷，应对其进行修补或更换，以免雨水下渗影响路面地基。</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（6）不均匀沉降</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当路面出现不均匀沉降时，应撬起透水砖调整地基，加填充材料进行重新铺装。</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（7）杂草</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交通量较少的路段，表面杂草阻碍雨水下渗的问题较为突出，直接将其拔除可能破坏铺装材料导致路面受损，故应定期清扫、吸尘来降低路面有机物含量进而限制杂草的生长且尽量不使用除草剂。</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（8）冬季维护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透水铺装表面的大颗粒易导致其孔隙堵塞，故只有当路面系统难以溶解时才可以适当使用融雪剂；可使用有机硅类油基或水基密封材料喷洒表面，达到增进颜色、防止泛碱、提高铺面抗冻融性能等效果。</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（9）除雪</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透水铺装路面的积雪不应堆放在透水区域，以免氯化物下渗污染地下水。</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（10）渗透能力</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透水铺装在春季进行年度检测，来确保其持续的渗透能力；监测大降雨事件后透水铺装路面的积水、水质等情况，保证路面积水在降雨后72小时内排干。</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（11）教育引导</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明确标识透水铺装以及透水路面的具体区域，且严禁在透水铺装设施上安装私人物品，提升公众意识和加强公众教育。</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常规透水铺装路面和透水停车场维护内容和频率如下所示：</w:t>
      </w:r>
    </w:p>
    <w:p>
      <w:pPr>
        <w:keepNext/>
        <w:keepLines/>
        <w:widowControl w:val="0"/>
        <w:numPr>
          <w:ilvl w:val="5"/>
          <w:numId w:val="2"/>
        </w:numPr>
        <w:spacing w:before="156" w:beforeLines="50" w:line="360" w:lineRule="auto"/>
        <w:ind w:firstLine="480" w:firstLineChars="0"/>
        <w:jc w:val="center"/>
        <w:outlineLvl w:val="5"/>
        <w:rPr>
          <w:rFonts w:ascii="Times New Roman" w:eastAsia="宋体" w:hAnsi="Times New Roman" w:cs="Times New Roman"/>
          <w:b/>
          <w:bCs/>
          <w:kern w:val="2"/>
          <w:szCs w:val="21"/>
          <w:highlight w:val="none"/>
          <w:lang w:val="en-US" w:bidi="ar-SA"/>
        </w:rPr>
      </w:pPr>
      <w:r>
        <w:rPr>
          <w:rFonts w:ascii="Times New Roman" w:eastAsia="宋体" w:hAnsi="Times New Roman" w:cs="Times New Roman"/>
          <w:b/>
          <w:bCs/>
          <w:kern w:val="2"/>
          <w:sz w:val="21"/>
          <w:szCs w:val="21"/>
          <w:highlight w:val="none"/>
          <w:lang w:val="en-US" w:eastAsia="zh-CN" w:bidi="ar-SA"/>
        </w:rPr>
        <w:t>常规透水铺装路面维护内容和频率</w:t>
      </w:r>
    </w:p>
    <w:tbl>
      <w:tblPr>
        <w:tblStyle w:val="10"/>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865"/>
        <w:gridCol w:w="4134"/>
      </w:tblGrid>
      <w:tr>
        <w:tblPrEx>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jc w:val="center"/>
        </w:trPr>
        <w:tc>
          <w:tcPr>
            <w:tcW w:w="2416" w:type="pct"/>
          </w:tcPr>
          <w:p>
            <w:pPr>
              <w:autoSpaceDE/>
              <w:autoSpaceDN/>
              <w:spacing w:before="0" w:after="0" w:line="360" w:lineRule="auto"/>
              <w:ind w:left="0" w:right="0" w:firstLine="480" w:firstLineChars="200"/>
              <w:jc w:val="both"/>
              <w:rPr>
                <w:rFonts w:ascii="Times New Roman" w:eastAsia="‘Times New Roman‘" w:hAnsi="Times New Roman" w:cs="Times New Roman"/>
                <w:b/>
                <w:kern w:val="0"/>
                <w:sz w:val="24"/>
                <w:highlight w:val="none"/>
                <w:lang w:val="en-US" w:bidi="ar-SA"/>
              </w:rPr>
            </w:pPr>
            <w:r>
              <w:rPr>
                <w:rFonts w:ascii="Times New Roman" w:eastAsia="‘Times New Roman‘" w:hAnsi="Times New Roman" w:cs="Times New Roman"/>
                <w:b/>
                <w:kern w:val="0"/>
                <w:sz w:val="24"/>
                <w:highlight w:val="none"/>
                <w:lang w:val="en-US" w:bidi="ar-SA"/>
              </w:rPr>
              <w:t>维护内容</w:t>
            </w:r>
          </w:p>
        </w:tc>
        <w:tc>
          <w:tcPr>
            <w:tcW w:w="2584" w:type="pct"/>
          </w:tcPr>
          <w:p>
            <w:pPr>
              <w:autoSpaceDE/>
              <w:autoSpaceDN/>
              <w:spacing w:before="0" w:after="0" w:line="360" w:lineRule="auto"/>
              <w:ind w:left="0" w:right="0" w:firstLine="480" w:firstLineChars="200"/>
              <w:jc w:val="both"/>
              <w:rPr>
                <w:rFonts w:ascii="Times New Roman" w:eastAsia="‘Times New Roman‘" w:hAnsi="Times New Roman" w:cs="Times New Roman"/>
                <w:b/>
                <w:kern w:val="0"/>
                <w:sz w:val="24"/>
                <w:highlight w:val="none"/>
                <w:lang w:val="en-US" w:bidi="ar-SA"/>
              </w:rPr>
            </w:pPr>
            <w:r>
              <w:rPr>
                <w:rFonts w:ascii="Times New Roman" w:eastAsia="‘Times New Roman‘" w:hAnsi="Times New Roman" w:cs="Times New Roman"/>
                <w:b/>
                <w:kern w:val="0"/>
                <w:sz w:val="24"/>
                <w:highlight w:val="none"/>
                <w:lang w:val="en-US" w:bidi="ar-SA"/>
              </w:rPr>
              <w:t>频率</w:t>
            </w:r>
          </w:p>
        </w:tc>
      </w:tr>
      <w:tr>
        <w:tblPrEx>
          <w:tblW w:w="4693" w:type="pct"/>
          <w:jc w:val="center"/>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p>
        </w:tc>
        <w:tc>
          <w:tcPr>
            <w:tcW w:w="2584"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每月一次</w:t>
            </w:r>
          </w:p>
        </w:tc>
      </w:tr>
    </w:tbl>
    <w:p>
      <w:pPr>
        <w:sectPr>
          <w:type w:val="nextPage"/>
          <w:pgSz w:w="11906" w:h="16838"/>
          <w:pgMar w:top="1440" w:right="1800" w:bottom="1440" w:left="1800" w:header="851" w:footer="992" w:gutter="0"/>
          <w:pgNumType w:start="4"/>
          <w:cols w:space="708"/>
          <w:titlePg w:val="0"/>
          <w:docGrid w:type="lines" w:linePitch="312" w:charSpace="0"/>
        </w:sectPr>
      </w:pPr>
    </w:p>
    <w:tbl>
      <w:tblPr>
        <w:tblStyle w:val="11"/>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865"/>
        <w:gridCol w:w="4134"/>
      </w:tblGrid>
      <w:tr>
        <w:tblPrEx>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清除透水铺装区域内的碎片垃圾</w:t>
            </w:r>
          </w:p>
        </w:tc>
        <w:tc>
          <w:tcPr>
            <w:tcW w:w="2584" w:type="pct"/>
          </w:tcPr>
          <w:p/>
        </w:tc>
      </w:tr>
      <w:tr>
        <w:tblPrEx>
          <w:tblW w:w="4693" w:type="pct"/>
          <w:jc w:val="center"/>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去除大降雨事件后的积水</w:t>
            </w:r>
          </w:p>
        </w:tc>
        <w:tc>
          <w:tcPr>
            <w:tcW w:w="2584"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每月一次或降雨量大于当地设计降雨量后</w:t>
            </w:r>
          </w:p>
        </w:tc>
      </w:tr>
      <w:tr>
        <w:tblPrEx>
          <w:tblW w:w="4693" w:type="pct"/>
          <w:jc w:val="center"/>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清理透水铺装区域内的沉积物</w:t>
            </w:r>
          </w:p>
        </w:tc>
        <w:tc>
          <w:tcPr>
            <w:tcW w:w="2584"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每月一次</w:t>
            </w:r>
          </w:p>
        </w:tc>
      </w:tr>
      <w:tr>
        <w:tblPrEx>
          <w:tblW w:w="4693" w:type="pct"/>
          <w:jc w:val="center"/>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清除区域内或邻区的杂草</w:t>
            </w:r>
          </w:p>
        </w:tc>
        <w:tc>
          <w:tcPr>
            <w:tcW w:w="2584"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视需要而定</w:t>
            </w:r>
          </w:p>
        </w:tc>
      </w:tr>
      <w:tr>
        <w:tblPrEx>
          <w:tblW w:w="4693" w:type="pct"/>
          <w:jc w:val="center"/>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真空吸尘器清扫表面沉积物</w:t>
            </w:r>
          </w:p>
        </w:tc>
        <w:tc>
          <w:tcPr>
            <w:tcW w:w="2584"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通常每年3-4次</w:t>
            </w:r>
          </w:p>
        </w:tc>
      </w:tr>
      <w:tr>
        <w:tblPrEx>
          <w:tblW w:w="4693" w:type="pct"/>
          <w:jc w:val="center"/>
          <w:tblCellMar>
            <w:top w:w="0" w:type="dxa"/>
            <w:left w:w="108" w:type="dxa"/>
            <w:bottom w:w="0" w:type="dxa"/>
            <w:right w:w="108" w:type="dxa"/>
          </w:tblCellMar>
          <w:tblLook w:val="0000"/>
        </w:tblPrEx>
        <w:trPr>
          <w:trHeight w:val="454"/>
          <w:jc w:val="center"/>
        </w:trPr>
        <w:tc>
          <w:tcPr>
            <w:tcW w:w="2416"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检测透水区域的表面损坏情况</w:t>
            </w:r>
          </w:p>
        </w:tc>
        <w:tc>
          <w:tcPr>
            <w:tcW w:w="2584"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每年一次</w:t>
            </w:r>
          </w:p>
        </w:tc>
      </w:tr>
    </w:tbl>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图片 905" o:spid="_x0000_i1027" type="#_x0000_t75" style="width:203.73pt;height:129.51pt;mso-wrap-distance-left:0;mso-wrap-distance-right:0" o:preferrelative="t" filled="f" stroked="f">
            <v:fill o:detectmouseclick="t"/>
            <v:imagedata r:id="rId6" o:title=""/>
            <v:path o:extrusionok="f"/>
            <o:lock v:ext="edit" aspectratio="t"/>
          </v:shape>
        </w:pict>
      </w:r>
      <w:r>
        <w:rPr>
          <w:rFonts w:ascii="Times New Roman" w:eastAsia="宋体" w:hAnsi="Times New Roman" w:cs="Times New Roman"/>
          <w:kern w:val="2"/>
          <w:sz w:val="24"/>
          <w:highlight w:val="none"/>
          <w:lang w:val="en-US" w:bidi="ar-SA"/>
        </w:rPr>
        <w:pict>
          <v:shape id="图片 906" o:spid="_x0000_i1028" type="#_x0000_t75" style="width:204.03pt;height:130.35pt;mso-wrap-distance-left:0;mso-wrap-distance-right:0" o:preferrelative="t" filled="f" stroked="f">
            <v:fill o:detectmouseclick="t"/>
            <v:imagedata r:id="rId7" o:title=""/>
            <v:path o:extrusionok="f"/>
            <o:lock v:ext="edit" aspectratio="t"/>
          </v:shape>
        </w:pict>
      </w:r>
    </w:p>
    <w:p>
      <w:pPr>
        <w:widowControl w:val="0"/>
        <w:numPr>
          <w:ilvl w:val="6"/>
          <w:numId w:val="2"/>
        </w:numPr>
        <w:spacing w:after="156" w:afterLines="50" w:line="360" w:lineRule="auto"/>
        <w:ind w:left="0" w:firstLine="289" w:firstLineChars="0"/>
        <w:jc w:val="center"/>
        <w:outlineLvl w:val="6"/>
        <w:rPr>
          <w:rFonts w:ascii="Times New Roman" w:eastAsia="宋体" w:hAnsi="Times New Roman" w:cs="Times New Roman"/>
          <w:b/>
          <w:bCs/>
          <w:kern w:val="2"/>
          <w:szCs w:val="21"/>
          <w:highlight w:val="none"/>
          <w:lang w:val="en-US" w:bidi="ar-SA"/>
        </w:rPr>
      </w:pPr>
      <w:bookmarkStart w:id="1" w:name="_Toc457943704"/>
      <w:r>
        <w:rPr>
          <w:rFonts w:ascii="Times New Roman" w:eastAsia="宋体" w:hAnsi="Times New Roman" w:cs="Times New Roman"/>
          <w:b/>
          <w:bCs/>
          <w:kern w:val="2"/>
          <w:sz w:val="21"/>
          <w:szCs w:val="21"/>
          <w:highlight w:val="none"/>
          <w:lang w:val="en-US" w:eastAsia="zh-CN" w:bidi="ar-SA"/>
        </w:rPr>
        <w:t>透水铺装道路和透水停车场的维护</w:t>
      </w:r>
      <w:bookmarkEnd w:id="1"/>
    </w:p>
    <w:p>
      <w:pPr>
        <w:keepNext/>
        <w:keepLines/>
        <w:widowControl w:val="0"/>
        <w:numPr>
          <w:ilvl w:val="3"/>
          <w:numId w:val="2"/>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雨水花园维护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雨水花园种植植物的选择应考虑所种植植物丰水期和枯水期能忍受的最极端条件、本身特性及景观价值，合理的植物选择对雨水花园设施的运行起决定性作用。维护工作主要包括是植被修复、美化、除草以及干旱季节的灌溉等。具体维护内容主要包括以下方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（1）植被修剪及杂草垃圾处理。定期修剪植被，清除杂草，清理垃圾和碎片等。</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type w:val="nextPage"/>
          <w:pgSz w:w="11906" w:h="16838"/>
          <w:pgMar w:top="1440" w:right="1800" w:bottom="1440" w:left="1800" w:header="851" w:footer="992" w:gutter="0"/>
          <w:pgNumType w:start="5"/>
          <w:cols w:space="708"/>
          <w:titlePg w:val="0"/>
          <w:docGrid w:type="lines" w:linePitch="312" w:charSpace="0"/>
        </w:sectPr>
      </w:pPr>
      <w:r>
        <w:rPr>
          <w:rFonts w:ascii="Times New Roman" w:eastAsia="宋体" w:hAnsi="Times New Roman" w:cs="Times New Roman"/>
          <w:kern w:val="2"/>
          <w:sz w:val="24"/>
          <w:highlight w:val="none"/>
          <w:lang w:val="en-US" w:bidi="ar-SA"/>
        </w:rPr>
        <w:t>（2）种植土层保护。若种植土覆盖层被雨水径流冲蚀，应对其及时更换。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（3）设施检查。每年检查雨水花园的径流入口处两次，以免入口被雨水径流携带的污染物质堵塞；并及时清除雨水花园表面的沉积物。</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（4）植被生长状况评估。每年两次评估雨水花园内植物的生长状况，并及时清除死去的或病害严重的植株。</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（5）土壤pH控制。每年一次检测种植土的pH，将土壤的pH值保持到正常水平。</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图片 907" o:spid="_x0000_i1029" type="#_x0000_t75" style="width:214.33pt;height:131.93pt;mso-wrap-distance-left:0;mso-wrap-distance-right:0" o:preferrelative="t" filled="f" stroked="f">
            <v:fill o:detectmouseclick="t"/>
            <v:imagedata r:id="rId8" o:title=""/>
            <v:path o:extrusionok="f"/>
            <o:lock v:ext="edit" aspectratio="t"/>
          </v:shape>
        </w:pict>
      </w:r>
      <w:r>
        <w:rPr>
          <w:rFonts w:ascii="Times New Roman" w:eastAsia="宋体" w:hAnsi="Times New Roman" w:cs="Times New Roman"/>
          <w:kern w:val="2"/>
          <w:sz w:val="24"/>
          <w:highlight w:val="none"/>
          <w:lang w:val="en-US" w:bidi="ar-SA"/>
        </w:rPr>
        <w:pict>
          <v:shape id="图片 908" o:spid="_x0000_i1030" type="#_x0000_t75" style="width:199.5pt;height:132.38pt;mso-wrap-distance-left:0;mso-wrap-distance-right:0" o:preferrelative="t" filled="f" stroked="f">
            <v:fill o:detectmouseclick="t"/>
            <v:imagedata r:id="rId9" o:title=""/>
            <v:path o:extrusionok="f"/>
            <o:lock v:ext="edit" aspectratio="t"/>
          </v:shape>
        </w:pict>
      </w:r>
    </w:p>
    <w:p>
      <w:pPr>
        <w:widowControl w:val="0"/>
        <w:numPr>
          <w:ilvl w:val="6"/>
          <w:numId w:val="2"/>
        </w:numPr>
        <w:spacing w:after="156" w:afterLines="50" w:line="360" w:lineRule="auto"/>
        <w:ind w:left="0" w:firstLine="289" w:firstLineChars="0"/>
        <w:jc w:val="center"/>
        <w:outlineLvl w:val="6"/>
        <w:rPr>
          <w:rFonts w:ascii="Times New Roman" w:eastAsia="宋体" w:hAnsi="Times New Roman" w:cs="Times New Roman"/>
          <w:b/>
          <w:bCs/>
          <w:kern w:val="2"/>
          <w:szCs w:val="21"/>
          <w:highlight w:val="none"/>
          <w:lang w:val="en-US" w:bidi="ar-SA"/>
        </w:rPr>
      </w:pPr>
      <w:r>
        <w:rPr>
          <w:rFonts w:ascii="Times New Roman" w:eastAsia="宋体" w:hAnsi="Times New Roman" w:cs="Times New Roman"/>
          <w:b/>
          <w:bCs/>
          <w:kern w:val="2"/>
          <w:sz w:val="21"/>
          <w:szCs w:val="21"/>
          <w:highlight w:val="none"/>
          <w:lang w:val="en-US" w:eastAsia="zh-CN" w:bidi="ar-SA"/>
        </w:rPr>
        <w:t>雨水花园的维护</w:t>
      </w:r>
    </w:p>
    <w:p>
      <w:pPr>
        <w:keepNext/>
        <w:keepLines/>
        <w:widowControl w:val="0"/>
        <w:numPr>
          <w:ilvl w:val="3"/>
          <w:numId w:val="2"/>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雨水渗沟维护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雨水渗沟维护内容主要包括以下方面：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（1）设施周边及内部树叶、碎片、沉积物的清理。</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（2）设施检修，通过检修孔对渗沟进行检修，确保其排水最大可接受时间不超过48小时，若排水时间超过48小时，则应通过泵对多孔管进行冲洗和清洁；若排水速度持续缓慢，则应对系统材料进行更换。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（3）运行状况的检查（设施运行最初几个月的大降雨事件之后）。</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（4）预处理设施、溢流设施和渗沟表面的沉积物和油脂的清除。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type w:val="nextPage"/>
          <w:pgSz w:w="11906" w:h="16838"/>
          <w:pgMar w:top="1440" w:right="1800" w:bottom="1440" w:left="1800" w:header="851" w:footer="992" w:gutter="0"/>
          <w:pgNumType w:start="6"/>
          <w:cols w:space="708"/>
          <w:titlePg w:val="0"/>
          <w:docGrid w:type="lines" w:linePitch="312" w:charSpace="0"/>
        </w:sectPr>
      </w:pPr>
      <w:r>
        <w:rPr>
          <w:rFonts w:ascii="Times New Roman" w:eastAsia="宋体" w:hAnsi="Times New Roman" w:cs="Times New Roman"/>
          <w:kern w:val="2"/>
          <w:sz w:val="24"/>
          <w:highlight w:val="none"/>
          <w:lang w:val="en-US" w:bidi="ar-SA"/>
        </w:rPr>
        <w:t>（5）预处理设施和分流设施进行检查（其是否损坏，如损坏应及时修补并清除其沉积物）。</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（6）表面处理。当设施表面出现低凹时，应对其进行修正并替换表层土及其下部的碎石和土工布。</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（7）故障处理。如渗沟出现运行故障，应立即整修，快速恢复2/3处理容积的能力，保证积水在48小时内完全渗透。</w:t>
      </w:r>
    </w:p>
    <w:p>
      <w:pPr>
        <w:keepNext/>
        <w:keepLines/>
        <w:widowControl w:val="0"/>
        <w:numPr>
          <w:ilvl w:val="5"/>
          <w:numId w:val="2"/>
        </w:numPr>
        <w:spacing w:before="156" w:beforeLines="50" w:line="360" w:lineRule="auto"/>
        <w:ind w:firstLine="480" w:firstLineChars="0"/>
        <w:jc w:val="center"/>
        <w:outlineLvl w:val="5"/>
        <w:rPr>
          <w:rFonts w:ascii="Times New Roman" w:eastAsia="宋体" w:hAnsi="Times New Roman" w:cs="Times New Roman"/>
          <w:b/>
          <w:bCs/>
          <w:kern w:val="2"/>
          <w:szCs w:val="21"/>
          <w:highlight w:val="none"/>
          <w:lang w:val="en-US" w:bidi="ar-SA"/>
        </w:rPr>
      </w:pPr>
      <w:bookmarkStart w:id="2" w:name="_Toc457949927"/>
      <w:r>
        <w:rPr>
          <w:rFonts w:ascii="Times New Roman" w:eastAsia="宋体" w:hAnsi="Times New Roman" w:cs="Times New Roman"/>
          <w:b/>
          <w:bCs/>
          <w:kern w:val="2"/>
          <w:sz w:val="21"/>
          <w:szCs w:val="21"/>
          <w:highlight w:val="none"/>
          <w:lang w:val="en-US" w:eastAsia="zh-CN" w:bidi="ar-SA"/>
        </w:rPr>
        <w:t>渗沟常规维护内容和频率</w:t>
      </w:r>
      <w:bookmarkEnd w:id="2"/>
    </w:p>
    <w:tbl>
      <w:tblPr>
        <w:tblStyle w:val="12"/>
        <w:tblW w:w="47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5494"/>
        <w:gridCol w:w="2527"/>
      </w:tblGrid>
      <w:tr>
        <w:tblPrEx>
          <w:tblW w:w="47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blHeader/>
          <w:jc w:val="center"/>
        </w:trPr>
        <w:tc>
          <w:tcPr>
            <w:tcW w:w="3425" w:type="pct"/>
          </w:tcPr>
          <w:p>
            <w:pPr>
              <w:autoSpaceDE/>
              <w:autoSpaceDN/>
              <w:spacing w:before="0" w:after="0" w:line="360" w:lineRule="auto"/>
              <w:ind w:left="0" w:right="0" w:firstLine="480" w:firstLineChars="200"/>
              <w:jc w:val="both"/>
              <w:rPr>
                <w:rFonts w:ascii="Times New Roman" w:eastAsia="‘Times New Roman‘" w:hAnsi="Times New Roman" w:cs="Times New Roman"/>
                <w:b/>
                <w:kern w:val="0"/>
                <w:sz w:val="24"/>
                <w:highlight w:val="none"/>
                <w:lang w:val="en-US" w:bidi="ar-SA"/>
              </w:rPr>
            </w:pPr>
            <w:r>
              <w:rPr>
                <w:rFonts w:ascii="Times New Roman" w:eastAsia="‘Times New Roman‘" w:hAnsi="Times New Roman" w:cs="Times New Roman"/>
                <w:b/>
                <w:kern w:val="0"/>
                <w:sz w:val="24"/>
                <w:highlight w:val="none"/>
                <w:lang w:val="en-US" w:bidi="ar-SA"/>
              </w:rPr>
              <w:t>维护内容</w:t>
            </w:r>
          </w:p>
        </w:tc>
        <w:tc>
          <w:tcPr>
            <w:tcW w:w="1575" w:type="pct"/>
          </w:tcPr>
          <w:p>
            <w:pPr>
              <w:autoSpaceDE/>
              <w:autoSpaceDN/>
              <w:spacing w:before="0" w:after="0" w:line="360" w:lineRule="auto"/>
              <w:ind w:left="0" w:right="0" w:firstLine="480" w:firstLineChars="200"/>
              <w:jc w:val="both"/>
              <w:rPr>
                <w:rFonts w:ascii="Times New Roman" w:eastAsia="‘Times New Roman‘" w:hAnsi="Times New Roman" w:cs="Times New Roman"/>
                <w:b/>
                <w:kern w:val="0"/>
                <w:sz w:val="24"/>
                <w:highlight w:val="none"/>
                <w:lang w:val="en-US" w:bidi="ar-SA"/>
              </w:rPr>
            </w:pPr>
            <w:r>
              <w:rPr>
                <w:rFonts w:ascii="Times New Roman" w:eastAsia="‘Times New Roman‘" w:hAnsi="Times New Roman" w:cs="Times New Roman"/>
                <w:b/>
                <w:kern w:val="0"/>
                <w:sz w:val="24"/>
                <w:highlight w:val="none"/>
                <w:lang w:val="en-US" w:bidi="ar-SA"/>
              </w:rPr>
              <w:t>时间</w:t>
            </w:r>
          </w:p>
        </w:tc>
      </w:tr>
      <w:tr>
        <w:tblPrEx>
          <w:tblW w:w="4706" w:type="pct"/>
          <w:jc w:val="center"/>
          <w:tblCellMar>
            <w:top w:w="0" w:type="dxa"/>
            <w:left w:w="108" w:type="dxa"/>
            <w:bottom w:w="0" w:type="dxa"/>
            <w:right w:w="108" w:type="dxa"/>
          </w:tblCellMar>
          <w:tblLook w:val="0000"/>
        </w:tblPrEx>
        <w:trPr>
          <w:trHeight w:val="454"/>
          <w:jc w:val="center"/>
        </w:trPr>
        <w:tc>
          <w:tcPr>
            <w:tcW w:w="342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更换表面土、卵石以及过滤纤维；</w:t>
            </w:r>
          </w:p>
        </w:tc>
        <w:tc>
          <w:tcPr>
            <w:tcW w:w="157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根据需要</w:t>
            </w:r>
          </w:p>
        </w:tc>
      </w:tr>
      <w:tr>
        <w:tblPrEx>
          <w:tblW w:w="4706" w:type="pct"/>
          <w:jc w:val="center"/>
          <w:tblCellMar>
            <w:top w:w="0" w:type="dxa"/>
            <w:left w:w="108" w:type="dxa"/>
            <w:bottom w:w="0" w:type="dxa"/>
            <w:right w:w="108" w:type="dxa"/>
          </w:tblCellMar>
          <w:tblLook w:val="0000"/>
        </w:tblPrEx>
        <w:trPr>
          <w:trHeight w:val="454"/>
          <w:jc w:val="center"/>
        </w:trPr>
        <w:tc>
          <w:tcPr>
            <w:tcW w:w="342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打扫渗透区、产流区及入口处的碎片及杂物；</w:t>
            </w:r>
          </w:p>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保证产流区稳定产流；</w:t>
            </w:r>
          </w:p>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去除过滤带表面的杂草；</w:t>
            </w:r>
          </w:p>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修复水流入口和出口处受冲蚀的结构；</w:t>
            </w:r>
          </w:p>
        </w:tc>
        <w:tc>
          <w:tcPr>
            <w:tcW w:w="157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每月一次</w:t>
            </w:r>
          </w:p>
        </w:tc>
      </w:tr>
      <w:tr>
        <w:tblPrEx>
          <w:tblW w:w="4706" w:type="pct"/>
          <w:jc w:val="center"/>
          <w:tblCellMar>
            <w:top w:w="0" w:type="dxa"/>
            <w:left w:w="108" w:type="dxa"/>
            <w:bottom w:w="0" w:type="dxa"/>
            <w:right w:w="108" w:type="dxa"/>
          </w:tblCellMar>
          <w:tblLook w:val="0000"/>
        </w:tblPrEx>
        <w:trPr>
          <w:trHeight w:val="454"/>
          <w:jc w:val="center"/>
        </w:trPr>
        <w:tc>
          <w:tcPr>
            <w:tcW w:w="342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干旱期渗沟易发生堵塞，应对其监测三天；</w:t>
            </w:r>
          </w:p>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检测并记录预处理设施及导流结构的沉积物及设施运行状况；</w:t>
            </w:r>
          </w:p>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去除沟渠附近生长的杂草及树木；</w:t>
            </w:r>
          </w:p>
        </w:tc>
        <w:tc>
          <w:tcPr>
            <w:tcW w:w="157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每年两次</w:t>
            </w:r>
          </w:p>
        </w:tc>
      </w:tr>
      <w:tr>
        <w:tblPrEx>
          <w:tblW w:w="4706" w:type="pct"/>
          <w:jc w:val="center"/>
          <w:tblCellMar>
            <w:top w:w="0" w:type="dxa"/>
            <w:left w:w="108" w:type="dxa"/>
            <w:bottom w:w="0" w:type="dxa"/>
            <w:right w:w="108" w:type="dxa"/>
          </w:tblCellMar>
          <w:tblLook w:val="0000"/>
        </w:tblPrEx>
        <w:trPr>
          <w:trHeight w:val="454"/>
          <w:jc w:val="center"/>
        </w:trPr>
        <w:tc>
          <w:tcPr>
            <w:tcW w:w="342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去除预处理设施的沉积物及油脂；</w:t>
            </w:r>
          </w:p>
        </w:tc>
        <w:tc>
          <w:tcPr>
            <w:tcW w:w="157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每年一次</w:t>
            </w:r>
          </w:p>
        </w:tc>
      </w:tr>
      <w:tr>
        <w:tblPrEx>
          <w:tblW w:w="4706" w:type="pct"/>
          <w:jc w:val="center"/>
          <w:tblCellMar>
            <w:top w:w="0" w:type="dxa"/>
            <w:left w:w="108" w:type="dxa"/>
            <w:bottom w:w="0" w:type="dxa"/>
            <w:right w:w="108" w:type="dxa"/>
          </w:tblCellMar>
          <w:tblLook w:val="0000"/>
        </w:tblPrEx>
        <w:trPr>
          <w:trHeight w:val="454"/>
          <w:jc w:val="center"/>
        </w:trPr>
        <w:tc>
          <w:tcPr>
            <w:tcW w:w="342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检修渗沟的存储雨水能力；</w:t>
            </w:r>
          </w:p>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清理渗沟内部杂物；</w:t>
            </w:r>
          </w:p>
        </w:tc>
        <w:tc>
          <w:tcPr>
            <w:tcW w:w="1575" w:type="pct"/>
          </w:tcPr>
          <w:p>
            <w:pPr>
              <w:autoSpaceDE/>
              <w:autoSpaceDN/>
              <w:spacing w:before="0" w:after="0" w:line="360" w:lineRule="auto"/>
              <w:ind w:left="0" w:right="0" w:firstLine="480" w:firstLineChars="200"/>
              <w:jc w:val="both"/>
              <w:rPr>
                <w:rFonts w:ascii="Times New Roman" w:eastAsia="华文细黑" w:hAnsi="Times New Roman" w:cs="Times New Roman"/>
                <w:kern w:val="0"/>
                <w:sz w:val="24"/>
                <w:highlight w:val="none"/>
                <w:lang w:val="en-US" w:bidi="ar-SA"/>
              </w:rPr>
            </w:pPr>
            <w:r>
              <w:rPr>
                <w:rFonts w:ascii="Times New Roman" w:eastAsia="华文细黑" w:hAnsi="Times New Roman" w:cs="Times New Roman"/>
                <w:kern w:val="0"/>
                <w:sz w:val="24"/>
                <w:highlight w:val="none"/>
                <w:lang w:val="en-US" w:bidi="ar-SA"/>
              </w:rPr>
              <w:t>故障时</w:t>
            </w:r>
          </w:p>
        </w:tc>
      </w:tr>
    </w:tbl>
    <w:p>
      <w:pPr>
        <w:keepNext/>
        <w:keepLines/>
        <w:widowControl w:val="0"/>
        <w:numPr>
          <w:ilvl w:val="3"/>
          <w:numId w:val="2"/>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渗井维护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1）运行检测。投入运行的前几个月，在大降雨事件后应检查其运行状况、积水情况。稳定运行后，每年检测一次大降雨后运行状况。</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2）颗粒杂物清理。每月应清理一次设施周边及内部的树叶、碎片和沉积物等。</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3）油脂沉积物清除。对预处理设施、溢流设施和渗渠表面，每年清除一次油脂沉积物，可采用重力式悬浮等方式。</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4）表面低凹处理。当设施表面出现低凹时，应对其进行修整并替换表层土及其下部的碎石和土工布。</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type w:val="nextPage"/>
          <w:pgSz w:w="11906" w:h="16838"/>
          <w:pgMar w:top="1440" w:right="1800" w:bottom="1440" w:left="1800" w:header="851" w:footer="992" w:gutter="0"/>
          <w:pgNumType w:start="7"/>
          <w:cols w:space="708"/>
          <w:titlePg w:val="0"/>
          <w:docGrid w:type="lines" w:linePitch="312" w:charSpace="0"/>
        </w:sectPr>
      </w:pPr>
      <w:r>
        <w:rPr>
          <w:rFonts w:ascii="Times New Roman" w:eastAsia="宋体" w:hAnsi="Times New Roman" w:cs="Times New Roman"/>
          <w:kern w:val="2"/>
          <w:sz w:val="24"/>
          <w:highlight w:val="none"/>
          <w:lang w:val="en-US" w:bidi="ar-SA"/>
        </w:rPr>
        <w:t>5）常年检测。每年对干旱期渗渠堵塞情况进行2次检测，并记录预处理设施及导流结构的沉积物和设施运行状况。</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6）设施检修。通过检查孔对渗渠进行检修，确保其能处理大降雨事件（超过当地设计降雨量）的雨水径流。若完全排水时间超过48小时，则应通过泵对穿孔管进行冲洗和清洁；若排水速度持续缓慢，则应对系统材料进行更新。</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7）故障处理。如出现运行故障，应立即整修，快速恢复2/3处理容积的能力，保证积水在48小时内完全渗透。</w:t>
      </w:r>
    </w:p>
    <w:p>
      <w:pPr>
        <w:keepNext/>
        <w:keepLines/>
        <w:widowControl w:val="0"/>
        <w:numPr>
          <w:ilvl w:val="3"/>
          <w:numId w:val="6"/>
        </w:numPr>
        <w:tabs>
          <w:tab w:val="left" w:pos="1560"/>
        </w:tabs>
        <w:spacing w:before="156" w:beforeLines="50" w:line="360" w:lineRule="auto"/>
        <w:ind w:left="567" w:firstLine="0" w:firstLineChars="0"/>
        <w:jc w:val="both"/>
        <w:outlineLvl w:val="3"/>
        <w:rPr>
          <w:rFonts w:ascii="Times New Roman" w:eastAsia="宋体" w:hAnsi="Times New Roman" w:cs="Times New Roman"/>
          <w:b/>
          <w:bCs/>
          <w:kern w:val="2"/>
          <w:sz w:val="24"/>
          <w:szCs w:val="24"/>
          <w:highlight w:val="none"/>
          <w:lang w:val="en-US" w:bidi="ar-SA"/>
        </w:rPr>
      </w:pPr>
      <w:r>
        <w:rPr>
          <w:rFonts w:ascii="Times New Roman" w:eastAsia="宋体" w:hAnsi="Times New Roman" w:cs="Times New Roman"/>
          <w:b/>
          <w:bCs/>
          <w:kern w:val="2"/>
          <w:sz w:val="24"/>
          <w:szCs w:val="24"/>
          <w:highlight w:val="none"/>
          <w:lang w:val="en-US" w:eastAsia="zh-CN" w:bidi="ar-SA"/>
        </w:rPr>
        <w:t>小区雨水管网维护</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图片 909" o:spid="_x0000_i1031" type="#_x0000_t75" alt="C:\Users\Administrator\Desktop\小区防汛1.jpg" style="width:203.67pt;height:127.55pt;mso-wrap-distance-left:0;mso-wrap-distance-right:0" o:preferrelative="t" filled="f" stroked="f">
            <v:fill o:detectmouseclick="t"/>
            <v:imagedata r:id="rId10" o:title="C:\Users\Administrator\Desktop\小区防汛1.jpg"/>
            <v:path o:extrusionok="f"/>
            <o:lock v:ext="edit" aspectratio="t"/>
          </v:shape>
        </w:pict>
      </w:r>
      <w:r>
        <w:rPr>
          <w:rFonts w:ascii="Times New Roman" w:eastAsia="宋体" w:hAnsi="Times New Roman" w:cs="Times New Roman"/>
          <w:kern w:val="2"/>
          <w:sz w:val="24"/>
          <w:highlight w:val="none"/>
          <w:lang w:val="en-US" w:bidi="ar-SA"/>
        </w:rPr>
        <w:pict>
          <v:shape id="图片 910" o:spid="_x0000_i1032" type="#_x0000_t75" alt="C:\Users\Administrator\Desktop\小区防汛2.jpg" style="width:180.05pt;height:127.55pt;mso-wrap-distance-left:0;mso-wrap-distance-right:0" o:preferrelative="t" filled="f" stroked="f">
            <v:fill o:detectmouseclick="t"/>
            <v:imagedata r:id="rId11" o:title="C:\Users\Administrator\Desktop\小区防汛2.jpg"/>
            <v:path o:extrusionok="f"/>
            <o:lock v:ext="edit" aspectratio="t"/>
          </v:shape>
        </w:pict>
      </w:r>
    </w:p>
    <w:p>
      <w:pPr>
        <w:widowControl w:val="0"/>
        <w:numPr>
          <w:ilvl w:val="6"/>
          <w:numId w:val="6"/>
        </w:numPr>
        <w:spacing w:after="156" w:afterLines="50" w:line="360" w:lineRule="auto"/>
        <w:ind w:left="0" w:firstLine="289" w:firstLineChars="0"/>
        <w:jc w:val="center"/>
        <w:outlineLvl w:val="6"/>
        <w:rPr>
          <w:rFonts w:ascii="Times New Roman" w:eastAsia="宋体" w:hAnsi="Times New Roman" w:cs="Times New Roman"/>
          <w:b/>
          <w:bCs/>
          <w:kern w:val="2"/>
          <w:szCs w:val="21"/>
          <w:highlight w:val="none"/>
          <w:lang w:val="en-US" w:bidi="ar-SA"/>
        </w:rPr>
      </w:pPr>
      <w:r>
        <w:rPr>
          <w:rFonts w:ascii="Times New Roman" w:eastAsia="宋体" w:hAnsi="Times New Roman" w:cs="Times New Roman" w:hint="eastAsia"/>
          <w:b/>
          <w:bCs/>
          <w:kern w:val="2"/>
          <w:sz w:val="21"/>
          <w:szCs w:val="21"/>
          <w:highlight w:val="none"/>
          <w:lang w:val="en-US" w:eastAsia="zh-CN" w:bidi="ar-SA"/>
        </w:rPr>
        <w:t>小区防汛</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hint="eastAsia"/>
          <w:kern w:val="2"/>
          <w:sz w:val="24"/>
          <w:highlight w:val="none"/>
          <w:lang w:val="en-US" w:bidi="ar-SA"/>
        </w:rPr>
        <w:t>1、</w:t>
      </w:r>
      <w:r>
        <w:rPr>
          <w:rFonts w:ascii="Times New Roman" w:eastAsia="宋体" w:hAnsi="Times New Roman" w:cs="Times New Roman"/>
          <w:kern w:val="2"/>
          <w:sz w:val="24"/>
          <w:highlight w:val="none"/>
          <w:lang w:val="en-US" w:bidi="ar-SA"/>
        </w:rPr>
        <w:t>清淤疏通</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为保证管线功能状况良好，实现污水及时输送，需定期对管道进行清淤疏通，每一年汛期前对管线淤积情况进行全面摸查后，针对淤积情况严重管段进行清淤与疏通，确保汛期管道畅通。另外，在日常运营中如发现管线发生堵塞等情况，如淤积情况超过允许的积泥深度，则安排对堵塞管段和检查井进行针对性的清疏工作，管网运营过程中，管线允许积泥深度一般为不超过管径的1/5。</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具体清疏要求如下：</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hint="eastAsia"/>
          <w:kern w:val="2"/>
          <w:sz w:val="24"/>
          <w:highlight w:val="none"/>
          <w:lang w:val="en-US" w:bidi="ar-SA"/>
        </w:rPr>
        <w:t>（1）</w:t>
      </w:r>
      <w:r>
        <w:rPr>
          <w:rFonts w:ascii="Times New Roman" w:eastAsia="宋体" w:hAnsi="Times New Roman" w:cs="Times New Roman"/>
          <w:kern w:val="2"/>
          <w:sz w:val="24"/>
          <w:highlight w:val="none"/>
          <w:lang w:val="en-US" w:bidi="ar-SA"/>
        </w:rPr>
        <w:t>管道疏通前应首先调查其断面、管径、水量、泥量、有无障碍物及户线等情况，采取相应措施后方可进行。</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hint="eastAsia"/>
          <w:kern w:val="2"/>
          <w:sz w:val="24"/>
          <w:highlight w:val="none"/>
          <w:lang w:val="en-US" w:bidi="ar-SA"/>
        </w:rPr>
        <w:t>（2）</w:t>
      </w:r>
      <w:r>
        <w:rPr>
          <w:rFonts w:ascii="Times New Roman" w:eastAsia="宋体" w:hAnsi="Times New Roman" w:cs="Times New Roman"/>
          <w:kern w:val="2"/>
          <w:sz w:val="24"/>
          <w:highlight w:val="none"/>
          <w:lang w:val="en-US" w:bidi="ar-SA"/>
        </w:rPr>
        <w:t>作业时如需相关单位配合，需先行联系。如在车道作业，需按相关规定办理交通占道手续，并按相关规定设置有效交通护栏和警示标志。</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hint="eastAsia"/>
          <w:kern w:val="2"/>
          <w:sz w:val="24"/>
          <w:highlight w:val="none"/>
          <w:lang w:val="en-US" w:bidi="ar-SA"/>
        </w:rPr>
        <w:t>（3）</w:t>
      </w:r>
      <w:r>
        <w:rPr>
          <w:rFonts w:ascii="Times New Roman" w:eastAsia="宋体" w:hAnsi="Times New Roman" w:cs="Times New Roman"/>
          <w:kern w:val="2"/>
          <w:sz w:val="24"/>
          <w:highlight w:val="none"/>
          <w:lang w:val="en-US" w:bidi="ar-SA"/>
        </w:rPr>
        <w:t>疏通作业前必须向参与作业人员进行安全技术交底。</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hint="eastAsia"/>
          <w:kern w:val="2"/>
          <w:sz w:val="24"/>
          <w:highlight w:val="none"/>
          <w:lang w:val="en-US" w:bidi="ar-SA"/>
        </w:rPr>
        <w:t>（4）</w:t>
      </w:r>
      <w:r>
        <w:rPr>
          <w:rFonts w:ascii="Times New Roman" w:eastAsia="宋体" w:hAnsi="Times New Roman" w:cs="Times New Roman"/>
          <w:kern w:val="2"/>
          <w:sz w:val="24"/>
          <w:highlight w:val="none"/>
          <w:lang w:val="en-US" w:bidi="ar-SA"/>
        </w:rPr>
        <w:t>清疏作业场所应尽量减少对社区居民的影响，避开居民集中休息时间。如需在夜间或管道内作业，应按有关规定设置照明设备和警示标志。</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sectPr>
          <w:type w:val="nextPage"/>
          <w:pgSz w:w="11906" w:h="16838"/>
          <w:pgMar w:top="1440" w:right="1800" w:bottom="1440" w:left="1800" w:header="851" w:footer="992" w:gutter="0"/>
          <w:pgNumType w:start="8"/>
          <w:cols w:space="708"/>
          <w:titlePg w:val="0"/>
          <w:docGrid w:type="lines" w:linePitch="312" w:charSpace="0"/>
        </w:sectPr>
      </w:pPr>
      <w:r>
        <w:rPr>
          <w:rFonts w:ascii="Times New Roman" w:eastAsia="宋体" w:hAnsi="Times New Roman" w:cs="Times New Roman" w:hint="eastAsia"/>
          <w:kern w:val="2"/>
          <w:sz w:val="24"/>
          <w:highlight w:val="none"/>
          <w:lang w:val="en-US" w:bidi="ar-SA"/>
        </w:rPr>
        <w:t>（5）</w:t>
      </w:r>
      <w:r>
        <w:rPr>
          <w:rFonts w:ascii="Times New Roman" w:eastAsia="宋体" w:hAnsi="Times New Roman" w:cs="Times New Roman"/>
          <w:kern w:val="2"/>
          <w:sz w:val="24"/>
          <w:highlight w:val="none"/>
          <w:lang w:val="en-US" w:bidi="ar-SA"/>
        </w:rPr>
        <w:t>作业完毕，检查井盖是否盖严，雨水篦子是否吻合，符合要求方能撤离。</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为保证雨季汛期之前对排水管道完成疏通、确保排水管网进入汛期后稳定安全运行，同时保证雨季汛期之中和冬季融雪过程中排水管道正常运行，将各排水管道疏通养护的进度安排如下：</w:t>
      </w:r>
    </w:p>
    <w:p>
      <w:pPr>
        <w:keepNext/>
        <w:keepLines/>
        <w:widowControl w:val="0"/>
        <w:numPr>
          <w:ilvl w:val="5"/>
          <w:numId w:val="2"/>
        </w:numPr>
        <w:spacing w:before="156" w:beforeLines="50" w:line="360" w:lineRule="auto"/>
        <w:ind w:firstLine="480" w:firstLineChars="0"/>
        <w:jc w:val="center"/>
        <w:outlineLvl w:val="5"/>
        <w:rPr>
          <w:rFonts w:ascii="Times New Roman" w:eastAsia="宋体" w:hAnsi="Times New Roman" w:cs="Times New Roman"/>
          <w:b/>
          <w:bCs/>
          <w:kern w:val="2"/>
          <w:szCs w:val="21"/>
          <w:highlight w:val="none"/>
          <w:lang w:val="en-US" w:bidi="ar-SA"/>
        </w:rPr>
      </w:pPr>
      <w:r>
        <w:rPr>
          <w:rFonts w:ascii="Times New Roman" w:eastAsia="宋体" w:hAnsi="Times New Roman" w:cs="Times New Roman"/>
          <w:b/>
          <w:bCs/>
          <w:kern w:val="2"/>
          <w:sz w:val="21"/>
          <w:szCs w:val="21"/>
          <w:highlight w:val="none"/>
          <w:lang w:val="en-US" w:eastAsia="zh-CN" w:bidi="ar-SA"/>
        </w:rPr>
        <w:t>管道疏通进度计划表</w:t>
      </w:r>
    </w:p>
    <w:tbl>
      <w:tblPr>
        <w:tblStyle w:val="0"/>
        <w:tblW w:w="8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26"/>
        <w:gridCol w:w="600"/>
        <w:gridCol w:w="601"/>
        <w:gridCol w:w="601"/>
        <w:gridCol w:w="601"/>
        <w:gridCol w:w="600"/>
        <w:gridCol w:w="601"/>
        <w:gridCol w:w="601"/>
        <w:gridCol w:w="601"/>
        <w:gridCol w:w="600"/>
        <w:gridCol w:w="601"/>
        <w:gridCol w:w="601"/>
        <w:gridCol w:w="586"/>
        <w:gridCol w:w="15"/>
      </w:tblGrid>
      <w:tr>
        <w:tblPrEx>
          <w:tblW w:w="8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After w:val="1"/>
          <w:wAfter w:w="15" w:type="dxa"/>
          <w:trHeight w:val="454"/>
          <w:jc w:val="center"/>
        </w:trPr>
        <w:tc>
          <w:tcPr>
            <w:tcW w:w="1526" w:type="dxa"/>
            <w:vMerge w:val="restart"/>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养护内容</w:t>
            </w:r>
          </w:p>
        </w:tc>
        <w:tc>
          <w:tcPr>
            <w:tcW w:w="7194" w:type="dxa"/>
            <w:gridSpan w:val="1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月份</w:t>
            </w:r>
          </w:p>
        </w:tc>
      </w:tr>
      <w:tr>
        <w:tblPrEx>
          <w:tblW w:w="8735" w:type="dxa"/>
          <w:jc w:val="center"/>
          <w:tblLayout w:type="fixed"/>
          <w:tblCellMar>
            <w:top w:w="0" w:type="dxa"/>
            <w:left w:w="108" w:type="dxa"/>
            <w:bottom w:w="0" w:type="dxa"/>
            <w:right w:w="108" w:type="dxa"/>
          </w:tblCellMar>
          <w:tblLook w:val="0000"/>
        </w:tblPrEx>
        <w:trPr>
          <w:trHeight w:val="454"/>
          <w:jc w:val="center"/>
        </w:trPr>
        <w:tc>
          <w:tcPr>
            <w:tcW w:w="1526" w:type="dxa"/>
            <w:vMerge/>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w: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5</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6</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7</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8</w: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9</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10</w: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11</w:t>
            </w:r>
          </w:p>
        </w:tc>
        <w:tc>
          <w:tcPr>
            <w:tcW w:w="601" w:type="dxa"/>
            <w:gridSpan w:val="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12</w:t>
            </w:r>
          </w:p>
        </w:tc>
      </w:tr>
      <w:tr>
        <w:tblPrEx>
          <w:tblW w:w="8735" w:type="dxa"/>
          <w:jc w:val="center"/>
          <w:tblLayout w:type="fixed"/>
          <w:tblCellMar>
            <w:top w:w="0" w:type="dxa"/>
            <w:left w:w="108" w:type="dxa"/>
            <w:bottom w:w="0" w:type="dxa"/>
            <w:right w:w="108" w:type="dxa"/>
          </w:tblCellMar>
          <w:tblLook w:val="0000"/>
        </w:tblPrEx>
        <w:trPr>
          <w:trHeight w:val="454"/>
          <w:jc w:val="center"/>
        </w:trPr>
        <w:tc>
          <w:tcPr>
            <w:tcW w:w="1526"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小型雨水管</w: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type id="_x0000_t32" coordsize="21600,21600" o:spt="32" o:oned="t" path="m,l21600,21600e" filled="f">
                  <v:path arrowok="t" fillok="f" o:connecttype="none"/>
                  <o:lock v:ext="edit" shapetype="t"/>
                </v:shapetype>
                <v:shape id="AutoShape 78" o:spid="_x0000_s1033" type="#_x0000_t32" style="width:30.05pt;height:0;margin-top:11.8pt;margin-left:24.65pt;position:absolute;z-index:251658240"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0" o:spid="_x0000_s1034" type="#_x0000_t32" style="width:30.05pt;height:0;margin-top:12.65pt;margin-left:24.3pt;position:absolute;z-index:251659264"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1" o:spid="_x0000_s1035" type="#_x0000_t32" style="width:30.05pt;height:0;margin-top:11.8pt;margin-left:-4.65pt;position:absolute;z-index:251660288" filled="f" stroked="t" strokeweight="2.25pt">
                  <v:fill o:detectmouseclick="t"/>
                  <v:stroke joinstyle="round"/>
                  <v:path arrowok="t" fillok="f"/>
                  <o:lock v:ext="edit" aspectratio="f"/>
                </v:shape>
              </w:pic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2" o:spid="_x0000_s1036" type="#_x0000_t32" style="width:30.05pt;height:0;margin-top:11.8pt;margin-left:23.9pt;position:absolute;z-index:251661312"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gridSpan w:val="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r>
      <w:tr>
        <w:tblPrEx>
          <w:tblW w:w="8735" w:type="dxa"/>
          <w:jc w:val="center"/>
          <w:tblLayout w:type="fixed"/>
          <w:tblCellMar>
            <w:top w:w="0" w:type="dxa"/>
            <w:left w:w="108" w:type="dxa"/>
            <w:bottom w:w="0" w:type="dxa"/>
            <w:right w:w="108" w:type="dxa"/>
          </w:tblCellMar>
          <w:tblLook w:val="0000"/>
        </w:tblPrEx>
        <w:trPr>
          <w:trHeight w:val="454"/>
          <w:jc w:val="center"/>
        </w:trPr>
        <w:tc>
          <w:tcPr>
            <w:tcW w:w="1526"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中型雨水管</w: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3" o:spid="_x0000_s1037" type="#_x0000_t32" style="width:30.05pt;height:0;margin-top:12.45pt;margin-left:24.15pt;position:absolute;z-index:251662336"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4" o:spid="_x0000_s1038" type="#_x0000_t32" style="width:30.05pt;height:0;margin-top:11.6pt;margin-left:24.35pt;position:absolute;z-index:251663360"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5" o:spid="_x0000_s1039" type="#_x0000_t32" style="width:30.05pt;height:0;margin-top:12.45pt;margin-left:23.9pt;position:absolute;z-index:251664384"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gridSpan w:val="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r>
      <w:tr>
        <w:tblPrEx>
          <w:tblW w:w="8735" w:type="dxa"/>
          <w:jc w:val="center"/>
          <w:tblLayout w:type="fixed"/>
          <w:tblCellMar>
            <w:top w:w="0" w:type="dxa"/>
            <w:left w:w="108" w:type="dxa"/>
            <w:bottom w:w="0" w:type="dxa"/>
            <w:right w:w="108" w:type="dxa"/>
          </w:tblCellMar>
          <w:tblLook w:val="0000"/>
        </w:tblPrEx>
        <w:trPr>
          <w:trHeight w:val="454"/>
          <w:jc w:val="center"/>
        </w:trPr>
        <w:tc>
          <w:tcPr>
            <w:tcW w:w="1526"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大型雨水管</w: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6" o:spid="_x0000_s1040" type="#_x0000_t32" style="width:30.05pt;height:0;margin-top:12.55pt;margin-left:23.8pt;position:absolute;z-index:251665408" filled="f" stroked="t" strokeweight="2.25pt">
                  <v:fill o:detectmouseclick="t"/>
                  <v:stroke joinstyle="round"/>
                  <v:path arrowok="t" fillok="f"/>
                  <o:lock v:ext="edit" aspectratio="f"/>
                </v:shape>
              </w:pict>
            </w: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7" o:spid="_x0000_s1041" type="#_x0000_t32" style="width:30.05pt;height:0;margin-top:12.55pt;margin-left:-4.65pt;position:absolute;z-index:251666432" filled="f" stroked="t" strokeweight="2.25pt">
                  <v:fill o:detectmouseclick="t"/>
                  <v:stroke joinstyle="round"/>
                  <v:path arrowok="t" fillok="f"/>
                  <o:lock v:ext="edit" aspectratio="f"/>
                </v:shape>
              </w:pic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gridSpan w:val="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r>
      <w:tr>
        <w:tblPrEx>
          <w:tblW w:w="8735" w:type="dxa"/>
          <w:jc w:val="center"/>
          <w:tblLayout w:type="fixed"/>
          <w:tblCellMar>
            <w:top w:w="0" w:type="dxa"/>
            <w:left w:w="108" w:type="dxa"/>
            <w:bottom w:w="0" w:type="dxa"/>
            <w:right w:w="108" w:type="dxa"/>
          </w:tblCellMar>
          <w:tblLook w:val="0000"/>
        </w:tblPrEx>
        <w:trPr>
          <w:trHeight w:val="454"/>
          <w:jc w:val="center"/>
        </w:trPr>
        <w:tc>
          <w:tcPr>
            <w:tcW w:w="1526"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特大型雨水管</w: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pict>
                <v:shape id="AutoShape 88" o:spid="_x0000_s1042" type="#_x0000_t32" style="width:30.05pt;height:0;margin-top:12.35pt;margin-left:24.2pt;position:absolute;z-index:251667456" filled="f" stroked="t" strokeweight="2.25pt">
                  <v:fill o:detectmouseclick="t"/>
                  <v:stroke joinstyle="round"/>
                  <v:path arrowok="t" fillok="f"/>
                  <o:lock v:ext="edit" aspectratio="f"/>
                </v:shape>
              </w:pict>
            </w: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0"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601" w:type="dxa"/>
            <w:gridSpan w:val="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r>
    </w:tbl>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注：</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宋体" w:eastAsia="宋体" w:hAnsi="宋体" w:cs="宋体" w:hint="eastAsia"/>
          <w:kern w:val="2"/>
          <w:sz w:val="24"/>
          <w:highlight w:val="none"/>
          <w:lang w:val="en-US" w:bidi="ar-SA"/>
        </w:rPr>
        <w:t>①</w:t>
      </w:r>
      <w:r>
        <w:rPr>
          <w:rFonts w:ascii="Times New Roman" w:eastAsia="宋体" w:hAnsi="Times New Roman" w:cs="Times New Roman"/>
          <w:kern w:val="2"/>
          <w:sz w:val="24"/>
          <w:highlight w:val="none"/>
          <w:lang w:val="en-US" w:bidi="ar-SA"/>
        </w:rPr>
        <w:t>小型雨水管：管径Φ≤300mm；</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宋体" w:eastAsia="宋体" w:hAnsi="宋体" w:cs="宋体" w:hint="eastAsia"/>
          <w:kern w:val="2"/>
          <w:sz w:val="24"/>
          <w:highlight w:val="none"/>
          <w:lang w:val="en-US" w:bidi="ar-SA"/>
        </w:rPr>
        <w:t>②</w:t>
      </w:r>
      <w:r>
        <w:rPr>
          <w:rFonts w:ascii="Times New Roman" w:eastAsia="宋体" w:hAnsi="Times New Roman" w:cs="Times New Roman"/>
          <w:kern w:val="2"/>
          <w:sz w:val="24"/>
          <w:highlight w:val="none"/>
          <w:lang w:val="en-US" w:bidi="ar-SA"/>
        </w:rPr>
        <w:t>中型雨水管：管径300mm&lt;Φ≤600mm；</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宋体" w:eastAsia="宋体" w:hAnsi="宋体" w:cs="宋体" w:hint="eastAsia"/>
          <w:kern w:val="2"/>
          <w:sz w:val="24"/>
          <w:highlight w:val="none"/>
          <w:lang w:val="en-US" w:bidi="ar-SA"/>
        </w:rPr>
        <w:t>③</w:t>
      </w:r>
      <w:r>
        <w:rPr>
          <w:rFonts w:ascii="Times New Roman" w:eastAsia="宋体" w:hAnsi="Times New Roman" w:cs="Times New Roman"/>
          <w:kern w:val="2"/>
          <w:sz w:val="24"/>
          <w:highlight w:val="none"/>
          <w:lang w:val="en-US" w:bidi="ar-SA"/>
        </w:rPr>
        <w:t>大型雨水管：管径600mm&lt;Φ≤1000mm；</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宋体" w:eastAsia="宋体" w:hAnsi="宋体" w:cs="宋体" w:hint="eastAsia"/>
          <w:kern w:val="2"/>
          <w:sz w:val="24"/>
          <w:highlight w:val="none"/>
          <w:lang w:val="en-US" w:bidi="ar-SA"/>
        </w:rPr>
        <w:t>④</w:t>
      </w:r>
      <w:r>
        <w:rPr>
          <w:rFonts w:ascii="Times New Roman" w:eastAsia="宋体" w:hAnsi="Times New Roman" w:cs="Times New Roman"/>
          <w:kern w:val="2"/>
          <w:sz w:val="24"/>
          <w:highlight w:val="none"/>
          <w:lang w:val="en-US" w:bidi="ar-SA"/>
        </w:rPr>
        <w:t>特大型雨水管：管径Φ&gt;1000mm。</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管道疏通宜采用推杆疏通、转杆疏通、射水疏通、绞车疏通、水力疏通和人工铲挖等方法。</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疏通管道要畅通，清淤要彻底，井内脏物要清理干净，井壁要冲刷干净，垃圾随清随运，保证完工清场。在管道疏通和污泥运输过程中应做到污泥不落地沿途不洒落，污泥盛器和运输车辆应定期清洗保持清洁并宜加装盖子。不同设施允许积泥深度如下表。</w:t>
      </w:r>
    </w:p>
    <w:p>
      <w:pPr>
        <w:keepNext/>
        <w:keepLines/>
        <w:widowControl w:val="0"/>
        <w:numPr>
          <w:ilvl w:val="5"/>
          <w:numId w:val="2"/>
        </w:numPr>
        <w:spacing w:before="156" w:beforeLines="50" w:line="360" w:lineRule="auto"/>
        <w:ind w:firstLine="480" w:firstLineChars="0"/>
        <w:jc w:val="center"/>
        <w:outlineLvl w:val="5"/>
        <w:rPr>
          <w:rFonts w:ascii="Times New Roman" w:eastAsia="宋体" w:hAnsi="Times New Roman" w:cs="Times New Roman"/>
          <w:b/>
          <w:bCs/>
          <w:kern w:val="2"/>
          <w:szCs w:val="21"/>
          <w:highlight w:val="none"/>
          <w:lang w:val="en-US" w:bidi="ar-SA"/>
        </w:rPr>
      </w:pPr>
      <w:r>
        <w:rPr>
          <w:rFonts w:ascii="Times New Roman" w:eastAsia="宋体" w:hAnsi="Times New Roman" w:cs="Times New Roman"/>
          <w:b/>
          <w:bCs/>
          <w:kern w:val="2"/>
          <w:sz w:val="21"/>
          <w:szCs w:val="21"/>
          <w:highlight w:val="none"/>
          <w:lang w:val="en-US" w:eastAsia="zh-CN" w:bidi="ar-SA"/>
        </w:rPr>
        <w:t>管道、检查井和雨水口的允许积泥深度</w:t>
      </w:r>
    </w:p>
    <w:tbl>
      <w:tblPr>
        <w:tblStyle w:val="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568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5813"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设施类别</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允许积泥深度</w:t>
            </w:r>
          </w:p>
        </w:tc>
      </w:tr>
    </w:tbl>
    <w:p>
      <w:pPr>
        <w:sectPr>
          <w:type w:val="nextPage"/>
          <w:pgSz w:w="11906" w:h="16838"/>
          <w:pgMar w:top="1440" w:right="1800" w:bottom="1440" w:left="1800" w:header="851" w:footer="992" w:gutter="0"/>
          <w:pgNumType w:start="9"/>
          <w:cols w:space="708"/>
          <w:titlePg w:val="0"/>
          <w:docGrid w:type="lines" w:linePitch="312" w:charSpace="0"/>
        </w:sectPr>
      </w:pPr>
    </w:p>
    <w:tbl>
      <w:tblPr>
        <w:tblStyle w:val="1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40"/>
        <w:gridCol w:w="2841"/>
        <w:gridCol w:w="28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jc w:val="center"/>
        </w:trPr>
        <w:tc>
          <w:tcPr>
            <w:tcW w:w="5813" w:type="dxa"/>
            <w:gridSpan w:val="2"/>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管道</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管径的1/5</w:t>
            </w:r>
          </w:p>
        </w:tc>
      </w:tr>
      <w:tr>
        <w:tblPrEx>
          <w:tblW w:w="0" w:type="auto"/>
          <w:jc w:val="center"/>
          <w:tblCellMar>
            <w:top w:w="0" w:type="dxa"/>
            <w:left w:w="108" w:type="dxa"/>
            <w:bottom w:w="0" w:type="dxa"/>
            <w:right w:w="108" w:type="dxa"/>
          </w:tblCellMar>
          <w:tblLook w:val="0000"/>
        </w:tblPrEx>
        <w:trPr>
          <w:trHeight w:val="454"/>
          <w:jc w:val="center"/>
        </w:trPr>
        <w:tc>
          <w:tcPr>
            <w:tcW w:w="2906" w:type="dxa"/>
            <w:vMerge w:val="restart"/>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检查井</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有沉泥槽</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管底以下50mm</w:t>
            </w:r>
          </w:p>
        </w:tc>
      </w:tr>
      <w:tr>
        <w:tblPrEx>
          <w:tblW w:w="0" w:type="auto"/>
          <w:jc w:val="center"/>
          <w:tblCellMar>
            <w:top w:w="0" w:type="dxa"/>
            <w:left w:w="108" w:type="dxa"/>
            <w:bottom w:w="0" w:type="dxa"/>
            <w:right w:w="108" w:type="dxa"/>
          </w:tblCellMar>
          <w:tblLook w:val="0000"/>
        </w:tblPrEx>
        <w:trPr>
          <w:trHeight w:val="454"/>
          <w:jc w:val="center"/>
        </w:trPr>
        <w:tc>
          <w:tcPr>
            <w:tcW w:w="2906" w:type="dxa"/>
            <w:vMerge/>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无沉泥槽</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主管径的1/5</w:t>
            </w:r>
          </w:p>
        </w:tc>
      </w:tr>
      <w:tr>
        <w:tblPrEx>
          <w:tblW w:w="0" w:type="auto"/>
          <w:jc w:val="center"/>
          <w:tblCellMar>
            <w:top w:w="0" w:type="dxa"/>
            <w:left w:w="108" w:type="dxa"/>
            <w:bottom w:w="0" w:type="dxa"/>
            <w:right w:w="108" w:type="dxa"/>
          </w:tblCellMar>
          <w:tblLook w:val="0000"/>
        </w:tblPrEx>
        <w:trPr>
          <w:trHeight w:val="454"/>
          <w:jc w:val="center"/>
        </w:trPr>
        <w:tc>
          <w:tcPr>
            <w:tcW w:w="2906" w:type="dxa"/>
            <w:vMerge w:val="restart"/>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雨水口</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有沉泥槽</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管底以下50mm</w:t>
            </w:r>
          </w:p>
        </w:tc>
      </w:tr>
      <w:tr>
        <w:tblPrEx>
          <w:tblW w:w="0" w:type="auto"/>
          <w:jc w:val="center"/>
          <w:tblCellMar>
            <w:top w:w="0" w:type="dxa"/>
            <w:left w:w="108" w:type="dxa"/>
            <w:bottom w:w="0" w:type="dxa"/>
            <w:right w:w="108" w:type="dxa"/>
          </w:tblCellMar>
          <w:tblLook w:val="0000"/>
        </w:tblPrEx>
        <w:trPr>
          <w:trHeight w:val="454"/>
          <w:jc w:val="center"/>
        </w:trPr>
        <w:tc>
          <w:tcPr>
            <w:tcW w:w="2906" w:type="dxa"/>
            <w:vMerge/>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无沉泥槽</w:t>
            </w:r>
          </w:p>
        </w:tc>
        <w:tc>
          <w:tcPr>
            <w:tcW w:w="2907" w:type="dxa"/>
            <w:vAlign w:val="center"/>
          </w:tcPr>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管底以上50mm</w:t>
            </w:r>
          </w:p>
        </w:tc>
      </w:tr>
    </w:tbl>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hint="eastAsia"/>
          <w:kern w:val="2"/>
          <w:sz w:val="24"/>
          <w:highlight w:val="none"/>
          <w:lang w:val="en-US" w:bidi="ar-SA"/>
        </w:rPr>
        <w:t>2、</w:t>
      </w:r>
      <w:r>
        <w:rPr>
          <w:rFonts w:ascii="Times New Roman" w:eastAsia="宋体" w:hAnsi="Times New Roman" w:cs="Times New Roman"/>
          <w:kern w:val="2"/>
          <w:sz w:val="24"/>
          <w:highlight w:val="none"/>
          <w:lang w:val="en-US" w:bidi="ar-SA"/>
        </w:rPr>
        <w:t>中、小型管道局部维修</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根据管道结构性与功能性检测结果，开展管道维修工作，维修内容包括中小型管道出现局部破损、轻度裂缝、锈蚀等小型修复工作。</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（1）当需断水作业修理而暂时封堵现有污水管渠时，应采取分流、导流及抽水等临时排水措施。工程竣工后，应及时清理所有留在管渠内的管塞、砖块等杂物。</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（2）当管道出现较大破损、断裂、坍塌等情况时，由运营公司配合相关部门、单位进行管道工程维修工作。</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（3）管渠阻流与堵塞维修应符合下列规定：</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用户超标及违章排油垢、施工砂浆、倾倒生活垃圾、建筑渣土、粪便等引起管渠阻流与堵塞，城管监察部门应根据有关规定依法处理，并由排放单位出资，由维护单位负责清疏维修。</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管渠断面过小，不能满足排水需要，而经常发生水流漫溢，应就地改造增加过水断面。</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（4）管渠坍塌、破损、错位的维修应符合下列规定：</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将损坏部分拆除，根据不同原因进行补强，加固修复。</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因地基与基础薄弱造成的损坏，必须先加固地基，然后加固管渠。</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路面修复除另有规定外，应按原结构修复。</w:t>
      </w:r>
    </w:p>
    <w:p>
      <w:pPr>
        <w:autoSpaceDE/>
        <w:autoSpaceDN/>
        <w:spacing w:before="0" w:after="0" w:line="360" w:lineRule="auto"/>
        <w:ind w:left="0" w:right="0" w:firstLine="480" w:firstLineChars="20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highlight w:val="none"/>
          <w:lang w:val="en-US" w:bidi="ar-SA"/>
        </w:rPr>
        <w:t>（5）管渠裂缝修理应符合下列规定：</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裂缝和网状裂缝可采用压抹或喷涂方法更换旧面层，也可采用加罩新面层，加罩新面层前，原壁面应凿毛洗净。</w:t>
      </w:r>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r>
        <w:rPr>
          <w:rFonts w:ascii="Times New Roman" w:eastAsia="宋体" w:hAnsi="Times New Roman" w:cs="Times New Roman"/>
          <w:kern w:val="2"/>
          <w:sz w:val="24"/>
          <w:szCs w:val="22"/>
          <w:highlight w:val="none"/>
          <w:lang w:val="en-US" w:eastAsia="zh-CN" w:bidi="ar-SA"/>
        </w:rPr>
        <w:t>嵌填裂缝前，应先将裂缝或管道接口凿成深度不小于30mm、宽度不小于15mm的V形槽：清理干净后，应用环氧水泥胶浆等材料或微膨胀水泥填实填平。</w:t>
      </w:r>
      <w:r>
        <w:rPr>
          <w:rFonts w:ascii="Times New Roman" w:eastAsia="宋体" w:hAnsi="Times New Roman" w:cs="Times New Roman"/>
          <w:kern w:val="2"/>
          <w:sz w:val="24"/>
          <w:highlight w:val="none"/>
          <w:lang w:val="en-US" w:bidi="ar-SA"/>
        </w:rPr>
        <w:br/>
      </w:r>
      <w:r>
        <w:rPr>
          <w:rFonts w:ascii="Times New Roman" w:eastAsia="宋体" w:hAnsi="Times New Roman" w:cs="Times New Roman"/>
          <w:kern w:val="2"/>
          <w:sz w:val="24"/>
          <w:highlight w:val="none"/>
          <w:lang w:val="en-US" w:bidi="ar-SA"/>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2" w:history="1">
        <w:r>
          <w:rPr>
            <w:rFonts w:ascii="SimSun" w:eastAsia="SimSun" w:hAnsi="SimSun" w:cs="SimSun"/>
            <w:b/>
            <w:bCs/>
            <w:color w:val="0000EE"/>
            <w:sz w:val="30"/>
            <w:szCs w:val="30"/>
            <w:u w:val="single" w:color="0000EE"/>
          </w:rPr>
          <w:t>https://d.book118.com/967151154125006050</w:t>
        </w:r>
      </w:hyperlink>
    </w:p>
    <w:p>
      <w:pPr>
        <w:widowControl w:val="0"/>
        <w:numPr>
          <w:ilvl w:val="0"/>
          <w:numId w:val="7"/>
        </w:numPr>
        <w:spacing w:line="360" w:lineRule="auto"/>
        <w:ind w:left="1320" w:hanging="420" w:firstLineChars="0"/>
        <w:jc w:val="both"/>
        <w:rPr>
          <w:rFonts w:ascii="Times New Roman" w:eastAsia="宋体" w:hAnsi="Times New Roman" w:cs="Times New Roman"/>
          <w:kern w:val="2"/>
          <w:sz w:val="24"/>
          <w:highlight w:val="none"/>
          <w:lang w:val="en-US" w:bidi="ar-SA"/>
        </w:rPr>
      </w:pPr>
    </w:p>
    <w:sectPr>
      <w:type w:val="nextPage"/>
      <w:pgSz w:w="11906" w:h="16838"/>
      <w:pgMar w:top="1440" w:right="1800" w:bottom="1440" w:left="1800" w:header="851" w:footer="992" w:gutter="0"/>
      <w:pgNumType w:start="10"/>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A00002EF" w:usb1="4000207B" w:usb2="00000000" w:usb3="00000000" w:csb0="2000019F" w:csb1="00000000"/>
  </w:font>
  <w:font w:name="黑体">
    <w:panose1 w:val="02010609060101010101"/>
    <w:charset w:val="86"/>
    <w:family w:val="auto"/>
    <w:pitch w:val="default"/>
    <w:sig w:usb0="800002BF" w:usb1="38CF7CFA" w:usb2="00000016" w:usb3="00000000" w:csb0="00040001" w:csb1="00000000"/>
  </w:font>
  <w:font w:name="‘Times New Roman‘">
    <w:altName w:val="宋体"/>
    <w:panose1 w:val="00000000000000000000"/>
    <w:charset w:val="86"/>
    <w:family w:val="roma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B2403C8"/>
    <w:multiLevelType w:val="multilevel"/>
    <w:tmpl w:val="9B2403C8"/>
    <w:lvl w:ilvl="0">
      <w:start w:val="1"/>
      <w:numFmt w:val="chineseCounting"/>
      <w:suff w:val="nothing"/>
      <w:lvlText w:val="%1、"/>
      <w:lvlJc w:val="left"/>
      <w:pPr>
        <w:ind w:left="0" w:firstLine="420"/>
      </w:pPr>
      <w:rPr>
        <w:rFonts w:hint="eastAsia"/>
      </w:rPr>
    </w:lvl>
    <w:lvl w:ilvl="1">
      <w:start w:val="1"/>
      <w:numFmt w:val="decimal"/>
      <w:suff w:val="nothing"/>
      <w:lvlText w:val="%2．"/>
      <w:lvlJc w:val="left"/>
      <w:pPr>
        <w:ind w:left="0" w:firstLine="420"/>
      </w:pPr>
      <w:rPr>
        <w:rFonts w:hint="eastAsia"/>
      </w:rPr>
    </w:lvl>
    <w:lvl w:ilvl="2">
      <w:start w:val="1"/>
      <w:numFmt w:val="decimal"/>
      <w:suff w:val="nothing"/>
      <w:lvlText w:val="（%3）"/>
      <w:lvlJc w:val="left"/>
      <w:pPr>
        <w:ind w:left="0" w:firstLine="420"/>
      </w:pPr>
      <w:rPr>
        <w:rFonts w:hint="eastAsia"/>
      </w:rPr>
    </w:lvl>
    <w:lvl w:ilvl="3">
      <w:start w:val="1"/>
      <w:numFmt w:val="decimalEnclosedCircleChinese"/>
      <w:suff w:val="nothing"/>
      <w:lvlText w:val="%4"/>
      <w:lvlJc w:val="left"/>
      <w:pPr>
        <w:ind w:left="0" w:firstLine="420"/>
      </w:pPr>
      <w:rPr>
        <w:rFonts w:hint="eastAsia"/>
      </w:rPr>
    </w:lvl>
    <w:lvl w:ilvl="4">
      <w:start w:val="1"/>
      <w:numFmt w:val="decimal"/>
      <w:suff w:val="nothing"/>
      <w:lvlText w:val="%5）"/>
      <w:lvlJc w:val="left"/>
      <w:pPr>
        <w:ind w:left="0" w:firstLine="420"/>
      </w:pPr>
      <w:rPr>
        <w:rFonts w:hint="eastAsia"/>
      </w:rPr>
    </w:lvl>
    <w:lvl w:ilvl="5">
      <w:start w:val="1"/>
      <w:numFmt w:val="lowerLetter"/>
      <w:suff w:val="nothing"/>
      <w:lvlText w:val="%6．"/>
      <w:lvlJc w:val="left"/>
      <w:pPr>
        <w:ind w:left="0" w:firstLine="420"/>
      </w:pPr>
      <w:rPr>
        <w:rFonts w:hint="eastAsia"/>
      </w:rPr>
    </w:lvl>
    <w:lvl w:ilvl="6">
      <w:start w:val="1"/>
      <w:numFmt w:val="lowerLetter"/>
      <w:suff w:val="nothing"/>
      <w:lvlText w:val="%7）"/>
      <w:lvlJc w:val="left"/>
      <w:pPr>
        <w:ind w:left="0" w:firstLine="420"/>
      </w:pPr>
      <w:rPr>
        <w:rFonts w:hint="eastAsia"/>
      </w:rPr>
    </w:lvl>
    <w:lvl w:ilvl="7">
      <w:start w:val="1"/>
      <w:numFmt w:val="lowerRoman"/>
      <w:suff w:val="nothing"/>
      <w:lvlText w:val="%8．"/>
      <w:lvlJc w:val="left"/>
      <w:pPr>
        <w:ind w:left="0" w:firstLine="420"/>
      </w:pPr>
      <w:rPr>
        <w:rFonts w:hint="eastAsia"/>
      </w:rPr>
    </w:lvl>
    <w:lvl w:ilvl="8">
      <w:start w:val="1"/>
      <w:numFmt w:val="lowerRoman"/>
      <w:suff w:val="nothing"/>
      <w:lvlText w:val="%9）"/>
      <w:lvlJc w:val="left"/>
      <w:pPr>
        <w:ind w:left="0" w:firstLine="420"/>
      </w:pPr>
      <w:rPr>
        <w:rFonts w:hint="eastAsia"/>
      </w:rPr>
    </w:lvl>
  </w:abstractNum>
  <w:abstractNum w:abstractNumId="1">
    <w:nsid w:val="119E18A7"/>
    <w:multiLevelType w:val="multilevel"/>
    <w:tmpl w:val="119E18A7"/>
    <w:lvl w:ilvl="0">
      <w:start w:val="1"/>
      <w:numFmt w:val="decimal"/>
      <w:lvlText w:val="第%1章 "/>
      <w:lvlJc w:val="left"/>
      <w:pPr>
        <w:ind w:left="3685" w:hanging="425"/>
      </w:pPr>
      <w:rPr>
        <w:rFonts w:hint="eastAsia"/>
        <w:lang w:val="en-US"/>
      </w:rPr>
    </w:lvl>
    <w:lvl w:ilvl="1">
      <w:start w:val="1"/>
      <w:numFmt w:val="decimal"/>
      <w:lvlText w:val="%1.%2"/>
      <w:lvlJc w:val="left"/>
      <w:pPr>
        <w:ind w:left="2977"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3708" w:hanging="708"/>
      </w:pPr>
      <w:rPr>
        <w:rFonts w:hint="eastAsia"/>
      </w:rPr>
    </w:lvl>
    <w:lvl w:ilvl="4">
      <w:start w:val="1"/>
      <w:numFmt w:val="decimal"/>
      <w:lvlRestart w:val="1"/>
      <w:lvlText w:val="图%1-%5"/>
      <w:lvlJc w:val="center"/>
      <w:pPr>
        <w:ind w:left="0" w:firstLine="0"/>
      </w:pPr>
      <w:rPr>
        <w:rFonts w:ascii="Times New Roman" w:eastAsia="宋体" w:hAnsi="Times New Roman" w:hint="default"/>
        <w:b/>
        <w:i w:val="0"/>
        <w:sz w:val="21"/>
      </w:rPr>
    </w:lvl>
    <w:lvl w:ilvl="5">
      <w:start w:val="1"/>
      <w:numFmt w:val="decimal"/>
      <w:lvlRestart w:val="1"/>
      <w:lvlText w:val="表%1-%6"/>
      <w:lvlJc w:val="center"/>
      <w:pPr>
        <w:ind w:left="0" w:firstLine="0"/>
      </w:pPr>
      <w:rPr>
        <w:rFonts w:ascii="Times New Roman" w:eastAsia="宋体" w:hAnsi="Times New Roman" w:hint="default"/>
        <w:b/>
        <w:i w:val="0"/>
        <w:sz w:val="21"/>
      </w:rPr>
    </w:lvl>
    <w:lvl w:ilvl="6">
      <w:start w:val="1"/>
      <w:numFmt w:val="decimal"/>
      <w:lvlRestart w:val="1"/>
      <w:lvlText w:val="图%1-%7"/>
      <w:lvlJc w:val="center"/>
      <w:pPr>
        <w:ind w:left="1556" w:firstLine="288"/>
      </w:pPr>
      <w:rPr>
        <w:rFonts w:eastAsia="宋体" w:hint="eastAsia"/>
        <w:sz w:val="21"/>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1BF2E00C"/>
    <w:multiLevelType w:val="multilevel"/>
    <w:tmpl w:val="119E18A7"/>
    <w:lvl w:ilvl="0">
      <w:start w:val="1"/>
      <w:numFmt w:val="decimal"/>
      <w:lvlText w:val="第%1章 "/>
      <w:lvlJc w:val="left"/>
      <w:pPr>
        <w:ind w:left="3685" w:hanging="425"/>
      </w:pPr>
      <w:rPr>
        <w:rFonts w:hint="eastAsia"/>
        <w:lang w:val="en-US"/>
      </w:rPr>
    </w:lvl>
    <w:lvl w:ilvl="1">
      <w:start w:val="1"/>
      <w:numFmt w:val="decimal"/>
      <w:lvlText w:val="%1.%2"/>
      <w:lvlJc w:val="left"/>
      <w:pPr>
        <w:ind w:left="2977"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3708" w:hanging="708"/>
      </w:pPr>
      <w:rPr>
        <w:rFonts w:hint="eastAsia"/>
      </w:rPr>
    </w:lvl>
    <w:lvl w:ilvl="4">
      <w:start w:val="1"/>
      <w:numFmt w:val="decimal"/>
      <w:lvlRestart w:val="1"/>
      <w:lvlText w:val="图%1-%5"/>
      <w:lvlJc w:val="center"/>
      <w:pPr>
        <w:ind w:left="0" w:firstLine="0"/>
      </w:pPr>
      <w:rPr>
        <w:rFonts w:ascii="Times New Roman" w:eastAsia="宋体" w:hAnsi="Times New Roman" w:hint="default"/>
        <w:b/>
        <w:i w:val="0"/>
        <w:sz w:val="21"/>
      </w:rPr>
    </w:lvl>
    <w:lvl w:ilvl="5">
      <w:start w:val="1"/>
      <w:numFmt w:val="decimal"/>
      <w:lvlRestart w:val="1"/>
      <w:lvlText w:val="表%1-%6"/>
      <w:lvlJc w:val="center"/>
      <w:pPr>
        <w:ind w:left="0" w:firstLine="0"/>
      </w:pPr>
      <w:rPr>
        <w:rFonts w:ascii="Times New Roman" w:eastAsia="宋体" w:hAnsi="Times New Roman" w:hint="default"/>
        <w:b/>
        <w:i w:val="0"/>
        <w:sz w:val="21"/>
      </w:rPr>
    </w:lvl>
    <w:lvl w:ilvl="6">
      <w:start w:val="1"/>
      <w:numFmt w:val="decimal"/>
      <w:lvlRestart w:val="1"/>
      <w:lvlText w:val="图%1-%7"/>
      <w:lvlJc w:val="center"/>
      <w:pPr>
        <w:ind w:left="1556" w:firstLine="288"/>
      </w:pPr>
      <w:rPr>
        <w:rFonts w:eastAsia="宋体" w:hint="eastAsia"/>
        <w:sz w:val="21"/>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nsid w:val="1DE090E5"/>
    <w:multiLevelType w:val="multilevel"/>
    <w:tmpl w:val="119E18A7"/>
    <w:lvl w:ilvl="0">
      <w:start w:val="1"/>
      <w:numFmt w:val="decimal"/>
      <w:lvlText w:val="第%1章 "/>
      <w:lvlJc w:val="left"/>
      <w:pPr>
        <w:ind w:left="3685" w:hanging="425"/>
      </w:pPr>
      <w:rPr>
        <w:rFonts w:hint="eastAsia"/>
        <w:lang w:val="en-US"/>
      </w:rPr>
    </w:lvl>
    <w:lvl w:ilvl="1">
      <w:start w:val="1"/>
      <w:numFmt w:val="decimal"/>
      <w:lvlText w:val="%1.%2"/>
      <w:lvlJc w:val="left"/>
      <w:pPr>
        <w:ind w:left="2977"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3708" w:hanging="708"/>
      </w:pPr>
      <w:rPr>
        <w:rFonts w:hint="eastAsia"/>
      </w:rPr>
    </w:lvl>
    <w:lvl w:ilvl="4">
      <w:start w:val="1"/>
      <w:numFmt w:val="decimal"/>
      <w:lvlRestart w:val="1"/>
      <w:lvlText w:val="图%1-%5"/>
      <w:lvlJc w:val="center"/>
      <w:pPr>
        <w:ind w:left="0" w:firstLine="0"/>
      </w:pPr>
      <w:rPr>
        <w:rFonts w:ascii="Times New Roman" w:eastAsia="宋体" w:hAnsi="Times New Roman" w:hint="default"/>
        <w:b/>
        <w:i w:val="0"/>
        <w:sz w:val="21"/>
      </w:rPr>
    </w:lvl>
    <w:lvl w:ilvl="5">
      <w:start w:val="1"/>
      <w:numFmt w:val="decimal"/>
      <w:lvlRestart w:val="1"/>
      <w:lvlText w:val="表%1-%6"/>
      <w:lvlJc w:val="center"/>
      <w:pPr>
        <w:ind w:left="0" w:firstLine="0"/>
      </w:pPr>
      <w:rPr>
        <w:rFonts w:ascii="Times New Roman" w:eastAsia="宋体" w:hAnsi="Times New Roman" w:hint="default"/>
        <w:b/>
        <w:i w:val="0"/>
        <w:sz w:val="21"/>
      </w:rPr>
    </w:lvl>
    <w:lvl w:ilvl="6">
      <w:start w:val="1"/>
      <w:numFmt w:val="decimal"/>
      <w:lvlRestart w:val="1"/>
      <w:lvlText w:val="图%1-%7"/>
      <w:lvlJc w:val="center"/>
      <w:pPr>
        <w:ind w:left="1556" w:firstLine="288"/>
      </w:pPr>
      <w:rPr>
        <w:rFonts w:eastAsia="宋体" w:hint="eastAsia"/>
        <w:sz w:val="21"/>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52F13DE6"/>
    <w:multiLevelType w:val="multilevel"/>
    <w:tmpl w:val="52F13DE6"/>
    <w:lvl w:ilvl="0">
      <w:start w:val="1"/>
      <w:numFmt w:val="bullet"/>
      <w:lvlText w:val=""/>
      <w:lvlJc w:val="left"/>
      <w:pPr>
        <w:ind w:left="1320" w:hanging="420"/>
      </w:pPr>
      <w:rPr>
        <w:rFonts w:ascii="Wingdings" w:hAnsi="Wingdings" w:hint="default"/>
      </w:rPr>
    </w:lvl>
    <w:lvl w:ilvl="1">
      <w:start w:val="1"/>
      <w:numFmt w:val="bullet"/>
      <w:lvlText w:val=""/>
      <w:lvlJc w:val="left"/>
      <w:pPr>
        <w:ind w:left="1740" w:hanging="420"/>
      </w:pPr>
      <w:rPr>
        <w:rFonts w:ascii="Wingdings" w:hAnsi="Wingdings" w:hint="default"/>
      </w:rPr>
    </w:lvl>
    <w:lvl w:ilvl="2">
      <w:start w:val="1"/>
      <w:numFmt w:val="bullet"/>
      <w:lvlText w:val=""/>
      <w:lvlJc w:val="left"/>
      <w:pPr>
        <w:ind w:left="2160" w:hanging="420"/>
      </w:pPr>
      <w:rPr>
        <w:rFonts w:ascii="Wingdings" w:hAnsi="Wingdings" w:hint="default"/>
      </w:rPr>
    </w:lvl>
    <w:lvl w:ilvl="3">
      <w:start w:val="1"/>
      <w:numFmt w:val="bullet"/>
      <w:lvlText w:val=""/>
      <w:lvlJc w:val="left"/>
      <w:pPr>
        <w:ind w:left="2580" w:hanging="420"/>
      </w:pPr>
      <w:rPr>
        <w:rFonts w:ascii="Wingdings" w:hAnsi="Wingdings" w:hint="default"/>
      </w:rPr>
    </w:lvl>
    <w:lvl w:ilvl="4">
      <w:start w:val="1"/>
      <w:numFmt w:val="bullet"/>
      <w:lvlText w:val=""/>
      <w:lvlJc w:val="left"/>
      <w:pPr>
        <w:ind w:left="3000" w:hanging="420"/>
      </w:pPr>
      <w:rPr>
        <w:rFonts w:ascii="Wingdings" w:hAnsi="Wingdings" w:hint="default"/>
      </w:rPr>
    </w:lvl>
    <w:lvl w:ilvl="5">
      <w:start w:val="1"/>
      <w:numFmt w:val="bullet"/>
      <w:lvlText w:val=""/>
      <w:lvlJc w:val="left"/>
      <w:pPr>
        <w:ind w:left="3420" w:hanging="420"/>
      </w:pPr>
      <w:rPr>
        <w:rFonts w:ascii="Wingdings" w:hAnsi="Wingdings" w:hint="default"/>
      </w:rPr>
    </w:lvl>
    <w:lvl w:ilvl="6">
      <w:start w:val="1"/>
      <w:numFmt w:val="bullet"/>
      <w:lvlText w:val=""/>
      <w:lvlJc w:val="left"/>
      <w:pPr>
        <w:ind w:left="3840" w:hanging="420"/>
      </w:pPr>
      <w:rPr>
        <w:rFonts w:ascii="Wingdings" w:hAnsi="Wingdings" w:hint="default"/>
      </w:rPr>
    </w:lvl>
    <w:lvl w:ilvl="7">
      <w:start w:val="1"/>
      <w:numFmt w:val="bullet"/>
      <w:lvlText w:val=""/>
      <w:lvlJc w:val="left"/>
      <w:pPr>
        <w:ind w:left="4260" w:hanging="420"/>
      </w:pPr>
      <w:rPr>
        <w:rFonts w:ascii="Wingdings" w:hAnsi="Wingdings" w:hint="default"/>
      </w:rPr>
    </w:lvl>
    <w:lvl w:ilvl="8">
      <w:start w:val="1"/>
      <w:numFmt w:val="bullet"/>
      <w:lvlText w:val=""/>
      <w:lvlJc w:val="left"/>
      <w:pPr>
        <w:ind w:left="4680" w:hanging="420"/>
      </w:pPr>
      <w:rPr>
        <w:rFonts w:ascii="Wingdings" w:hAnsi="Wingdings" w:hint="default"/>
      </w:rPr>
    </w:lvl>
  </w:abstractNum>
  <w:abstractNum w:abstractNumId="5">
    <w:nsid w:val="559582EC"/>
    <w:multiLevelType w:val="multilevel"/>
    <w:tmpl w:val="52F13DE6"/>
    <w:lvl w:ilvl="0">
      <w:start w:val="1"/>
      <w:numFmt w:val="bullet"/>
      <w:lvlText w:val=""/>
      <w:lvlJc w:val="left"/>
      <w:pPr>
        <w:ind w:left="1320" w:hanging="420"/>
      </w:pPr>
      <w:rPr>
        <w:rFonts w:ascii="Wingdings" w:hAnsi="Wingdings" w:hint="default"/>
      </w:rPr>
    </w:lvl>
    <w:lvl w:ilvl="1">
      <w:start w:val="1"/>
      <w:numFmt w:val="bullet"/>
      <w:lvlText w:val=""/>
      <w:lvlJc w:val="left"/>
      <w:pPr>
        <w:ind w:left="1740" w:hanging="420"/>
      </w:pPr>
      <w:rPr>
        <w:rFonts w:ascii="Wingdings" w:hAnsi="Wingdings" w:hint="default"/>
      </w:rPr>
    </w:lvl>
    <w:lvl w:ilvl="2">
      <w:start w:val="1"/>
      <w:numFmt w:val="bullet"/>
      <w:lvlText w:val=""/>
      <w:lvlJc w:val="left"/>
      <w:pPr>
        <w:ind w:left="2160" w:hanging="420"/>
      </w:pPr>
      <w:rPr>
        <w:rFonts w:ascii="Wingdings" w:hAnsi="Wingdings" w:hint="default"/>
      </w:rPr>
    </w:lvl>
    <w:lvl w:ilvl="3">
      <w:start w:val="1"/>
      <w:numFmt w:val="bullet"/>
      <w:lvlText w:val=""/>
      <w:lvlJc w:val="left"/>
      <w:pPr>
        <w:ind w:left="2580" w:hanging="420"/>
      </w:pPr>
      <w:rPr>
        <w:rFonts w:ascii="Wingdings" w:hAnsi="Wingdings" w:hint="default"/>
      </w:rPr>
    </w:lvl>
    <w:lvl w:ilvl="4">
      <w:start w:val="1"/>
      <w:numFmt w:val="bullet"/>
      <w:lvlText w:val=""/>
      <w:lvlJc w:val="left"/>
      <w:pPr>
        <w:ind w:left="3000" w:hanging="420"/>
      </w:pPr>
      <w:rPr>
        <w:rFonts w:ascii="Wingdings" w:hAnsi="Wingdings" w:hint="default"/>
      </w:rPr>
    </w:lvl>
    <w:lvl w:ilvl="5">
      <w:start w:val="1"/>
      <w:numFmt w:val="bullet"/>
      <w:lvlText w:val=""/>
      <w:lvlJc w:val="left"/>
      <w:pPr>
        <w:ind w:left="3420" w:hanging="420"/>
      </w:pPr>
      <w:rPr>
        <w:rFonts w:ascii="Wingdings" w:hAnsi="Wingdings" w:hint="default"/>
      </w:rPr>
    </w:lvl>
    <w:lvl w:ilvl="6">
      <w:start w:val="1"/>
      <w:numFmt w:val="bullet"/>
      <w:lvlText w:val=""/>
      <w:lvlJc w:val="left"/>
      <w:pPr>
        <w:ind w:left="3840" w:hanging="420"/>
      </w:pPr>
      <w:rPr>
        <w:rFonts w:ascii="Wingdings" w:hAnsi="Wingdings" w:hint="default"/>
      </w:rPr>
    </w:lvl>
    <w:lvl w:ilvl="7">
      <w:start w:val="1"/>
      <w:numFmt w:val="bullet"/>
      <w:lvlText w:val=""/>
      <w:lvlJc w:val="left"/>
      <w:pPr>
        <w:ind w:left="4260" w:hanging="420"/>
      </w:pPr>
      <w:rPr>
        <w:rFonts w:ascii="Wingdings" w:hAnsi="Wingdings" w:hint="default"/>
      </w:rPr>
    </w:lvl>
    <w:lvl w:ilvl="8">
      <w:start w:val="1"/>
      <w:numFmt w:val="bullet"/>
      <w:lvlText w:val=""/>
      <w:lvlJc w:val="left"/>
      <w:pPr>
        <w:ind w:left="4680" w:hanging="420"/>
      </w:pPr>
      <w:rPr>
        <w:rFonts w:ascii="Wingdings" w:hAnsi="Wingdings" w:hint="default"/>
      </w:r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37C29DC"/>
    <w:rsid w:val="0A3E1842"/>
    <w:rsid w:val="0A471BED"/>
    <w:rsid w:val="0ACE33D7"/>
    <w:rsid w:val="0AE609EE"/>
    <w:rsid w:val="0BAB5CBB"/>
    <w:rsid w:val="0C794681"/>
    <w:rsid w:val="0F2B2CD6"/>
    <w:rsid w:val="18F97160"/>
    <w:rsid w:val="21122C8D"/>
    <w:rsid w:val="229A50A8"/>
    <w:rsid w:val="24644DF7"/>
    <w:rsid w:val="24971FB4"/>
    <w:rsid w:val="24C50317"/>
    <w:rsid w:val="25B2481C"/>
    <w:rsid w:val="268C5247"/>
    <w:rsid w:val="285C2028"/>
    <w:rsid w:val="2EAA13A2"/>
    <w:rsid w:val="2EE36F17"/>
    <w:rsid w:val="328275FE"/>
    <w:rsid w:val="363B156E"/>
    <w:rsid w:val="446435DF"/>
    <w:rsid w:val="46B54EE0"/>
    <w:rsid w:val="49887641"/>
    <w:rsid w:val="55142CB8"/>
    <w:rsid w:val="55C20D55"/>
    <w:rsid w:val="562E2D3D"/>
    <w:rsid w:val="581971A4"/>
    <w:rsid w:val="5AFD1332"/>
    <w:rsid w:val="5C5F28CA"/>
    <w:rsid w:val="5D727068"/>
    <w:rsid w:val="5D9559F0"/>
    <w:rsid w:val="5E6C440D"/>
    <w:rsid w:val="5F01604B"/>
    <w:rsid w:val="5FA40B77"/>
    <w:rsid w:val="68A20DED"/>
    <w:rsid w:val="6BF40C03"/>
    <w:rsid w:val="72A023BD"/>
    <w:rsid w:val="72F10BD1"/>
    <w:rsid w:val="76EF16C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autoSpaceDE w:val="0"/>
      <w:autoSpaceDN w:val="0"/>
      <w:spacing w:before="0" w:after="0" w:line="240" w:lineRule="auto"/>
      <w:ind w:left="0" w:right="0"/>
      <w:jc w:val="left"/>
    </w:pPr>
    <w:rPr>
      <w:rFonts w:ascii="等线" w:eastAsia="仿宋" w:hAnsi="等线" w:cs="等线"/>
      <w:sz w:val="21"/>
      <w:szCs w:val="22"/>
      <w:lang w:val="zh-CN" w:eastAsia="zh-CN" w:bidi="zh-CN"/>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rFonts w:ascii="Times New Roman" w:eastAsia="宋体" w:hAnsi="Times New Roman" w:cs="Times New Roman"/>
      <w:b/>
      <w:kern w:val="44"/>
      <w:sz w:val="30"/>
    </w:rPr>
  </w:style>
  <w:style w:type="paragraph" w:styleId="Heading2">
    <w:name w:val="heading 2"/>
    <w:basedOn w:val="Normal"/>
    <w:next w:val="BodyTextFirstIndent"/>
    <w:link w:val="CharChar10"/>
    <w:unhideWhenUsed/>
    <w:qFormat/>
    <w:pPr>
      <w:numPr>
        <w:ilvl w:val="1"/>
        <w:numId w:val="1"/>
      </w:numPr>
      <w:tabs>
        <w:tab w:val="left" w:pos="840"/>
      </w:tabs>
      <w:spacing w:before="50" w:beforeLines="50" w:line="360" w:lineRule="auto"/>
      <w:ind w:left="0" w:firstLine="420"/>
      <w:outlineLvl w:val="1"/>
    </w:pPr>
    <w:rPr>
      <w:rFonts w:ascii="Arial" w:eastAsia="仿宋" w:hAnsi="Arial" w:cs="等线"/>
      <w:b/>
      <w:bCs/>
      <w:color w:val="000000"/>
      <w:sz w:val="28"/>
      <w:szCs w:val="28"/>
      <w:lang w:val="zh-CN" w:bidi="zh-CN"/>
    </w:rPr>
  </w:style>
  <w:style w:type="paragraph" w:styleId="Heading3">
    <w:name w:val="heading 3"/>
    <w:basedOn w:val="Normal"/>
    <w:next w:val="BodyTextFirstIndent"/>
    <w:link w:val="CharChar9"/>
    <w:unhideWhenUsed/>
    <w:qFormat/>
    <w:pPr>
      <w:spacing w:line="360" w:lineRule="auto"/>
      <w:ind w:left="220" w:leftChars="100"/>
      <w:outlineLvl w:val="2"/>
    </w:pPr>
    <w:rPr>
      <w:rFonts w:ascii="Arial" w:eastAsia="宋体" w:hAnsi="Arial"/>
      <w:b/>
      <w:bCs/>
      <w:sz w:val="24"/>
    </w:rPr>
  </w:style>
  <w:style w:type="paragraph" w:styleId="Heading4">
    <w:name w:val="heading 4"/>
    <w:basedOn w:val="Normal"/>
    <w:next w:val="NormalIndent"/>
    <w:unhideWhenUsed/>
    <w:qFormat/>
    <w:pPr>
      <w:keepNext/>
      <w:keepLines/>
      <w:outlineLvl w:val="3"/>
    </w:pPr>
    <w:rPr>
      <w:rFonts w:ascii="宋体" w:hAnsi="宋体" w:cs="黑体"/>
      <w:bCs/>
      <w:snapToGrid w:val="0"/>
      <w:kern w:val="24"/>
      <w:sz w:val="24"/>
      <w:szCs w:val="28"/>
    </w:rPr>
  </w:style>
  <w:style w:type="paragraph" w:styleId="Heading5">
    <w:name w:val="heading 5"/>
    <w:basedOn w:val="Normal"/>
    <w:next w:val="Normal"/>
    <w:unhideWhenUsed/>
    <w:qFormat/>
    <w:pPr>
      <w:keepNext/>
      <w:keepLines/>
      <w:outlineLvl w:val="4"/>
    </w:pPr>
    <w:rPr>
      <w:rFonts w:ascii="宋体" w:hAnsi="宋体"/>
      <w:bCs/>
      <w:sz w:val="24"/>
      <w:szCs w:val="28"/>
    </w:rPr>
  </w:style>
  <w:style w:type="paragraph" w:styleId="Heading6">
    <w:name w:val="heading 6"/>
    <w:basedOn w:val="Normal"/>
    <w:next w:val="Normal"/>
    <w:unhideWhenUsed/>
    <w:qFormat/>
    <w:pPr>
      <w:keepNext/>
      <w:keepLines/>
      <w:spacing w:before="240" w:after="64" w:line="320" w:lineRule="auto"/>
      <w:outlineLvl w:val="5"/>
    </w:pPr>
    <w:rPr>
      <w:rFonts w:ascii="Calibri Light" w:hAnsi="Calibri Light"/>
      <w:b/>
      <w:bCs/>
      <w:sz w:val="24"/>
      <w:szCs w:val="24"/>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character" w:customStyle="1" w:styleId="CharChar10">
    <w:name w:val=" Char Char10"/>
    <w:basedOn w:val="DefaultParagraphFont"/>
    <w:link w:val="Heading2"/>
    <w:qFormat/>
    <w:rPr>
      <w:rFonts w:ascii="Arial" w:eastAsia="仿宋" w:hAnsi="Arial" w:cs="等线"/>
      <w:b/>
      <w:bCs/>
      <w:color w:val="000000"/>
      <w:kern w:val="2"/>
      <w:sz w:val="28"/>
      <w:szCs w:val="28"/>
      <w:lang w:val="zh-CN" w:eastAsia="zh-CN" w:bidi="zh-CN"/>
    </w:rPr>
  </w:style>
  <w:style w:type="character" w:customStyle="1" w:styleId="CharChar9">
    <w:name w:val=" Char Char9"/>
    <w:basedOn w:val="DefaultParagraphFont"/>
    <w:link w:val="Heading3"/>
    <w:qFormat/>
    <w:rPr>
      <w:rFonts w:ascii="Arial" w:eastAsia="宋体" w:hAnsi="Arial"/>
      <w:b/>
      <w:bCs/>
      <w:kern w:val="2"/>
      <w:sz w:val="24"/>
      <w:szCs w:val="24"/>
      <w:lang w:val="en-US" w:eastAsia="zh-CN" w:bidi="ar-SA"/>
    </w:rPr>
  </w:style>
  <w:style w:type="paragraph" w:styleId="NormalIndent">
    <w:name w:val="Normal Indent"/>
    <w:basedOn w:val="Normal"/>
    <w:qFormat/>
    <w:pPr>
      <w:ind w:firstLine="420" w:firstLineChars="200"/>
    </w:pPr>
  </w:style>
  <w:style w:type="paragraph" w:styleId="BodyTextFirstIndent">
    <w:name w:val="Body Text First Indent"/>
    <w:basedOn w:val="BodyText"/>
    <w:qFormat/>
    <w:pPr>
      <w:ind w:firstLine="420" w:firstLineChars="100"/>
    </w:pPr>
  </w:style>
  <w:style w:type="paragraph" w:styleId="BodyText">
    <w:name w:val="Body Text"/>
    <w:basedOn w:val="Normal"/>
    <w:qFormat/>
    <w:pPr>
      <w:spacing w:after="120" w:afterLines="0" w:afterAutospacing="0"/>
    </w:pPr>
  </w:style>
  <w:style w:type="table" w:styleId="TableGrid">
    <w:name w:val="Table Grid"/>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池州1"/>
    <w:uiPriority w:val="99"/>
    <w:qFormat/>
    <w:pPr>
      <w:spacing w:line="400" w:lineRule="exact"/>
    </w:pPr>
    <w:rPr>
      <w:rFonts w:ascii="华文细黑" w:eastAsia="华文细黑" w:hAnsi="华文细黑" w:cs="Times New Roman"/>
      <w:kern w:val="0"/>
      <w:sz w:val="18"/>
      <w:szCs w:val="20"/>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rPr>
        <w:rFonts w:ascii="System" w:eastAsia="System" w:hAnsi="System"/>
        <w:b/>
        <w:sz w:val="21"/>
      </w:rPr>
      <w:tblPr/>
      <w:tcPr>
        <w:shd w:val="clear" w:color="auto" w:fill="DEEAF6"/>
      </w:tcPr>
    </w:tblStylePr>
  </w:style>
  <w:style w:type="table" w:customStyle="1" w:styleId="10">
    <w:name w:val="池州1_0"/>
    <w:uiPriority w:val="99"/>
    <w:qFormat/>
    <w:pPr>
      <w:spacing w:line="400" w:lineRule="exact"/>
    </w:pPr>
    <w:rPr>
      <w:rFonts w:ascii="华文细黑" w:eastAsia="华文细黑" w:hAnsi="华文细黑"/>
      <w:sz w:val="18"/>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rPr>
        <w:rFonts w:ascii="System" w:eastAsia="System" w:hAnsi="System"/>
        <w:b/>
        <w:sz w:val="21"/>
      </w:rPr>
      <w:tblPr/>
      <w:tcPr>
        <w:shd w:val="clear" w:color="auto" w:fill="DEEAF6"/>
      </w:tcPr>
    </w:tblStylePr>
  </w:style>
  <w:style w:type="table" w:customStyle="1" w:styleId="11">
    <w:name w:val="池州1_1"/>
    <w:uiPriority w:val="99"/>
    <w:qFormat/>
    <w:pPr>
      <w:spacing w:line="400" w:lineRule="exact"/>
    </w:pPr>
    <w:rPr>
      <w:rFonts w:ascii="华文细黑" w:eastAsia="华文细黑" w:hAnsi="华文细黑"/>
      <w:sz w:val="18"/>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rPr>
        <w:rFonts w:ascii="System" w:eastAsia="System" w:hAnsi="System"/>
        <w:b/>
        <w:sz w:val="21"/>
      </w:rPr>
      <w:tblPr/>
      <w:tcPr>
        <w:shd w:val="clear" w:color="auto" w:fill="DEEAF6"/>
      </w:tcPr>
    </w:tblStylePr>
  </w:style>
  <w:style w:type="table" w:customStyle="1" w:styleId="12">
    <w:name w:val="池州1_2"/>
    <w:uiPriority w:val="99"/>
    <w:qFormat/>
    <w:pPr>
      <w:spacing w:line="400" w:lineRule="exact"/>
    </w:pPr>
    <w:rPr>
      <w:rFonts w:ascii="华文细黑" w:eastAsia="华文细黑" w:hAnsi="华文细黑"/>
      <w:sz w:val="18"/>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rPr>
        <w:rFonts w:ascii="System" w:eastAsia="System" w:hAnsi="System"/>
        <w:b/>
        <w:sz w:val="21"/>
      </w:rPr>
      <w:tblPr/>
      <w:tcPr>
        <w:shd w:val="clear" w:color="auto" w:fill="DEEAF6"/>
      </w:tcPr>
    </w:tblStylePr>
  </w:style>
  <w:style w:type="table" w:customStyle="1" w:styleId="0">
    <w:name w:val="网格型_0"/>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网格型_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hyperlink" Target="https://d.book118.com/967151154125006050"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杨誉</cp:lastModifiedBy>
  <cp:revision>0</cp:revision>
  <dcterms:created xsi:type="dcterms:W3CDTF">2014-10-29T12:08:00Z</dcterms:created>
  <dcterms:modified xsi:type="dcterms:W3CDTF">2020-10-05T15:50:10Z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