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069A7" w:rsidRPr="00AC4F5E" w:rsidP="00AC4F5E">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AC4F5E">
        <w:rPr>
          <w:rFonts w:ascii="微软雅黑" w:eastAsia="微软雅黑" w:hAnsi="微软雅黑" w:cs="宋体" w:hint="eastAsia"/>
          <w:bCs/>
          <w:color w:val="FF0000"/>
          <w:kern w:val="0"/>
          <w:sz w:val="30"/>
          <w:szCs w:val="36"/>
        </w:rPr>
        <w:t>广东开放大学《初级会计实务》终结性考试复习题库（附答案）</w:t>
      </w:r>
    </w:p>
    <w:p w:rsidR="006069A7" w:rsidRPr="00AC4F5E" w:rsidP="00AC4F5E">
      <w:pPr>
        <w:widowControl/>
        <w:shd w:val="clear" w:color="auto" w:fill="FFFFFF"/>
        <w:wordWrap w:val="0"/>
        <w:spacing w:line="480" w:lineRule="auto"/>
        <w:jc w:val="left"/>
        <w:rPr>
          <w:rFonts w:ascii="黑体" w:eastAsia="黑体" w:hAnsi="黑体" w:cs="宋体"/>
          <w:bCs/>
          <w:color w:val="000000"/>
          <w:kern w:val="0"/>
          <w:sz w:val="24"/>
          <w:szCs w:val="30"/>
        </w:rPr>
      </w:pPr>
      <w:r w:rsidRPr="00AC4F5E">
        <w:rPr>
          <w:rFonts w:ascii="黑体" w:eastAsia="黑体" w:hAnsi="黑体" w:cs="宋体" w:hint="eastAsia"/>
          <w:bCs/>
          <w:color w:val="000000"/>
          <w:kern w:val="0"/>
          <w:sz w:val="24"/>
          <w:szCs w:val="30"/>
        </w:rPr>
        <w:t>一、单选题</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1.“应收账款”科目明细账中若有贷方余额，应将其计入资产负债表中的()项目。</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A、应收账款</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B、预收款项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C、应付账款</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D、其他应付款</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2.对于在合同中规定了买方有权退货条款的销售，如无法合理确定退货的可能性，则符合商品销售收入确认条件的时点是()。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A、发出商品时</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B、收到货款时</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C、签订合同时</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D、买方正式接受商品或退货期满时</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3.支付的在建工程人员的工资属于()活动产生的现金流量。</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A、筹资活动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B、经营活动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C、汇率变动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D、投资活动</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4.收入中不包括的项目是（）。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A、销售商品</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B、销售非商品财产</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C、提供劳务</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D、让渡资产使用权</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5.符合资产类账户记账规则的是（）。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A、增加记借方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B、增加记贷方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C、减少记借方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D、期末无余额</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答案：A</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6.适用于经济业务很简单或很单一的经济个体和家庭的记帐方法是（）。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A、增减记帐法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B、单式记帐法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C、收付记帐法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D、借贷记帐法</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7.根据借贷记帐法的账户结构，在账户借方登记的时（）。</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A、费用的增加</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B、收入的增加</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AC4F5E">
        <w:rPr>
          <w:rFonts w:ascii="黑体" w:eastAsia="黑体" w:hAnsi="黑体" w:cs="宋体" w:hint="eastAsia"/>
          <w:color w:val="000000"/>
          <w:kern w:val="0"/>
          <w:sz w:val="24"/>
          <w:szCs w:val="27"/>
        </w:rPr>
        <w:t>C、费用的减少</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D、所有者权益的增加</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答案：A</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8.企业原材料明细账通常采用的格式是（）。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A、卡片式</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B、多栏式</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C、数量金额式</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D、三栏式</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9.下列经济业务中，应填制转账凭证的是()。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A、用银行存款偿还预付账款</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B、收回应收账款</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C、用银行存款支付工资</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D、生产成品领用原材料</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10.不涉及货币收付的经济业务应编制的记账凭证是()。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A、收款凭证</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B、付款凭证</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C、转账凭证</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D、原始凭证</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AC4F5E">
        <w:rPr>
          <w:rFonts w:ascii="黑体" w:eastAsia="黑体" w:hAnsi="黑体" w:cs="宋体" w:hint="eastAsia"/>
          <w:color w:val="000000"/>
          <w:kern w:val="0"/>
          <w:sz w:val="24"/>
          <w:szCs w:val="27"/>
        </w:rPr>
        <w:t>11.企业记账后发现会计人员在记账凭证和账簿中将应计入管理费用的2000元误记为20000元，则应采用的错账更正的方法是()。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A、划线更正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B、红字更正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C、蓝字更正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D、补充登记</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12.下列项目中，属于所有者权益的是（）。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A、待摊费用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B、预提费用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C、实收资本</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D、特许权</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13.企业在进行现金清查时，查出现金溢余，并将溢余数记入“待处理财产损溢”科目。后经进一步核查，无法查明原因，经批准后，对该现金溢余正确的会计处理方法是()。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A、将其从“待处理财产损溢”科目转入“管理费用”科目</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B、将其从“待处理财产损溢”科目转入“营业外收入”科目</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C、将其从“待处理财产损溢”科目转入“其他应付款”科目</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D、将其从“待处理财产损溢”科目转入“其他应收款”科目</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14.下列项目中，不属于职工薪酬的是()。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A、生育保险费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AC4F5E">
        <w:rPr>
          <w:rFonts w:ascii="黑体" w:eastAsia="黑体" w:hAnsi="黑体" w:cs="宋体" w:hint="eastAsia"/>
          <w:color w:val="000000"/>
          <w:kern w:val="0"/>
          <w:sz w:val="24"/>
          <w:szCs w:val="27"/>
        </w:rPr>
        <w:t>B、职工出差报销的差旅费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C、工会经费</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D、职工福利费</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15.下列项目中，不属于收入范围的是（）。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A、商品销售收入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B、劳务收入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C、租金收入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D、代收款项</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16.会计人员审核原始凭证时发现其金额有差错，应由()。</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A、原制单人重开</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B、经办人更正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C、会计人员更正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D、审批人员更正</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答案：A</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17.下列项目中属于资本性支出的是（）。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A、购入办公用品</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B、发放职工工资</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C、购入设备</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D、偿还长期借款</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AC4F5E">
        <w:rPr>
          <w:rFonts w:ascii="黑体" w:eastAsia="黑体" w:hAnsi="黑体" w:cs="宋体" w:hint="eastAsia"/>
          <w:color w:val="000000"/>
          <w:kern w:val="0"/>
          <w:sz w:val="24"/>
          <w:szCs w:val="27"/>
        </w:rPr>
        <w:t>18.下列会计凭证，属于外来原始凭证的是()。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A、限额领料单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B、工资计算单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C、差旅费报销单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D、职工出差的火车票</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19.下列原始凭证中，属于企业外来原始凭证的是()。</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A、领料单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B、出差取得的火车票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C、工资结算单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D、发料凭证汇总表</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20.企业购进货物用于工程项目时，该货物负担的增值税额应当计入()。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A、应交税费——应交增值税</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B、在建工程</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C、营业外支出</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D、管理费用</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答案：B</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21.（）是指通过一定的标准或方法来确定所发生的经济活动是否应该或能够进行会计处理。</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A、计量</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B、记录</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C4F5E">
        <w:rPr>
          <w:rFonts w:ascii="黑体" w:eastAsia="黑体" w:hAnsi="黑体" w:cs="宋体" w:hint="eastAsia"/>
          <w:color w:val="000000"/>
          <w:kern w:val="0"/>
          <w:sz w:val="24"/>
          <w:szCs w:val="27"/>
        </w:rPr>
        <w:t>C、确认</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D、报告</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E、计算</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22.监督从事会计工作的人员是否具备从业资格是由（）来行使，它是一种外部监督。</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A、审计部门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B、税务部门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C、财政部门</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D、人民银行</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答案：C</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23.企业设置的会计科目应为提供有关各方所需要的会计信息服务，体现了会计科目设置的（）原则。</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A、合法性原则</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B、合理性原则</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C、实用性原则</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D、相关性原则</w:t>
      </w:r>
    </w:p>
    <w:p w:rsidR="00AC4F5E"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答案：D</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24.企业出租无形资产取得的收入，应当计入()。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A、主营业务收入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B、其他业务收入</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C、投资收益</w:t>
      </w:r>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r w:rsidRPr="00AC4F5E">
        <w:rPr>
          <w:rFonts w:ascii="黑体" w:eastAsia="黑体" w:hAnsi="黑体" w:cs="宋体" w:hint="eastAsia"/>
          <w:color w:val="000000"/>
          <w:kern w:val="0"/>
          <w:sz w:val="24"/>
          <w:szCs w:val="27"/>
        </w:rPr>
        <w:t>D、营业外收入</w:t>
      </w:r>
      <w:r w:rsidRPr="00AC4F5E">
        <w:rPr>
          <w:rFonts w:ascii="黑体" w:eastAsia="黑体" w:hAnsi="黑体" w:cs="宋体"/>
          <w:color w:val="000000"/>
          <w:kern w:val="0"/>
          <w:sz w:val="24"/>
          <w:szCs w:val="27"/>
        </w:rPr>
        <w:br/>
      </w:r>
      <w:r w:rsidRPr="00AC4F5E">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https://d.book118.com/967153032112006024</w:t>
        </w:r>
      </w:hyperlink>
    </w:p>
    <w:p w:rsidR="006069A7" w:rsidRPr="00AC4F5E" w:rsidP="00AC4F5E">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AC4F5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AC4F5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AC4F5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C4F5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AC4F5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C4F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4F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AC4F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1B"/>
    <w:rsid w:val="004D4431"/>
    <w:rsid w:val="006069A7"/>
    <w:rsid w:val="00AC4F5E"/>
    <w:rsid w:val="00B679C9"/>
    <w:rsid w:val="00F575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6069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6069A7"/>
    <w:rPr>
      <w:rFonts w:ascii="宋体" w:eastAsia="宋体" w:hAnsi="宋体" w:cs="宋体"/>
      <w:b/>
      <w:bCs/>
      <w:kern w:val="0"/>
      <w:sz w:val="36"/>
      <w:szCs w:val="36"/>
    </w:rPr>
  </w:style>
  <w:style w:type="paragraph" w:customStyle="1" w:styleId="1">
    <w:name w:val="标题1"/>
    <w:basedOn w:val="Normal"/>
    <w:rsid w:val="006069A7"/>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6069A7"/>
  </w:style>
  <w:style w:type="paragraph" w:customStyle="1" w:styleId="question-title">
    <w:name w:val="question-title"/>
    <w:basedOn w:val="Normal"/>
    <w:rsid w:val="006069A7"/>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6069A7"/>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6069A7"/>
  </w:style>
  <w:style w:type="paragraph" w:styleId="NormalWeb">
    <w:name w:val="Normal (Web)"/>
    <w:basedOn w:val="Normal"/>
    <w:uiPriority w:val="99"/>
    <w:semiHidden/>
    <w:unhideWhenUsed/>
    <w:rsid w:val="006069A7"/>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AC4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C4F5E"/>
    <w:rPr>
      <w:sz w:val="18"/>
      <w:szCs w:val="18"/>
    </w:rPr>
  </w:style>
  <w:style w:type="paragraph" w:styleId="Footer">
    <w:name w:val="footer"/>
    <w:basedOn w:val="Normal"/>
    <w:link w:val="Char0"/>
    <w:uiPriority w:val="99"/>
    <w:unhideWhenUsed/>
    <w:rsid w:val="00AC4F5E"/>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AC4F5E"/>
    <w:rPr>
      <w:sz w:val="18"/>
      <w:szCs w:val="18"/>
    </w:rPr>
  </w:style>
  <w:style w:type="character" w:styleId="PageNumber">
    <w:name w:val="page number"/>
    <w:basedOn w:val="DefaultParagraphFont"/>
    <w:uiPriority w:val="99"/>
    <w:semiHidden/>
    <w:unhideWhenUsed/>
    <w:rsid w:val="00AC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967153032112006024"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1932</Words>
  <Characters>11014</Characters>
  <Application>Microsoft Office Word</Application>
  <DocSecurity>0</DocSecurity>
  <Lines>91</Lines>
  <Paragraphs>25</Paragraphs>
  <ScaleCrop>false</ScaleCrop>
  <Company>Microsoft</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2023-12-29T19:06:00Z</dcterms:created>
  <dcterms:modified xsi:type="dcterms:W3CDTF">2023-12-30T08:21:00Z</dcterms:modified>
</cp:coreProperties>
</file>