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lang w:eastAsia="zh-CN"/>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银行柜员考试：建行柜员合规考试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1、单选 维修人员进入整点间原则上必须进行空库作业，遇有紧急情况须在现金整点期间进入整点间进行设备等维护作业的，须由安保人员、（）现场监督，确保资金安全。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A.技术人员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B.部门</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C.计财条线人员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D.整点人员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2、单选 信开方式开立信用证，应由开证行加盖（）后寄送通知行。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A.信用证专用章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B.会计专用章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C.信用证通知章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D.背书章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3、多选 客户申请入驻善融商务，应按照以下业务流程办理（）。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A.商城会员申请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B.商城账户开通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C.网站资格认证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D.以上都不对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4、单选 柜员（）办理本人业务.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A.可以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B.不可以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C.有的时候可以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5、单选 二级分（支）行对于会计专用印章销毁情况应专题书面报（）备案。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A.人民银行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B.一级分行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C.总行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D.本级行长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6、单选 （）初步判断所预警的交易事项或操作行为存在违规表现，构成资金风险或违规操作的概率较高，相关信息应予以关注。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A.特级监测信息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C.二级监测信息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pgSz w:w="11906" w:h="16838"/>
          <w:pgMar w:top="1440" w:right="1080" w:bottom="1440" w:left="1080" w:header="851" w:footer="992" w:gutter="0"/>
          <w:cols w:num="1" w:space="425"/>
          <w:docGrid w:type="lines" w:linePitch="312" w:charSpace="0"/>
        </w:sectPr>
      </w:pPr>
      <w:r>
        <w:rPr>
          <w:rFonts w:ascii="宋体" w:eastAsia="宋体" w:hAnsi="宋体" w:cs="宋体" w:hint="eastAsia"/>
          <w:outline w:val="0"/>
          <w:shadow w:val="0"/>
          <w:emboss w:val="0"/>
          <w:imprint w:val="0"/>
          <w:vanish w:val="0"/>
          <w:w w:val="100"/>
          <w:sz w:val="28"/>
          <w:szCs w:val="28"/>
          <w:u w:val="none"/>
        </w:rPr>
        <w:t>D.三级监测信息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7、单选 客户所在分行在营销、项目储备、风险管理等方面的优势是指区域差别化信贷政策要求中的（）优势。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A.市场优势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B.资源优势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C.技术优势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D.区位优势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E.管理优势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8、单选 国内保理业务中预付款担保方式为（）。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A.信用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B.抵押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C.质押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D.保证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9、单选 高端客户定期储蓄存款单笔存款额上限为（）。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C.1亿元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D.无上限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10、多选 可能获取建行内幕信息的人员包括但不限于下列哪些人员？（）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A.总行部门负责人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B.董事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C.一级分行负责人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D.监事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E.高级管理人员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11、单选 因风险驱动因素的变化（如利率的变化、发行体信用的变化、期权等）导致投资组合或单笔交易的价格发生变化而产生损失的风险被称为（）。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A.非交易性市场风险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B.交易性市场风险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C.信用风险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D.操作风险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E.组合风险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12、多选 金库双人管库，金库作业必须执行（）规定。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A.同开库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B.同进库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C.同在库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D.同出库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E.同锁库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13、多选 只能由省分行核算中心进行处理的业务事项包括（）。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A.法人账户透支取现维护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B.总分不平调整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C.电子银行业务收入异常调整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D.向前设定“通知存款设定日期”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E.对公账户存款种类调整（账户余额在5万元以上）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14、单选 客户做账号支付操作时，系统提示“预留手机号码不一致”。客户可通过什么方式修改。（）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A.网上银行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B.柜面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C.手机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D.短信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15、单选 各级领导人员在工作当中，哪一个是不正确的（）.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A.尊重下属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B.关心下属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C.爱护下属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D.胁迫员工违规操作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16、多选 我行可以办理质押贷款的权利凭证有（）。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A.利得盈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B.本外币定期储蓄存单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C.凭证式国债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D.教育储蓄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E.汇得盈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17、单选 以下（）可开立附属卡。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A.VISA龙卡通和MasterCard龙卡通、理财卡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B.理财卡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C.银联龙卡通、理财卡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D.银联龙卡通、信用卡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3"/>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18、单选 下列对公贷款贷后管理流程中不属于到期管理流程是（）。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A.制作到期通知书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B.发送到期通知书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C.催收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D.信贷检查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19、单选 个人再交易住房贷款期限最长不超过（）年。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20、单选 在风险监测的基础上，编制不同层次和种类的报告，遵循报告的发送范围、程序和频率，以满足不同风险管理层级和不同职能部门对于风险状况的多样性需求的过程是风险管理流程中的（）。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A.风险报告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B.风险监测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C.风险评估与计量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D.风险识别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E.风险控制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21、多选 客户信用评级可以在以下方面发挥重要作用（）。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A.客户营销与准入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B.经济资本计量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C.授信审批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D.信贷授权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E.产品定价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22、单选 使用我行标准白金信用卡购机票可获赠（）万元高额航空意外险。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23、多选 “借贷通”客户可以根据产品特点通过自助设备和网上银行等进行贷款归还，包括（）。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A.归还当期贷款本息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B.归还拖欠贷款本金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C.罚息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D.提前归还贷款本息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24、单选 以下不属于前台受理审核事项的是（）。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A.凭证是否真实、票面是否整洁，有无复印、涂改、挖补、剪裁、暗记等变造痕迹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B.凭证票面要素及附件是否完整、无遗漏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C.凭证背书是否正确、连续，背书粘单是否规范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D.支付密码校验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25、多选 普通版和高级版手机银行用户在使用功能的区别有哪些？（）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A.高级版客户可使用手机银行所有服务功能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B.转账汇款、结算通、信用卡约定账户还款设置、银期转账等功能仅支持手机银行签约账户使用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C.企业网银主管审批及追加账户免输入账号等功能仅持有签约账户的客户使用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D.普通版客户仅可使用查询类功能、账户管理、我的服务、缴费支付（部份功能仅支持签约账户使用）等部分功能。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26、单选 办理对公信贷业务时，按照与客户谈判的条款及授信方案，客户经理按我行要求填写合同文本的时间是（）。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A.信贷调查前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B.信贷申报后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C.信贷业务审批后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D.贷款发放后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27、多选 有关电子现金账户规定，哪些是正确的。（）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A.我行目前发行的借记卡IC卡带有主账户及电子现金账户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B.电子现金账户属于非实名、不验密、不挂失、不计息的借记性质账户，仅支持圈存、消费、查询等功能。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C.电子现金账户余额上限遵循监管机构相关规定确定为1000 元（含）人民币。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D.持卡人可通过建行ATM、柜面、他行ATM办理主账户向电子现金账户圈存交易。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28、单选 需经人民银行批准后支取现金的专用存款账户是（）。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A.财政预算外资金账户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B.期货交易保证金账户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C.单位银行卡账户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D.基本建设资金账户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29、单选 在信贷担保方式中，（）是指债务人或者第三人将其财产移交建设银行占有，将该财产作为对建设银行债权的担保。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A.质押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B.抵押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C.保证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D.订金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30、单选 外部监管机构罚款支出可在（）科目列支。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A.其他营业支出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B.营业外支出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C.以前年度损益调整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D.业务管理费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31、多选 会议费是本行与管理活动相关召开各种会议所支付的费用，包括（）等。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A.伙食费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B.住宿费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C.印刷费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D.交通费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32、单选 （）是指债权人为向债务人收取款项，出具金融单据或商业单据，委托银行代为收取款项的一种支付方式.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A.托收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B.进口信用证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C.电汇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D.出口信用证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33、多选 个人取得的哪些收入可以免征个人所得税？（）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A.独生子女补贴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B.困难职工的救济金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C.有奖发票奖金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D.残疾职工工资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E.取暖费补贴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34、多选 金库（）属银行秘密，不得泄露。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6"/>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A.金库密码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B.金库库存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C.调拨路线及时间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D.设计方案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35、单选 我行钻石信用卡额度范围是（）：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A.20万-50万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B.20万-50万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C.50万-100万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D.50万-200万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E.50万-500万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36、多选 工程造价咨询业务是指运用工程造价的专业技能，为建设项目（）等各个阶段工程计价和工程造价管理提供的有偿服务。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A.决策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B.设计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D.实施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E.结算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37、单选 私人银行为客户提供高端医疗服务，不包括（）.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A.贵宾就医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B.专家预约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C.免费体检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D.私人医生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38、多选 客户申请办理银行承兑汇票贴现业务时应提供（）资料。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A.中国建设银行《商业汇票贴现业务申请书》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B.有效期内并年审合格的营业执照副本、组织机构代码证和贷款卡原件及复印件；其他需要提供的材料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C.法定代表人身份证复印件、经办人身份证复印件，若《申请书》上签章人非法定代表人，需同时提供授权代理人身份证复印件和法人授权委托书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D.贴现票据项下的商品、劳务交易合同原件及复印件、贴现申请人与其直接前手之间根据税收制度有关规定开具的增值税发票或普通发票原件及复印件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E.未到期的汇票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39、单选 （）初步判断所预警的交易事项或操作行为存在不合规问题，但多为技能水平或责任心等因素导致的一些错误或失误。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7"/>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A.特级监测信息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C.二级监测信息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D.三级监测信息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40、多选 各种会计专用印章必须严格按规定的范围使用，严禁（）。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A.错用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B.串用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C.提前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D.过期使用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41、单选 客户对账副本账单打印由（）完成。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A.会计部门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B.营运部门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C.业务部门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D.营业网点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42、单选 客户使用网上银行进行贷款消费或支付功能时，首先必须是网上银行盾的高级版用户，同时“借贷通”签约的借记卡必须已签约（）.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A.手机银行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B.网上银行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C.短信提醒</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43、多选 财富保是指建设银行为私人银行客户提供的（）、（）、（）高端保险代理业务服务品牌。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A.个性化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B.定制化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C.财富化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D.专属化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44、单选 现金管理系统的收款功能不包含（）。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A.单笔签约收款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B.批量签约收款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C.批量非签约收款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D.单笔代扣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45、多选 查复信息应完整规范，应明确列示（）项内容。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A.银行承兑汇票票号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8"/>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B.银行承兑汇票金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C.出票日期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D.是否我行签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E.有无挂失、止付、他行查询等信息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46、多选 目前，（）等发卡组织发行的信用卡支持动态货币转换交易功能。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A.银联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B.Visa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C.JCB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D.美国运通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E.Mastercard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47、单选 邮购分期在交易完成的情况下提出退款，则需要（）个工作日.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48、多选 以下属于“成长之路”业务的特点的有（）。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A.业务品种丰富，满足一般小企业信贷需求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B.适用于成长型和成熟型小企业进行信贷支持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C.无需信用评级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D.无需抵质押担保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49、单选 营运管理部在接到网点提交的账务调整申请后，应在（）个工作日内完成CCBS系统账务及相关流水的审核工作。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A.0.5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50、多选 102002凭证组合包括（）。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A.现金支票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B.实时通付款凭证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C.支款单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D.其他行业凭证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9"/>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51、多选 对公授信业务风险监测系统（CRMS系统）风险提示事项形式包括（）。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A.风险报警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B.风险提示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C.客户预警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D.核查处置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E.组合风险预警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52、单选 下列任一情况，我行不会与商户发生终止银行卡交易（）。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A.被信用卡组织或收单行认定为高风险商户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B.拒绝受理银行卡特约商户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C.商户泄露信用卡账户或及交易信息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D.商户发生疑似套现交易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53、单选 对客户因偿债能力变化而可能导致的违约风险进行分析、评价和预测，及确定信用等级的过程被称为（）。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A.客户信用评级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B.授信审批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C.信贷资产风险分类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D.计提损失准备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E.押品重估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54、单选 一年期以上贷款的利率调整实行（）。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A.一月一定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B.一季一定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C.半年一定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D.一年一定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E.随时调整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55、单选 信用风险经济资本的计量基于（），涵盖非违约的对公敞口、零售敞口和资金业务中的本币企业债敞口，其他业务则暂时采用系数法。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A.参数法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B.收入变动法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C.风险价值法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D.基本指标法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E.资产波动法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56、多选 开展代理信托计划业务，应坚持（）原则。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0"/>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A.中立性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B.谨慎性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C.盈利性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D.自主性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57、单选 办理“成长之路”业务的企业需成立年限在2年（含）以上，且连续2年销售毛利润为正值或销售增长率为正值。若成立年限不满2年，则客户信用等级在（）级（含）以上，低风险业务除外。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A.aa+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B.aa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58、单选 资产保全业务管理系统（SARM系统）中（）岗位分配保管（经营）主责任人、变更机构、分配客户经理。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A.总行或一级分行系统管理员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B.保全主管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C.总行或一级分行综合员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D.一级分行行长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59、单选 员工应维护（），严格执行上级行的决策和规章制度，业务活动的目的或目标应符合建设银行的利益.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A.建设银行统一法人体制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B.建设银行整体利益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C.建设银行全局利益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60、多选 以下哪种证明（）属于申请贷记卡的有效收入证明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A.最近连续三个月的公积金缴纳凭据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B.最近连续三个月的个人所得税交缴凭据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C.最近连续三个月的工资单或银行代发工资对账单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D.最近连续三个月的物业管理费缴费清单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E.房产证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61、单选 我行为持卡人提供一定期限内的对账单免费补寄服务，持卡人申请补寄最近（）个月内的对账单免费。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C.9</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1"/>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D.12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E.18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62、单选 自助设备加钞间电视监控录像资料需保管（）以上。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C.二个月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D.三个月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63、单选 客户产品销售市场广阔，同行业市场占有率高，具备行业定价能力是指区域差别化信贷政策要求中的（）优势。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A.市场优势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B.资源优势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C.技术优势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D.区位优势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E.管理优势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64、单选 直驻B2B商户入驻资质条件中，要求企业持续经营年限为几年（）.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65、单选 营运稽核系统发布的一级稽核信息的核查结果须在信息下发后（）个工作日内反馈。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66、多选 员工向客户推荐产品或提供服务时，应向客户提供（）的信息。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A.清楚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B.真实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C.可靠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D.必要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67、单选 业务关联方给予的合法折扣，（）.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A.属员工所有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B.属员工单位，但可以不入账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C.属员工单位，需要入账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D.不属于员工单位和员工个人，需要交监管部门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68、多选 经济指标中备受关注的指标包括（）。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A.GDP</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B.汇率水平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C.利率水平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D.物价指标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E.投资支出指标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69、单选 新农村建设贷款的借款人资产负债率不高于（），实收资本应在（）以上。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A.70%，3000万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B.75%，5000万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C.80%，5000万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D.75%，10000万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70、多选 属于开立核准类人民币单位结算账户的有（）。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A.基本存款账户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B.一般存款账户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C.预算单位开立的专用存款账户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D.临时存款账户（注册验资除外）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71、多选 无卡现金存款交易可使用的交易介质为（）。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A.我行的个人帐户帐号（无卡无折存款，包括定期存款账号和信用卡帐号）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B.我行的个人账户账号（无卡无折存款，包括活期储蓄账号和信用卡账号）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C.我行发行的银行卡单位卡（凭卡存款）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D.我行发行的银行卡个人卡（凭卡存款）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72、多选 对于一手房贷款，要通过（）或其他渠道确定房价的合理范围。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A.评估公司出具的房地产评估报告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B.对同一地区同类楼盘的价格比较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C.查询房屋交易管理部门信息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D.查询知名房地产网站上该楼盘销售均价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73、单选 关于理财卡换卡，以下（）说法是不正确的。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A.理财卡在到期前3个月，持卡人可办理延期换卡申请手续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B.延期换卡在持卡人未领取新卡片之前，旧卡片在有效期内仍可正常使用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C.目前系统不支持银联理财卡磁条卡换发IC卡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D.理财卡客户可通过95533渠道预约到期换卡。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74、单选 全省（）个地市二级分行均设有造价咨询分支机构，以省分行的名义对外签订合同、开展业务、出具成果。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D.19</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75、单选 对于客户用建行的信贷资金从事股票、期货投机的活动，（）.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A.在没有风险情况下，员工可以参与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B.在风险较小情况下，为了业务发展，员工可以支持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C.员工不得默许、参与或支持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D.在没有风险情况下，员工可以默许。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76、多选 分期商户在出现以下情形时，应解除与分期商户的合作协议，并保留相关责任的追索权（）。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A.商户出现虚假申请、信用卡套现、测录客户数据资料、洗单、虚假交易、恶意倒闭等欺诈行为的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B.商户或法定代表人已因违法违规被有权机关立案或介入调查并影响商户正常经营的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C.商户泄露银行卡账户及交易信息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D.商户因经营不善，已破产或停业的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E.商户未经管辖行许可将机具设备转让、出借或挪作他用的，将移动POS机具违规带至异地使用的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77、单选 冠军足球卡“梦想今日成真”权益需要持卡人当年单笔有效刷卡消费达（）元才可参与。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E.888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78、单选 禁止参与无真实经济往来的电子银行业务，除系统测试、为客户演示等情况外，属于（）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A.电子银行三条高压线之一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B.电子银行八条红线之一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C.柜员一日流程之一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79、多选 以下哪种设备是自助设备（）。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A.自动取款机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B.存取款一体机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C.自助终端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D.外币兑换机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E.夜间存款机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80、单选 客户申请电子银行业务时，（）办理。柜员不得受理客户代理他人签约电子银行业务，集中签约、后台签约等情况除外。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A.必须本人亲自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B.可以亲朋代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C.不必本人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81、单选 经办行对待销毁的有价单证应按（）（或根据通知）进行清理并登记造册，集中退库上交二级分（支）行。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82、单选 柜员受理审核无误后，应在业务凭证上加盖（）章。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A.办讫章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B.受理专用章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C.经办人员个人名章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83、多选 私人银行机场嘉宾服务积分扣减标准按照机场等级不同分为三个等级，包括（）。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A.500分/人次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B.1000分/人次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C.1500分/人次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D.2000分/人次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84、单选 二级分（支）行会计负责人每（）对所辖全部重要空白凭证库检查一次。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85、单选 经济增加值计算资本成本时，在目前实际运用中使用的是（）.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A.监管资本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B.经济资本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C.实收资本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D.账面资本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E.所有者权益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86、多选 世界旅行白金卡持卡人可享受以下建行（）的优先服务。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A.400客户服务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B.临时额度调整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C.争议款项处理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D.优先办理网点业务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E.优惠洗车服务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87、多选 下列属于我行电子银行安全策略的是（）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A.短信服务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B.加强证书存贮安全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C.双密码控制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D.交易限额控制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88、多选 重要单证销毁工作由（）共同组织并监督销毁。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A.会计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B.安全保卫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C.监察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D.以及其他相关部门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89、多选 从事以下（）重要会计事项的岗位人员需要轮岗。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A.会计业务授权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B.调拨营业现钞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C.集中处理同城票据交换业务或交换清算同城票据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D.保管印鉴卡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90、多选 员工上网时应具备基本的安全知识，不允许将涉密信息在互联网上传递，保证内部网络的安全性，要求（）。</w:t>
      </w:r>
      <w:r>
        <w:rPr>
          <w:rFonts w:ascii="宋体" w:eastAsia="宋体" w:hAnsi="宋体" w:cs="宋体" w:hint="eastAsia"/>
          <w:outline w:val="0"/>
          <w:shadow w:val="0"/>
          <w:emboss w:val="0"/>
          <w:imprint w:val="0"/>
          <w:vanish w:val="0"/>
          <w:w w:val="100"/>
          <w:sz w:val="28"/>
          <w:szCs w:val="28"/>
          <w:u w:val="none"/>
          <w:lang w:eastAsia="zh-CN"/>
        </w:rPr>
        <w:br/>
      </w:r>
      <w:r>
        <w:rPr>
          <w:rFonts w:ascii="宋体" w:eastAsia="宋体" w:hAnsi="宋体" w:cs="宋体" w:hint="eastAsia"/>
          <w:outline w:val="0"/>
          <w:shadow w:val="0"/>
          <w:emboss w:val="0"/>
          <w:imprint w:val="0"/>
          <w:vanish w:val="0"/>
          <w:w w:val="100"/>
          <w:sz w:val="28"/>
          <w:szCs w:val="28"/>
          <w:u w:val="none"/>
          <w:lang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https://d.book118.com/967153135162006042</w:t>
        </w:r>
      </w:hyperlink>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p>
    <w:sectPr>
      <w:type w:val="nextPage"/>
      <w:pgSz w:w="11906" w:h="16838"/>
      <w:pgMar w:top="1440" w:right="1080" w:bottom="1440" w:left="1080" w:header="851" w:footer="992" w:gutter="0"/>
      <w:pgNumType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1CAD"/>
    <w:rsid w:val="002B1D86"/>
    <w:rsid w:val="00671CAD"/>
    <w:rsid w:val="028B7CDB"/>
    <w:rsid w:val="2F901CDB"/>
    <w:rsid w:val="77D94B57"/>
  </w:rsids>
  <w:docVars>
    <w:docVar w:name="commondata" w:val="eyJoZGlkIjoiMzIxODdiYzkyZWJiMzc1YmY5NThiYjgyMjcxMWRjM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autoRedefine/>
    <w:qFormat/>
    <w:pPr>
      <w:widowControl/>
      <w:spacing w:beforeAutospacing="1" w:afterAutospacing="1"/>
      <w:jc w:val="left"/>
      <w:outlineLvl w:val="0"/>
    </w:pPr>
    <w:rPr>
      <w:rFonts w:ascii="宋体" w:eastAsia="宋体" w:hAnsi="宋体" w:cs="Times New Roman" w:hint="eastAsia"/>
      <w:b/>
      <w:bCs/>
      <w:kern w:val="44"/>
      <w:sz w:val="48"/>
      <w:szCs w:val="48"/>
    </w:rPr>
  </w:style>
  <w:style w:type="paragraph" w:styleId="Heading2">
    <w:name w:val="heading 2"/>
    <w:basedOn w:val="Normal"/>
    <w:next w:val="Normal"/>
    <w:link w:val="2"/>
    <w:autoRedefine/>
    <w:semiHidden/>
    <w:unhideWhenUsed/>
    <w:qFormat/>
    <w:pPr>
      <w:widowControl/>
      <w:spacing w:beforeAutospacing="1" w:afterAutospacing="1"/>
      <w:jc w:val="left"/>
      <w:outlineLvl w:val="1"/>
    </w:pPr>
    <w:rPr>
      <w:rFonts w:ascii="宋体" w:eastAsia="宋体" w:hAnsi="宋体" w:cs="Times New Roman" w:hint="eastAsia"/>
      <w:b/>
      <w:bCs/>
      <w:kern w:val="0"/>
      <w:sz w:val="36"/>
      <w:szCs w:val="36"/>
    </w:rPr>
  </w:style>
  <w:style w:type="paragraph" w:styleId="Heading3">
    <w:name w:val="heading 3"/>
    <w:basedOn w:val="Normal"/>
    <w:next w:val="Normal"/>
    <w:link w:val="3"/>
    <w:autoRedefine/>
    <w:semiHidden/>
    <w:unhideWhenUsed/>
    <w:qFormat/>
    <w:pPr>
      <w:widowControl/>
      <w:spacing w:beforeAutospacing="1" w:afterAutospacing="1"/>
      <w:jc w:val="left"/>
      <w:outlineLvl w:val="2"/>
    </w:pPr>
    <w:rPr>
      <w:rFonts w:ascii="宋体" w:eastAsia="宋体" w:hAnsi="宋体" w:cs="Times New Roman" w:hint="eastAsia"/>
      <w:b/>
      <w:bCs/>
      <w:kern w:val="0"/>
      <w:sz w:val="27"/>
      <w:szCs w:val="27"/>
    </w:rPr>
  </w:style>
  <w:style w:type="paragraph" w:styleId="Heading4">
    <w:name w:val="heading 4"/>
    <w:basedOn w:val="Normal"/>
    <w:next w:val="Normal"/>
    <w:link w:val="4"/>
    <w:autoRedefine/>
    <w:semiHidden/>
    <w:unhideWhenUsed/>
    <w:qFormat/>
    <w:pPr>
      <w:widowControl/>
      <w:spacing w:beforeAutospacing="1" w:afterAutospacing="1"/>
      <w:jc w:val="left"/>
      <w:outlineLvl w:val="3"/>
    </w:pPr>
    <w:rPr>
      <w:rFonts w:ascii="宋体" w:eastAsia="宋体" w:hAnsi="宋体" w:cs="Times New Roman" w:hint="eastAsia"/>
      <w:b/>
      <w:bCs/>
      <w:kern w:val="0"/>
      <w:sz w:val="24"/>
      <w:szCs w:val="24"/>
    </w:rPr>
  </w:style>
  <w:style w:type="paragraph" w:styleId="Heading5">
    <w:name w:val="heading 5"/>
    <w:basedOn w:val="Normal"/>
    <w:next w:val="Normal"/>
    <w:link w:val="5"/>
    <w:autoRedefine/>
    <w:semiHidden/>
    <w:unhideWhenUsed/>
    <w:qFormat/>
    <w:pPr>
      <w:widowControl/>
      <w:spacing w:beforeAutospacing="1" w:afterAutospacing="1"/>
      <w:jc w:val="left"/>
      <w:outlineLvl w:val="4"/>
    </w:pPr>
    <w:rPr>
      <w:rFonts w:ascii="宋体" w:eastAsia="宋体" w:hAnsi="宋体" w:cs="Times New Roman" w:hint="eastAsia"/>
      <w:b/>
      <w:bCs/>
      <w:kern w:val="0"/>
      <w:sz w:val="20"/>
      <w:szCs w:val="20"/>
    </w:rPr>
  </w:style>
  <w:style w:type="paragraph" w:styleId="Heading6">
    <w:name w:val="heading 6"/>
    <w:basedOn w:val="Normal"/>
    <w:next w:val="Normal"/>
    <w:link w:val="6"/>
    <w:autoRedefine/>
    <w:semiHidden/>
    <w:unhideWhenUsed/>
    <w:qFormat/>
    <w:pPr>
      <w:widowControl/>
      <w:spacing w:beforeAutospacing="1" w:afterAutospacing="1"/>
      <w:jc w:val="left"/>
      <w:outlineLvl w:val="5"/>
    </w:pPr>
    <w:rPr>
      <w:rFonts w:ascii="宋体" w:eastAsia="宋体" w:hAnsi="宋体" w:cs="Times New Roman" w:hint="eastAsia"/>
      <w:b/>
      <w:bCs/>
      <w:kern w:val="0"/>
      <w:sz w:val="15"/>
      <w:szCs w:val="15"/>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a0"/>
    <w:autoRedefine/>
    <w:qFormat/>
    <w:pPr>
      <w:widowControl/>
      <w:tabs>
        <w:tab w:val="center" w:pos="4153"/>
        <w:tab w:val="right" w:pos="8306"/>
      </w:tabs>
      <w:snapToGrid w:val="0"/>
      <w:jc w:val="left"/>
    </w:pPr>
    <w:rPr>
      <w:rFonts w:asciiTheme="minorEastAsia" w:hAnsiTheme="minorEastAsia" w:cs="Times New Roman"/>
      <w:kern w:val="0"/>
      <w:sz w:val="18"/>
      <w:szCs w:val="18"/>
    </w:rPr>
  </w:style>
  <w:style w:type="paragraph" w:styleId="Header">
    <w:name w:val="header"/>
    <w:basedOn w:val="Normal"/>
    <w:link w:val="a"/>
    <w:autoRedefine/>
    <w:qFormat/>
    <w:pPr>
      <w:widowControl/>
      <w:tabs>
        <w:tab w:val="center" w:pos="4153"/>
        <w:tab w:val="right" w:pos="8306"/>
      </w:tabs>
      <w:snapToGrid w:val="0"/>
      <w:jc w:val="center"/>
    </w:pPr>
    <w:rPr>
      <w:rFonts w:asciiTheme="minorEastAsia" w:hAnsiTheme="minorEastAsia" w:cs="Times New Roman"/>
      <w:kern w:val="0"/>
      <w:sz w:val="18"/>
      <w:szCs w:val="18"/>
    </w:rPr>
  </w:style>
  <w:style w:type="paragraph" w:styleId="HTMLPreformatted">
    <w:name w:val="HTML Preformatted"/>
    <w:basedOn w:val="Normal"/>
    <w:link w:val="HTML"/>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NormalWeb">
    <w:name w:val="Normal (Web)"/>
    <w:basedOn w:val="Normal"/>
    <w:autoRedefine/>
    <w:qFormat/>
    <w:pPr>
      <w:widowControl/>
      <w:spacing w:beforeAutospacing="1" w:afterAutospacing="1"/>
      <w:jc w:val="left"/>
    </w:pPr>
    <w:rPr>
      <w:rFonts w:asciiTheme="minorEastAsia" w:hAnsiTheme="minorEastAsia" w:cs="Times New Roman"/>
      <w:kern w:val="0"/>
      <w:sz w:val="24"/>
      <w:szCs w:val="24"/>
    </w:rPr>
  </w:style>
  <w:style w:type="character" w:styleId="Hyperlink">
    <w:name w:val="Hyperlink"/>
    <w:basedOn w:val="DefaultParagraphFont"/>
    <w:autoRedefine/>
    <w:qFormat/>
    <w:rPr>
      <w:color w:val="0000FF"/>
      <w:u w:val="single"/>
    </w:rPr>
  </w:style>
  <w:style w:type="character" w:customStyle="1" w:styleId="1">
    <w:name w:val="标题 1 字符"/>
    <w:basedOn w:val="DefaultParagraphFont"/>
    <w:link w:val="Heading1"/>
    <w:autoRedefine/>
    <w:qFormat/>
    <w:rPr>
      <w:rFonts w:ascii="宋体" w:eastAsia="宋体" w:hAnsi="宋体" w:cs="Times New Roman"/>
      <w:b/>
      <w:bCs/>
      <w:kern w:val="44"/>
      <w:sz w:val="48"/>
      <w:szCs w:val="48"/>
    </w:rPr>
  </w:style>
  <w:style w:type="character" w:customStyle="1" w:styleId="2">
    <w:name w:val="标题 2 字符"/>
    <w:basedOn w:val="DefaultParagraphFont"/>
    <w:link w:val="Heading2"/>
    <w:autoRedefine/>
    <w:semiHidden/>
    <w:qFormat/>
    <w:rPr>
      <w:rFonts w:ascii="宋体" w:eastAsia="宋体" w:hAnsi="宋体" w:cs="Times New Roman"/>
      <w:b/>
      <w:bCs/>
      <w:kern w:val="0"/>
      <w:sz w:val="36"/>
      <w:szCs w:val="36"/>
    </w:rPr>
  </w:style>
  <w:style w:type="character" w:customStyle="1" w:styleId="3">
    <w:name w:val="标题 3 字符"/>
    <w:basedOn w:val="DefaultParagraphFont"/>
    <w:link w:val="Heading3"/>
    <w:autoRedefine/>
    <w:semiHidden/>
    <w:qFormat/>
    <w:rPr>
      <w:rFonts w:ascii="宋体" w:eastAsia="宋体" w:hAnsi="宋体" w:cs="Times New Roman"/>
      <w:b/>
      <w:bCs/>
      <w:kern w:val="0"/>
      <w:sz w:val="27"/>
      <w:szCs w:val="27"/>
    </w:rPr>
  </w:style>
  <w:style w:type="character" w:customStyle="1" w:styleId="4">
    <w:name w:val="标题 4 字符"/>
    <w:basedOn w:val="DefaultParagraphFont"/>
    <w:link w:val="Heading4"/>
    <w:autoRedefine/>
    <w:semiHidden/>
    <w:qFormat/>
    <w:rPr>
      <w:rFonts w:ascii="宋体" w:eastAsia="宋体" w:hAnsi="宋体" w:cs="Times New Roman"/>
      <w:b/>
      <w:bCs/>
      <w:kern w:val="0"/>
      <w:sz w:val="24"/>
      <w:szCs w:val="24"/>
    </w:rPr>
  </w:style>
  <w:style w:type="character" w:customStyle="1" w:styleId="5">
    <w:name w:val="标题 5 字符"/>
    <w:basedOn w:val="DefaultParagraphFont"/>
    <w:link w:val="Heading5"/>
    <w:autoRedefine/>
    <w:semiHidden/>
    <w:qFormat/>
    <w:rPr>
      <w:rFonts w:ascii="宋体" w:eastAsia="宋体" w:hAnsi="宋体" w:cs="Times New Roman"/>
      <w:b/>
      <w:bCs/>
      <w:kern w:val="0"/>
      <w:sz w:val="20"/>
      <w:szCs w:val="20"/>
    </w:rPr>
  </w:style>
  <w:style w:type="character" w:customStyle="1" w:styleId="6">
    <w:name w:val="标题 6 字符"/>
    <w:basedOn w:val="DefaultParagraphFont"/>
    <w:link w:val="Heading6"/>
    <w:autoRedefine/>
    <w:semiHidden/>
    <w:qFormat/>
    <w:rPr>
      <w:rFonts w:ascii="宋体" w:eastAsia="宋体" w:hAnsi="宋体" w:cs="Times New Roman"/>
      <w:b/>
      <w:bCs/>
      <w:kern w:val="0"/>
      <w:sz w:val="15"/>
      <w:szCs w:val="15"/>
    </w:rPr>
  </w:style>
  <w:style w:type="character" w:customStyle="1" w:styleId="HTML">
    <w:name w:val="HTML 预设格式 字符"/>
    <w:basedOn w:val="DefaultParagraphFont"/>
    <w:link w:val="HTMLPreformatted"/>
    <w:autoRedefine/>
    <w:qFormat/>
    <w:rPr>
      <w:rFonts w:ascii="宋体" w:eastAsia="宋体" w:hAnsi="宋体" w:cs="Times New Roman"/>
      <w:kern w:val="0"/>
      <w:sz w:val="24"/>
      <w:szCs w:val="24"/>
    </w:rPr>
  </w:style>
  <w:style w:type="character" w:customStyle="1" w:styleId="a">
    <w:name w:val="页眉 字符"/>
    <w:basedOn w:val="DefaultParagraphFont"/>
    <w:link w:val="Header"/>
    <w:autoRedefine/>
    <w:qFormat/>
    <w:rPr>
      <w:rFonts w:asciiTheme="minorEastAsia" w:hAnsiTheme="minorEastAsia" w:cs="Times New Roman"/>
      <w:kern w:val="0"/>
      <w:sz w:val="18"/>
      <w:szCs w:val="18"/>
    </w:rPr>
  </w:style>
  <w:style w:type="character" w:customStyle="1" w:styleId="a0">
    <w:name w:val="页脚 字符"/>
    <w:basedOn w:val="DefaultParagraphFont"/>
    <w:link w:val="Footer"/>
    <w:autoRedefine/>
    <w:qFormat/>
    <w:rPr>
      <w:rFonts w:asciiTheme="minorEastAsia" w:hAnsiTheme="minorEastAsi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67153135162006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2818</Words>
  <Characters>16067</Characters>
  <Application>Microsoft Office Word</Application>
  <DocSecurity>0</DocSecurity>
  <Lines>133</Lines>
  <Paragraphs>37</Paragraphs>
  <ScaleCrop>false</ScaleCrop>
  <Company/>
  <LinksUpToDate>false</LinksUpToDate>
  <CharactersWithSpaces>18848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江南博哥</cp:lastModifiedBy>
  <cp:revision>1</cp:revision>
  <dcterms:created xsi:type="dcterms:W3CDTF">2024-02-06T00:26:00Z</dcterms:created>
  <dcterms:modified xsi:type="dcterms:W3CDTF">2024-02-20T01:03:07Z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6C83DAF4778F4BDDB84CD8D4D86AB5B7_13</vt:lpwstr>
  </property>
  <property fmtid="{D5CDD505-2E9C-101B-9397-08002B2CF9AE}" pid="3" name="KSOProductBuildVer">
    <vt:lpwstr>2052-12.1.0.16250</vt:lpwstr>
  </property>
</Properties>
</file>