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right="181"/>
        <w:jc w:val="left"/>
        <w:rPr>
          <w:rFonts w:eastAsia="黑体" w:cs="Times New Roman"/>
          <w:b/>
          <w:spacing w:val="2"/>
          <w:sz w:val="21"/>
          <w:szCs w:val="21"/>
        </w:rPr>
      </w:pPr>
      <w:r>
        <w:rPr>
          <w:rFonts w:eastAsia="黑体" w:cs="Times New Roman"/>
          <w:b/>
          <w:spacing w:val="2"/>
          <w:sz w:val="21"/>
          <w:szCs w:val="21"/>
        </w:rPr>
        <w:t>ICS号</w:t>
      </w:r>
    </w:p>
    <w:p>
      <w:pPr>
        <w:ind w:right="181"/>
        <w:jc w:val="left"/>
        <w:rPr>
          <w:rFonts w:eastAsia="黑体" w:cs="Times New Roman"/>
          <w:b/>
          <w:spacing w:val="2"/>
          <w:sz w:val="21"/>
          <w:szCs w:val="21"/>
        </w:rPr>
      </w:pPr>
      <w:r>
        <w:rPr>
          <w:rFonts w:eastAsia="黑体" w:cs="Times New Roman"/>
          <w:b/>
          <w:spacing w:val="2"/>
          <w:sz w:val="21"/>
          <w:szCs w:val="21"/>
        </w:rPr>
        <w:t>中国标准文献分类号</w:t>
      </w:r>
    </w:p>
    <w:p>
      <w:pPr>
        <w:ind w:right="181"/>
        <w:jc w:val="left"/>
        <w:rPr>
          <w:rFonts w:eastAsia="黑体" w:cs="Times New Roman"/>
          <w:b/>
          <w:spacing w:val="2"/>
          <w:sz w:val="21"/>
          <w:szCs w:val="21"/>
        </w:rPr>
      </w:pPr>
    </w:p>
    <w:p>
      <w:pPr>
        <w:ind w:right="181"/>
        <w:jc w:val="center"/>
        <w:rPr>
          <w:rFonts w:eastAsia="黑体" w:cs="Times New Roman"/>
          <w:b/>
          <w:spacing w:val="2"/>
          <w:sz w:val="72"/>
          <w:szCs w:val="72"/>
        </w:rPr>
      </w:pPr>
      <w:r>
        <w:rPr>
          <w:rFonts w:eastAsia="黑体" w:cs="Times New Roman"/>
          <w:b/>
          <w:spacing w:val="2"/>
          <w:sz w:val="72"/>
          <w:szCs w:val="72"/>
        </w:rPr>
        <w:t>团   体   标   准</w:t>
      </w:r>
    </w:p>
    <w:p>
      <w:pPr>
        <w:ind w:right="37"/>
        <w:jc w:val="right"/>
        <w:rPr>
          <w:rFonts w:eastAsia="黑体" w:cs="Times New Roman"/>
          <w:b/>
          <w:spacing w:val="2"/>
          <w:sz w:val="32"/>
        </w:rPr>
      </w:pPr>
      <w:r>
        <w:rPr>
          <w:rFonts w:eastAsia="黑体" w:cs="Times New Roman"/>
        </w:rPr>
        <mc:AlternateContent>
          <mc:Choice Requires="wps">
            <w:drawing>
              <wp:anchor distT="0" distB="0" distL="114300" distR="114300" simplePos="0" relativeHeight="251659264" behindDoc="0" locked="0" layoutInCell="1" allowOverlap="1">
                <wp:simplePos x="0" y="0"/>
                <wp:positionH relativeFrom="column">
                  <wp:posOffset>25400</wp:posOffset>
                </wp:positionH>
                <wp:positionV relativeFrom="paragraph">
                  <wp:posOffset>345440</wp:posOffset>
                </wp:positionV>
                <wp:extent cx="6120130" cy="17780"/>
                <wp:effectExtent l="19050" t="19050" r="33655" b="20320"/>
                <wp:wrapNone/>
                <wp:docPr id="2" name="直接连接符 2"/>
                <wp:cNvGraphicFramePr/>
                <a:graphic xmlns:a="http://schemas.openxmlformats.org/drawingml/2006/main">
                  <a:graphicData uri="http://schemas.microsoft.com/office/word/2010/wordprocessingShape">
                    <wps:wsp xmlns:wps="http://schemas.microsoft.com/office/word/2010/wordprocessingShape">
                      <wps:cNvCnPr/>
                      <wps:spPr>
                        <a:xfrm flipV="1">
                          <a:off x="0" y="0"/>
                          <a:ext cx="6120000" cy="18000"/>
                        </a:xfrm>
                        <a:prstGeom prst="line">
                          <a:avLst/>
                        </a:prstGeom>
                        <a:noFill/>
                        <a:ln w="28575">
                          <a:solidFill>
                            <a:sysClr val="windowText" lastClr="000000"/>
                          </a:solidFill>
                          <a:prstDash val="solid"/>
                        </a:ln>
                        <a:effectLst/>
                      </wps:spPr>
                      <wps:bodyPr/>
                    </wps:wsp>
                  </a:graphicData>
                </a:graphic>
              </wp:anchor>
            </w:drawing>
          </mc:Choice>
          <mc:Fallback>
            <w:pict>
              <v:line id="直接连接符 2" o:spid="_x0000_s1025" style="flip:y;mso-wrap-distance-bottom:0;mso-wrap-distance-left:9pt;mso-wrap-distance-right:9pt;mso-wrap-distance-top:0;position:absolute;v-text-anchor:top;z-index:251658240" from="2pt,27.2pt" to="483.9pt,28.6pt" fillcolor="this" stroked="t" strokecolor="black" strokeweight="2.25pt"/>
            </w:pict>
          </mc:Fallback>
        </mc:AlternateContent>
      </w:r>
      <w:r>
        <w:rPr>
          <w:rFonts w:eastAsia="黑体" w:cs="Times New Roman"/>
          <w:b/>
          <w:spacing w:val="2"/>
          <w:sz w:val="28"/>
          <w:szCs w:val="28"/>
        </w:rPr>
        <w:t>T/CMEA XX-2024</w:t>
      </w:r>
    </w:p>
    <w:p>
      <w:pPr>
        <w:spacing w:line="640" w:lineRule="auto"/>
        <w:ind w:right="181"/>
        <w:jc w:val="left"/>
        <w:rPr>
          <w:rFonts w:eastAsia="黑体" w:cs="Times New Roman"/>
          <w:b/>
          <w:spacing w:val="2"/>
          <w:sz w:val="32"/>
        </w:rPr>
      </w:pPr>
      <w:bookmarkStart w:id="0" w:name="_Hlk121133689"/>
      <w:bookmarkStart w:id="1" w:name="_Hlk130200864"/>
    </w:p>
    <w:p>
      <w:pPr>
        <w:spacing w:line="640" w:lineRule="auto"/>
        <w:ind w:right="181"/>
        <w:jc w:val="left"/>
        <w:rPr>
          <w:rFonts w:eastAsia="黑体" w:cs="Times New Roman"/>
          <w:b/>
          <w:spacing w:val="2"/>
          <w:sz w:val="32"/>
        </w:rPr>
      </w:pPr>
    </w:p>
    <w:p>
      <w:pPr>
        <w:spacing w:line="640" w:lineRule="auto"/>
        <w:ind w:right="181"/>
        <w:jc w:val="left"/>
        <w:rPr>
          <w:rFonts w:eastAsia="黑体" w:cs="Times New Roman"/>
          <w:b/>
          <w:spacing w:val="2"/>
          <w:sz w:val="32"/>
        </w:rPr>
      </w:pPr>
    </w:p>
    <w:p>
      <w:pPr>
        <w:jc w:val="center"/>
        <w:rPr>
          <w:rFonts w:eastAsia="黑体" w:cs="Times New Roman"/>
          <w:b/>
          <w:color w:val="000000"/>
          <w:sz w:val="52"/>
          <w:szCs w:val="52"/>
        </w:rPr>
      </w:pPr>
      <w:r>
        <w:rPr>
          <w:rFonts w:eastAsia="黑体" w:cs="Times New Roman"/>
          <w:b/>
          <w:color w:val="000000"/>
          <w:sz w:val="52"/>
          <w:szCs w:val="52"/>
        </w:rPr>
        <w:t>水生态环境导向开发工程项目规划</w:t>
      </w:r>
      <w:bookmarkEnd w:id="0"/>
      <w:r>
        <w:rPr>
          <w:rFonts w:eastAsia="黑体" w:cs="Times New Roman"/>
          <w:b/>
          <w:color w:val="000000"/>
          <w:sz w:val="52"/>
          <w:szCs w:val="52"/>
        </w:rPr>
        <w:t>指南</w:t>
      </w:r>
    </w:p>
    <w:bookmarkEnd w:id="1"/>
    <w:p>
      <w:pPr>
        <w:spacing w:line="360" w:lineRule="exact"/>
        <w:jc w:val="center"/>
        <w:rPr>
          <w:rFonts w:eastAsia="黑体" w:cs="Times New Roman"/>
          <w:b/>
          <w:color w:val="000000"/>
          <w:szCs w:val="21"/>
        </w:rPr>
      </w:pPr>
      <w:r>
        <w:rPr>
          <w:rFonts w:eastAsia="黑体" w:cs="Times New Roman" w:hint="eastAsia"/>
          <w:b/>
          <w:color w:val="000000"/>
          <w:szCs w:val="21"/>
        </w:rPr>
        <w:t xml:space="preserve"> </w:t>
      </w:r>
    </w:p>
    <w:p>
      <w:pPr>
        <w:spacing w:line="400" w:lineRule="exact"/>
        <w:jc w:val="center"/>
        <w:rPr>
          <w:rFonts w:eastAsia="黑体" w:cs="Times New Roman"/>
          <w:color w:val="000000"/>
          <w:sz w:val="28"/>
          <w:szCs w:val="28"/>
        </w:rPr>
      </w:pPr>
      <w:bookmarkStart w:id="2" w:name="_Hlk145944317"/>
      <w:r>
        <w:rPr>
          <w:rFonts w:eastAsia="黑体" w:cs="Times New Roman"/>
          <w:color w:val="000000"/>
          <w:sz w:val="28"/>
          <w:szCs w:val="28"/>
        </w:rPr>
        <w:t>Guidline</w:t>
      </w:r>
      <w:bookmarkEnd w:id="2"/>
      <w:r>
        <w:rPr>
          <w:rFonts w:eastAsia="黑体" w:cs="Times New Roman"/>
          <w:color w:val="000000"/>
          <w:sz w:val="28"/>
          <w:szCs w:val="28"/>
        </w:rPr>
        <w:t xml:space="preserve"> for water-ecological-environment-oriented development（WEOD）project planning</w:t>
      </w:r>
    </w:p>
    <w:p>
      <w:pPr>
        <w:spacing w:line="640" w:lineRule="auto"/>
        <w:ind w:right="181"/>
        <w:jc w:val="center"/>
        <w:rPr>
          <w:rFonts w:cs="Times New Roman"/>
          <w:b/>
          <w:spacing w:val="2"/>
          <w:sz w:val="40"/>
          <w:szCs w:val="52"/>
        </w:rPr>
      </w:pPr>
      <w:r>
        <w:rPr>
          <w:rFonts w:cs="Times New Roman"/>
          <w:b/>
          <w:spacing w:val="2"/>
          <w:sz w:val="40"/>
          <w:szCs w:val="52"/>
        </w:rPr>
        <w:t>（征求意见稿）</w:t>
      </w:r>
    </w:p>
    <w:p>
      <w:pPr>
        <w:spacing w:line="640" w:lineRule="auto"/>
        <w:ind w:right="181"/>
        <w:jc w:val="left"/>
        <w:rPr>
          <w:rFonts w:cs="Times New Roman"/>
          <w:b/>
          <w:spacing w:val="2"/>
          <w:sz w:val="28"/>
          <w:szCs w:val="21"/>
        </w:rPr>
      </w:pPr>
      <w:r>
        <w:rPr>
          <w:rFonts w:cs="Times New Roman" w:hint="eastAsia"/>
          <w:b/>
          <w:spacing w:val="2"/>
          <w:sz w:val="28"/>
          <w:szCs w:val="21"/>
        </w:rPr>
        <w:t>在提交反馈意见时，请将您知道的相关专利连同支持性文件一并附上。</w:t>
      </w:r>
    </w:p>
    <w:p>
      <w:pPr>
        <w:spacing w:line="640" w:lineRule="auto"/>
        <w:ind w:right="181"/>
        <w:jc w:val="left"/>
        <w:rPr>
          <w:rFonts w:cs="Times New Roman"/>
          <w:b/>
          <w:spacing w:val="2"/>
          <w:sz w:val="32"/>
        </w:rPr>
      </w:pPr>
    </w:p>
    <w:p>
      <w:pPr>
        <w:spacing w:line="640" w:lineRule="auto"/>
        <w:ind w:right="181"/>
        <w:jc w:val="left"/>
        <w:rPr>
          <w:rFonts w:cs="Times New Roman"/>
          <w:b/>
          <w:spacing w:val="2"/>
          <w:sz w:val="32"/>
        </w:rPr>
      </w:pPr>
    </w:p>
    <w:p>
      <w:pPr>
        <w:spacing w:line="640" w:lineRule="auto"/>
        <w:ind w:right="181"/>
        <w:jc w:val="left"/>
        <w:rPr>
          <w:rFonts w:cs="Times New Roman"/>
          <w:b/>
          <w:spacing w:val="2"/>
          <w:sz w:val="32"/>
        </w:rPr>
      </w:pPr>
    </w:p>
    <w:p>
      <w:pPr>
        <w:spacing w:line="640" w:lineRule="auto"/>
        <w:ind w:right="181"/>
        <w:jc w:val="left"/>
        <w:rPr>
          <w:rFonts w:cs="Times New Roman"/>
          <w:b/>
          <w:spacing w:val="2"/>
          <w:sz w:val="32"/>
        </w:rPr>
      </w:pPr>
    </w:p>
    <w:p>
      <w:pPr>
        <w:snapToGrid w:val="0"/>
        <w:spacing w:line="240" w:lineRule="atLeast"/>
        <w:contextualSpacing/>
        <w:jc w:val="left"/>
        <w:rPr>
          <w:rFonts w:eastAsia="黑体" w:cs="Times New Roman"/>
          <w:b/>
          <w:spacing w:val="2"/>
          <w:sz w:val="28"/>
          <w:szCs w:val="28"/>
          <w:highlight w:val="yellow"/>
        </w:rPr>
      </w:pPr>
    </w:p>
    <w:p>
      <w:pPr>
        <w:snapToGrid w:val="0"/>
        <w:spacing w:line="240" w:lineRule="atLeast"/>
        <w:contextualSpacing/>
        <w:jc w:val="left"/>
        <w:rPr>
          <w:rFonts w:eastAsia="黑体" w:cs="Times New Roman"/>
          <w:b/>
          <w:spacing w:val="2"/>
          <w:sz w:val="28"/>
          <w:szCs w:val="28"/>
        </w:rPr>
      </w:pPr>
      <w:r>
        <w:rPr>
          <w:rFonts w:eastAsia="黑体" w:cs="Times New Roman"/>
          <w:b/>
          <w:spacing w:val="2"/>
          <w:sz w:val="28"/>
          <w:szCs w:val="28"/>
        </w:rPr>
        <w:t>2024-XX-XX发布                                      2024-XX-XX实施</w:t>
      </w:r>
    </w:p>
    <w:p>
      <w:pPr>
        <w:spacing w:line="240" w:lineRule="auto"/>
        <w:jc w:val="center"/>
        <w:rPr>
          <w:rFonts w:eastAsia="华文中宋" w:cs="Times New Roman"/>
          <w:b/>
          <w:spacing w:val="2"/>
          <w:sz w:val="30"/>
          <w:szCs w:val="30"/>
        </w:rPr>
      </w:pPr>
      <w:r>
        <w:rPr>
          <w:rFonts w:eastAsia="华文中宋" w:cs="Times New Roman"/>
        </w:rPr>
        <mc:AlternateContent>
          <mc:Choice Requires="wps">
            <w:drawing>
              <wp:anchor distT="0" distB="0" distL="114300" distR="114300" simplePos="0" relativeHeight="251661312" behindDoc="0" locked="0" layoutInCell="1" allowOverlap="1">
                <wp:simplePos x="0" y="0"/>
                <wp:positionH relativeFrom="column">
                  <wp:posOffset>22225</wp:posOffset>
                </wp:positionH>
                <wp:positionV relativeFrom="paragraph">
                  <wp:posOffset>121285</wp:posOffset>
                </wp:positionV>
                <wp:extent cx="6120130" cy="0"/>
                <wp:effectExtent l="0" t="0" r="0" b="0"/>
                <wp:wrapNone/>
                <wp:docPr id="1" name="直接连接符 1"/>
                <wp:cNvGraphicFramePr/>
                <a:graphic xmlns:a="http://schemas.openxmlformats.org/drawingml/2006/main">
                  <a:graphicData uri="http://schemas.microsoft.com/office/word/2010/wordprocessingShape">
                    <wps:wsp xmlns:wps="http://schemas.microsoft.com/office/word/2010/wordprocessingShape">
                      <wps:cNvCnPr/>
                      <wps:spPr>
                        <a:xfrm flipV="1">
                          <a:off x="0" y="0"/>
                          <a:ext cx="6120000" cy="0"/>
                        </a:xfrm>
                        <a:prstGeom prst="line">
                          <a:avLst/>
                        </a:prstGeom>
                        <a:noFill/>
                        <a:ln w="19050">
                          <a:solidFill>
                            <a:sysClr val="windowText" lastClr="000000"/>
                          </a:solidFill>
                          <a:prstDash val="solid"/>
                        </a:ln>
                        <a:effectLst/>
                      </wps:spPr>
                      <wps:bodyPr/>
                    </wps:wsp>
                  </a:graphicData>
                </a:graphic>
              </wp:anchor>
            </w:drawing>
          </mc:Choice>
          <mc:Fallback>
            <w:pict>
              <v:line id="直接连接符 1" o:spid="_x0000_s1026" style="flip:y;mso-wrap-distance-bottom:0;mso-wrap-distance-left:9pt;mso-wrap-distance-right:9pt;mso-wrap-distance-top:0;position:absolute;v-text-anchor:top;z-index:251660288" from="1.75pt,9.55pt" to="483.65pt,9.55pt" fillcolor="this" stroked="t" strokecolor="black" strokeweight="1.5pt"/>
            </w:pict>
          </mc:Fallback>
        </mc:AlternateContent>
      </w:r>
    </w:p>
    <w:p>
      <w:pPr>
        <w:spacing w:line="240" w:lineRule="auto"/>
        <w:jc w:val="center"/>
        <w:rPr>
          <w:rFonts w:cs="Times New Roman"/>
          <w:b/>
          <w:spacing w:val="2"/>
          <w:sz w:val="28"/>
          <w:szCs w:val="28"/>
        </w:rPr>
      </w:pPr>
      <w:r>
        <w:rPr>
          <w:rFonts w:eastAsia="华文中宋" w:cs="Times New Roman"/>
          <w:b/>
          <w:spacing w:val="2"/>
          <w:sz w:val="30"/>
          <w:szCs w:val="30"/>
        </w:rPr>
        <w:t xml:space="preserve">中国市政工程协会  </w:t>
      </w:r>
      <w:r>
        <w:rPr>
          <w:rFonts w:eastAsia="黑体" w:cs="Times New Roman"/>
          <w:b/>
          <w:spacing w:val="2"/>
          <w:sz w:val="28"/>
          <w:szCs w:val="28"/>
        </w:rPr>
        <w:t>发 布</w:t>
      </w:r>
    </w:p>
    <w:p>
      <w:pPr>
        <w:rPr>
          <w:rFonts w:cs="Times New Roman"/>
          <w:b/>
          <w:spacing w:val="2"/>
          <w:sz w:val="28"/>
          <w:szCs w:val="28"/>
        </w:rPr>
        <w:sectPr>
          <w:footerReference w:type="even" r:id="rId6"/>
          <w:footerReference w:type="default" r:id="rId7"/>
          <w:pgSz w:w="11906" w:h="16838"/>
          <w:pgMar w:top="567" w:right="851" w:bottom="1134" w:left="1418" w:header="851" w:footer="992" w:gutter="0"/>
          <w:cols w:num="1" w:space="425"/>
          <w:titlePg/>
          <w:docGrid w:type="linesAndChars" w:linePitch="326" w:charSpace="0"/>
        </w:sectPr>
      </w:pPr>
    </w:p>
    <w:p>
      <w:pPr>
        <w:adjustRightInd w:val="0"/>
        <w:snapToGrid w:val="0"/>
        <w:spacing w:line="420" w:lineRule="exact"/>
        <w:jc w:val="center"/>
        <w:rPr>
          <w:rFonts w:eastAsia="黑体" w:cs="Times New Roman"/>
          <w:color w:val="000000"/>
          <w:sz w:val="28"/>
          <w:szCs w:val="28"/>
        </w:rPr>
      </w:pPr>
    </w:p>
    <w:p>
      <w:pPr>
        <w:pStyle w:val="Heading1"/>
        <w:spacing w:before="851" w:after="680"/>
        <w:rPr>
          <w:rFonts w:cs="Times New Roman"/>
        </w:rPr>
      </w:pPr>
      <w:bookmarkStart w:id="3" w:name="_GoBack"/>
      <w:bookmarkEnd w:id="3"/>
      <w:bookmarkStart w:id="4" w:name="_Toc154389039"/>
      <w:bookmarkStart w:id="5" w:name="_Toc148348578"/>
      <w:bookmarkStart w:id="6" w:name="_Toc153896164"/>
      <w:bookmarkStart w:id="7" w:name="_Toc154388527"/>
      <w:bookmarkStart w:id="8" w:name="_Toc152836090"/>
      <w:bookmarkStart w:id="9" w:name="_Toc154388579"/>
      <w:bookmarkStart w:id="10" w:name="_Toc153182614"/>
      <w:r>
        <w:rPr>
          <w:rFonts w:cs="Times New Roman"/>
        </w:rPr>
        <w:t>总则</w:t>
      </w:r>
      <w:bookmarkEnd w:id="4"/>
      <w:bookmarkEnd w:id="5"/>
      <w:bookmarkEnd w:id="6"/>
      <w:bookmarkEnd w:id="7"/>
      <w:bookmarkEnd w:id="8"/>
      <w:bookmarkEnd w:id="9"/>
      <w:bookmarkEnd w:id="10"/>
    </w:p>
    <w:p>
      <w:pPr>
        <w:pStyle w:val="10"/>
        <w:numPr>
          <w:ilvl w:val="0"/>
          <w:numId w:val="0"/>
        </w:numPr>
        <w:rPr>
          <w:rFonts w:cs="Times New Roman"/>
        </w:rPr>
      </w:pPr>
      <w:r>
        <w:rPr>
          <w:rFonts w:cs="Times New Roman"/>
        </w:rPr>
        <w:t>1.0.1 为促进水生态环境导向开发工程项目高质量发展，提高水生态环境导向开发工程项目规划的科学性和合理性，指导水生态环境导向开发工程项目实施，制定本</w:t>
      </w:r>
      <w:r>
        <w:rPr>
          <w:rFonts w:cs="Times New Roman" w:hint="eastAsia"/>
        </w:rPr>
        <w:t>文件</w:t>
      </w:r>
      <w:r>
        <w:rPr>
          <w:rFonts w:cs="Times New Roman"/>
        </w:rPr>
        <w:t>。</w:t>
      </w:r>
    </w:p>
    <w:p>
      <w:pPr>
        <w:pStyle w:val="10"/>
        <w:numPr>
          <w:ilvl w:val="0"/>
          <w:numId w:val="0"/>
        </w:numPr>
        <w:rPr>
          <w:rFonts w:cs="Times New Roman"/>
        </w:rPr>
      </w:pPr>
      <w:r>
        <w:rPr>
          <w:rFonts w:cs="Times New Roman"/>
        </w:rPr>
        <w:t>1.0.2 本</w:t>
      </w:r>
      <w:r>
        <w:rPr>
          <w:rFonts w:cs="Times New Roman" w:hint="eastAsia"/>
        </w:rPr>
        <w:t>文件</w:t>
      </w:r>
      <w:r>
        <w:rPr>
          <w:rFonts w:cs="Times New Roman"/>
        </w:rPr>
        <w:t>适用于水生态环境</w:t>
      </w:r>
      <w:r>
        <w:rPr>
          <w:rFonts w:cs="Times New Roman" w:hint="eastAsia"/>
        </w:rPr>
        <w:t>保护领域</w:t>
      </w:r>
      <w:r>
        <w:rPr>
          <w:rFonts w:cs="Times New Roman"/>
        </w:rPr>
        <w:t>生态环境导向的开发</w:t>
      </w:r>
      <w:r>
        <w:rPr>
          <w:rFonts w:cs="Times New Roman" w:hint="eastAsia"/>
        </w:rPr>
        <w:t>（E</w:t>
      </w:r>
      <w:r>
        <w:rPr>
          <w:rFonts w:cs="Times New Roman"/>
        </w:rPr>
        <w:t>OD</w:t>
      </w:r>
      <w:r>
        <w:rPr>
          <w:rFonts w:cs="Times New Roman" w:hint="eastAsia"/>
        </w:rPr>
        <w:t>）</w:t>
      </w:r>
      <w:r>
        <w:rPr>
          <w:rFonts w:cs="Times New Roman"/>
        </w:rPr>
        <w:t>模式项目</w:t>
      </w:r>
      <w:r>
        <w:rPr>
          <w:rFonts w:cs="Times New Roman" w:hint="eastAsia"/>
        </w:rPr>
        <w:t>的</w:t>
      </w:r>
      <w:r>
        <w:rPr>
          <w:rFonts w:cs="Times New Roman"/>
        </w:rPr>
        <w:t>规划。</w:t>
      </w:r>
    </w:p>
    <w:p>
      <w:pPr>
        <w:pStyle w:val="10"/>
        <w:numPr>
          <w:ilvl w:val="0"/>
          <w:numId w:val="0"/>
        </w:numPr>
        <w:rPr>
          <w:rFonts w:cs="Times New Roman"/>
        </w:rPr>
      </w:pPr>
      <w:r>
        <w:rPr>
          <w:rFonts w:cs="Times New Roman"/>
        </w:rPr>
        <w:t>1.0.3 水生态环境导向开发工程项目规划除应符合本</w:t>
      </w:r>
      <w:r>
        <w:rPr>
          <w:rFonts w:cs="Times New Roman" w:hint="eastAsia"/>
        </w:rPr>
        <w:t>文件</w:t>
      </w:r>
      <w:r>
        <w:rPr>
          <w:rFonts w:cs="Times New Roman"/>
        </w:rPr>
        <w:t>外，尚应符合国家现行相关标准的规定。</w:t>
      </w:r>
    </w:p>
    <w:p>
      <w:pPr>
        <w:rPr>
          <w:rFonts w:cs="Times New Roman"/>
        </w:rPr>
      </w:pPr>
    </w:p>
    <w:p>
      <w:pPr>
        <w:rPr>
          <w:rFonts w:cs="Times New Roman"/>
        </w:rPr>
        <w:sectPr>
          <w:headerReference w:type="default" r:id="rId8"/>
          <w:footerReference w:type="even" r:id="rId9"/>
          <w:footerReference w:type="default" r:id="rId10"/>
          <w:pgSz w:w="11906" w:h="16838"/>
          <w:pgMar w:top="1440" w:right="1800" w:bottom="1440" w:left="1800" w:header="1417" w:footer="1134" w:gutter="0"/>
          <w:pgNumType w:start="1"/>
          <w:cols w:num="1" w:space="425"/>
          <w:docGrid w:type="linesAndChars" w:linePitch="326" w:charSpace="0"/>
        </w:sectPr>
      </w:pPr>
    </w:p>
    <w:p>
      <w:pPr>
        <w:pStyle w:val="Heading1"/>
        <w:rPr>
          <w:rFonts w:cs="Times New Roman"/>
        </w:rPr>
      </w:pPr>
      <w:bookmarkStart w:id="11" w:name="_Toc153182615"/>
      <w:bookmarkStart w:id="12" w:name="_Toc154388528"/>
      <w:bookmarkStart w:id="13" w:name="_Toc154389040"/>
      <w:bookmarkStart w:id="14" w:name="_Toc148348580"/>
      <w:bookmarkStart w:id="15" w:name="_Toc153896165"/>
      <w:bookmarkStart w:id="16" w:name="_Toc154388580"/>
      <w:bookmarkStart w:id="17" w:name="_Toc152836091"/>
      <w:r>
        <w:rPr>
          <w:rFonts w:cs="Times New Roman"/>
        </w:rPr>
        <w:t>术语</w:t>
      </w:r>
      <w:bookmarkEnd w:id="11"/>
      <w:bookmarkEnd w:id="12"/>
      <w:bookmarkEnd w:id="13"/>
      <w:bookmarkEnd w:id="14"/>
      <w:bookmarkEnd w:id="15"/>
      <w:bookmarkEnd w:id="16"/>
      <w:bookmarkEnd w:id="17"/>
    </w:p>
    <w:p>
      <w:pPr>
        <w:pStyle w:val="21"/>
        <w:numPr>
          <w:ilvl w:val="0"/>
          <w:numId w:val="0"/>
        </w:numPr>
        <w:rPr>
          <w:rFonts w:cs="Times New Roman"/>
        </w:rPr>
      </w:pPr>
      <w:r>
        <w:rPr>
          <w:rFonts w:cs="Times New Roman"/>
        </w:rPr>
        <w:t>2.0.1 生态环境导向开发模式 eco-environment-oriented development</w:t>
      </w:r>
    </w:p>
    <w:p>
      <w:pPr>
        <w:ind w:firstLine="480" w:firstLineChars="200"/>
        <w:rPr>
          <w:rFonts w:cs="Times New Roman"/>
        </w:rPr>
      </w:pPr>
      <w:r>
        <w:rPr>
          <w:rFonts w:cs="Times New Roman"/>
        </w:rPr>
        <w:t>将公益性较强、收益性差的生态环境治理项目与收益较好的关联产业项目有效融合、</w:t>
      </w:r>
      <w:r>
        <w:rPr>
          <w:rFonts w:cs="Times New Roman" w:hint="eastAsia"/>
        </w:rPr>
        <w:t>收益反哺、</w:t>
      </w:r>
      <w:r>
        <w:rPr>
          <w:rFonts w:cs="Times New Roman"/>
        </w:rPr>
        <w:t>一体化实施，以生态环境质量提升促进关联产业增值，再以产业收益反哺生态环境治理的创新性项目组织实施方式，简称EOD模式。</w:t>
      </w:r>
    </w:p>
    <w:p>
      <w:pPr>
        <w:pStyle w:val="21"/>
        <w:numPr>
          <w:ilvl w:val="0"/>
          <w:numId w:val="0"/>
        </w:numPr>
        <w:rPr>
          <w:rFonts w:cs="Times New Roman"/>
        </w:rPr>
      </w:pPr>
      <w:r>
        <w:rPr>
          <w:rFonts w:cs="Times New Roman"/>
        </w:rPr>
        <w:t>2.0.2 水生态环境导向开发工程项目 water-ecological-environment-oriented development</w:t>
      </w:r>
    </w:p>
    <w:p>
      <w:pPr>
        <w:ind w:firstLine="480" w:firstLineChars="200"/>
        <w:rPr>
          <w:rFonts w:cs="Times New Roman"/>
        </w:rPr>
      </w:pPr>
      <w:r>
        <w:rPr>
          <w:rFonts w:cs="Times New Roman"/>
        </w:rPr>
        <w:t>以水生态环境</w:t>
      </w:r>
      <w:r>
        <w:rPr>
          <w:rFonts w:cs="Times New Roman" w:hint="eastAsia"/>
        </w:rPr>
        <w:t>保护</w:t>
      </w:r>
      <w:r>
        <w:rPr>
          <w:rFonts w:cs="Times New Roman"/>
        </w:rPr>
        <w:t>为主要生态环境治理项目类型的EOD模式项目，简称WEOD模式。</w:t>
      </w:r>
    </w:p>
    <w:p>
      <w:pPr>
        <w:rPr>
          <w:rFonts w:cs="Times New Roman"/>
        </w:rPr>
      </w:pPr>
      <w:r>
        <w:rPr>
          <w:rFonts w:cs="Times New Roman"/>
        </w:rPr>
        <w:t>2.0.3 水生态环境导向开发工程项目规划 water-ecological-environment-oriented development project planning</w:t>
      </w:r>
    </w:p>
    <w:p>
      <w:pPr>
        <w:ind w:firstLine="480" w:firstLineChars="200"/>
        <w:rPr>
          <w:rFonts w:cs="Times New Roman"/>
        </w:rPr>
      </w:pPr>
      <w:r>
        <w:rPr>
          <w:rFonts w:cs="Times New Roman"/>
        </w:rPr>
        <w:t>融合多要素、多领域发展愿景，对水生态环境导向开发工程项目进行全面、长远的发展计划，是对一个特定区域内水生态环境导向开发工程项目的整体性、系统性、长期性、基本性问题的思考和考量，设计未来整套行动的方案。</w:t>
      </w:r>
    </w:p>
    <w:p>
      <w:pPr>
        <w:ind w:firstLine="480" w:firstLineChars="200"/>
        <w:rPr>
          <w:rFonts w:cs="Times New Roman"/>
        </w:rPr>
        <w:sectPr>
          <w:headerReference w:type="default" r:id="rId11"/>
          <w:footerReference w:type="even" r:id="rId12"/>
          <w:footerReference w:type="default" r:id="rId13"/>
          <w:pgSz w:w="11906" w:h="16838"/>
          <w:pgMar w:top="1440" w:right="1800" w:bottom="1440" w:left="1800" w:header="1417" w:footer="1134" w:gutter="0"/>
          <w:pgNumType w:start="2"/>
          <w:cols w:num="1" w:space="425"/>
          <w:docGrid w:type="linesAndChars" w:linePitch="326" w:charSpace="0"/>
        </w:sectPr>
      </w:pPr>
    </w:p>
    <w:p>
      <w:pPr>
        <w:pStyle w:val="Heading1"/>
        <w:rPr>
          <w:rFonts w:cs="Times New Roman"/>
        </w:rPr>
      </w:pPr>
      <w:bookmarkStart w:id="18" w:name="_Toc153182616"/>
      <w:bookmarkStart w:id="19" w:name="_Toc154389041"/>
      <w:bookmarkStart w:id="20" w:name="_Toc153896166"/>
      <w:bookmarkStart w:id="21" w:name="_Toc154388581"/>
      <w:bookmarkStart w:id="22" w:name="_Toc148348582"/>
      <w:bookmarkStart w:id="23" w:name="_Toc152836092"/>
      <w:bookmarkStart w:id="24" w:name="_Toc154388529"/>
      <w:r>
        <w:rPr>
          <w:rFonts w:cs="Times New Roman" w:hint="eastAsia"/>
        </w:rPr>
        <w:t>基本</w:t>
      </w:r>
      <w:r>
        <w:rPr>
          <w:rFonts w:cs="Times New Roman"/>
        </w:rPr>
        <w:t>规定</w:t>
      </w:r>
      <w:bookmarkEnd w:id="18"/>
      <w:bookmarkEnd w:id="19"/>
      <w:bookmarkEnd w:id="20"/>
      <w:bookmarkEnd w:id="21"/>
      <w:bookmarkEnd w:id="22"/>
      <w:bookmarkEnd w:id="23"/>
      <w:bookmarkEnd w:id="24"/>
    </w:p>
    <w:p>
      <w:pPr>
        <w:pStyle w:val="20"/>
        <w:numPr>
          <w:ilvl w:val="0"/>
          <w:numId w:val="0"/>
        </w:numPr>
      </w:pPr>
      <w:r>
        <w:rPr>
          <w:rFonts w:hint="eastAsia"/>
        </w:rPr>
        <w:t>3</w:t>
      </w:r>
      <w:r>
        <w:t>.0.1 规划应遵守科学、系统、协调、可行原则。</w:t>
      </w:r>
    </w:p>
    <w:p>
      <w:pPr>
        <w:pStyle w:val="20"/>
        <w:numPr>
          <w:ilvl w:val="0"/>
          <w:numId w:val="0"/>
        </w:numPr>
      </w:pPr>
      <w:r>
        <w:t>3.0.2 规划</w:t>
      </w:r>
      <w:r>
        <w:rPr>
          <w:rFonts w:hint="eastAsia"/>
        </w:rPr>
        <w:t>内容</w:t>
      </w:r>
      <w:r>
        <w:t>应包括</w:t>
      </w:r>
      <w:r>
        <w:rPr>
          <w:rFonts w:hint="eastAsia"/>
        </w:rPr>
        <w:t>：</w:t>
      </w:r>
      <w:r>
        <w:t>现状调查分析</w:t>
      </w:r>
      <w:r>
        <w:rPr>
          <w:rFonts w:hint="eastAsia"/>
        </w:rPr>
        <w:t>，</w:t>
      </w:r>
      <w:r>
        <w:t>水生态环境保护</w:t>
      </w:r>
      <w:r>
        <w:rPr>
          <w:rFonts w:hint="eastAsia"/>
        </w:rPr>
        <w:t>，</w:t>
      </w:r>
      <w:r>
        <w:t>关联产业</w:t>
      </w:r>
      <w:r>
        <w:rPr>
          <w:rFonts w:hint="eastAsia"/>
        </w:rPr>
        <w:t>，</w:t>
      </w:r>
      <w:r>
        <w:t>技术经济分析4个部分</w:t>
      </w:r>
      <w:r>
        <w:rPr>
          <w:rFonts w:hint="eastAsia"/>
        </w:rPr>
        <w:t>，并应符合下列要求：</w:t>
      </w:r>
    </w:p>
    <w:p>
      <w:pPr>
        <w:pStyle w:val="20"/>
        <w:numPr>
          <w:ilvl w:val="0"/>
          <w:numId w:val="0"/>
        </w:numPr>
        <w:ind w:firstLine="480" w:firstLineChars="200"/>
      </w:pPr>
      <w:r>
        <w:rPr>
          <w:rFonts w:hint="eastAsia"/>
        </w:rPr>
        <w:t>1</w:t>
      </w:r>
      <w:r>
        <w:t xml:space="preserve"> 对</w:t>
      </w:r>
      <w:r>
        <w:rPr>
          <w:rFonts w:hint="eastAsia"/>
        </w:rPr>
        <w:t>规划范围内</w:t>
      </w:r>
      <w:r>
        <w:t>水生态</w:t>
      </w:r>
      <w:r>
        <w:rPr>
          <w:rFonts w:hint="eastAsia"/>
        </w:rPr>
        <w:t>环境</w:t>
      </w:r>
      <w:r>
        <w:t>保护现状</w:t>
      </w:r>
      <w:r>
        <w:rPr>
          <w:rFonts w:hint="eastAsia"/>
        </w:rPr>
        <w:t>、</w:t>
      </w:r>
      <w:r>
        <w:t>产业</w:t>
      </w:r>
      <w:r>
        <w:rPr>
          <w:rFonts w:hint="eastAsia"/>
        </w:rPr>
        <w:t>基础</w:t>
      </w:r>
      <w:r>
        <w:t>及资源</w:t>
      </w:r>
      <w:r>
        <w:rPr>
          <w:rFonts w:hint="eastAsia"/>
        </w:rPr>
        <w:t>、</w:t>
      </w:r>
      <w:r>
        <w:t>经济社会情况等内容进行深入调查分析</w:t>
      </w:r>
      <w:r>
        <w:rPr>
          <w:rFonts w:hint="eastAsia"/>
        </w:rPr>
        <w:t>，摸清底数；</w:t>
      </w:r>
    </w:p>
    <w:p>
      <w:pPr>
        <w:pStyle w:val="20"/>
        <w:numPr>
          <w:ilvl w:val="0"/>
          <w:numId w:val="0"/>
        </w:numPr>
        <w:ind w:firstLine="480" w:firstLineChars="200"/>
      </w:pPr>
      <w:r>
        <w:rPr>
          <w:rFonts w:hint="eastAsia"/>
        </w:rPr>
        <w:t>2 统筹考虑水生态环境</w:t>
      </w:r>
      <w:r>
        <w:t>问题突出、治理需求迫切、</w:t>
      </w:r>
      <w:r>
        <w:rPr>
          <w:rFonts w:hint="eastAsia"/>
        </w:rPr>
        <w:t>实施目标明确、落地</w:t>
      </w:r>
      <w:r>
        <w:t>成熟度高</w:t>
      </w:r>
      <w:r>
        <w:rPr>
          <w:rFonts w:hint="eastAsia"/>
        </w:rPr>
        <w:t>、</w:t>
      </w:r>
      <w:r>
        <w:t>产业</w:t>
      </w:r>
      <w:r>
        <w:rPr>
          <w:rFonts w:hint="eastAsia"/>
        </w:rPr>
        <w:t>融合</w:t>
      </w:r>
      <w:r>
        <w:t>效益</w:t>
      </w:r>
      <w:r>
        <w:rPr>
          <w:rFonts w:hint="eastAsia"/>
        </w:rPr>
        <w:t>好等因素，</w:t>
      </w:r>
      <w:r>
        <w:t>科学确定</w:t>
      </w:r>
      <w:r>
        <w:rPr>
          <w:rFonts w:hint="eastAsia"/>
        </w:rPr>
        <w:t>水生态</w:t>
      </w:r>
      <w:r>
        <w:t>环境</w:t>
      </w:r>
      <w:r>
        <w:rPr>
          <w:rFonts w:hint="eastAsia"/>
        </w:rPr>
        <w:t>保护项目</w:t>
      </w:r>
      <w:r>
        <w:t>治理内容</w:t>
      </w:r>
      <w:r>
        <w:rPr>
          <w:rFonts w:hint="eastAsia"/>
        </w:rPr>
        <w:t>；</w:t>
      </w:r>
    </w:p>
    <w:p>
      <w:pPr>
        <w:pStyle w:val="20"/>
        <w:numPr>
          <w:ilvl w:val="0"/>
          <w:numId w:val="0"/>
        </w:numPr>
        <w:ind w:firstLine="480" w:firstLineChars="200"/>
      </w:pPr>
      <w:r>
        <w:t>3</w:t>
      </w:r>
      <w:r>
        <w:rPr>
          <w:rFonts w:hint="eastAsia"/>
        </w:rPr>
        <w:t xml:space="preserve"> 结合当地</w:t>
      </w:r>
      <w:r>
        <w:t>资源禀赋</w:t>
      </w:r>
      <w:r>
        <w:rPr>
          <w:rFonts w:hint="eastAsia"/>
        </w:rPr>
        <w:t>和</w:t>
      </w:r>
      <w:r>
        <w:t>产业</w:t>
      </w:r>
      <w:r>
        <w:rPr>
          <w:rFonts w:hint="eastAsia"/>
        </w:rPr>
        <w:t>基础，统筹考虑</w:t>
      </w:r>
      <w:r>
        <w:t>符合</w:t>
      </w:r>
      <w:r>
        <w:rPr>
          <w:rFonts w:hint="eastAsia"/>
        </w:rPr>
        <w:t>地方</w:t>
      </w:r>
      <w:r>
        <w:t>产业发展规划、</w:t>
      </w:r>
      <w:r>
        <w:rPr>
          <w:rFonts w:hint="eastAsia"/>
        </w:rPr>
        <w:t>具有</w:t>
      </w:r>
      <w:r>
        <w:t>市场</w:t>
      </w:r>
      <w:r>
        <w:rPr>
          <w:rFonts w:hint="eastAsia"/>
        </w:rPr>
        <w:t>潜力、</w:t>
      </w:r>
      <w:r>
        <w:t>实现与区域</w:t>
      </w:r>
      <w:r>
        <w:rPr>
          <w:rFonts w:hint="eastAsia"/>
        </w:rPr>
        <w:t>水生态</w:t>
      </w:r>
      <w:r>
        <w:t>环境</w:t>
      </w:r>
      <w:r>
        <w:rPr>
          <w:rFonts w:hint="eastAsia"/>
        </w:rPr>
        <w:t>保护</w:t>
      </w:r>
      <w:r>
        <w:t>项目融合发展</w:t>
      </w:r>
      <w:r>
        <w:rPr>
          <w:rFonts w:hint="eastAsia"/>
        </w:rPr>
        <w:t>等因素，明确关联</w:t>
      </w:r>
      <w:r>
        <w:t>产业类型</w:t>
      </w:r>
      <w:r>
        <w:rPr>
          <w:rFonts w:hint="eastAsia"/>
        </w:rPr>
        <w:t>及发展布局；</w:t>
      </w:r>
    </w:p>
    <w:p>
      <w:pPr>
        <w:pStyle w:val="20"/>
        <w:numPr>
          <w:ilvl w:val="0"/>
          <w:numId w:val="0"/>
        </w:numPr>
        <w:ind w:firstLine="480" w:firstLineChars="200"/>
      </w:pPr>
      <w:r>
        <w:t>4 将水生态环境</w:t>
      </w:r>
      <w:r>
        <w:rPr>
          <w:rFonts w:hint="eastAsia"/>
        </w:rPr>
        <w:t>保护</w:t>
      </w:r>
      <w:r>
        <w:t>项目与关联产业项目作为一个整体</w:t>
      </w:r>
      <w:r>
        <w:rPr>
          <w:rFonts w:hint="eastAsia"/>
        </w:rPr>
        <w:t>开展技术经济分析，</w:t>
      </w:r>
      <w:r>
        <w:t>明确项目层面的成本、收益及测算依据</w:t>
      </w:r>
      <w:r>
        <w:rPr>
          <w:rFonts w:hint="eastAsia"/>
        </w:rPr>
        <w:t>，确保项目边界范围内关</w:t>
      </w:r>
      <w:r>
        <w:t>联产业</w:t>
      </w:r>
      <w:r>
        <w:rPr>
          <w:rFonts w:hint="eastAsia"/>
        </w:rPr>
        <w:t>产出</w:t>
      </w:r>
      <w:r>
        <w:t>可反哺</w:t>
      </w:r>
      <w:r>
        <w:rPr>
          <w:rFonts w:hint="eastAsia"/>
        </w:rPr>
        <w:t>水</w:t>
      </w:r>
      <w:r>
        <w:t>生态环境</w:t>
      </w:r>
      <w:r>
        <w:rPr>
          <w:rFonts w:hint="eastAsia"/>
        </w:rPr>
        <w:t>保护</w:t>
      </w:r>
      <w:r>
        <w:t>项目</w:t>
      </w:r>
      <w:r>
        <w:rPr>
          <w:rFonts w:hint="eastAsia"/>
        </w:rPr>
        <w:t>投入</w:t>
      </w:r>
      <w:r>
        <w:t>，实现项目收益</w:t>
      </w:r>
      <w:r>
        <w:rPr>
          <w:rFonts w:hint="eastAsia"/>
        </w:rPr>
        <w:t>自</w:t>
      </w:r>
      <w:r>
        <w:t>平衡。</w:t>
      </w:r>
    </w:p>
    <w:p/>
    <w:p>
      <w:pPr>
        <w:sectPr>
          <w:headerReference w:type="default" r:id="rId14"/>
          <w:footerReference w:type="even" r:id="rId15"/>
          <w:footerReference w:type="default" r:id="rId16"/>
          <w:pgSz w:w="11906" w:h="16838"/>
          <w:pgMar w:top="1440" w:right="1800" w:bottom="1440" w:left="1800" w:header="1417" w:footer="1134" w:gutter="0"/>
          <w:pgNumType w:start="3"/>
          <w:cols w:num="1" w:space="425"/>
          <w:docGrid w:type="linesAndChars" w:linePitch="326" w:charSpace="0"/>
        </w:sectPr>
      </w:pPr>
    </w:p>
    <w:p>
      <w:pPr>
        <w:pStyle w:val="Heading1"/>
        <w:rPr>
          <w:rFonts w:cs="Times New Roman"/>
        </w:rPr>
      </w:pPr>
      <w:bookmarkStart w:id="25" w:name="_Toc154388582"/>
      <w:bookmarkStart w:id="26" w:name="_Toc154389042"/>
      <w:bookmarkStart w:id="27" w:name="_Toc154388530"/>
      <w:r>
        <w:rPr>
          <w:rFonts w:cs="Times New Roman" w:hint="eastAsia"/>
        </w:rPr>
        <w:t>规划范围与流程</w:t>
      </w:r>
      <w:bookmarkEnd w:id="25"/>
      <w:bookmarkEnd w:id="26"/>
      <w:bookmarkEnd w:id="27"/>
    </w:p>
    <w:p>
      <w:pPr>
        <w:pStyle w:val="Heading2"/>
        <w:spacing w:before="326" w:after="326"/>
        <w:rPr>
          <w:rFonts w:cs="Times New Roman"/>
        </w:rPr>
      </w:pPr>
      <w:bookmarkStart w:id="28" w:name="_Toc154388583"/>
      <w:bookmarkStart w:id="29" w:name="_Toc153182618"/>
      <w:bookmarkStart w:id="30" w:name="_Toc153896168"/>
      <w:bookmarkStart w:id="31" w:name="_Toc152836094"/>
      <w:bookmarkStart w:id="32" w:name="_Toc154388531"/>
      <w:bookmarkStart w:id="33" w:name="_Toc154389043"/>
      <w:r>
        <w:rPr>
          <w:rFonts w:cs="Times New Roman" w:hint="eastAsia"/>
        </w:rPr>
        <w:t>规划范围</w:t>
      </w:r>
      <w:bookmarkEnd w:id="28"/>
      <w:bookmarkEnd w:id="29"/>
      <w:bookmarkEnd w:id="30"/>
      <w:bookmarkEnd w:id="31"/>
      <w:bookmarkEnd w:id="32"/>
      <w:bookmarkEnd w:id="33"/>
    </w:p>
    <w:p>
      <w:pPr>
        <w:pStyle w:val="20"/>
      </w:pPr>
      <w:r>
        <w:rPr>
          <w:rFonts w:hint="eastAsia"/>
        </w:rPr>
        <w:t>以水生态环境保护目标为核心，延伸主要影响覆盖区域，以区域行政边界、主要流域范围等为项目规划范围，并应符合下列要求：</w:t>
      </w:r>
    </w:p>
    <w:p>
      <w:pPr>
        <w:ind w:firstLine="480" w:firstLineChars="200"/>
      </w:pPr>
      <w:r>
        <w:rPr>
          <w:rFonts w:hint="eastAsia"/>
        </w:rPr>
        <w:t>1</w:t>
      </w:r>
      <w:r>
        <w:t xml:space="preserve"> </w:t>
      </w:r>
      <w:r>
        <w:rPr>
          <w:rFonts w:hint="eastAsia"/>
        </w:rPr>
        <w:t>项目边界清晰完整，确保规划边界是一个或多个连续的闭合线；</w:t>
      </w:r>
    </w:p>
    <w:p>
      <w:pPr>
        <w:ind w:firstLine="480" w:firstLineChars="200"/>
      </w:pPr>
      <w:r>
        <w:rPr>
          <w:rFonts w:hint="eastAsia"/>
        </w:rPr>
        <w:t>2</w:t>
      </w:r>
      <w:r>
        <w:t xml:space="preserve"> </w:t>
      </w:r>
      <w:r>
        <w:rPr>
          <w:rFonts w:hint="eastAsia"/>
        </w:rPr>
        <w:t>统筹考虑山川、河流等地貌单元的自然边界现状及各行政建制单元的完整性，不分割行政区划；</w:t>
      </w:r>
    </w:p>
    <w:p>
      <w:pPr>
        <w:ind w:firstLine="480" w:firstLineChars="200"/>
      </w:pPr>
      <w:r>
        <w:t xml:space="preserve">3 </w:t>
      </w:r>
      <w:r>
        <w:rPr>
          <w:rFonts w:hint="eastAsia"/>
        </w:rPr>
        <w:t>与上位规划及相关规划确定的近、远期实施的重大项目划定边界充分衔接，避免冲突；</w:t>
      </w:r>
    </w:p>
    <w:p>
      <w:pPr>
        <w:ind w:firstLine="480" w:firstLineChars="200"/>
      </w:pPr>
      <w:r>
        <w:rPr>
          <w:rFonts w:hint="eastAsia"/>
        </w:rPr>
        <w:t>4</w:t>
      </w:r>
      <w:r>
        <w:t xml:space="preserve"> </w:t>
      </w:r>
      <w:r>
        <w:rPr>
          <w:rFonts w:hint="eastAsia"/>
        </w:rPr>
        <w:t>统筹考虑边界划定的难易程度、是否预留适当的发展空间和环境容量空间，保证边界划定落地可操作。</w:t>
      </w:r>
    </w:p>
    <w:p>
      <w:pPr>
        <w:pStyle w:val="Heading2"/>
        <w:spacing w:before="326" w:after="326"/>
        <w:rPr>
          <w:rFonts w:cs="Times New Roman"/>
        </w:rPr>
      </w:pPr>
      <w:bookmarkStart w:id="34" w:name="_Toc152836095"/>
      <w:bookmarkStart w:id="35" w:name="_Toc154388584"/>
      <w:bookmarkStart w:id="36" w:name="_Toc153896169"/>
      <w:bookmarkStart w:id="37" w:name="_Toc154389044"/>
      <w:bookmarkStart w:id="38" w:name="_Toc153182619"/>
      <w:bookmarkStart w:id="39" w:name="_Toc154388532"/>
      <w:r>
        <w:rPr>
          <w:rFonts w:cs="Times New Roman" w:hint="eastAsia"/>
        </w:rPr>
        <w:t>规划目标</w:t>
      </w:r>
      <w:bookmarkEnd w:id="34"/>
      <w:bookmarkEnd w:id="35"/>
      <w:bookmarkEnd w:id="36"/>
      <w:bookmarkEnd w:id="37"/>
      <w:bookmarkEnd w:id="38"/>
      <w:bookmarkEnd w:id="39"/>
    </w:p>
    <w:p>
      <w:pPr>
        <w:pStyle w:val="20"/>
      </w:pPr>
      <w:r>
        <w:rPr>
          <w:rFonts w:hint="eastAsia"/>
        </w:rPr>
        <w:t>规划</w:t>
      </w:r>
      <w:r>
        <w:t>目标</w:t>
      </w:r>
      <w:r>
        <w:rPr>
          <w:rFonts w:hint="eastAsia"/>
        </w:rPr>
        <w:t>宜包括水生态环境质量改善目标与关联产业高质量发展目标。</w:t>
      </w:r>
    </w:p>
    <w:p>
      <w:pPr>
        <w:pStyle w:val="20"/>
      </w:pPr>
      <w:r>
        <w:rPr>
          <w:rFonts w:hint="eastAsia"/>
        </w:rPr>
        <w:t>规划目标应定性与定量相结合，以定量目标为主，</w:t>
      </w:r>
      <w:r>
        <w:t>明确</w:t>
      </w:r>
      <w:r>
        <w:rPr>
          <w:rFonts w:hint="eastAsia"/>
        </w:rPr>
        <w:t>、具体、</w:t>
      </w:r>
      <w:r>
        <w:t>可行</w:t>
      </w:r>
      <w:r>
        <w:rPr>
          <w:rFonts w:hint="eastAsia"/>
        </w:rPr>
        <w:t>，并符合下列要求：</w:t>
      </w:r>
    </w:p>
    <w:p>
      <w:pPr>
        <w:ind w:firstLine="480" w:firstLineChars="200"/>
      </w:pPr>
      <w:r>
        <w:rPr>
          <w:rFonts w:hint="eastAsia"/>
        </w:rPr>
        <w:t>1</w:t>
      </w:r>
      <w:r>
        <w:t xml:space="preserve"> </w:t>
      </w:r>
      <w:r>
        <w:rPr>
          <w:rFonts w:hint="eastAsia"/>
        </w:rPr>
        <w:t>应符合国家及上位规划相关要求；</w:t>
      </w:r>
    </w:p>
    <w:p>
      <w:pPr>
        <w:ind w:firstLine="480" w:firstLineChars="200"/>
      </w:pPr>
      <w:r>
        <w:rPr>
          <w:rFonts w:hint="eastAsia"/>
        </w:rPr>
        <w:t>2</w:t>
      </w:r>
      <w:r>
        <w:t xml:space="preserve"> </w:t>
      </w:r>
      <w:r>
        <w:rPr>
          <w:rFonts w:hint="eastAsia"/>
        </w:rPr>
        <w:t>应充分立足项目所在地水生态环境现状本底条件，符合项目所处区域城市定位及发展需求；</w:t>
      </w:r>
    </w:p>
    <w:p>
      <w:pPr>
        <w:ind w:firstLine="480" w:firstLineChars="200"/>
      </w:pPr>
      <w:r>
        <w:rPr>
          <w:rFonts w:hint="eastAsia"/>
        </w:rPr>
        <w:t>3</w:t>
      </w:r>
      <w:r>
        <w:t xml:space="preserve"> </w:t>
      </w:r>
      <w:r>
        <w:rPr>
          <w:rFonts w:hint="eastAsia"/>
        </w:rPr>
        <w:t>宜制定明确的目标指标表，包括定量指标与定性指标；</w:t>
      </w:r>
    </w:p>
    <w:p>
      <w:pPr>
        <w:ind w:firstLine="480" w:firstLineChars="200"/>
      </w:pPr>
      <w:r>
        <w:t xml:space="preserve">4 </w:t>
      </w:r>
      <w:r>
        <w:rPr>
          <w:rFonts w:hint="eastAsia"/>
        </w:rPr>
        <w:t>可按不同规划内容分类梳理；</w:t>
      </w:r>
    </w:p>
    <w:p>
      <w:pPr>
        <w:ind w:firstLine="480" w:firstLineChars="200"/>
      </w:pPr>
      <w:r>
        <w:t xml:space="preserve">5 </w:t>
      </w:r>
      <w:r>
        <w:rPr>
          <w:rFonts w:hint="eastAsia"/>
        </w:rPr>
        <w:t>可按规划期限分阶段确定；</w:t>
      </w:r>
    </w:p>
    <w:p>
      <w:pPr>
        <w:ind w:firstLine="480" w:firstLineChars="200"/>
        <w:sectPr>
          <w:headerReference w:type="default" r:id="rId17"/>
          <w:footerReference w:type="even" r:id="rId18"/>
          <w:footerReference w:type="default" r:id="rId19"/>
          <w:pgSz w:w="11906" w:h="16838"/>
          <w:pgMar w:top="1440" w:right="1800" w:bottom="1440" w:left="1800" w:header="1417" w:footer="1134" w:gutter="0"/>
          <w:pgNumType w:start="4"/>
          <w:cols w:num="1" w:space="425"/>
          <w:docGrid w:type="linesAndChars" w:linePitch="326" w:charSpace="0"/>
        </w:sectPr>
      </w:pPr>
      <w:r>
        <w:rPr>
          <w:rFonts w:hint="eastAsia"/>
        </w:rPr>
        <w:t>6</w:t>
      </w:r>
      <w:r>
        <w:t xml:space="preserve"> </w:t>
      </w:r>
      <w:r>
        <w:rPr>
          <w:rFonts w:hint="eastAsia"/>
        </w:rPr>
        <w:t>宜加强规划目标确定过程中的分析评估。</w:t>
      </w:r>
    </w:p>
    <w:p>
      <w:pPr>
        <w:pStyle w:val="Heading2"/>
        <w:spacing w:before="326" w:after="326"/>
        <w:rPr>
          <w:rFonts w:cs="Times New Roman"/>
        </w:rPr>
      </w:pPr>
      <w:bookmarkStart w:id="40" w:name="_Toc153182620"/>
      <w:bookmarkStart w:id="41" w:name="_Toc153896170"/>
      <w:bookmarkStart w:id="42" w:name="_Toc154388533"/>
      <w:bookmarkStart w:id="43" w:name="_Toc154388585"/>
      <w:bookmarkStart w:id="44" w:name="_Toc154389045"/>
      <w:bookmarkStart w:id="45" w:name="_Toc152836096"/>
      <w:r>
        <w:rPr>
          <w:rFonts w:cs="Times New Roman" w:hint="eastAsia"/>
        </w:rPr>
        <w:t>规划流程</w:t>
      </w:r>
      <w:bookmarkEnd w:id="40"/>
      <w:bookmarkEnd w:id="41"/>
      <w:bookmarkEnd w:id="42"/>
      <w:bookmarkEnd w:id="43"/>
      <w:bookmarkEnd w:id="44"/>
      <w:bookmarkEnd w:id="45"/>
    </w:p>
    <w:p>
      <w:pPr>
        <w:pStyle w:val="20"/>
      </w:pPr>
      <w:bookmarkStart w:id="46" w:name="_Hlk153964223"/>
      <w:r>
        <w:rPr>
          <w:rFonts w:hint="eastAsia"/>
        </w:rPr>
        <w:t>W</w:t>
      </w:r>
      <w:r>
        <w:t>EOD</w:t>
      </w:r>
      <w:r>
        <w:rPr>
          <w:rFonts w:hint="eastAsia"/>
        </w:rPr>
        <w:t>规划编制工作应符合下列规定：</w:t>
      </w:r>
    </w:p>
    <w:bookmarkEnd w:id="46"/>
    <w:p>
      <w:pPr>
        <w:ind w:firstLine="480" w:firstLineChars="200"/>
      </w:pPr>
      <w:r>
        <w:rPr>
          <w:rFonts w:hint="eastAsia"/>
        </w:rPr>
        <w:t>1 项目规划启动前，应综合运用多种研究方法对区域本底条件，自然环境及重点水生态环境，产业基础及结构，经济、社会、人文现状等进行全面调查，评估项目所在地水生态环境面临的主要问题与产业特色优势。</w:t>
      </w:r>
    </w:p>
    <w:p>
      <w:pPr>
        <w:ind w:firstLine="480" w:firstLineChars="200"/>
      </w:pPr>
      <w:r>
        <w:rPr>
          <w:rFonts w:hint="eastAsia"/>
        </w:rPr>
        <w:t>2</w:t>
      </w:r>
      <w:r>
        <w:t xml:space="preserve"> </w:t>
      </w:r>
      <w:r>
        <w:rPr>
          <w:rFonts w:hint="eastAsia"/>
        </w:rPr>
        <w:t>在对生态本底和现状条件进行深入分析的基础上，提出工程项目的战略定位，阐明水生态环境保护项目与关联产业发展的融合理念与思路，确定科学合理的融合方式。</w:t>
      </w:r>
    </w:p>
    <w:p>
      <w:pPr>
        <w:ind w:firstLine="480" w:firstLineChars="200"/>
      </w:pPr>
      <w:r>
        <w:rPr>
          <w:rFonts w:hint="eastAsia"/>
        </w:rPr>
        <w:t>3</w:t>
      </w:r>
      <w:r>
        <w:t xml:space="preserve"> </w:t>
      </w:r>
      <w:r>
        <w:rPr>
          <w:rFonts w:hint="eastAsia"/>
        </w:rPr>
        <w:t>依据前期调查评估结果开展水生态环境保护规划和关联产业规划，谋划水生态环境保护及关联产业重点项目，包括规划范围、主要建设内容、发展重点、具体措施、实施主体等，并明确项目空间布局，形成规划空间布局图。</w:t>
      </w:r>
    </w:p>
    <w:p>
      <w:pPr>
        <w:ind w:firstLine="480" w:firstLineChars="200"/>
      </w:pPr>
      <w:r>
        <w:rPr>
          <w:rFonts w:hint="eastAsia"/>
        </w:rPr>
        <w:t>4 结合项目特点及工程量对项目整体建设、运营所需资金成本进行说明及估算，以项目为整体开展财务测算，全面评估生态资源价值转化及各类关联产业的盈利水平，测算应详实合理，且产业收益可完全反哺水生态环境保护前期投入，项目边界范围内可实现收支平衡；</w:t>
      </w:r>
    </w:p>
    <w:p>
      <w:pPr>
        <w:ind w:firstLine="480" w:firstLineChars="200"/>
      </w:pPr>
      <w:r>
        <w:rPr>
          <w:rFonts w:hint="eastAsia"/>
        </w:rPr>
        <w:t>5</w:t>
      </w:r>
      <w:r>
        <w:t xml:space="preserve"> </w:t>
      </w:r>
      <w:r>
        <w:rPr>
          <w:rFonts w:hint="eastAsia"/>
        </w:rPr>
        <w:t>提出建立项目实施长效保障机制的措施建议，包括组织保障、政策保障、资金保障、人才保障等。</w:t>
      </w:r>
    </w:p>
    <w:p>
      <w:pPr>
        <w:rPr>
          <w:rFonts w:cs="Times New Roman"/>
        </w:rPr>
        <w:sectPr>
          <w:headerReference w:type="default" r:id="rId20"/>
          <w:footerReference w:type="even" r:id="rId21"/>
          <w:footerReference w:type="default" r:id="rId22"/>
          <w:type w:val="nextPage"/>
          <w:pgSz w:w="11906" w:h="16838"/>
          <w:pgMar w:top="1440" w:right="1800" w:bottom="1440" w:left="1800" w:header="1417" w:footer="1134" w:gutter="0"/>
          <w:pgNumType w:start="5"/>
          <w:cols w:num="1" w:space="425"/>
          <w:titlePg w:val="0"/>
          <w:docGrid w:type="linesAndChars" w:linePitch="326" w:charSpace="0"/>
        </w:sectPr>
      </w:pPr>
    </w:p>
    <w:p>
      <w:pPr>
        <w:pStyle w:val="Heading1"/>
        <w:rPr>
          <w:rFonts w:cs="Times New Roman"/>
          <w:color w:val="000000" w:themeColor="text1"/>
          <w14:textFill>
            <w14:solidFill>
              <w14:schemeClr w14:val="tx1"/>
            </w14:solidFill>
          </w14:textFill>
        </w:rPr>
      </w:pPr>
      <w:bookmarkStart w:id="47" w:name="_Toc148348600"/>
      <w:bookmarkStart w:id="48" w:name="_Toc152836097"/>
      <w:bookmarkStart w:id="49" w:name="_Toc154388586"/>
      <w:bookmarkStart w:id="50" w:name="_Toc154388534"/>
      <w:bookmarkStart w:id="51" w:name="_Toc153182621"/>
      <w:bookmarkStart w:id="52" w:name="_Toc153896171"/>
      <w:bookmarkStart w:id="53" w:name="_Toc154389046"/>
      <w:r>
        <w:rPr>
          <w:rFonts w:cs="Times New Roman"/>
          <w:color w:val="000000" w:themeColor="text1"/>
          <w14:textFill>
            <w14:solidFill>
              <w14:schemeClr w14:val="tx1"/>
            </w14:solidFill>
          </w14:textFill>
        </w:rPr>
        <w:t>现状调查分析</w:t>
      </w:r>
      <w:bookmarkEnd w:id="47"/>
      <w:bookmarkEnd w:id="48"/>
      <w:bookmarkEnd w:id="49"/>
      <w:bookmarkEnd w:id="50"/>
      <w:bookmarkEnd w:id="51"/>
      <w:bookmarkEnd w:id="52"/>
      <w:bookmarkEnd w:id="53"/>
    </w:p>
    <w:p>
      <w:pPr>
        <w:pStyle w:val="Heading2"/>
        <w:spacing w:before="326" w:after="326"/>
        <w:rPr>
          <w:rFonts w:cs="Times New Roman"/>
        </w:rPr>
      </w:pPr>
      <w:bookmarkStart w:id="54" w:name="_Toc153896172"/>
      <w:bookmarkStart w:id="55" w:name="_Toc153182622"/>
      <w:bookmarkStart w:id="56" w:name="_Toc152836098"/>
      <w:bookmarkStart w:id="57" w:name="_Toc154389047"/>
      <w:bookmarkStart w:id="58" w:name="_Toc154388587"/>
      <w:bookmarkStart w:id="59" w:name="_Toc154388535"/>
      <w:r>
        <w:rPr>
          <w:rFonts w:cs="Times New Roman"/>
        </w:rPr>
        <w:t>现状调查</w:t>
      </w:r>
      <w:bookmarkEnd w:id="54"/>
      <w:bookmarkEnd w:id="55"/>
      <w:bookmarkEnd w:id="56"/>
      <w:bookmarkEnd w:id="57"/>
      <w:bookmarkEnd w:id="58"/>
      <w:bookmarkEnd w:id="59"/>
    </w:p>
    <w:p>
      <w:pPr>
        <w:pStyle w:val="20"/>
        <w:rPr>
          <w:rFonts w:cs="Times New Roman"/>
        </w:rPr>
      </w:pPr>
      <w:r>
        <w:rPr>
          <w:rFonts w:cs="Times New Roman"/>
        </w:rPr>
        <w:t>现状调查</w:t>
      </w:r>
      <w:r>
        <w:rPr>
          <w:rFonts w:cs="Times New Roman" w:hint="eastAsia"/>
        </w:rPr>
        <w:t>方法宜包括：</w:t>
      </w:r>
      <w:r>
        <w:rPr>
          <w:rFonts w:cs="Times New Roman"/>
        </w:rPr>
        <w:t>资料调查法</w:t>
      </w:r>
      <w:r>
        <w:rPr>
          <w:rFonts w:cs="Times New Roman" w:hint="eastAsia"/>
        </w:rPr>
        <w:t>，</w:t>
      </w:r>
      <w:r>
        <w:rPr>
          <w:rFonts w:cs="Times New Roman"/>
        </w:rPr>
        <w:t>实地调查法</w:t>
      </w:r>
      <w:r>
        <w:rPr>
          <w:rFonts w:cs="Times New Roman" w:hint="eastAsia"/>
        </w:rPr>
        <w:t>，</w:t>
      </w:r>
      <w:r>
        <w:rPr>
          <w:rFonts w:cs="Times New Roman"/>
        </w:rPr>
        <w:t>数据调查法</w:t>
      </w:r>
      <w:r>
        <w:rPr>
          <w:rFonts w:cs="Times New Roman" w:hint="eastAsia"/>
        </w:rPr>
        <w:t>，</w:t>
      </w:r>
      <w:r>
        <w:rPr>
          <w:rFonts w:cs="Times New Roman"/>
        </w:rPr>
        <w:t>访谈调查法等。</w:t>
      </w:r>
    </w:p>
    <w:p>
      <w:pPr>
        <w:pStyle w:val="20"/>
      </w:pPr>
      <w:r>
        <w:t>现状调查</w:t>
      </w:r>
      <w:r>
        <w:rPr>
          <w:rFonts w:hint="eastAsia"/>
        </w:rPr>
        <w:t>内容宜包括：项目区域情况，</w:t>
      </w:r>
      <w:r>
        <w:t>水生态环境保护现状</w:t>
      </w:r>
      <w:r>
        <w:rPr>
          <w:rFonts w:hint="eastAsia"/>
        </w:rPr>
        <w:t>，产</w:t>
      </w:r>
      <w:r>
        <w:t>业</w:t>
      </w:r>
      <w:r>
        <w:rPr>
          <w:rFonts w:hint="eastAsia"/>
        </w:rPr>
        <w:t>开发</w:t>
      </w:r>
      <w:r>
        <w:t>现状</w:t>
      </w:r>
      <w:r>
        <w:rPr>
          <w:rFonts w:hint="eastAsia"/>
        </w:rPr>
        <w:t>，</w:t>
      </w:r>
      <w:r>
        <w:t>经济</w:t>
      </w:r>
      <w:r>
        <w:rPr>
          <w:rFonts w:hint="eastAsia"/>
        </w:rPr>
        <w:t>发展</w:t>
      </w:r>
      <w:r>
        <w:t>现状。</w:t>
      </w:r>
    </w:p>
    <w:p>
      <w:pPr>
        <w:pStyle w:val="20"/>
      </w:pPr>
      <w:r>
        <w:t>项目区域情况调查</w:t>
      </w:r>
      <w:r>
        <w:rPr>
          <w:rFonts w:hint="eastAsia"/>
        </w:rPr>
        <w:t>内容宜</w:t>
      </w:r>
      <w:r>
        <w:t>包括</w:t>
      </w:r>
      <w:r>
        <w:rPr>
          <w:rFonts w:hint="eastAsia"/>
        </w:rPr>
        <w:t>：</w:t>
      </w:r>
      <w:r>
        <w:t>区位概况</w:t>
      </w:r>
      <w:r>
        <w:rPr>
          <w:rFonts w:hint="eastAsia"/>
        </w:rPr>
        <w:t>，</w:t>
      </w:r>
      <w:r>
        <w:t>自然环境和资源概况</w:t>
      </w:r>
      <w:r>
        <w:rPr>
          <w:rFonts w:hint="eastAsia"/>
        </w:rPr>
        <w:t>，</w:t>
      </w:r>
      <w:r>
        <w:t>社会经济状况。</w:t>
      </w:r>
    </w:p>
    <w:p>
      <w:pPr>
        <w:pStyle w:val="20"/>
        <w:rPr>
          <w:rFonts w:cs="Times New Roman"/>
        </w:rPr>
      </w:pPr>
      <w:r>
        <w:rPr>
          <w:rFonts w:cs="Times New Roman"/>
        </w:rPr>
        <w:t>水生态环境保护现状调查内容</w:t>
      </w:r>
      <w:r>
        <w:rPr>
          <w:rFonts w:cs="Times New Roman" w:hint="eastAsia"/>
        </w:rPr>
        <w:t>宜</w:t>
      </w:r>
      <w:r>
        <w:rPr>
          <w:rFonts w:cs="Times New Roman"/>
        </w:rPr>
        <w:t>包括</w:t>
      </w:r>
      <w:r>
        <w:rPr>
          <w:rFonts w:cs="Times New Roman" w:hint="eastAsia"/>
        </w:rPr>
        <w:t>下列内容</w:t>
      </w:r>
      <w:r>
        <w:rPr>
          <w:rFonts w:cs="Times New Roman"/>
        </w:rPr>
        <w:t>：</w:t>
      </w:r>
    </w:p>
    <w:p>
      <w:pPr>
        <w:ind w:firstLine="480" w:firstLineChars="200"/>
        <w:rPr>
          <w:rFonts w:cs="Times New Roman"/>
        </w:rPr>
      </w:pPr>
      <w:r>
        <w:rPr>
          <w:rFonts w:cs="Times New Roman"/>
        </w:rPr>
        <w:t>1 水生态环境质量调查</w:t>
      </w:r>
      <w:r>
        <w:rPr>
          <w:rFonts w:cs="Times New Roman" w:hint="eastAsia"/>
        </w:rPr>
        <w:t>内容宜</w:t>
      </w:r>
      <w:r>
        <w:rPr>
          <w:rFonts w:cs="Times New Roman"/>
        </w:rPr>
        <w:t>包括</w:t>
      </w:r>
      <w:r>
        <w:rPr>
          <w:rFonts w:cs="Times New Roman" w:hint="eastAsia"/>
        </w:rPr>
        <w:t>：近5年</w:t>
      </w:r>
      <w:r>
        <w:rPr>
          <w:rFonts w:cs="Times New Roman"/>
        </w:rPr>
        <w:t>水</w:t>
      </w:r>
      <w:r>
        <w:rPr>
          <w:rFonts w:cs="Times New Roman" w:hint="eastAsia"/>
        </w:rPr>
        <w:t>环境质量状况</w:t>
      </w:r>
      <w:r>
        <w:rPr>
          <w:rFonts w:cs="Times New Roman"/>
        </w:rPr>
        <w:t>、</w:t>
      </w:r>
      <w:r>
        <w:rPr>
          <w:rFonts w:cs="Times New Roman" w:hint="eastAsia"/>
        </w:rPr>
        <w:t>近5年</w:t>
      </w:r>
      <w:r>
        <w:rPr>
          <w:rFonts w:cs="Times New Roman"/>
        </w:rPr>
        <w:t>水生态系统调查</w:t>
      </w:r>
      <w:r>
        <w:rPr>
          <w:rFonts w:cs="Times New Roman" w:hint="eastAsia"/>
        </w:rPr>
        <w:t>资料（</w:t>
      </w:r>
      <w:r>
        <w:rPr>
          <w:rFonts w:cs="Times New Roman"/>
        </w:rPr>
        <w:t>湖滨带、消落带、水源涵养区及湖泊周边湿地系统调查</w:t>
      </w:r>
      <w:r>
        <w:rPr>
          <w:rFonts w:cs="Times New Roman" w:hint="eastAsia"/>
        </w:rPr>
        <w:t>资料等），近5年水资源情况等</w:t>
      </w:r>
      <w:r>
        <w:rPr>
          <w:rFonts w:cs="Times New Roman"/>
        </w:rPr>
        <w:t>；</w:t>
      </w:r>
    </w:p>
    <w:p>
      <w:pPr>
        <w:ind w:firstLine="480" w:firstLineChars="200"/>
        <w:rPr>
          <w:rFonts w:cs="Times New Roman"/>
        </w:rPr>
      </w:pPr>
      <w:r>
        <w:rPr>
          <w:rFonts w:cs="Times New Roman"/>
        </w:rPr>
        <w:t>2 污染源排放情况调查</w:t>
      </w:r>
      <w:r>
        <w:rPr>
          <w:rFonts w:cs="Times New Roman" w:hint="eastAsia"/>
        </w:rPr>
        <w:t>内容宜</w:t>
      </w:r>
      <w:r>
        <w:rPr>
          <w:rFonts w:cs="Times New Roman"/>
        </w:rPr>
        <w:t>包括</w:t>
      </w:r>
      <w:r>
        <w:rPr>
          <w:rFonts w:cs="Times New Roman" w:hint="eastAsia"/>
        </w:rPr>
        <w:t>：</w:t>
      </w:r>
      <w:r>
        <w:rPr>
          <w:rFonts w:cs="Times New Roman"/>
        </w:rPr>
        <w:t>点源污染</w:t>
      </w:r>
      <w:r>
        <w:rPr>
          <w:rFonts w:cs="Times New Roman" w:hint="eastAsia"/>
        </w:rPr>
        <w:t>调查（排放特点、排放数据、用排水情况、废（污）水处理状况），</w:t>
      </w:r>
      <w:r>
        <w:rPr>
          <w:rFonts w:cs="Times New Roman"/>
        </w:rPr>
        <w:t>面源污染</w:t>
      </w:r>
      <w:r>
        <w:rPr>
          <w:rFonts w:cs="Times New Roman" w:hint="eastAsia"/>
        </w:rPr>
        <w:t>调查（污染概况、排放方式、排放去向与处理状况、排污数据），</w:t>
      </w:r>
      <w:r>
        <w:rPr>
          <w:rFonts w:cs="Times New Roman"/>
        </w:rPr>
        <w:t>内源污染</w:t>
      </w:r>
      <w:r>
        <w:rPr>
          <w:rFonts w:cs="Times New Roman" w:hint="eastAsia"/>
        </w:rPr>
        <w:t>调查（污染概况、排放方式、处理状况）等</w:t>
      </w:r>
      <w:r>
        <w:rPr>
          <w:rFonts w:cs="Times New Roman"/>
        </w:rPr>
        <w:t>；</w:t>
      </w:r>
    </w:p>
    <w:p>
      <w:pPr>
        <w:ind w:firstLine="480" w:firstLineChars="200"/>
        <w:rPr>
          <w:rFonts w:cs="Times New Roman"/>
        </w:rPr>
      </w:pPr>
      <w:r>
        <w:rPr>
          <w:rFonts w:cs="Times New Roman"/>
        </w:rPr>
        <w:t>3 水生态环境</w:t>
      </w:r>
      <w:r>
        <w:rPr>
          <w:rFonts w:cs="Times New Roman" w:hint="eastAsia"/>
        </w:rPr>
        <w:t>保护</w:t>
      </w:r>
      <w:r>
        <w:rPr>
          <w:rFonts w:cs="Times New Roman"/>
        </w:rPr>
        <w:t>工作基础调查</w:t>
      </w:r>
      <w:r>
        <w:rPr>
          <w:rFonts w:cs="Times New Roman" w:hint="eastAsia"/>
        </w:rPr>
        <w:t>内容宜包括：</w:t>
      </w:r>
      <w:r>
        <w:rPr>
          <w:rFonts w:cs="Times New Roman"/>
        </w:rPr>
        <w:t>相关规划方案</w:t>
      </w:r>
      <w:r>
        <w:rPr>
          <w:rFonts w:cs="Times New Roman" w:hint="eastAsia"/>
        </w:rPr>
        <w:t>编制情况，近5年相关</w:t>
      </w:r>
      <w:r>
        <w:rPr>
          <w:rFonts w:cs="Times New Roman"/>
        </w:rPr>
        <w:t>工程</w:t>
      </w:r>
      <w:r>
        <w:rPr>
          <w:rFonts w:cs="Times New Roman" w:hint="eastAsia"/>
        </w:rPr>
        <w:t>及配套设施</w:t>
      </w:r>
      <w:r>
        <w:rPr>
          <w:rFonts w:cs="Times New Roman"/>
        </w:rPr>
        <w:t>建设</w:t>
      </w:r>
      <w:r>
        <w:rPr>
          <w:rFonts w:cs="Times New Roman" w:hint="eastAsia"/>
        </w:rPr>
        <w:t>情况，近5年水生态环境保护</w:t>
      </w:r>
      <w:r>
        <w:rPr>
          <w:rFonts w:cs="Times New Roman"/>
        </w:rPr>
        <w:t>效果</w:t>
      </w:r>
      <w:r>
        <w:rPr>
          <w:rFonts w:cs="Times New Roman" w:hint="eastAsia"/>
        </w:rPr>
        <w:t>评估等</w:t>
      </w:r>
      <w:r>
        <w:rPr>
          <w:rFonts w:cs="Times New Roman"/>
        </w:rPr>
        <w:t>。</w:t>
      </w:r>
    </w:p>
    <w:p>
      <w:pPr>
        <w:pStyle w:val="20"/>
        <w:rPr>
          <w:rFonts w:cs="Times New Roman"/>
        </w:rPr>
      </w:pPr>
      <w:r>
        <w:rPr>
          <w:rFonts w:cs="Times New Roman"/>
        </w:rPr>
        <w:t>产业</w:t>
      </w:r>
      <w:r>
        <w:rPr>
          <w:rFonts w:cs="Times New Roman" w:hint="eastAsia"/>
        </w:rPr>
        <w:t>开发</w:t>
      </w:r>
      <w:r>
        <w:rPr>
          <w:rFonts w:cs="Times New Roman"/>
        </w:rPr>
        <w:t>现状调查内容</w:t>
      </w:r>
      <w:r>
        <w:rPr>
          <w:rFonts w:cs="Times New Roman" w:hint="eastAsia"/>
        </w:rPr>
        <w:t>宜</w:t>
      </w:r>
      <w:r>
        <w:rPr>
          <w:rFonts w:cs="Times New Roman"/>
        </w:rPr>
        <w:t>包括</w:t>
      </w:r>
      <w:r>
        <w:rPr>
          <w:rFonts w:cs="Times New Roman" w:hint="eastAsia"/>
        </w:rPr>
        <w:t>：产业发展规划，产业基本特征（产业规模、产业结构、产业布局等），现有</w:t>
      </w:r>
      <w:r>
        <w:rPr>
          <w:rFonts w:cs="Times New Roman"/>
        </w:rPr>
        <w:t>产业导入</w:t>
      </w:r>
      <w:r>
        <w:rPr>
          <w:rFonts w:cs="Times New Roman" w:hint="eastAsia"/>
        </w:rPr>
        <w:t>工作</w:t>
      </w:r>
      <w:r>
        <w:rPr>
          <w:rFonts w:cs="Times New Roman"/>
        </w:rPr>
        <w:t>基础</w:t>
      </w:r>
      <w:r>
        <w:rPr>
          <w:rFonts w:cs="Times New Roman" w:hint="eastAsia"/>
        </w:rPr>
        <w:t>及</w:t>
      </w:r>
      <w:r>
        <w:rPr>
          <w:rFonts w:cs="Times New Roman"/>
        </w:rPr>
        <w:t>实施效果</w:t>
      </w:r>
      <w:r>
        <w:rPr>
          <w:rFonts w:cs="Times New Roman" w:hint="eastAsia"/>
        </w:rPr>
        <w:t>（产业类型、地理位置、政策环境、发展水平等），</w:t>
      </w:r>
      <w:r>
        <w:rPr>
          <w:rFonts w:cs="Times New Roman"/>
        </w:rPr>
        <w:t>水生态环境</w:t>
      </w:r>
      <w:r>
        <w:rPr>
          <w:rFonts w:cs="Times New Roman" w:hint="eastAsia"/>
        </w:rPr>
        <w:t>保护</w:t>
      </w:r>
      <w:r>
        <w:rPr>
          <w:rFonts w:cs="Times New Roman"/>
        </w:rPr>
        <w:t>项目与关联产业的联动模式</w:t>
      </w:r>
      <w:r>
        <w:rPr>
          <w:rFonts w:cs="Times New Roman" w:hint="eastAsia"/>
        </w:rPr>
        <w:t>等</w:t>
      </w:r>
      <w:r>
        <w:rPr>
          <w:rFonts w:cs="Times New Roman"/>
        </w:rPr>
        <w:t>。</w:t>
      </w:r>
    </w:p>
    <w:p>
      <w:pPr>
        <w:pStyle w:val="20"/>
        <w:rPr>
          <w:rFonts w:cs="Times New Roman"/>
        </w:rPr>
        <w:sectPr>
          <w:headerReference w:type="default" r:id="rId23"/>
          <w:footerReference w:type="even" r:id="rId24"/>
          <w:footerReference w:type="default" r:id="rId25"/>
          <w:pgSz w:w="11906" w:h="16838"/>
          <w:pgMar w:top="1440" w:right="1800" w:bottom="1440" w:left="1800" w:header="1417" w:footer="1134" w:gutter="0"/>
          <w:pgNumType w:start="6"/>
          <w:cols w:num="1" w:space="425"/>
          <w:docGrid w:type="linesAndChars" w:linePitch="326" w:charSpace="0"/>
        </w:sectPr>
      </w:pPr>
      <w:r>
        <w:rPr>
          <w:rFonts w:cs="Times New Roman"/>
        </w:rPr>
        <w:t>经济</w:t>
      </w:r>
      <w:r>
        <w:rPr>
          <w:rFonts w:cs="Times New Roman" w:hint="eastAsia"/>
        </w:rPr>
        <w:t>发展</w:t>
      </w:r>
      <w:r>
        <w:rPr>
          <w:rFonts w:cs="Times New Roman"/>
        </w:rPr>
        <w:t>现状调查内容</w:t>
      </w:r>
      <w:r>
        <w:rPr>
          <w:rFonts w:cs="Times New Roman" w:hint="eastAsia"/>
        </w:rPr>
        <w:t>宜</w:t>
      </w:r>
      <w:r>
        <w:rPr>
          <w:rFonts w:cs="Times New Roman"/>
        </w:rPr>
        <w:t>包括</w:t>
      </w:r>
      <w:r>
        <w:rPr>
          <w:rFonts w:cs="Times New Roman" w:hint="eastAsia"/>
        </w:rPr>
        <w:t>：经济水平现状</w:t>
      </w:r>
      <w:r>
        <w:rPr>
          <w:rFonts w:cs="Times New Roman"/>
        </w:rPr>
        <w:t>资料</w:t>
      </w:r>
      <w:r>
        <w:rPr>
          <w:rFonts w:cs="Times New Roman" w:hint="eastAsia"/>
        </w:rPr>
        <w:t>，社会经济发展规划资料，地方基础资料调查（</w:t>
      </w:r>
      <w:r>
        <w:rPr>
          <w:rFonts w:cs="Times New Roman"/>
        </w:rPr>
        <w:t>地方财政状况、项目资金落实情况、工程造价信息</w:t>
      </w:r>
      <w:r>
        <w:rPr>
          <w:rFonts w:cs="Times New Roman" w:hint="eastAsia"/>
        </w:rPr>
        <w:t>等），</w:t>
      </w:r>
      <w:r>
        <w:rPr>
          <w:rFonts w:cs="Times New Roman"/>
        </w:rPr>
        <w:t>地方</w:t>
      </w:r>
      <w:r>
        <w:rPr>
          <w:rFonts w:cs="Times New Roman" w:hint="eastAsia"/>
        </w:rPr>
        <w:t>相关</w:t>
      </w:r>
      <w:r>
        <w:rPr>
          <w:rFonts w:cs="Times New Roman"/>
        </w:rPr>
        <w:t>政策信息</w:t>
      </w:r>
      <w:r>
        <w:rPr>
          <w:rFonts w:cs="Times New Roman" w:hint="eastAsia"/>
        </w:rPr>
        <w:t>等</w:t>
      </w:r>
      <w:r>
        <w:rPr>
          <w:rFonts w:cs="Times New Roman"/>
        </w:rPr>
        <w:t>。</w:t>
      </w:r>
    </w:p>
    <w:p>
      <w:pPr>
        <w:pStyle w:val="Heading2"/>
        <w:spacing w:before="326" w:after="326"/>
        <w:rPr>
          <w:rFonts w:cs="Times New Roman"/>
        </w:rPr>
      </w:pPr>
      <w:bookmarkStart w:id="60" w:name="_Toc154389048"/>
      <w:bookmarkStart w:id="61" w:name="_Toc153182623"/>
      <w:bookmarkStart w:id="62" w:name="_Toc154388588"/>
      <w:bookmarkStart w:id="63" w:name="_Toc152836099"/>
      <w:bookmarkStart w:id="64" w:name="_Toc148348604"/>
      <w:bookmarkStart w:id="65" w:name="_Toc153896173"/>
      <w:bookmarkStart w:id="66" w:name="_Toc154388536"/>
      <w:r>
        <w:rPr>
          <w:rFonts w:cs="Times New Roman"/>
        </w:rPr>
        <w:t>现状分析</w:t>
      </w:r>
      <w:bookmarkEnd w:id="60"/>
      <w:bookmarkEnd w:id="61"/>
      <w:bookmarkEnd w:id="62"/>
      <w:bookmarkEnd w:id="63"/>
      <w:bookmarkEnd w:id="64"/>
      <w:bookmarkEnd w:id="65"/>
      <w:bookmarkEnd w:id="66"/>
    </w:p>
    <w:p>
      <w:pPr>
        <w:pStyle w:val="20"/>
      </w:pPr>
      <w:r>
        <w:t>规划</w:t>
      </w:r>
      <w:r>
        <w:rPr>
          <w:rFonts w:hint="eastAsia"/>
        </w:rPr>
        <w:t>现状分析内容应包括：</w:t>
      </w:r>
      <w:r>
        <w:t>水生态环境</w:t>
      </w:r>
      <w:r>
        <w:rPr>
          <w:rFonts w:hint="eastAsia"/>
        </w:rPr>
        <w:t>保护</w:t>
      </w:r>
      <w:r>
        <w:t>现状</w:t>
      </w:r>
      <w:r>
        <w:rPr>
          <w:rFonts w:hint="eastAsia"/>
        </w:rPr>
        <w:t>，</w:t>
      </w:r>
      <w:r>
        <w:t>产业</w:t>
      </w:r>
      <w:r>
        <w:rPr>
          <w:rFonts w:hint="eastAsia"/>
        </w:rPr>
        <w:t>开发</w:t>
      </w:r>
      <w:r>
        <w:t>现状</w:t>
      </w:r>
      <w:r>
        <w:rPr>
          <w:rFonts w:hint="eastAsia"/>
        </w:rPr>
        <w:t>，</w:t>
      </w:r>
      <w:r>
        <w:t>经济发展现状。</w:t>
      </w:r>
    </w:p>
    <w:p>
      <w:pPr>
        <w:pStyle w:val="20"/>
      </w:pPr>
      <w:r>
        <w:t>水生态环境</w:t>
      </w:r>
      <w:r>
        <w:rPr>
          <w:rFonts w:hint="eastAsia"/>
        </w:rPr>
        <w:t>保护</w:t>
      </w:r>
      <w:r>
        <w:t>现状分析内容宜包括</w:t>
      </w:r>
      <w:r>
        <w:rPr>
          <w:rFonts w:hint="eastAsia"/>
        </w:rPr>
        <w:t>：</w:t>
      </w:r>
      <w:r>
        <w:t>水生态环境</w:t>
      </w:r>
      <w:r>
        <w:rPr>
          <w:rFonts w:hint="eastAsia"/>
        </w:rPr>
        <w:t>保护控制</w:t>
      </w:r>
      <w:r>
        <w:t>指标</w:t>
      </w:r>
      <w:r>
        <w:rPr>
          <w:rFonts w:hint="eastAsia"/>
        </w:rPr>
        <w:t>，</w:t>
      </w:r>
      <w:r>
        <w:t>主要污染源</w:t>
      </w:r>
      <w:r>
        <w:rPr>
          <w:rFonts w:hint="eastAsia"/>
        </w:rPr>
        <w:t>，</w:t>
      </w:r>
      <w:r>
        <w:t>突出生态环境问题与成因</w:t>
      </w:r>
      <w:r>
        <w:rPr>
          <w:rFonts w:hint="eastAsia"/>
        </w:rPr>
        <w:t>分析等</w:t>
      </w:r>
      <w:r>
        <w:t>。</w:t>
      </w:r>
    </w:p>
    <w:p>
      <w:pPr>
        <w:pStyle w:val="20"/>
      </w:pPr>
      <w:r>
        <w:rPr>
          <w:rFonts w:hint="eastAsia"/>
        </w:rPr>
        <w:t>产业开发现状分析内容宜包括：产业盈利能力及可持续性，区域资源禀赋及自由流动程度，产业关联度及区域配套建设情况，关联产业与生态治理的适配性等。</w:t>
      </w:r>
    </w:p>
    <w:p>
      <w:pPr>
        <w:pStyle w:val="20"/>
        <w:rPr>
          <w:rFonts w:cs="Times New Roman"/>
        </w:rPr>
      </w:pPr>
      <w:r>
        <w:rPr>
          <w:rFonts w:cs="Times New Roman"/>
        </w:rPr>
        <w:t>经济</w:t>
      </w:r>
      <w:r>
        <w:rPr>
          <w:rFonts w:cs="Times New Roman" w:hint="eastAsia"/>
        </w:rPr>
        <w:t>发展</w:t>
      </w:r>
      <w:r>
        <w:rPr>
          <w:rFonts w:cs="Times New Roman"/>
        </w:rPr>
        <w:t>现状分析</w:t>
      </w:r>
      <w:r>
        <w:rPr>
          <w:rFonts w:cs="Times New Roman" w:hint="eastAsia"/>
        </w:rPr>
        <w:t>内容</w:t>
      </w:r>
      <w:r>
        <w:rPr>
          <w:rFonts w:cs="Times New Roman"/>
        </w:rPr>
        <w:t>宜包括</w:t>
      </w:r>
      <w:r>
        <w:rPr>
          <w:rFonts w:cs="Times New Roman" w:hint="eastAsia"/>
        </w:rPr>
        <w:t>：</w:t>
      </w:r>
      <w:r>
        <w:rPr>
          <w:rFonts w:cs="Times New Roman"/>
        </w:rPr>
        <w:t>近5年地方GDP增长及波动情况</w:t>
      </w:r>
      <w:r>
        <w:rPr>
          <w:rFonts w:cs="Times New Roman" w:hint="eastAsia"/>
        </w:rPr>
        <w:t>，</w:t>
      </w:r>
      <w:r>
        <w:rPr>
          <w:rFonts w:cs="Times New Roman"/>
        </w:rPr>
        <w:t>三次产业分布情况</w:t>
      </w:r>
      <w:r>
        <w:rPr>
          <w:rFonts w:cs="Times New Roman" w:hint="eastAsia"/>
        </w:rPr>
        <w:t>，</w:t>
      </w:r>
      <w:r>
        <w:rPr>
          <w:rFonts w:cs="Times New Roman"/>
        </w:rPr>
        <w:t>财政金融情况</w:t>
      </w:r>
      <w:r>
        <w:rPr>
          <w:rFonts w:cs="Times New Roman" w:hint="eastAsia"/>
        </w:rPr>
        <w:t>，</w:t>
      </w:r>
      <w:r>
        <w:rPr>
          <w:rFonts w:cs="Times New Roman"/>
        </w:rPr>
        <w:t>CPI（全年居民消费价格指数）变化情况</w:t>
      </w:r>
      <w:r>
        <w:rPr>
          <w:rFonts w:cs="Times New Roman" w:hint="eastAsia"/>
        </w:rPr>
        <w:t>，</w:t>
      </w:r>
      <w:r>
        <w:rPr>
          <w:rFonts w:cs="Times New Roman"/>
        </w:rPr>
        <w:t>城乡居民生活水平等。</w:t>
      </w:r>
    </w:p>
    <w:p>
      <w:pPr>
        <w:pStyle w:val="20"/>
        <w:numPr>
          <w:ilvl w:val="0"/>
          <w:numId w:val="0"/>
        </w:numPr>
        <w:rPr>
          <w:rFonts w:cs="Times New Roman"/>
        </w:rPr>
      </w:pPr>
    </w:p>
    <w:p>
      <w:pPr>
        <w:ind w:firstLine="480"/>
        <w:rPr>
          <w:rFonts w:cs="Times New Roman"/>
        </w:rPr>
        <w:sectPr>
          <w:headerReference w:type="default" r:id="rId26"/>
          <w:footerReference w:type="even" r:id="rId27"/>
          <w:footerReference w:type="default" r:id="rId28"/>
          <w:type w:val="nextPage"/>
          <w:pgSz w:w="11906" w:h="16838"/>
          <w:pgMar w:top="1440" w:right="1800" w:bottom="1440" w:left="1800" w:header="1417" w:footer="1134" w:gutter="0"/>
          <w:pgNumType w:start="7"/>
          <w:cols w:num="1" w:space="425"/>
          <w:titlePg w:val="0"/>
          <w:docGrid w:type="linesAndChars" w:linePitch="326" w:charSpace="0"/>
        </w:sectPr>
      </w:pPr>
    </w:p>
    <w:p>
      <w:pPr>
        <w:pStyle w:val="Heading1"/>
        <w:rPr>
          <w:rFonts w:cs="Times New Roman"/>
          <w:color w:val="000000" w:themeColor="text1"/>
          <w14:textFill>
            <w14:solidFill>
              <w14:schemeClr w14:val="tx1"/>
            </w14:solidFill>
          </w14:textFill>
        </w:rPr>
      </w:pPr>
      <w:bookmarkStart w:id="67" w:name="_Toc154388589"/>
      <w:bookmarkStart w:id="68" w:name="_Toc152836100"/>
      <w:bookmarkStart w:id="69" w:name="_Toc148348606"/>
      <w:bookmarkStart w:id="70" w:name="_Toc153182624"/>
      <w:bookmarkStart w:id="71" w:name="_Toc154389049"/>
      <w:bookmarkStart w:id="72" w:name="_Toc154388537"/>
      <w:bookmarkStart w:id="73" w:name="_Toc153896174"/>
      <w:r>
        <w:rPr>
          <w:rFonts w:cs="Times New Roman"/>
          <w:color w:val="000000" w:themeColor="text1"/>
          <w14:textFill>
            <w14:solidFill>
              <w14:schemeClr w14:val="tx1"/>
            </w14:solidFill>
          </w14:textFill>
        </w:rPr>
        <w:t>水生态环境保护</w:t>
      </w:r>
      <w:bookmarkEnd w:id="67"/>
      <w:bookmarkEnd w:id="68"/>
      <w:bookmarkEnd w:id="69"/>
      <w:bookmarkEnd w:id="70"/>
      <w:bookmarkEnd w:id="71"/>
      <w:bookmarkEnd w:id="72"/>
      <w:bookmarkEnd w:id="73"/>
    </w:p>
    <w:p>
      <w:pPr>
        <w:pStyle w:val="Heading2"/>
        <w:spacing w:before="326" w:after="326"/>
        <w:rPr>
          <w:rFonts w:cs="Times New Roman"/>
        </w:rPr>
      </w:pPr>
      <w:bookmarkStart w:id="74" w:name="_Toc154388590"/>
      <w:bookmarkStart w:id="75" w:name="_Toc144383569"/>
      <w:bookmarkStart w:id="76" w:name="_Toc154388538"/>
      <w:bookmarkStart w:id="77" w:name="_Toc153182625"/>
      <w:bookmarkStart w:id="78" w:name="_Toc152836101"/>
      <w:bookmarkStart w:id="79" w:name="_Toc153896175"/>
      <w:bookmarkStart w:id="80" w:name="_Toc154389050"/>
      <w:bookmarkStart w:id="81" w:name="_Toc148348608"/>
      <w:r>
        <w:rPr>
          <w:rFonts w:cs="Times New Roman"/>
        </w:rPr>
        <w:t>一般规定</w:t>
      </w:r>
      <w:bookmarkEnd w:id="74"/>
      <w:bookmarkEnd w:id="75"/>
      <w:bookmarkEnd w:id="76"/>
      <w:bookmarkEnd w:id="77"/>
      <w:bookmarkEnd w:id="78"/>
      <w:bookmarkEnd w:id="79"/>
      <w:bookmarkEnd w:id="80"/>
      <w:bookmarkEnd w:id="81"/>
    </w:p>
    <w:p>
      <w:pPr>
        <w:pStyle w:val="20"/>
        <w:rPr>
          <w:rFonts w:cs="Times New Roman"/>
        </w:rPr>
      </w:pPr>
      <w:r>
        <w:rPr>
          <w:rFonts w:cs="Times New Roman"/>
        </w:rPr>
        <w:t>水生态环境保护</w:t>
      </w:r>
      <w:r>
        <w:rPr>
          <w:rFonts w:cs="Times New Roman" w:hint="eastAsia"/>
        </w:rPr>
        <w:t>可分为</w:t>
      </w:r>
      <w:r>
        <w:rPr>
          <w:rFonts w:cs="Times New Roman"/>
        </w:rPr>
        <w:t>水生态保护</w:t>
      </w:r>
      <w:r>
        <w:rPr>
          <w:rFonts w:cs="Times New Roman" w:hint="eastAsia"/>
        </w:rPr>
        <w:t>，</w:t>
      </w:r>
      <w:r>
        <w:rPr>
          <w:rFonts w:cs="Times New Roman"/>
        </w:rPr>
        <w:t>水生态修复</w:t>
      </w:r>
      <w:r>
        <w:rPr>
          <w:rFonts w:cs="Times New Roman" w:hint="eastAsia"/>
        </w:rPr>
        <w:t>，</w:t>
      </w:r>
      <w:r>
        <w:rPr>
          <w:rFonts w:cs="Times New Roman"/>
        </w:rPr>
        <w:t>水环境治理</w:t>
      </w:r>
      <w:r>
        <w:rPr>
          <w:rFonts w:cs="Times New Roman" w:hint="eastAsia"/>
        </w:rPr>
        <w:t>3种类型</w:t>
      </w:r>
      <w:r>
        <w:rPr>
          <w:rFonts w:cs="Times New Roman"/>
        </w:rPr>
        <w:t>。</w:t>
      </w:r>
    </w:p>
    <w:p>
      <w:pPr>
        <w:pStyle w:val="20"/>
        <w:rPr>
          <w:rFonts w:cs="Times New Roman"/>
        </w:rPr>
      </w:pPr>
      <w:r>
        <w:rPr>
          <w:rFonts w:cs="Times New Roman"/>
        </w:rPr>
        <w:t>应</w:t>
      </w:r>
      <w:r>
        <w:rPr>
          <w:rFonts w:cs="Times New Roman" w:hint="eastAsia"/>
        </w:rPr>
        <w:t>按照下列要求，科学确定</w:t>
      </w:r>
      <w:r>
        <w:rPr>
          <w:rFonts w:cs="Times New Roman"/>
        </w:rPr>
        <w:t>水生态环境保护项目</w:t>
      </w:r>
      <w:r>
        <w:rPr>
          <w:rFonts w:cs="Times New Roman" w:hint="eastAsia"/>
        </w:rPr>
        <w:t>规划内容</w:t>
      </w:r>
      <w:r>
        <w:rPr>
          <w:rFonts w:cs="Times New Roman"/>
        </w:rPr>
        <w:t>：</w:t>
      </w:r>
    </w:p>
    <w:p>
      <w:pPr>
        <w:ind w:firstLine="480" w:firstLineChars="200"/>
        <w:rPr>
          <w:rFonts w:cs="Times New Roman"/>
        </w:rPr>
      </w:pPr>
      <w:r>
        <w:rPr>
          <w:rFonts w:cs="Times New Roman"/>
        </w:rPr>
        <w:t xml:space="preserve">1 </w:t>
      </w:r>
      <w:r>
        <w:rPr>
          <w:rFonts w:cs="Times New Roman" w:hint="eastAsia"/>
        </w:rPr>
        <w:t>明确治理需求迫切的突出水生态环境保护问题，优先考虑已列入地区相关规划的重点工程项目</w:t>
      </w:r>
      <w:r>
        <w:rPr>
          <w:rFonts w:cs="Times New Roman"/>
        </w:rPr>
        <w:t>；</w:t>
      </w:r>
    </w:p>
    <w:p>
      <w:pPr>
        <w:pStyle w:val="20"/>
        <w:numPr>
          <w:ilvl w:val="0"/>
          <w:numId w:val="0"/>
        </w:numPr>
        <w:ind w:firstLine="480" w:firstLineChars="200"/>
        <w:rPr>
          <w:rFonts w:cs="Times New Roman"/>
        </w:rPr>
      </w:pPr>
      <w:r>
        <w:rPr>
          <w:rFonts w:cs="Times New Roman"/>
        </w:rPr>
        <w:t xml:space="preserve">2 </w:t>
      </w:r>
      <w:r>
        <w:rPr>
          <w:rFonts w:cs="Times New Roman" w:hint="eastAsia"/>
        </w:rPr>
        <w:t>项目</w:t>
      </w:r>
      <w:r>
        <w:t>生态环境改善目标</w:t>
      </w:r>
      <w:r>
        <w:rPr>
          <w:rFonts w:cs="Times New Roman"/>
        </w:rPr>
        <w:t>明确</w:t>
      </w:r>
      <w:r>
        <w:rPr>
          <w:rFonts w:cs="Times New Roman" w:hint="eastAsia"/>
        </w:rPr>
        <w:t>，可参考附表B制定项目水生态环境保护目标及最终形成的生态产品价值产出目标，确保目标明确、指标具体，</w:t>
      </w:r>
      <w:r>
        <w:rPr>
          <w:rFonts w:cs="Times New Roman"/>
        </w:rPr>
        <w:t>可监测、可统计、可考核</w:t>
      </w:r>
      <w:r>
        <w:rPr>
          <w:rFonts w:cs="Times New Roman" w:hint="eastAsia"/>
        </w:rPr>
        <w:t>；</w:t>
      </w:r>
    </w:p>
    <w:p>
      <w:pPr>
        <w:pStyle w:val="20"/>
        <w:numPr>
          <w:ilvl w:val="0"/>
          <w:numId w:val="0"/>
        </w:numPr>
        <w:ind w:firstLine="480" w:firstLineChars="200"/>
        <w:rPr>
          <w:rFonts w:cs="Times New Roman"/>
        </w:rPr>
      </w:pPr>
      <w:r>
        <w:rPr>
          <w:rFonts w:cs="Times New Roman" w:hint="eastAsia"/>
        </w:rPr>
        <w:t>3</w:t>
      </w:r>
      <w:r>
        <w:rPr>
          <w:rFonts w:cs="Times New Roman"/>
        </w:rPr>
        <w:t xml:space="preserve"> 项目实施范围及边界条件清晰</w:t>
      </w:r>
      <w:r>
        <w:rPr>
          <w:rFonts w:cs="Times New Roman" w:hint="eastAsia"/>
        </w:rPr>
        <w:t>，各子项目关联密切；</w:t>
      </w:r>
    </w:p>
    <w:p>
      <w:pPr>
        <w:pStyle w:val="20"/>
        <w:numPr>
          <w:ilvl w:val="0"/>
          <w:numId w:val="0"/>
        </w:numPr>
        <w:ind w:firstLine="480" w:firstLineChars="200"/>
        <w:rPr>
          <w:rFonts w:cs="Times New Roman"/>
        </w:rPr>
      </w:pPr>
      <w:r>
        <w:rPr>
          <w:rFonts w:cs="Times New Roman" w:hint="eastAsia"/>
        </w:rPr>
        <w:t>4</w:t>
      </w:r>
      <w:r>
        <w:rPr>
          <w:rFonts w:cs="Times New Roman"/>
        </w:rPr>
        <w:t xml:space="preserve"> </w:t>
      </w:r>
      <w:r>
        <w:rPr>
          <w:rFonts w:cs="Times New Roman" w:hint="eastAsia"/>
        </w:rPr>
        <w:t>项目实施内容科学合理，基于突出的水生态环境问题与确定的治理目标，科学确定水生态环境保护方案，包括建设内容、治理措施、建设周期及投资等，</w:t>
      </w:r>
      <w:r>
        <w:rPr>
          <w:rFonts w:cs="Times New Roman"/>
        </w:rPr>
        <w:t>正在实施项目及计划实施项目均可纳入水生态环境导向开发工程项目规划，接近完工项目不宜纳入</w:t>
      </w:r>
      <w:r>
        <w:rPr>
          <w:rFonts w:cs="Times New Roman" w:hint="eastAsia"/>
        </w:rPr>
        <w:t>；</w:t>
      </w:r>
    </w:p>
    <w:p>
      <w:pPr>
        <w:pStyle w:val="20"/>
        <w:numPr>
          <w:ilvl w:val="0"/>
          <w:numId w:val="0"/>
        </w:numPr>
        <w:ind w:firstLine="480" w:firstLineChars="200"/>
        <w:rPr>
          <w:rFonts w:cs="Times New Roman"/>
        </w:rPr>
      </w:pPr>
      <w:r>
        <w:rPr>
          <w:rFonts w:cs="Times New Roman"/>
        </w:rPr>
        <w:t xml:space="preserve">5 </w:t>
      </w:r>
      <w:r>
        <w:rPr>
          <w:rFonts w:cs="Times New Roman" w:hint="eastAsia"/>
        </w:rPr>
        <w:t>项目生态环境效益明显，项目实施应兼具生态效益、经济效益、社会效益，重点关注项目投入</w:t>
      </w:r>
      <w:r>
        <w:rPr>
          <w:rFonts w:cs="Times New Roman"/>
        </w:rPr>
        <w:t>对污染减排或环境自净能力提升</w:t>
      </w:r>
      <w:r>
        <w:rPr>
          <w:rFonts w:cs="Times New Roman" w:hint="eastAsia"/>
        </w:rPr>
        <w:t>的</w:t>
      </w:r>
      <w:r>
        <w:rPr>
          <w:rFonts w:cs="Times New Roman"/>
        </w:rPr>
        <w:t>直接贡献</w:t>
      </w:r>
      <w:r>
        <w:rPr>
          <w:rFonts w:cs="Times New Roman" w:hint="eastAsia"/>
        </w:rPr>
        <w:t>，能够改善水生态环境现状，最终解决区域突出的水生态环境问题。</w:t>
      </w:r>
    </w:p>
    <w:p>
      <w:pPr>
        <w:pStyle w:val="Heading2"/>
        <w:spacing w:before="326" w:after="326"/>
        <w:rPr>
          <w:rFonts w:cs="Times New Roman"/>
        </w:rPr>
      </w:pPr>
      <w:bookmarkStart w:id="82" w:name="_Toc148348610"/>
      <w:bookmarkStart w:id="83" w:name="_Toc153182626"/>
      <w:bookmarkStart w:id="84" w:name="_Toc152836102"/>
      <w:bookmarkStart w:id="85" w:name="_Toc153896176"/>
      <w:bookmarkStart w:id="86" w:name="_Toc144383570"/>
      <w:bookmarkStart w:id="87" w:name="_Toc154388591"/>
      <w:bookmarkStart w:id="88" w:name="_Toc154388539"/>
      <w:bookmarkStart w:id="89" w:name="_Toc154389051"/>
      <w:r>
        <w:rPr>
          <w:rFonts w:cs="Times New Roman"/>
        </w:rPr>
        <w:t>水生态保护</w:t>
      </w:r>
      <w:bookmarkEnd w:id="82"/>
      <w:bookmarkEnd w:id="83"/>
      <w:bookmarkEnd w:id="84"/>
      <w:bookmarkEnd w:id="85"/>
      <w:bookmarkEnd w:id="86"/>
      <w:bookmarkEnd w:id="87"/>
      <w:bookmarkEnd w:id="88"/>
      <w:bookmarkEnd w:id="89"/>
    </w:p>
    <w:p>
      <w:pPr>
        <w:pStyle w:val="20"/>
      </w:pPr>
      <w:bookmarkStart w:id="90" w:name="_Hlk145597255"/>
      <w:r>
        <w:t>水生态保护项目</w:t>
      </w:r>
      <w:r>
        <w:rPr>
          <w:rFonts w:hint="eastAsia"/>
        </w:rPr>
        <w:t>类型宜包括：</w:t>
      </w:r>
      <w:r>
        <w:t>河湖生态流量保障，水源涵养区保护，饮用水水源地保护，天然（人工）湿地生态系统保护与建设等。</w:t>
      </w:r>
    </w:p>
    <w:p>
      <w:pPr>
        <w:pStyle w:val="20"/>
      </w:pPr>
      <w:r>
        <w:rPr>
          <w:rFonts w:hint="eastAsia"/>
        </w:rPr>
        <w:t>水生态保护项目应以</w:t>
      </w:r>
      <w:r>
        <w:t>水生态系统功能提升</w:t>
      </w:r>
      <w:r>
        <w:rPr>
          <w:rFonts w:hint="eastAsia"/>
        </w:rPr>
        <w:t>，</w:t>
      </w:r>
      <w:r>
        <w:t>生态产品价值实现及生物栖息地功能恢复</w:t>
      </w:r>
      <w:r>
        <w:rPr>
          <w:rFonts w:hint="eastAsia"/>
        </w:rPr>
        <w:t>等为主要</w:t>
      </w:r>
      <w:r>
        <w:rPr>
          <w:rFonts w:cs="Times New Roman" w:hint="eastAsia"/>
        </w:rPr>
        <w:t>规划目标</w:t>
      </w:r>
      <w:r>
        <w:t>。</w:t>
      </w:r>
    </w:p>
    <w:p>
      <w:pPr>
        <w:pStyle w:val="20"/>
        <w:sectPr>
          <w:headerReference w:type="default" r:id="rId29"/>
          <w:footerReference w:type="even" r:id="rId30"/>
          <w:footerReference w:type="default" r:id="rId31"/>
          <w:pgSz w:w="11906" w:h="16838"/>
          <w:pgMar w:top="1440" w:right="1800" w:bottom="1440" w:left="1800" w:header="1417" w:footer="1134" w:gutter="0"/>
          <w:pgNumType w:start="8"/>
          <w:cols w:num="1" w:space="425"/>
          <w:docGrid w:type="linesAndChars" w:linePitch="326" w:charSpace="0"/>
        </w:sectPr>
      </w:pPr>
      <w:bookmarkStart w:id="91" w:name="_Hlk153182352"/>
      <w:r>
        <w:rPr>
          <w:rFonts w:hint="eastAsia"/>
        </w:rPr>
        <w:t>水生态保护规划应包括划定水生态保护范围、提出维护水生态系统稳定与生物多样性的措施等主要内容。</w:t>
      </w:r>
    </w:p>
    <w:bookmarkEnd w:id="91"/>
    <w:p>
      <w:pPr>
        <w:pStyle w:val="20"/>
      </w:pPr>
      <w:bookmarkStart w:id="92" w:name="_Hlk153182113"/>
      <w:r>
        <w:t>水生态保护项目应遵循</w:t>
      </w:r>
      <w:r>
        <w:rPr>
          <w:rFonts w:hint="eastAsia"/>
        </w:rPr>
        <w:t>“</w:t>
      </w:r>
      <w:r>
        <w:t>保护优先、自然恢复、统筹兼顾、目标科学</w:t>
      </w:r>
      <w:r>
        <w:rPr>
          <w:rFonts w:hint="eastAsia"/>
        </w:rPr>
        <w:t>”</w:t>
      </w:r>
      <w:r>
        <w:t>的原则</w:t>
      </w:r>
      <w:r>
        <w:rPr>
          <w:rFonts w:hint="eastAsia"/>
        </w:rPr>
        <w:t>，维护水生态保护区域的自然特征，不得在水生态保护的核心范围内布置人工设施，不得在非核心范围内布置与水生态保护和合理利用无关的设施。</w:t>
      </w:r>
    </w:p>
    <w:bookmarkEnd w:id="90"/>
    <w:bookmarkEnd w:id="92"/>
    <w:p>
      <w:pPr>
        <w:pStyle w:val="Heading2"/>
        <w:spacing w:before="326" w:after="326"/>
        <w:rPr>
          <w:rFonts w:cs="Times New Roman"/>
        </w:rPr>
      </w:pPr>
      <w:bookmarkStart w:id="93" w:name="_Toc152836103"/>
      <w:bookmarkStart w:id="94" w:name="_Toc153182627"/>
      <w:bookmarkStart w:id="95" w:name="_Toc153896177"/>
      <w:bookmarkStart w:id="96" w:name="_Toc154389052"/>
      <w:bookmarkStart w:id="97" w:name="_Toc144383571"/>
      <w:bookmarkStart w:id="98" w:name="_Toc148348612"/>
      <w:bookmarkStart w:id="99" w:name="_Toc154388540"/>
      <w:bookmarkStart w:id="100" w:name="_Toc154388592"/>
      <w:r>
        <w:rPr>
          <w:rFonts w:cs="Times New Roman"/>
        </w:rPr>
        <w:t>水生态修复</w:t>
      </w:r>
      <w:bookmarkEnd w:id="93"/>
      <w:bookmarkEnd w:id="94"/>
      <w:bookmarkEnd w:id="95"/>
      <w:bookmarkEnd w:id="96"/>
      <w:bookmarkEnd w:id="97"/>
      <w:bookmarkEnd w:id="98"/>
      <w:bookmarkEnd w:id="99"/>
      <w:bookmarkEnd w:id="100"/>
    </w:p>
    <w:p>
      <w:pPr>
        <w:pStyle w:val="20"/>
        <w:rPr>
          <w:rFonts w:cs="Times New Roman"/>
        </w:rPr>
      </w:pPr>
      <w:r>
        <w:rPr>
          <w:rFonts w:cs="Times New Roman"/>
        </w:rPr>
        <w:t>水生态修复</w:t>
      </w:r>
      <w:r>
        <w:t>项目</w:t>
      </w:r>
      <w:r>
        <w:rPr>
          <w:rFonts w:hint="eastAsia"/>
        </w:rPr>
        <w:t>类型宜包括：</w:t>
      </w:r>
      <w:r>
        <w:rPr>
          <w:rFonts w:cs="Times New Roman"/>
        </w:rPr>
        <w:t>重点湖库富营养化控制、流域水生态保护修复、河湖生态缓冲带修复</w:t>
      </w:r>
      <w:r>
        <w:rPr>
          <w:rFonts w:cs="Times New Roman" w:hint="eastAsia"/>
        </w:rPr>
        <w:t>等</w:t>
      </w:r>
      <w:r>
        <w:rPr>
          <w:rFonts w:cs="Times New Roman"/>
        </w:rPr>
        <w:t>。</w:t>
      </w:r>
    </w:p>
    <w:p>
      <w:pPr>
        <w:pStyle w:val="20"/>
        <w:rPr>
          <w:rFonts w:cs="Times New Roman"/>
        </w:rPr>
      </w:pPr>
      <w:r>
        <w:rPr>
          <w:rFonts w:cs="Times New Roman" w:hint="eastAsia"/>
        </w:rPr>
        <w:t>水生态修复规划</w:t>
      </w:r>
      <w:r>
        <w:rPr>
          <w:rFonts w:hint="eastAsia"/>
        </w:rPr>
        <w:t>应以</w:t>
      </w:r>
      <w:r>
        <w:rPr>
          <w:rFonts w:cs="Times New Roman"/>
        </w:rPr>
        <w:t>水生态系统功能恢复、水生态系统完整性、水环境承载能力及生物多样性提升</w:t>
      </w:r>
      <w:r>
        <w:rPr>
          <w:rFonts w:cs="Times New Roman" w:hint="eastAsia"/>
        </w:rPr>
        <w:t>等为主要目标。</w:t>
      </w:r>
    </w:p>
    <w:p>
      <w:pPr>
        <w:pStyle w:val="20"/>
        <w:rPr>
          <w:rFonts w:cs="Times New Roman"/>
        </w:rPr>
      </w:pPr>
      <w:bookmarkStart w:id="101" w:name="_Hlk153182336"/>
      <w:r>
        <w:rPr>
          <w:rFonts w:cs="Times New Roman" w:hint="eastAsia"/>
        </w:rPr>
        <w:t>水生态修复规划应包括水文、水质条件改善，河湖生态特征优化、生物多样性恢复方案等主要内容。</w:t>
      </w:r>
    </w:p>
    <w:bookmarkEnd w:id="101"/>
    <w:p>
      <w:pPr>
        <w:pStyle w:val="20"/>
        <w:rPr>
          <w:rFonts w:cs="Times New Roman"/>
        </w:rPr>
      </w:pPr>
      <w:r>
        <w:rPr>
          <w:rFonts w:cs="Times New Roman"/>
        </w:rPr>
        <w:t>水生态修复</w:t>
      </w:r>
      <w:r>
        <w:rPr>
          <w:rFonts w:cs="Times New Roman" w:hint="eastAsia"/>
        </w:rPr>
        <w:t>规划</w:t>
      </w:r>
      <w:r>
        <w:rPr>
          <w:rFonts w:cs="Times New Roman"/>
        </w:rPr>
        <w:t>应</w:t>
      </w:r>
      <w:r>
        <w:rPr>
          <w:rFonts w:cs="Times New Roman" w:hint="eastAsia"/>
        </w:rPr>
        <w:t>遵循“</w:t>
      </w:r>
      <w:r>
        <w:rPr>
          <w:rFonts w:cs="Times New Roman"/>
        </w:rPr>
        <w:t>自然修复与人工修复相结合，自然为主、人工为辅</w:t>
      </w:r>
      <w:r>
        <w:rPr>
          <w:rFonts w:cs="Times New Roman" w:hint="eastAsia"/>
        </w:rPr>
        <w:t>”的原则，采用生态措施开展近自然治理。</w:t>
      </w:r>
    </w:p>
    <w:p>
      <w:pPr>
        <w:pStyle w:val="Heading2"/>
        <w:spacing w:before="326" w:after="326"/>
        <w:rPr>
          <w:rFonts w:cs="Times New Roman"/>
        </w:rPr>
      </w:pPr>
      <w:bookmarkStart w:id="102" w:name="_Toc154388593"/>
      <w:bookmarkStart w:id="103" w:name="_Toc148348614"/>
      <w:bookmarkStart w:id="104" w:name="_Toc153182628"/>
      <w:bookmarkStart w:id="105" w:name="_Toc154388541"/>
      <w:bookmarkStart w:id="106" w:name="_Toc144383572"/>
      <w:bookmarkStart w:id="107" w:name="_Toc154389053"/>
      <w:bookmarkStart w:id="108" w:name="_Toc152836104"/>
      <w:bookmarkStart w:id="109" w:name="_Toc153896178"/>
      <w:r>
        <w:rPr>
          <w:rFonts w:cs="Times New Roman"/>
        </w:rPr>
        <w:t>水环境治理</w:t>
      </w:r>
      <w:bookmarkEnd w:id="102"/>
      <w:bookmarkEnd w:id="103"/>
      <w:bookmarkEnd w:id="104"/>
      <w:bookmarkEnd w:id="105"/>
      <w:bookmarkEnd w:id="106"/>
      <w:bookmarkEnd w:id="107"/>
      <w:bookmarkEnd w:id="108"/>
      <w:bookmarkEnd w:id="109"/>
    </w:p>
    <w:p>
      <w:pPr>
        <w:pStyle w:val="20"/>
        <w:rPr>
          <w:rFonts w:cs="Times New Roman"/>
        </w:rPr>
      </w:pPr>
      <w:r>
        <w:rPr>
          <w:rFonts w:cs="Times New Roman"/>
        </w:rPr>
        <w:t>水环境治理项目</w:t>
      </w:r>
      <w:r>
        <w:rPr>
          <w:rFonts w:hint="eastAsia"/>
        </w:rPr>
        <w:t>类型宜包括：</w:t>
      </w:r>
      <w:r>
        <w:rPr>
          <w:rFonts w:cs="Times New Roman"/>
        </w:rPr>
        <w:t>流域水环境综合治理</w:t>
      </w:r>
      <w:r>
        <w:rPr>
          <w:rFonts w:cs="Times New Roman" w:hint="eastAsia"/>
        </w:rPr>
        <w:t>，</w:t>
      </w:r>
      <w:r>
        <w:rPr>
          <w:rFonts w:cs="Times New Roman"/>
        </w:rPr>
        <w:t>黑臭水体治理</w:t>
      </w:r>
      <w:r>
        <w:rPr>
          <w:rFonts w:cs="Times New Roman" w:hint="eastAsia"/>
        </w:rPr>
        <w:t>，</w:t>
      </w:r>
      <w:r>
        <w:rPr>
          <w:rFonts w:cs="Times New Roman"/>
        </w:rPr>
        <w:t>水体内源污染治理</w:t>
      </w:r>
      <w:r>
        <w:rPr>
          <w:rFonts w:cs="Times New Roman" w:hint="eastAsia"/>
        </w:rPr>
        <w:t>，</w:t>
      </w:r>
      <w:r>
        <w:rPr>
          <w:rFonts w:cs="Times New Roman"/>
        </w:rPr>
        <w:t>污水处理设施与配套管网建设改造</w:t>
      </w:r>
      <w:r>
        <w:rPr>
          <w:rFonts w:cs="Times New Roman" w:hint="eastAsia"/>
        </w:rPr>
        <w:t>，</w:t>
      </w:r>
      <w:r>
        <w:rPr>
          <w:rFonts w:cs="Times New Roman"/>
        </w:rPr>
        <w:t>污水处理提标改造和再生水资源化利用</w:t>
      </w:r>
      <w:r>
        <w:rPr>
          <w:rFonts w:cs="Times New Roman" w:hint="eastAsia"/>
        </w:rPr>
        <w:t>，</w:t>
      </w:r>
      <w:r>
        <w:rPr>
          <w:rFonts w:cs="Times New Roman"/>
        </w:rPr>
        <w:t>农业面源污染治理</w:t>
      </w:r>
      <w:r>
        <w:rPr>
          <w:rFonts w:cs="Times New Roman" w:hint="eastAsia"/>
        </w:rPr>
        <w:t>，</w:t>
      </w:r>
      <w:r>
        <w:rPr>
          <w:rFonts w:cs="Times New Roman"/>
        </w:rPr>
        <w:t>船舶港口水污染治理</w:t>
      </w:r>
      <w:r>
        <w:rPr>
          <w:rFonts w:cs="Times New Roman" w:hint="eastAsia"/>
        </w:rPr>
        <w:t>，</w:t>
      </w:r>
      <w:r>
        <w:rPr>
          <w:rFonts w:cs="Times New Roman"/>
        </w:rPr>
        <w:t>入河排污口整治及规范化建设等。</w:t>
      </w:r>
    </w:p>
    <w:p>
      <w:pPr>
        <w:pStyle w:val="20"/>
        <w:rPr>
          <w:rFonts w:cs="Times New Roman"/>
        </w:rPr>
      </w:pPr>
      <w:bookmarkStart w:id="110" w:name="_Hlk153182488"/>
      <w:r>
        <w:rPr>
          <w:rFonts w:cs="Times New Roman"/>
        </w:rPr>
        <w:t>水</w:t>
      </w:r>
      <w:r>
        <w:rPr>
          <w:rFonts w:cs="Times New Roman" w:hint="eastAsia"/>
        </w:rPr>
        <w:t>环境治理规划应</w:t>
      </w:r>
      <w:r>
        <w:rPr>
          <w:rFonts w:hint="eastAsia"/>
        </w:rPr>
        <w:t>以水环境容量提升、污染负荷削减</w:t>
      </w:r>
      <w:r>
        <w:rPr>
          <w:rFonts w:cs="Times New Roman" w:hint="eastAsia"/>
        </w:rPr>
        <w:t>、水体</w:t>
      </w:r>
      <w:r>
        <w:rPr>
          <w:rFonts w:cs="Times New Roman"/>
        </w:rPr>
        <w:t>水质达标</w:t>
      </w:r>
      <w:r>
        <w:rPr>
          <w:rFonts w:cs="Times New Roman" w:hint="eastAsia"/>
        </w:rPr>
        <w:t>等为主要目标</w:t>
      </w:r>
      <w:r>
        <w:rPr>
          <w:rFonts w:cs="Times New Roman"/>
        </w:rPr>
        <w:t>。</w:t>
      </w:r>
    </w:p>
    <w:bookmarkEnd w:id="110"/>
    <w:p>
      <w:pPr>
        <w:pStyle w:val="20"/>
      </w:pPr>
      <w:r>
        <w:rPr>
          <w:rFonts w:hint="eastAsia"/>
        </w:rPr>
        <w:t>水环境治理规划应包括污染源特征分析与排放量预测、水环境容量计算、污染物总量控制方案、水环境综合整治措施及重点工程等主要内容。</w:t>
      </w:r>
    </w:p>
    <w:p>
      <w:pPr>
        <w:pStyle w:val="20"/>
      </w:pPr>
      <w:r>
        <w:rPr>
          <w:rFonts w:hint="eastAsia"/>
        </w:rPr>
        <w:t>水环境治理规划</w:t>
      </w:r>
      <w:r>
        <w:t>应遵循系统性、科学性、针对性、经济性和长效性原则，</w:t>
      </w:r>
      <w:r>
        <w:rPr>
          <w:rFonts w:hint="eastAsia"/>
        </w:rPr>
        <w:t>统筹“源头、过程、末端”全过程，统筹水资源、水生态、水管理等多要素，统筹政府、企业、社区、非政府组织及公众等多元角色。</w:t>
      </w:r>
    </w:p>
    <w:p>
      <w:pPr>
        <w:rPr>
          <w:rFonts w:cs="Times New Roman"/>
        </w:rPr>
        <w:sectPr>
          <w:headerReference w:type="default" r:id="rId32"/>
          <w:footerReference w:type="even" r:id="rId33"/>
          <w:footerReference w:type="default" r:id="rId34"/>
          <w:type w:val="nextPage"/>
          <w:pgSz w:w="11906" w:h="16838"/>
          <w:pgMar w:top="1440" w:right="1800" w:bottom="1440" w:left="1800" w:header="1417" w:footer="1134" w:gutter="0"/>
          <w:pgNumType w:start="9"/>
          <w:cols w:num="1" w:space="425"/>
          <w:titlePg w:val="0"/>
          <w:docGrid w:type="linesAndChars" w:linePitch="326" w:charSpace="0"/>
        </w:sectPr>
      </w:pPr>
    </w:p>
    <w:p>
      <w:pPr>
        <w:pStyle w:val="Heading1"/>
        <w:rPr>
          <w:rFonts w:cs="Times New Roman"/>
          <w:color w:val="000000" w:themeColor="text1"/>
          <w14:textFill>
            <w14:solidFill>
              <w14:schemeClr w14:val="tx1"/>
            </w14:solidFill>
          </w14:textFill>
        </w:rPr>
      </w:pPr>
      <w:bookmarkStart w:id="111" w:name="_Toc153896179"/>
      <w:bookmarkStart w:id="112" w:name="_Toc154388542"/>
      <w:bookmarkStart w:id="113" w:name="_Toc152836105"/>
      <w:bookmarkStart w:id="114" w:name="_Toc153182629"/>
      <w:bookmarkStart w:id="115" w:name="_Toc148348616"/>
      <w:bookmarkStart w:id="116" w:name="_Toc154388594"/>
      <w:bookmarkStart w:id="117" w:name="_Toc154389054"/>
      <w:r>
        <w:rPr>
          <w:rFonts w:cs="Times New Roman"/>
          <w:color w:val="000000" w:themeColor="text1"/>
          <w14:textFill>
            <w14:solidFill>
              <w14:schemeClr w14:val="tx1"/>
            </w14:solidFill>
          </w14:textFill>
        </w:rPr>
        <w:t>关联产业</w:t>
      </w:r>
      <w:bookmarkEnd w:id="111"/>
      <w:bookmarkEnd w:id="112"/>
      <w:bookmarkEnd w:id="113"/>
      <w:bookmarkEnd w:id="114"/>
      <w:bookmarkEnd w:id="115"/>
      <w:bookmarkEnd w:id="116"/>
      <w:bookmarkEnd w:id="117"/>
    </w:p>
    <w:p>
      <w:pPr>
        <w:pStyle w:val="Heading2"/>
        <w:spacing w:before="326" w:after="326"/>
        <w:rPr>
          <w:rFonts w:cs="Times New Roman"/>
        </w:rPr>
      </w:pPr>
      <w:bookmarkStart w:id="118" w:name="_Toc144383574"/>
      <w:bookmarkStart w:id="119" w:name="_Toc148348618"/>
      <w:bookmarkStart w:id="120" w:name="_Toc129762771"/>
      <w:bookmarkStart w:id="121" w:name="_Toc152836106"/>
      <w:bookmarkStart w:id="122" w:name="_Toc153182630"/>
      <w:bookmarkStart w:id="123" w:name="_Toc154388543"/>
      <w:bookmarkStart w:id="124" w:name="_Toc153896180"/>
      <w:bookmarkStart w:id="125" w:name="_Toc154388595"/>
      <w:bookmarkStart w:id="126" w:name="_Toc154389055"/>
      <w:r>
        <w:rPr>
          <w:rFonts w:cs="Times New Roman"/>
        </w:rPr>
        <w:t>一般规定</w:t>
      </w:r>
      <w:bookmarkEnd w:id="118"/>
      <w:bookmarkEnd w:id="119"/>
      <w:bookmarkEnd w:id="120"/>
      <w:bookmarkEnd w:id="121"/>
      <w:bookmarkEnd w:id="122"/>
      <w:bookmarkEnd w:id="123"/>
      <w:bookmarkEnd w:id="124"/>
      <w:bookmarkEnd w:id="125"/>
      <w:bookmarkEnd w:id="126"/>
    </w:p>
    <w:p>
      <w:pPr>
        <w:pStyle w:val="20"/>
      </w:pPr>
      <w:bookmarkStart w:id="127" w:name="_Toc148348620"/>
      <w:bookmarkStart w:id="128" w:name="_Toc144383575"/>
      <w:bookmarkStart w:id="129" w:name="_Toc129762772"/>
      <w:r>
        <w:rPr>
          <w:rFonts w:hint="eastAsia"/>
        </w:rPr>
        <w:t>W</w:t>
      </w:r>
      <w:r>
        <w:t>EOD</w:t>
      </w:r>
      <w:r>
        <w:rPr>
          <w:rFonts w:hint="eastAsia"/>
        </w:rPr>
        <w:t>规划中</w:t>
      </w:r>
      <w:r>
        <w:t>关联产业规划应遵循关联发展、因地制宜、可持续</w:t>
      </w:r>
      <w:r>
        <w:rPr>
          <w:rFonts w:hint="eastAsia"/>
        </w:rPr>
        <w:t>原则。</w:t>
      </w:r>
    </w:p>
    <w:p>
      <w:pPr>
        <w:pStyle w:val="20"/>
      </w:pPr>
      <w:r>
        <w:rPr>
          <w:rFonts w:hint="eastAsia"/>
        </w:rPr>
        <w:t>规划</w:t>
      </w:r>
      <w:r>
        <w:t>关联产业</w:t>
      </w:r>
      <w:r>
        <w:rPr>
          <w:rFonts w:hint="eastAsia"/>
        </w:rPr>
        <w:t>项目</w:t>
      </w:r>
      <w:r>
        <w:t>应与水生态环境</w:t>
      </w:r>
      <w:r>
        <w:rPr>
          <w:rFonts w:hint="eastAsia"/>
        </w:rPr>
        <w:t>保护</w:t>
      </w:r>
      <w:r>
        <w:t>项目空间相邻、权益相关、统一规划、一体实施、融合发展。</w:t>
      </w:r>
    </w:p>
    <w:p>
      <w:pPr>
        <w:pStyle w:val="20"/>
      </w:pPr>
      <w:r>
        <w:rPr>
          <w:rFonts w:hint="eastAsia"/>
        </w:rPr>
        <w:t>规划</w:t>
      </w:r>
      <w:r>
        <w:t>关联产业</w:t>
      </w:r>
      <w:r>
        <w:rPr>
          <w:rFonts w:hint="eastAsia"/>
        </w:rPr>
        <w:t>项目</w:t>
      </w:r>
      <w:r>
        <w:t>应具备稳定的经营性收益和市场认可度。</w:t>
      </w:r>
    </w:p>
    <w:p>
      <w:pPr>
        <w:pStyle w:val="Heading2"/>
        <w:spacing w:before="326" w:after="326"/>
        <w:rPr>
          <w:rFonts w:cs="Times New Roman"/>
        </w:rPr>
      </w:pPr>
      <w:bookmarkStart w:id="130" w:name="_Toc153896181"/>
      <w:bookmarkStart w:id="131" w:name="_Toc153182631"/>
      <w:bookmarkStart w:id="132" w:name="_Toc154388544"/>
      <w:bookmarkStart w:id="133" w:name="_Toc154388596"/>
      <w:bookmarkStart w:id="134" w:name="_Toc152836107"/>
      <w:bookmarkStart w:id="135" w:name="_Toc154389056"/>
      <w:r>
        <w:rPr>
          <w:rFonts w:cs="Times New Roman"/>
        </w:rPr>
        <w:t>产业类型</w:t>
      </w:r>
      <w:bookmarkEnd w:id="127"/>
      <w:bookmarkEnd w:id="128"/>
      <w:bookmarkEnd w:id="129"/>
      <w:bookmarkEnd w:id="130"/>
      <w:bookmarkEnd w:id="131"/>
      <w:bookmarkEnd w:id="132"/>
      <w:bookmarkEnd w:id="133"/>
      <w:bookmarkEnd w:id="134"/>
      <w:bookmarkEnd w:id="135"/>
    </w:p>
    <w:p>
      <w:pPr>
        <w:pStyle w:val="20"/>
      </w:pPr>
      <w:r>
        <w:rPr>
          <w:rFonts w:hint="eastAsia"/>
        </w:rPr>
        <w:t>W</w:t>
      </w:r>
      <w:r>
        <w:t>EOD</w:t>
      </w:r>
      <w:r>
        <w:rPr>
          <w:rFonts w:hint="eastAsia"/>
        </w:rPr>
        <w:t>规划中</w:t>
      </w:r>
      <w:r>
        <w:t>关联产业</w:t>
      </w:r>
      <w:r>
        <w:rPr>
          <w:rFonts w:hint="eastAsia"/>
        </w:rPr>
        <w:t>宜属于下列产业类型：</w:t>
      </w:r>
    </w:p>
    <w:p>
      <w:pPr>
        <w:ind w:firstLine="480" w:firstLineChars="200"/>
        <w:rPr>
          <w:lang w:eastAsia="zh-Hans"/>
        </w:rPr>
      </w:pPr>
      <w:r>
        <w:rPr>
          <w:lang w:eastAsia="zh-Hans"/>
        </w:rPr>
        <w:t>1 在确保生态系统功能不被破坏的基础上，对水域片区进行产业化开发和经营的水域生态产业，主要包括绿色有机农业、生态水产养殖、水域休闲旅游、康养产业</w:t>
      </w:r>
      <w:r>
        <w:rPr>
          <w:rFonts w:hint="eastAsia"/>
          <w:lang w:eastAsia="zh-Hans"/>
        </w:rPr>
        <w:t>等；</w:t>
      </w:r>
    </w:p>
    <w:p>
      <w:pPr>
        <w:ind w:firstLine="480" w:firstLineChars="200"/>
        <w:rPr>
          <w:lang w:eastAsia="zh-Hans"/>
        </w:rPr>
      </w:pPr>
      <w:r>
        <w:rPr>
          <w:lang w:eastAsia="zh-Hans"/>
        </w:rPr>
        <w:t>2 生产过程对生态环境要求比较敏感、严格，或可能对环境产生一定影响、需建立合理的污染防治和处理系统的环境敏感型产业，主要包括数字经济产业、洁净医药产业、电子元器件产业、绿色建筑产业等</w:t>
      </w:r>
      <w:r>
        <w:rPr>
          <w:rFonts w:hint="eastAsia"/>
          <w:lang w:eastAsia="zh-Hans"/>
        </w:rPr>
        <w:t>；</w:t>
      </w:r>
    </w:p>
    <w:p>
      <w:pPr>
        <w:ind w:firstLine="480" w:firstLineChars="200"/>
      </w:pPr>
      <w:r>
        <w:t>3 将水资源本身及水域疏浚、治理产生的淤泥、砂石</w:t>
      </w:r>
      <w:r>
        <w:rPr>
          <w:rFonts w:hint="eastAsia"/>
        </w:rPr>
        <w:t>在规范合理范围内</w:t>
      </w:r>
      <w:r>
        <w:t>进行资源化管理而产生的资源</w:t>
      </w:r>
      <w:r>
        <w:rPr>
          <w:lang w:eastAsia="zh-Hans"/>
        </w:rPr>
        <w:t>综合</w:t>
      </w:r>
      <w:r>
        <w:t>利用，主要包括水资源利用产业、疏浚砂石的运输、储存、加工使用等</w:t>
      </w:r>
      <w:r>
        <w:rPr>
          <w:rFonts w:hint="eastAsia"/>
        </w:rPr>
        <w:t>；</w:t>
      </w:r>
    </w:p>
    <w:p>
      <w:pPr>
        <w:ind w:firstLine="480" w:firstLineChars="200"/>
        <w:rPr>
          <w:lang w:eastAsia="zh-Hans"/>
        </w:rPr>
      </w:pPr>
      <w:r>
        <w:t xml:space="preserve">4 </w:t>
      </w:r>
      <w:r>
        <w:rPr>
          <w:lang w:eastAsia="zh-Hans"/>
        </w:rPr>
        <w:t>不排放污染物</w:t>
      </w:r>
      <w:r>
        <w:rPr>
          <w:rFonts w:hint="eastAsia"/>
          <w:lang w:eastAsia="zh-Hans"/>
        </w:rPr>
        <w:t>，并</w:t>
      </w:r>
      <w:r>
        <w:rPr>
          <w:lang w:eastAsia="zh-Hans"/>
        </w:rPr>
        <w:t>能直接用于生产生活能源的研发、生产、推广和应用</w:t>
      </w:r>
      <w:r>
        <w:rPr>
          <w:rFonts w:hint="eastAsia"/>
          <w:lang w:eastAsia="zh-Hans"/>
        </w:rPr>
        <w:t>的</w:t>
      </w:r>
      <w:r>
        <w:rPr>
          <w:lang w:eastAsia="zh-Hans"/>
        </w:rPr>
        <w:t>绿色能源产业，主要包括水力发电、光伏发电、氢能发电、生物质能发电等</w:t>
      </w:r>
      <w:r>
        <w:rPr>
          <w:rFonts w:hint="eastAsia"/>
          <w:lang w:eastAsia="zh-Hans"/>
        </w:rPr>
        <w:t>；</w:t>
      </w:r>
    </w:p>
    <w:p>
      <w:pPr>
        <w:ind w:firstLine="480" w:firstLineChars="200"/>
        <w:rPr>
          <w:lang w:eastAsia="zh-Hans"/>
        </w:rPr>
      </w:pPr>
      <w:r>
        <w:t xml:space="preserve">5 </w:t>
      </w:r>
      <w:r>
        <w:rPr>
          <w:lang w:eastAsia="zh-Hans"/>
        </w:rPr>
        <w:t>为节约能源资源、发展循环经济、保护生态环境提供物质基础和技术保障的绿色环保产业，主要包括水处理技术产业、水资源节约与保护产业、生物技术产业等；</w:t>
      </w:r>
    </w:p>
    <w:p>
      <w:pPr>
        <w:ind w:firstLine="480" w:firstLineChars="200"/>
        <w:rPr>
          <w:rFonts w:eastAsia="楷体"/>
          <w:color w:val="4472C4" w:themeColor="accent1"/>
          <w:lang w:eastAsia="zh-Hans"/>
          <w14:textFill>
            <w14:solidFill>
              <w14:schemeClr w14:val="accent1"/>
            </w14:solidFill>
          </w14:textFill>
        </w:rPr>
        <w:sectPr>
          <w:headerReference w:type="default" r:id="rId35"/>
          <w:footerReference w:type="even" r:id="rId36"/>
          <w:footerReference w:type="default" r:id="rId37"/>
          <w:pgSz w:w="11906" w:h="16838"/>
          <w:pgMar w:top="1440" w:right="1800" w:bottom="1440" w:left="1800" w:header="1417" w:footer="1134" w:gutter="0"/>
          <w:pgNumType w:start="10"/>
          <w:cols w:num="1" w:space="425"/>
          <w:docGrid w:type="linesAndChars" w:linePitch="326" w:charSpace="0"/>
        </w:sectPr>
      </w:pPr>
      <w:r>
        <w:t xml:space="preserve">6 </w:t>
      </w:r>
      <w:r>
        <w:rPr>
          <w:lang w:eastAsia="zh-Hans"/>
        </w:rPr>
        <w:t>有益于生态环境发展的绿色服务业，主要包括</w:t>
      </w:r>
      <w:r>
        <w:t>环保咨询服务业</w:t>
      </w:r>
      <w:r>
        <w:rPr>
          <w:lang w:eastAsia="zh-Hans"/>
        </w:rPr>
        <w:t>、文化创意产业、绿色金融服务业、教育培训业等。</w:t>
      </w:r>
    </w:p>
    <w:p>
      <w:pPr>
        <w:pStyle w:val="20"/>
      </w:pPr>
      <w:r>
        <w:rPr>
          <w:rFonts w:hint="eastAsia"/>
        </w:rPr>
        <w:t>宜按照下列要求确定W</w:t>
      </w:r>
      <w:r>
        <w:t>EOD</w:t>
      </w:r>
      <w:r>
        <w:rPr>
          <w:rFonts w:hint="eastAsia"/>
        </w:rPr>
        <w:t>规划中</w:t>
      </w:r>
      <w:r>
        <w:t>关联产业</w:t>
      </w:r>
      <w:r>
        <w:rPr>
          <w:rFonts w:hint="eastAsia"/>
        </w:rPr>
        <w:t>：</w:t>
      </w:r>
    </w:p>
    <w:p>
      <w:pPr>
        <w:ind w:firstLine="480" w:firstLineChars="200"/>
        <w:rPr>
          <w:color w:val="000000" w:themeColor="text1"/>
          <w14:textFill>
            <w14:solidFill>
              <w14:schemeClr w14:val="tx1"/>
            </w14:solidFill>
          </w14:textFill>
        </w:rPr>
      </w:pPr>
      <w:r>
        <w:t>1 水生态保护类项目</w:t>
      </w:r>
      <w:r>
        <w:rPr>
          <w:rFonts w:hint="eastAsia"/>
        </w:rPr>
        <w:t>宜选择</w:t>
      </w:r>
      <w:r>
        <w:t>畜禽粪污资源化利用</w:t>
      </w:r>
      <w:r>
        <w:rPr>
          <w:rFonts w:hint="eastAsia"/>
        </w:rPr>
        <w:t>，</w:t>
      </w:r>
      <w:r>
        <w:t>渔业养殖尾水循环利用</w:t>
      </w:r>
      <w:r>
        <w:rPr>
          <w:rFonts w:hint="eastAsia"/>
        </w:rPr>
        <w:t>，</w:t>
      </w:r>
      <w:r>
        <w:rPr>
          <w:color w:val="000000" w:themeColor="text1"/>
          <w14:textFill>
            <w14:solidFill>
              <w14:schemeClr w14:val="tx1"/>
            </w14:solidFill>
          </w14:textFill>
        </w:rPr>
        <w:t>功能农业开发</w:t>
      </w:r>
      <w:r>
        <w:rPr>
          <w:rFonts w:hint="eastAsia"/>
          <w:color w:val="000000" w:themeColor="text1"/>
          <w14:textFill>
            <w14:solidFill>
              <w14:schemeClr w14:val="tx1"/>
            </w14:solidFill>
          </w14:textFill>
        </w:rPr>
        <w:t>等作为关联产业；</w:t>
      </w:r>
    </w:p>
    <w:p>
      <w:pPr>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2 水生态修复类项目</w:t>
      </w:r>
      <w:r>
        <w:rPr>
          <w:rFonts w:hint="eastAsia"/>
          <w:color w:val="000000" w:themeColor="text1"/>
          <w14:textFill>
            <w14:solidFill>
              <w14:schemeClr w14:val="tx1"/>
            </w14:solidFill>
          </w14:textFill>
        </w:rPr>
        <w:t>宜选择</w:t>
      </w:r>
      <w:r>
        <w:rPr>
          <w:color w:val="000000" w:themeColor="text1"/>
          <w14:textFill>
            <w14:solidFill>
              <w14:schemeClr w14:val="tx1"/>
            </w14:solidFill>
          </w14:textFill>
        </w:rPr>
        <w:t>沿岸生态公园、生态长廊、生态绿道等设施</w:t>
      </w:r>
      <w:r>
        <w:rPr>
          <w:rFonts w:hint="eastAsia"/>
          <w:color w:val="000000" w:themeColor="text1"/>
          <w14:textFill>
            <w14:solidFill>
              <w14:schemeClr w14:val="tx1"/>
            </w14:solidFill>
          </w14:textFill>
        </w:rPr>
        <w:t>建设，</w:t>
      </w:r>
      <w:r>
        <w:rPr>
          <w:color w:val="000000" w:themeColor="text1"/>
          <w14:textFill>
            <w14:solidFill>
              <w14:schemeClr w14:val="tx1"/>
            </w14:solidFill>
          </w14:textFill>
        </w:rPr>
        <w:t>湿地旅游、海洋旅游、渔业体验、水疗康养等文旅产业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水力发电、海上风电等绿色能源产业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海、河、湖沿岸带湿地碳汇及生态产品价值实现等资源转化产业</w:t>
      </w:r>
      <w:r>
        <w:rPr>
          <w:rFonts w:hint="eastAsia"/>
          <w:color w:val="000000" w:themeColor="text1"/>
          <w14:textFill>
            <w14:solidFill>
              <w14:schemeClr w14:val="tx1"/>
            </w14:solidFill>
          </w14:textFill>
        </w:rPr>
        <w:t>作为关联产业；</w:t>
      </w:r>
    </w:p>
    <w:p>
      <w:pPr>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3 水环境治理类项目</w:t>
      </w:r>
      <w:r>
        <w:rPr>
          <w:rFonts w:hint="eastAsia"/>
        </w:rPr>
        <w:t>宜选择</w:t>
      </w:r>
      <w:r>
        <w:t>水环境治理修复后的资源化处置</w:t>
      </w:r>
      <w:r>
        <w:rPr>
          <w:rFonts w:hint="eastAsia"/>
        </w:rPr>
        <w:t>，</w:t>
      </w:r>
      <w:r>
        <w:t>依托河流水域资源建设水上旅游、生态用水、中水回用等水资源利用产业</w:t>
      </w:r>
      <w:r>
        <w:rPr>
          <w:rFonts w:hint="eastAsia"/>
        </w:rPr>
        <w:t>作为关联产业。</w:t>
      </w:r>
    </w:p>
    <w:p>
      <w:pPr>
        <w:pStyle w:val="Heading2"/>
        <w:spacing w:before="326" w:after="326"/>
        <w:rPr>
          <w:rFonts w:cs="Times New Roman"/>
          <w:lang w:eastAsia="zh-Hans"/>
        </w:rPr>
      </w:pPr>
      <w:bookmarkStart w:id="136" w:name="_Toc129762773"/>
      <w:bookmarkStart w:id="137" w:name="_Toc153182632"/>
      <w:bookmarkStart w:id="138" w:name="_Toc148348622"/>
      <w:bookmarkStart w:id="139" w:name="_Toc154388597"/>
      <w:bookmarkStart w:id="140" w:name="_Toc144383576"/>
      <w:bookmarkStart w:id="141" w:name="_Toc153896182"/>
      <w:bookmarkStart w:id="142" w:name="_Toc154388545"/>
      <w:bookmarkStart w:id="143" w:name="_Toc154389057"/>
      <w:bookmarkStart w:id="144" w:name="_Toc152836108"/>
      <w:r>
        <w:rPr>
          <w:rFonts w:cs="Times New Roman"/>
        </w:rPr>
        <w:t>产业</w:t>
      </w:r>
      <w:bookmarkEnd w:id="136"/>
      <w:r>
        <w:rPr>
          <w:rFonts w:cs="Times New Roman"/>
          <w:lang w:eastAsia="zh-Hans"/>
        </w:rPr>
        <w:t>规划与综合评价</w:t>
      </w:r>
      <w:bookmarkEnd w:id="137"/>
      <w:bookmarkEnd w:id="138"/>
      <w:bookmarkEnd w:id="139"/>
      <w:bookmarkEnd w:id="140"/>
      <w:bookmarkEnd w:id="141"/>
      <w:bookmarkEnd w:id="142"/>
      <w:bookmarkEnd w:id="143"/>
      <w:bookmarkEnd w:id="144"/>
    </w:p>
    <w:p>
      <w:pPr>
        <w:pStyle w:val="20"/>
        <w:rPr>
          <w:b/>
          <w:bCs/>
          <w:lang w:eastAsia="zh-Hans"/>
        </w:rPr>
      </w:pPr>
      <w:r>
        <w:rPr>
          <w:rFonts w:hint="eastAsia"/>
        </w:rPr>
        <w:t>W</w:t>
      </w:r>
      <w:r>
        <w:t>EOD</w:t>
      </w:r>
      <w:r>
        <w:rPr>
          <w:rFonts w:hint="eastAsia"/>
        </w:rPr>
        <w:t>规划中</w:t>
      </w:r>
      <w:r>
        <w:rPr>
          <w:lang w:eastAsia="zh-Hans"/>
        </w:rPr>
        <w:t>关联产业规划宜包括</w:t>
      </w:r>
      <w:r>
        <w:rPr>
          <w:rFonts w:hint="eastAsia"/>
          <w:lang w:eastAsia="zh-Hans"/>
        </w:rPr>
        <w:t>下列</w:t>
      </w:r>
      <w:r>
        <w:rPr>
          <w:lang w:eastAsia="zh-Hans"/>
        </w:rPr>
        <w:t>内容：</w:t>
      </w:r>
    </w:p>
    <w:p>
      <w:pPr>
        <w:ind w:firstLine="480" w:firstLineChars="200"/>
        <w:rPr>
          <w:lang w:eastAsia="zh-Hans"/>
        </w:rPr>
      </w:pPr>
      <w:r>
        <w:rPr>
          <w:lang w:eastAsia="zh-Hans"/>
        </w:rPr>
        <w:t>1 产业链构成和关键技术</w:t>
      </w:r>
      <w:r>
        <w:rPr>
          <w:rFonts w:hint="eastAsia"/>
          <w:lang w:eastAsia="zh-Hans"/>
        </w:rPr>
        <w:t>；</w:t>
      </w:r>
    </w:p>
    <w:p>
      <w:pPr>
        <w:ind w:firstLine="480" w:firstLineChars="200"/>
        <w:rPr>
          <w:lang w:eastAsia="zh-Hans"/>
        </w:rPr>
      </w:pPr>
      <w:r>
        <w:rPr>
          <w:lang w:eastAsia="zh-Hans"/>
        </w:rPr>
        <w:t>2 与水生态环境</w:t>
      </w:r>
      <w:r>
        <w:rPr>
          <w:rFonts w:hint="eastAsia"/>
          <w:lang w:eastAsia="zh-Hans"/>
        </w:rPr>
        <w:t>保护项目</w:t>
      </w:r>
      <w:r>
        <w:rPr>
          <w:lang w:eastAsia="zh-Hans"/>
        </w:rPr>
        <w:t>的</w:t>
      </w:r>
      <w:r>
        <w:rPr>
          <w:rFonts w:hint="eastAsia"/>
          <w:lang w:eastAsia="zh-Hans"/>
        </w:rPr>
        <w:t>融合思路；</w:t>
      </w:r>
    </w:p>
    <w:p>
      <w:pPr>
        <w:ind w:firstLine="480" w:firstLineChars="200"/>
        <w:rPr>
          <w:lang w:eastAsia="zh-Hans"/>
        </w:rPr>
      </w:pPr>
      <w:r>
        <w:rPr>
          <w:lang w:eastAsia="zh-Hans"/>
        </w:rPr>
        <w:t>3 产业发展环境与趋势</w:t>
      </w:r>
      <w:r>
        <w:rPr>
          <w:rFonts w:hint="eastAsia"/>
          <w:lang w:eastAsia="zh-Hans"/>
        </w:rPr>
        <w:t>分析；</w:t>
      </w:r>
    </w:p>
    <w:p>
      <w:pPr>
        <w:ind w:firstLine="480" w:firstLineChars="200"/>
        <w:rPr>
          <w:lang w:eastAsia="zh-Hans"/>
        </w:rPr>
      </w:pPr>
      <w:r>
        <w:rPr>
          <w:lang w:eastAsia="zh-Hans"/>
        </w:rPr>
        <w:t>4 产业发展基础分析</w:t>
      </w:r>
      <w:r>
        <w:rPr>
          <w:rFonts w:hint="eastAsia"/>
          <w:lang w:eastAsia="zh-Hans"/>
        </w:rPr>
        <w:t>；</w:t>
      </w:r>
    </w:p>
    <w:p>
      <w:pPr>
        <w:ind w:firstLine="480" w:firstLineChars="200"/>
        <w:rPr>
          <w:lang w:eastAsia="zh-Hans"/>
        </w:rPr>
      </w:pPr>
      <w:r>
        <w:rPr>
          <w:lang w:eastAsia="zh-Hans"/>
        </w:rPr>
        <w:t>5 产业发展定位</w:t>
      </w:r>
      <w:r>
        <w:rPr>
          <w:rFonts w:hint="eastAsia"/>
          <w:lang w:eastAsia="zh-Hans"/>
        </w:rPr>
        <w:t>；</w:t>
      </w:r>
    </w:p>
    <w:p>
      <w:pPr>
        <w:ind w:firstLine="480" w:firstLineChars="200"/>
        <w:rPr>
          <w:lang w:eastAsia="zh-Hans"/>
        </w:rPr>
      </w:pPr>
      <w:r>
        <w:rPr>
          <w:lang w:eastAsia="zh-Hans"/>
        </w:rPr>
        <w:t>6 产业发展方向及重点任务</w:t>
      </w:r>
      <w:r>
        <w:rPr>
          <w:rFonts w:hint="eastAsia"/>
          <w:lang w:eastAsia="zh-Hans"/>
        </w:rPr>
        <w:t>；</w:t>
      </w:r>
    </w:p>
    <w:p>
      <w:pPr>
        <w:ind w:firstLine="480" w:firstLineChars="200"/>
        <w:rPr>
          <w:lang w:eastAsia="zh-Hans"/>
        </w:rPr>
      </w:pPr>
      <w:r>
        <w:rPr>
          <w:lang w:eastAsia="zh-Hans"/>
        </w:rPr>
        <w:t>7 产业空间布局与土地利用</w:t>
      </w:r>
      <w:r>
        <w:rPr>
          <w:rFonts w:hint="eastAsia"/>
          <w:lang w:eastAsia="zh-Hans"/>
        </w:rPr>
        <w:t>；</w:t>
      </w:r>
    </w:p>
    <w:p>
      <w:pPr>
        <w:ind w:firstLine="480" w:firstLineChars="200"/>
      </w:pPr>
      <w:r>
        <w:rPr>
          <w:lang w:eastAsia="zh-Hans"/>
        </w:rPr>
        <w:t>8 支撑体系和保障措施</w:t>
      </w:r>
      <w:r>
        <w:t>。</w:t>
      </w:r>
    </w:p>
    <w:p>
      <w:pPr>
        <w:pStyle w:val="20"/>
        <w:rPr>
          <w:lang w:eastAsia="zh-Hans"/>
        </w:rPr>
      </w:pPr>
      <w:r>
        <w:rPr>
          <w:rFonts w:hint="eastAsia"/>
        </w:rPr>
        <w:t>宜按照附表C</w:t>
      </w:r>
      <w:r>
        <w:rPr>
          <w:lang w:eastAsia="zh-Hans"/>
        </w:rPr>
        <w:t>构建关联产业综合评价体系</w:t>
      </w:r>
      <w:r>
        <w:rPr>
          <w:rFonts w:hint="eastAsia"/>
          <w:lang w:eastAsia="zh-Hans"/>
        </w:rPr>
        <w:t>，</w:t>
      </w:r>
      <w:r>
        <w:rPr>
          <w:lang w:eastAsia="zh-Hans"/>
        </w:rPr>
        <w:t>判断关联产业契合度</w:t>
      </w:r>
      <w:r>
        <w:rPr>
          <w:rFonts w:hint="eastAsia"/>
          <w:lang w:eastAsia="zh-Hans"/>
        </w:rPr>
        <w:t>，并符合下列要求。</w:t>
      </w:r>
    </w:p>
    <w:p>
      <w:pPr>
        <w:ind w:firstLine="480" w:firstLineChars="200"/>
        <w:rPr>
          <w:rFonts w:eastAsia="楷体"/>
          <w:color w:val="4472C4" w:themeColor="accent1"/>
          <w:lang w:eastAsia="zh-Hans"/>
          <w14:textFill>
            <w14:solidFill>
              <w14:schemeClr w14:val="accent1"/>
            </w14:solidFill>
          </w14:textFill>
        </w:rPr>
      </w:pPr>
      <w:r>
        <w:t>1 关</w:t>
      </w:r>
      <w:r>
        <w:rPr>
          <w:lang w:eastAsia="zh-Hans"/>
        </w:rPr>
        <w:t>联产业综合评价</w:t>
      </w:r>
      <w:r>
        <w:rPr>
          <w:rFonts w:hint="eastAsia"/>
          <w:lang w:eastAsia="zh-Hans"/>
        </w:rPr>
        <w:t>体系宜</w:t>
      </w:r>
      <w:r>
        <w:rPr>
          <w:lang w:eastAsia="zh-Hans"/>
        </w:rPr>
        <w:t>包括产业关联度、区域适配度、产业发展潜力三个维度，评价过程中三者权重占比分别为40%、30%和30%。</w:t>
      </w:r>
    </w:p>
    <w:p>
      <w:pPr>
        <w:ind w:firstLine="480" w:firstLineChars="200"/>
        <w:rPr>
          <w:lang w:eastAsia="zh-Hans"/>
        </w:rPr>
      </w:pPr>
      <w:r>
        <w:rPr>
          <w:rFonts w:hint="eastAsia"/>
        </w:rPr>
        <w:t>2</w:t>
      </w:r>
      <w:r>
        <w:rPr>
          <w:lang w:eastAsia="zh-Hans"/>
        </w:rPr>
        <w:t xml:space="preserve"> 根据各指标赋分与权重，</w:t>
      </w:r>
      <w:r>
        <w:t>宜</w:t>
      </w:r>
      <w:r>
        <w:rPr>
          <w:lang w:eastAsia="zh-Hans"/>
        </w:rPr>
        <w:t>采用百分制计算关联产业综合评价结果，评价等级分为</w:t>
      </w:r>
      <w:r>
        <w:t>A、B、C三个等级，对应得分分别为70（含）~100、40（含）~70、＜40。</w:t>
      </w:r>
    </w:p>
    <w:p>
      <w:pPr>
        <w:ind w:firstLine="480" w:firstLineChars="200"/>
        <w:sectPr>
          <w:headerReference w:type="default" r:id="rId38"/>
          <w:footerReference w:type="even" r:id="rId39"/>
          <w:footerReference w:type="default" r:id="rId40"/>
          <w:type w:val="nextPage"/>
          <w:pgSz w:w="11906" w:h="16838"/>
          <w:pgMar w:top="1440" w:right="1800" w:bottom="1440" w:left="1800" w:header="1417" w:footer="1134" w:gutter="0"/>
          <w:pgNumType w:start="11"/>
          <w:cols w:num="1" w:space="425"/>
          <w:titlePg w:val="0"/>
          <w:docGrid w:type="linesAndChars" w:linePitch="326" w:charSpace="0"/>
        </w:sectPr>
      </w:pPr>
      <w:r>
        <w:rPr>
          <w:rFonts w:hint="eastAsia"/>
        </w:rPr>
        <w:t>3</w:t>
      </w:r>
      <w:r>
        <w:t xml:space="preserve"> </w:t>
      </w:r>
      <w:r>
        <w:rPr>
          <w:rFonts w:hint="eastAsia"/>
        </w:rPr>
        <w:t>可</w:t>
      </w:r>
    </w:p>
    <w:p>
      <w:pPr>
        <w:ind w:firstLine="480" w:firstLineChars="200"/>
      </w:pPr>
      <w:r>
        <w:rPr>
          <w:lang w:eastAsia="zh-Hans"/>
        </w:rPr>
        <w:t>以评价等级作为判断关联产业契合度的重要参考标准，规划所选取关联产业项目在三个维度的评级</w:t>
      </w:r>
      <w:r>
        <w:rPr>
          <w:rFonts w:hint="eastAsia"/>
          <w:lang w:eastAsia="zh-Hans"/>
        </w:rPr>
        <w:t>均</w:t>
      </w:r>
      <w:r>
        <w:rPr>
          <w:lang w:eastAsia="zh-Hans"/>
        </w:rPr>
        <w:t>应在B级及以上。</w:t>
      </w:r>
    </w:p>
    <w:p>
      <w:pPr>
        <w:pStyle w:val="Heading2"/>
        <w:spacing w:before="326" w:after="326"/>
        <w:rPr>
          <w:rFonts w:cs="Times New Roman"/>
        </w:rPr>
      </w:pPr>
      <w:bookmarkStart w:id="145" w:name="_Toc154388598"/>
      <w:bookmarkStart w:id="146" w:name="_Toc144383577"/>
      <w:bookmarkStart w:id="147" w:name="_Toc129762774"/>
      <w:bookmarkStart w:id="148" w:name="_Toc152836109"/>
      <w:bookmarkStart w:id="149" w:name="_Toc153896183"/>
      <w:bookmarkStart w:id="150" w:name="_Toc154388546"/>
      <w:bookmarkStart w:id="151" w:name="_Toc148348624"/>
      <w:bookmarkStart w:id="152" w:name="_Toc153182633"/>
      <w:bookmarkStart w:id="153" w:name="_Toc154389058"/>
      <w:r>
        <w:rPr>
          <w:rFonts w:cs="Times New Roman"/>
        </w:rPr>
        <w:t>产业实施</w:t>
      </w:r>
      <w:bookmarkEnd w:id="145"/>
      <w:bookmarkEnd w:id="146"/>
      <w:bookmarkEnd w:id="147"/>
      <w:bookmarkEnd w:id="148"/>
      <w:bookmarkEnd w:id="149"/>
      <w:bookmarkEnd w:id="150"/>
      <w:bookmarkEnd w:id="151"/>
      <w:bookmarkEnd w:id="152"/>
      <w:bookmarkEnd w:id="153"/>
    </w:p>
    <w:p>
      <w:pPr>
        <w:pStyle w:val="20"/>
      </w:pPr>
      <w:r>
        <w:rPr>
          <w:rFonts w:hint="eastAsia"/>
        </w:rPr>
        <w:t>W</w:t>
      </w:r>
      <w:r>
        <w:t>EOD</w:t>
      </w:r>
      <w:r>
        <w:rPr>
          <w:rFonts w:hint="eastAsia"/>
        </w:rPr>
        <w:t>规划中</w:t>
      </w:r>
      <w:r>
        <w:t>关联产业项目实施宜采用主导产业、辅助产业和延伸产业相结合的方式。</w:t>
      </w:r>
    </w:p>
    <w:p>
      <w:pPr>
        <w:pStyle w:val="20"/>
      </w:pPr>
      <w:r>
        <w:rPr>
          <w:rFonts w:hint="eastAsia"/>
        </w:rPr>
        <w:t>W</w:t>
      </w:r>
      <w:r>
        <w:t>EOD</w:t>
      </w:r>
      <w:r>
        <w:rPr>
          <w:rFonts w:hint="eastAsia"/>
        </w:rPr>
        <w:t>规划中</w:t>
      </w:r>
      <w:r>
        <w:t>关联产业项目应与水生态环境保护项目一体化统筹推进实施</w:t>
      </w:r>
      <w:r>
        <w:rPr>
          <w:rFonts w:hint="eastAsia"/>
        </w:rPr>
        <w:t>；</w:t>
      </w:r>
    </w:p>
    <w:p>
      <w:pPr>
        <w:pStyle w:val="20"/>
      </w:pPr>
      <w:r>
        <w:t>可选择不同发展路径和运作方式，确保关联产业与水生态环境</w:t>
      </w:r>
      <w:r>
        <w:rPr>
          <w:rFonts w:hint="eastAsia"/>
        </w:rPr>
        <w:t>保护</w:t>
      </w:r>
      <w:r>
        <w:t>项目建设进度相互匹配，同时保障产业长期稳定运营和维护。</w:t>
      </w:r>
    </w:p>
    <w:p>
      <w:pPr>
        <w:rPr>
          <w:rFonts w:cs="Times New Roman"/>
        </w:rPr>
        <w:sectPr>
          <w:headerReference w:type="default" r:id="rId41"/>
          <w:footerReference w:type="even" r:id="rId42"/>
          <w:footerReference w:type="default" r:id="rId43"/>
          <w:type w:val="nextPage"/>
          <w:pgSz w:w="11906" w:h="16838"/>
          <w:pgMar w:top="1440" w:right="1800" w:bottom="1440" w:left="1800" w:header="1417" w:footer="1134" w:gutter="0"/>
          <w:pgNumType w:start="12"/>
          <w:cols w:num="1" w:space="425"/>
          <w:titlePg w:val="0"/>
          <w:docGrid w:type="linesAndChars" w:linePitch="326" w:charSpace="0"/>
        </w:sectPr>
      </w:pPr>
    </w:p>
    <w:p>
      <w:pPr>
        <w:pStyle w:val="Heading1"/>
        <w:rPr>
          <w:rFonts w:cs="Times New Roman"/>
          <w:color w:val="000000" w:themeColor="text1"/>
          <w14:textFill>
            <w14:solidFill>
              <w14:schemeClr w14:val="tx1"/>
            </w14:solidFill>
          </w14:textFill>
        </w:rPr>
      </w:pPr>
      <w:bookmarkStart w:id="154" w:name="_Toc148348626"/>
      <w:bookmarkStart w:id="155" w:name="_Toc153182634"/>
      <w:bookmarkStart w:id="156" w:name="_Toc153896184"/>
      <w:bookmarkStart w:id="157" w:name="_Toc152836110"/>
      <w:bookmarkStart w:id="158" w:name="_Toc154388547"/>
      <w:bookmarkStart w:id="159" w:name="_Toc154388599"/>
      <w:bookmarkStart w:id="160" w:name="_Toc154389059"/>
      <w:r>
        <w:rPr>
          <w:rFonts w:cs="Times New Roman"/>
          <w:color w:val="000000" w:themeColor="text1"/>
          <w14:textFill>
            <w14:solidFill>
              <w14:schemeClr w14:val="tx1"/>
            </w14:solidFill>
          </w14:textFill>
        </w:rPr>
        <w:t>技术经济分析</w:t>
      </w:r>
      <w:bookmarkEnd w:id="154"/>
      <w:bookmarkEnd w:id="155"/>
      <w:bookmarkEnd w:id="156"/>
      <w:bookmarkEnd w:id="157"/>
      <w:bookmarkEnd w:id="158"/>
      <w:bookmarkEnd w:id="159"/>
      <w:bookmarkEnd w:id="160"/>
    </w:p>
    <w:p>
      <w:pPr>
        <w:pStyle w:val="Heading2"/>
        <w:spacing w:before="326" w:after="326"/>
        <w:rPr>
          <w:rFonts w:cs="Times New Roman"/>
        </w:rPr>
      </w:pPr>
      <w:bookmarkStart w:id="161" w:name="_Toc153182635"/>
      <w:bookmarkStart w:id="162" w:name="_Toc154388548"/>
      <w:bookmarkStart w:id="163" w:name="_Toc153896185"/>
      <w:bookmarkStart w:id="164" w:name="_Toc145602564"/>
      <w:bookmarkStart w:id="165" w:name="_Toc144383579"/>
      <w:bookmarkStart w:id="166" w:name="_Toc152836111"/>
      <w:bookmarkStart w:id="167" w:name="_Toc154388600"/>
      <w:bookmarkStart w:id="168" w:name="_Toc154389060"/>
      <w:r>
        <w:rPr>
          <w:rFonts w:cs="Times New Roman"/>
        </w:rPr>
        <w:t>一般规定</w:t>
      </w:r>
      <w:bookmarkEnd w:id="161"/>
      <w:bookmarkEnd w:id="162"/>
      <w:bookmarkEnd w:id="163"/>
      <w:bookmarkEnd w:id="164"/>
      <w:bookmarkEnd w:id="165"/>
      <w:bookmarkEnd w:id="166"/>
      <w:bookmarkEnd w:id="167"/>
      <w:bookmarkEnd w:id="168"/>
    </w:p>
    <w:p>
      <w:pPr>
        <w:pStyle w:val="20"/>
        <w:rPr>
          <w:rFonts w:cs="Times New Roman"/>
        </w:rPr>
      </w:pPr>
      <w:r>
        <w:rPr>
          <w:rFonts w:cs="Times New Roman" w:hint="eastAsia"/>
        </w:rPr>
        <w:t>W</w:t>
      </w:r>
      <w:r>
        <w:rPr>
          <w:rFonts w:cs="Times New Roman"/>
        </w:rPr>
        <w:t>EOD</w:t>
      </w:r>
      <w:r>
        <w:rPr>
          <w:rFonts w:cs="Times New Roman" w:hint="eastAsia"/>
        </w:rPr>
        <w:t>规划</w:t>
      </w:r>
      <w:r>
        <w:rPr>
          <w:rFonts w:cs="Times New Roman"/>
        </w:rPr>
        <w:t>技术经济分析</w:t>
      </w:r>
      <w:r>
        <w:rPr>
          <w:rFonts w:cs="Times New Roman" w:hint="eastAsia"/>
        </w:rPr>
        <w:t>应</w:t>
      </w:r>
      <w:r>
        <w:rPr>
          <w:rFonts w:cs="Times New Roman"/>
          <w:bCs/>
        </w:rPr>
        <w:t>明确</w:t>
      </w:r>
      <w:r>
        <w:rPr>
          <w:rFonts w:cs="Times New Roman" w:hint="eastAsia"/>
          <w:bCs/>
        </w:rPr>
        <w:t>总投资</w:t>
      </w:r>
      <w:r>
        <w:rPr>
          <w:rFonts w:cs="Times New Roman"/>
          <w:bCs/>
        </w:rPr>
        <w:t>、资金筹措及落实情况</w:t>
      </w:r>
      <w:r>
        <w:rPr>
          <w:rFonts w:cs="Times New Roman" w:hint="eastAsia"/>
          <w:bCs/>
        </w:rPr>
        <w:t>，</w:t>
      </w:r>
      <w:r>
        <w:rPr>
          <w:rFonts w:cs="Times New Roman"/>
        </w:rPr>
        <w:t>测算项目</w:t>
      </w:r>
      <w:r>
        <w:rPr>
          <w:rFonts w:cs="Times New Roman" w:hint="eastAsia"/>
        </w:rPr>
        <w:t>成本及</w:t>
      </w:r>
      <w:r>
        <w:rPr>
          <w:rFonts w:cs="Times New Roman"/>
        </w:rPr>
        <w:t>预期收益，分析项目盈利能力、偿债能力与生存能力。</w:t>
      </w:r>
    </w:p>
    <w:p>
      <w:pPr>
        <w:pStyle w:val="20"/>
        <w:rPr>
          <w:rFonts w:cs="Times New Roman"/>
        </w:rPr>
      </w:pPr>
      <w:r>
        <w:rPr>
          <w:rFonts w:cs="Times New Roman" w:hint="eastAsia"/>
        </w:rPr>
        <w:t>技术经济分析</w:t>
      </w:r>
      <w:r>
        <w:rPr>
          <w:rFonts w:cs="Times New Roman"/>
        </w:rPr>
        <w:t>计算期</w:t>
      </w:r>
      <w:r>
        <w:rPr>
          <w:rFonts w:cs="Times New Roman" w:hint="eastAsia"/>
        </w:rPr>
        <w:t>应</w:t>
      </w:r>
      <w:r>
        <w:rPr>
          <w:rFonts w:cs="Times New Roman"/>
        </w:rPr>
        <w:t>包括建设期与运营期。</w:t>
      </w:r>
    </w:p>
    <w:p>
      <w:pPr>
        <w:pStyle w:val="20"/>
        <w:rPr>
          <w:rFonts w:cs="Times New Roman"/>
        </w:rPr>
      </w:pPr>
      <w:r>
        <w:rPr>
          <w:rFonts w:cs="Times New Roman" w:hint="eastAsia"/>
        </w:rPr>
        <w:t>W</w:t>
      </w:r>
      <w:r>
        <w:rPr>
          <w:rFonts w:cs="Times New Roman"/>
        </w:rPr>
        <w:t>EOD</w:t>
      </w:r>
      <w:r>
        <w:rPr>
          <w:rFonts w:cs="Times New Roman" w:hint="eastAsia"/>
        </w:rPr>
        <w:t>规划子项目数量不宜超过5个。</w:t>
      </w:r>
    </w:p>
    <w:p>
      <w:pPr>
        <w:pStyle w:val="20"/>
        <w:rPr>
          <w:rFonts w:cs="Times New Roman"/>
        </w:rPr>
      </w:pPr>
      <w:r>
        <w:rPr>
          <w:rFonts w:cs="Times New Roman" w:hint="eastAsia"/>
        </w:rPr>
        <w:t>W</w:t>
      </w:r>
      <w:r>
        <w:rPr>
          <w:rFonts w:cs="Times New Roman"/>
        </w:rPr>
        <w:t>EOD</w:t>
      </w:r>
      <w:r>
        <w:rPr>
          <w:rFonts w:cs="Times New Roman" w:hint="eastAsia"/>
        </w:rPr>
        <w:t>规划项目收益率不宜低于8%。</w:t>
      </w:r>
    </w:p>
    <w:p>
      <w:pPr>
        <w:pStyle w:val="20"/>
        <w:rPr>
          <w:rFonts w:cs="Times New Roman"/>
        </w:rPr>
      </w:pPr>
      <w:r>
        <w:rPr>
          <w:rFonts w:cs="Times New Roman" w:hint="eastAsia"/>
        </w:rPr>
        <w:t>W</w:t>
      </w:r>
      <w:r>
        <w:rPr>
          <w:rFonts w:cs="Times New Roman"/>
        </w:rPr>
        <w:t>EOD</w:t>
      </w:r>
      <w:r>
        <w:rPr>
          <w:rFonts w:cs="Times New Roman" w:hint="eastAsia"/>
        </w:rPr>
        <w:t>规划项目资本金占总投资比例不应低于20%。</w:t>
      </w:r>
    </w:p>
    <w:p>
      <w:pPr>
        <w:pStyle w:val="20"/>
        <w:rPr>
          <w:rFonts w:cs="Times New Roman"/>
          <w:bCs/>
        </w:rPr>
      </w:pPr>
      <w:bookmarkStart w:id="169" w:name="_Toc145602565"/>
      <w:bookmarkStart w:id="170" w:name="_Toc152836112"/>
      <w:r>
        <w:rPr>
          <w:rFonts w:cs="Times New Roman"/>
          <w:bCs/>
        </w:rPr>
        <w:t>可根据</w:t>
      </w:r>
      <w:r>
        <w:rPr>
          <w:rFonts w:cs="Times New Roman" w:hint="eastAsia"/>
          <w:bCs/>
        </w:rPr>
        <w:t>技术经济分析结果</w:t>
      </w:r>
      <w:r>
        <w:rPr>
          <w:rFonts w:cs="Times New Roman"/>
          <w:bCs/>
        </w:rPr>
        <w:t>，适当优化调整项目边界范围</w:t>
      </w:r>
      <w:r>
        <w:rPr>
          <w:rFonts w:cs="Times New Roman" w:hint="eastAsia"/>
          <w:bCs/>
        </w:rPr>
        <w:t>与</w:t>
      </w:r>
      <w:r>
        <w:rPr>
          <w:rFonts w:cs="Times New Roman"/>
          <w:bCs/>
        </w:rPr>
        <w:t>建设内容</w:t>
      </w:r>
      <w:r>
        <w:rPr>
          <w:rFonts w:cs="Times New Roman" w:hint="eastAsia"/>
          <w:bCs/>
        </w:rPr>
        <w:t>等</w:t>
      </w:r>
      <w:r>
        <w:rPr>
          <w:rFonts w:cs="Times New Roman"/>
          <w:bCs/>
        </w:rPr>
        <w:t>。</w:t>
      </w:r>
    </w:p>
    <w:p>
      <w:pPr>
        <w:pStyle w:val="Heading2"/>
        <w:spacing w:before="326" w:after="326"/>
        <w:rPr>
          <w:rFonts w:cs="Times New Roman"/>
        </w:rPr>
      </w:pPr>
      <w:bookmarkStart w:id="171" w:name="_Toc154388601"/>
      <w:bookmarkStart w:id="172" w:name="_Toc153896186"/>
      <w:bookmarkStart w:id="173" w:name="_Toc154389061"/>
      <w:bookmarkStart w:id="174" w:name="_Toc153182636"/>
      <w:bookmarkStart w:id="175" w:name="_Toc154388549"/>
      <w:r>
        <w:rPr>
          <w:rFonts w:cs="Times New Roman"/>
        </w:rPr>
        <w:t>投资估算</w:t>
      </w:r>
      <w:bookmarkEnd w:id="169"/>
      <w:bookmarkEnd w:id="170"/>
      <w:bookmarkEnd w:id="171"/>
      <w:bookmarkEnd w:id="172"/>
      <w:bookmarkEnd w:id="173"/>
      <w:bookmarkEnd w:id="174"/>
      <w:bookmarkEnd w:id="175"/>
    </w:p>
    <w:p>
      <w:pPr>
        <w:pStyle w:val="20"/>
        <w:rPr>
          <w:rFonts w:cs="Times New Roman"/>
        </w:rPr>
      </w:pPr>
      <w:r>
        <w:rPr>
          <w:rFonts w:cs="Times New Roman"/>
        </w:rPr>
        <w:t>规划总投资是建设投资、建设期利息、其他融资费用、流动资金的总和。</w:t>
      </w:r>
    </w:p>
    <w:p>
      <w:pPr>
        <w:pStyle w:val="20"/>
        <w:rPr>
          <w:rFonts w:cs="Times New Roman"/>
        </w:rPr>
      </w:pPr>
      <w:r>
        <w:rPr>
          <w:rFonts w:cs="Times New Roman" w:hint="eastAsia"/>
        </w:rPr>
        <w:t>规划总</w:t>
      </w:r>
      <w:r>
        <w:rPr>
          <w:rFonts w:cs="Times New Roman"/>
        </w:rPr>
        <w:t>投资估算应反映行业和项目特点，符合依据明确、价格合理、方法适宜、表格清晰的要求。</w:t>
      </w:r>
    </w:p>
    <w:p>
      <w:pPr>
        <w:pStyle w:val="20"/>
        <w:rPr>
          <w:rFonts w:cs="Times New Roman"/>
        </w:rPr>
      </w:pPr>
      <w:r>
        <w:rPr>
          <w:rFonts w:cs="Times New Roman" w:hint="eastAsia"/>
        </w:rPr>
        <w:t>规划总</w:t>
      </w:r>
      <w:r>
        <w:rPr>
          <w:rFonts w:cs="Times New Roman"/>
        </w:rPr>
        <w:t>投资估算依据</w:t>
      </w:r>
      <w:r>
        <w:rPr>
          <w:rFonts w:cs="Times New Roman" w:hint="eastAsia"/>
        </w:rPr>
        <w:t>文件宜</w:t>
      </w:r>
      <w:r>
        <w:rPr>
          <w:rFonts w:cs="Times New Roman"/>
        </w:rPr>
        <w:t>包括</w:t>
      </w:r>
      <w:r>
        <w:rPr>
          <w:rFonts w:cs="Times New Roman" w:hint="eastAsia"/>
        </w:rPr>
        <w:t>下列内容：</w:t>
      </w:r>
    </w:p>
    <w:p>
      <w:pPr>
        <w:ind w:firstLine="480" w:firstLineChars="200"/>
        <w:rPr>
          <w:rFonts w:cs="Times New Roman"/>
        </w:rPr>
      </w:pPr>
      <w:r>
        <w:rPr>
          <w:rFonts w:cs="Times New Roman"/>
        </w:rPr>
        <w:t>1 规划项目建设内容；</w:t>
      </w:r>
    </w:p>
    <w:p>
      <w:pPr>
        <w:ind w:firstLine="480" w:firstLineChars="200"/>
        <w:rPr>
          <w:rFonts w:cs="Times New Roman"/>
        </w:rPr>
      </w:pPr>
      <w:r>
        <w:rPr>
          <w:rFonts w:cs="Times New Roman"/>
        </w:rPr>
        <w:t>2 国家和地方有关工程造价文件</w:t>
      </w:r>
      <w:r>
        <w:rPr>
          <w:rFonts w:cs="Times New Roman" w:hint="eastAsia"/>
        </w:rPr>
        <w:t>；</w:t>
      </w:r>
    </w:p>
    <w:p>
      <w:pPr>
        <w:ind w:firstLine="480" w:firstLineChars="200"/>
        <w:rPr>
          <w:rFonts w:cs="Times New Roman"/>
        </w:rPr>
      </w:pPr>
      <w:r>
        <w:rPr>
          <w:rFonts w:cs="Times New Roman"/>
        </w:rPr>
        <w:t>3 项目所在地建设项目现行有关定额指标；</w:t>
      </w:r>
    </w:p>
    <w:p>
      <w:pPr>
        <w:ind w:firstLine="480" w:firstLineChars="200"/>
        <w:rPr>
          <w:rFonts w:cs="Times New Roman"/>
        </w:rPr>
      </w:pPr>
      <w:r>
        <w:rPr>
          <w:rFonts w:cs="Times New Roman"/>
        </w:rPr>
        <w:t>4 项目所在地同类工程项目技术经济指标</w:t>
      </w:r>
      <w:r>
        <w:rPr>
          <w:rFonts w:cs="Times New Roman" w:hint="eastAsia"/>
        </w:rPr>
        <w:t>。</w:t>
      </w:r>
    </w:p>
    <w:p>
      <w:pPr>
        <w:pStyle w:val="20"/>
        <w:rPr>
          <w:rFonts w:cs="Times New Roman"/>
        </w:rPr>
      </w:pPr>
      <w:r>
        <w:rPr>
          <w:rFonts w:cs="Times New Roman" w:hint="eastAsia"/>
        </w:rPr>
        <w:t>地市级及以上政府作为申报主体和实施主体的W</w:t>
      </w:r>
      <w:r>
        <w:rPr>
          <w:rFonts w:cs="Times New Roman"/>
        </w:rPr>
        <w:t>EOD</w:t>
      </w:r>
      <w:r>
        <w:rPr>
          <w:rFonts w:cs="Times New Roman" w:hint="eastAsia"/>
        </w:rPr>
        <w:t>项目规划总投资不宜高于50亿元；区县级政府作为申报和实施主体的W</w:t>
      </w:r>
      <w:r>
        <w:rPr>
          <w:rFonts w:cs="Times New Roman"/>
        </w:rPr>
        <w:t>EOD</w:t>
      </w:r>
      <w:r>
        <w:rPr>
          <w:rFonts w:cs="Times New Roman" w:hint="eastAsia"/>
        </w:rPr>
        <w:t>项目规划总投资不宜高于30亿元。</w:t>
      </w:r>
    </w:p>
    <w:p>
      <w:pPr>
        <w:pStyle w:val="20"/>
        <w:rPr>
          <w:rFonts w:cs="Times New Roman"/>
        </w:rPr>
        <w:sectPr>
          <w:headerReference w:type="default" r:id="rId44"/>
          <w:footerReference w:type="even" r:id="rId45"/>
          <w:footerReference w:type="default" r:id="rId46"/>
          <w:pgSz w:w="11906" w:h="16838"/>
          <w:pgMar w:top="1440" w:right="1800" w:bottom="1440" w:left="1800" w:header="1417" w:footer="1134" w:gutter="0"/>
          <w:pgNumType w:start="13"/>
          <w:cols w:num="1" w:space="425"/>
          <w:docGrid w:type="linesAndChars" w:linePitch="326" w:charSpace="0"/>
        </w:sectPr>
      </w:pPr>
      <w:r>
        <w:rPr>
          <w:rFonts w:cs="Times New Roman" w:hint="eastAsia"/>
        </w:rPr>
        <w:t>W</w:t>
      </w:r>
      <w:r>
        <w:rPr>
          <w:rFonts w:cs="Times New Roman"/>
        </w:rPr>
        <w:t>EOD</w:t>
      </w:r>
      <w:r>
        <w:rPr>
          <w:rFonts w:cs="Times New Roman" w:hint="eastAsia"/>
        </w:rPr>
        <w:t>规划中水生态环境保护项目投资占总投资比例不宜低于15%。</w:t>
      </w:r>
    </w:p>
    <w:p>
      <w:pPr>
        <w:pStyle w:val="Heading2"/>
        <w:spacing w:before="326" w:after="326"/>
        <w:rPr>
          <w:rFonts w:cs="Times New Roman"/>
        </w:rPr>
      </w:pPr>
      <w:bookmarkStart w:id="176" w:name="_Toc153896187"/>
      <w:bookmarkStart w:id="177" w:name="_Toc154388550"/>
      <w:bookmarkStart w:id="178" w:name="_Toc154388602"/>
      <w:bookmarkStart w:id="179" w:name="_Toc152836113"/>
      <w:bookmarkStart w:id="180" w:name="_Toc145602566"/>
      <w:bookmarkStart w:id="181" w:name="_Toc153182637"/>
      <w:bookmarkStart w:id="182" w:name="_Toc154389062"/>
      <w:r>
        <w:rPr>
          <w:rFonts w:cs="Times New Roman"/>
        </w:rPr>
        <w:t>财务分析</w:t>
      </w:r>
      <w:bookmarkEnd w:id="176"/>
      <w:bookmarkEnd w:id="177"/>
      <w:bookmarkEnd w:id="178"/>
      <w:bookmarkEnd w:id="179"/>
      <w:bookmarkEnd w:id="180"/>
      <w:bookmarkEnd w:id="181"/>
      <w:bookmarkEnd w:id="182"/>
    </w:p>
    <w:p>
      <w:pPr>
        <w:pStyle w:val="20"/>
        <w:rPr>
          <w:rFonts w:cs="Times New Roman"/>
        </w:rPr>
      </w:pPr>
      <w:r>
        <w:rPr>
          <w:rFonts w:cs="Times New Roman" w:hint="eastAsia"/>
        </w:rPr>
        <w:t>W</w:t>
      </w:r>
      <w:r>
        <w:rPr>
          <w:rFonts w:cs="Times New Roman"/>
        </w:rPr>
        <w:t>EOD</w:t>
      </w:r>
      <w:r>
        <w:rPr>
          <w:rFonts w:cs="Times New Roman" w:hint="eastAsia"/>
        </w:rPr>
        <w:t>规划</w:t>
      </w:r>
      <w:r>
        <w:rPr>
          <w:rFonts w:cs="Times New Roman"/>
        </w:rPr>
        <w:t>财务分析</w:t>
      </w:r>
      <w:r>
        <w:rPr>
          <w:rFonts w:cs="Times New Roman" w:hint="eastAsia"/>
        </w:rPr>
        <w:t>应编制财务分析报表和计算财务分析指标，</w:t>
      </w:r>
      <w:r>
        <w:rPr>
          <w:rFonts w:cs="Times New Roman"/>
        </w:rPr>
        <w:t>包括盈利能力分析、偿债能力分析、财务生存能力分析</w:t>
      </w:r>
      <w:r>
        <w:rPr>
          <w:rFonts w:cs="Times New Roman" w:hint="eastAsia"/>
        </w:rPr>
        <w:t>，并给出</w:t>
      </w:r>
      <w:r>
        <w:rPr>
          <w:rFonts w:cs="Times New Roman"/>
        </w:rPr>
        <w:t>项目财务分析结论。</w:t>
      </w:r>
    </w:p>
    <w:p>
      <w:pPr>
        <w:pStyle w:val="20"/>
        <w:rPr>
          <w:rFonts w:cs="Times New Roman"/>
        </w:rPr>
      </w:pPr>
      <w:r>
        <w:rPr>
          <w:rFonts w:cs="Times New Roman"/>
        </w:rPr>
        <w:t>财务分析报表应包括总成本费用估算表、利润及利润分配表、现金流量表、资产负债表和借款还本付息计划表。</w:t>
      </w:r>
    </w:p>
    <w:p>
      <w:pPr>
        <w:pStyle w:val="20"/>
        <w:rPr>
          <w:rFonts w:cs="Times New Roman"/>
        </w:rPr>
      </w:pPr>
      <w:bookmarkStart w:id="183" w:name="_Hlk153895656"/>
      <w:r>
        <w:t>盈利能力分析主要评价指标应包括投资回收期、投资利润率、资本金利润率及财务内部收益率</w:t>
      </w:r>
      <w:r>
        <w:rPr>
          <w:rFonts w:hint="eastAsia"/>
        </w:rPr>
        <w:t>，</w:t>
      </w:r>
      <w:r>
        <w:rPr>
          <w:rFonts w:cs="Times New Roman" w:hint="eastAsia"/>
        </w:rPr>
        <w:t>测算方法可参考《建设项目经济评价方法与参数（第三版）》。</w:t>
      </w:r>
    </w:p>
    <w:p>
      <w:pPr>
        <w:pStyle w:val="20"/>
        <w:rPr>
          <w:rFonts w:cs="Times New Roman"/>
        </w:rPr>
      </w:pPr>
      <w:r>
        <w:t>偿债能力分析主要评价指标应包括资产负债率、利息备付率、偿债备付率、流动比率</w:t>
      </w:r>
      <w:r>
        <w:rPr>
          <w:rFonts w:hint="eastAsia"/>
        </w:rPr>
        <w:t>，</w:t>
      </w:r>
      <w:r>
        <w:rPr>
          <w:rFonts w:cs="Times New Roman" w:hint="eastAsia"/>
        </w:rPr>
        <w:t>测算方法可参考《建设项目经济评价方法与参数（第三版）》。</w:t>
      </w:r>
    </w:p>
    <w:p>
      <w:pPr>
        <w:pStyle w:val="20"/>
        <w:rPr>
          <w:rFonts w:cs="Times New Roman"/>
        </w:rPr>
      </w:pPr>
      <w:r>
        <w:t>财务生存能力分析主要评价指标应包括净现金流量和累计盈余资金，确保项目有足够的净现金流维持正常运营，且各年累计盈余资金不出现负值</w:t>
      </w:r>
      <w:r>
        <w:rPr>
          <w:rFonts w:hint="eastAsia"/>
        </w:rPr>
        <w:t>，</w:t>
      </w:r>
      <w:r>
        <w:rPr>
          <w:rFonts w:cs="Times New Roman" w:hint="eastAsia"/>
        </w:rPr>
        <w:t>测算方法可参考</w:t>
      </w:r>
      <w:bookmarkStart w:id="184" w:name="_Hlk153180832"/>
      <w:r>
        <w:rPr>
          <w:rFonts w:cs="Times New Roman" w:hint="eastAsia"/>
        </w:rPr>
        <w:t>《建设项目经济评价方法与参数（第三版）》</w:t>
      </w:r>
      <w:bookmarkEnd w:id="184"/>
      <w:r>
        <w:rPr>
          <w:rFonts w:cs="Times New Roman" w:hint="eastAsia"/>
        </w:rPr>
        <w:t>。</w:t>
      </w:r>
    </w:p>
    <w:bookmarkEnd w:id="183"/>
    <w:p>
      <w:pPr>
        <w:pStyle w:val="Heading2"/>
        <w:spacing w:before="326" w:after="326"/>
        <w:rPr>
          <w:rFonts w:cs="Times New Roman"/>
        </w:rPr>
      </w:pPr>
      <w:bookmarkStart w:id="185" w:name="_Toc154388603"/>
      <w:bookmarkStart w:id="186" w:name="_Toc145602567"/>
      <w:bookmarkStart w:id="187" w:name="_Toc152836114"/>
      <w:bookmarkStart w:id="188" w:name="_Toc154388551"/>
      <w:bookmarkStart w:id="189" w:name="_Toc154389063"/>
      <w:bookmarkStart w:id="190" w:name="_Toc153182638"/>
      <w:bookmarkStart w:id="191" w:name="_Toc153896188"/>
      <w:r>
        <w:rPr>
          <w:rFonts w:cs="Times New Roman"/>
        </w:rPr>
        <w:t>效益分析</w:t>
      </w:r>
      <w:bookmarkEnd w:id="185"/>
      <w:bookmarkEnd w:id="186"/>
      <w:bookmarkEnd w:id="187"/>
      <w:bookmarkEnd w:id="188"/>
      <w:bookmarkEnd w:id="189"/>
      <w:bookmarkEnd w:id="190"/>
      <w:bookmarkEnd w:id="191"/>
    </w:p>
    <w:p>
      <w:pPr>
        <w:pStyle w:val="20"/>
        <w:rPr>
          <w:rFonts w:cs="Times New Roman"/>
        </w:rPr>
      </w:pPr>
      <w:r>
        <w:rPr>
          <w:rFonts w:cs="Times New Roman" w:hint="eastAsia"/>
        </w:rPr>
        <w:t>W</w:t>
      </w:r>
      <w:r>
        <w:rPr>
          <w:rFonts w:cs="Times New Roman"/>
        </w:rPr>
        <w:t>EOD</w:t>
      </w:r>
      <w:r>
        <w:rPr>
          <w:rFonts w:cs="Times New Roman" w:hint="eastAsia"/>
        </w:rPr>
        <w:t>规划</w:t>
      </w:r>
      <w:r>
        <w:rPr>
          <w:rFonts w:cs="Times New Roman"/>
        </w:rPr>
        <w:t>效益评价应包括生态效益、社会效益、经济效益。</w:t>
      </w:r>
    </w:p>
    <w:p>
      <w:pPr>
        <w:pStyle w:val="20"/>
        <w:rPr>
          <w:rFonts w:cs="Times New Roman"/>
        </w:rPr>
      </w:pPr>
      <w:r>
        <w:rPr>
          <w:rFonts w:cs="Times New Roman"/>
        </w:rPr>
        <w:t>生态效益</w:t>
      </w:r>
      <w:r>
        <w:rPr>
          <w:rFonts w:cs="Times New Roman" w:hint="eastAsia"/>
        </w:rPr>
        <w:t>宜</w:t>
      </w:r>
      <w:r>
        <w:rPr>
          <w:rFonts w:cs="Times New Roman"/>
        </w:rPr>
        <w:t>分析评价规划实施对水生态功能和自然环境产生的影响或作用，包括生态资产和生态系统服务功能变化，如调节气候、涵养水源、保持水土、减少地表径流、缓减洪峰等生态功能，及生态环境改善、生物多样性保护、自然景观维护等方面定量或定性的评价，不利影响应提出对策。</w:t>
      </w:r>
    </w:p>
    <w:p>
      <w:pPr>
        <w:pStyle w:val="20"/>
        <w:rPr>
          <w:rFonts w:cs="Times New Roman"/>
        </w:rPr>
      </w:pPr>
      <w:r>
        <w:rPr>
          <w:rFonts w:cs="Times New Roman"/>
        </w:rPr>
        <w:t>社会效益</w:t>
      </w:r>
      <w:r>
        <w:rPr>
          <w:rFonts w:cs="Times New Roman" w:hint="eastAsia"/>
        </w:rPr>
        <w:t>宜</w:t>
      </w:r>
      <w:r>
        <w:rPr>
          <w:rFonts w:cs="Times New Roman"/>
        </w:rPr>
        <w:t>分析评价规划实施对提高社会公众环境保护意识，增加科学研究、科普教育的机会，改善当地人民生产、生活方式与条件，促进文化产业健康发展，保障当地经济社会可持续发展等方面可能产生的影响或效益</w:t>
      </w:r>
      <w:r>
        <w:rPr>
          <w:rFonts w:cs="Times New Roman" w:hint="eastAsia"/>
        </w:rPr>
        <w:t>，</w:t>
      </w:r>
      <w:r>
        <w:rPr>
          <w:rFonts w:cs="Times New Roman"/>
        </w:rPr>
        <w:t>可采取定性与定量相结合方法，以定性描述为主，不利影响应提出对策。</w:t>
      </w:r>
    </w:p>
    <w:p>
      <w:pPr>
        <w:pStyle w:val="20"/>
        <w:rPr>
          <w:rFonts w:cs="Times New Roman"/>
        </w:rPr>
      </w:pPr>
      <w:r>
        <w:rPr>
          <w:rFonts w:cs="Times New Roman"/>
        </w:rPr>
        <w:t>经济效益方面</w:t>
      </w:r>
      <w:r>
        <w:rPr>
          <w:rFonts w:cs="Times New Roman" w:hint="eastAsia"/>
        </w:rPr>
        <w:t>宜</w:t>
      </w:r>
      <w:r>
        <w:rPr>
          <w:rFonts w:cs="Times New Roman"/>
        </w:rPr>
        <w:t>分析评价规划实施后水生态系统供给服务变化，关联产业项目生产经营收益和提供服务收益等，经营性项目应进行经济效益分析评价。</w:t>
      </w:r>
    </w:p>
    <w:p>
      <w:pPr>
        <w:sectPr>
          <w:headerReference w:type="default" r:id="rId47"/>
          <w:footerReference w:type="even" r:id="rId48"/>
          <w:footerReference w:type="default" r:id="rId49"/>
          <w:type w:val="nextPage"/>
          <w:pgSz w:w="11906" w:h="16838"/>
          <w:pgMar w:top="1440" w:right="1800" w:bottom="1440" w:left="1800" w:header="1417" w:footer="1134" w:gutter="0"/>
          <w:pgNumType w:start="14"/>
          <w:cols w:num="1" w:space="425"/>
          <w:titlePg w:val="0"/>
          <w:docGrid w:type="linesAndChars" w:linePitch="326" w:charSpace="0"/>
        </w:sectPr>
      </w:pPr>
    </w:p>
    <w:p>
      <w:pPr>
        <w:pStyle w:val="Heading1"/>
        <w:numPr>
          <w:ilvl w:val="0"/>
          <w:numId w:val="0"/>
        </w:numPr>
        <w:rPr>
          <w:rFonts w:cs="Times New Roman"/>
          <w:color w:val="000000" w:themeColor="text1"/>
          <w14:textFill>
            <w14:solidFill>
              <w14:schemeClr w14:val="tx1"/>
            </w14:solidFill>
          </w14:textFill>
        </w:rPr>
      </w:pPr>
      <w:bookmarkStart w:id="192" w:name="_Toc152836115"/>
      <w:bookmarkStart w:id="193" w:name="_Toc153896189"/>
      <w:bookmarkStart w:id="194" w:name="_Toc154389064"/>
      <w:bookmarkStart w:id="195" w:name="_Toc153182639"/>
      <w:bookmarkStart w:id="196" w:name="_Toc154388604"/>
      <w:bookmarkStart w:id="197" w:name="_Toc154388552"/>
      <w:r>
        <w:rPr>
          <w:rFonts w:cs="Times New Roman" w:hint="eastAsia"/>
          <w:color w:val="000000" w:themeColor="text1"/>
          <w14:textFill>
            <w14:solidFill>
              <w14:schemeClr w14:val="tx1"/>
            </w14:solidFill>
          </w14:textFill>
        </w:rPr>
        <w:t>附录A 水生态环境导向开发工程项目规划大纲</w:t>
      </w:r>
      <w:bookmarkEnd w:id="192"/>
      <w:bookmarkEnd w:id="193"/>
      <w:bookmarkEnd w:id="194"/>
      <w:bookmarkEnd w:id="195"/>
      <w:bookmarkEnd w:id="196"/>
      <w:bookmarkEnd w:id="197"/>
    </w:p>
    <w:p>
      <w:pPr>
        <w:ind w:firstLine="480" w:firstLineChars="200"/>
        <w:rPr>
          <w:b/>
          <w:bCs/>
        </w:rPr>
      </w:pPr>
      <w:r>
        <w:rPr>
          <w:rFonts w:hint="eastAsia"/>
          <w:b/>
          <w:bCs/>
        </w:rPr>
        <w:t>前言</w:t>
      </w:r>
    </w:p>
    <w:p>
      <w:pPr>
        <w:ind w:firstLine="480" w:firstLineChars="200"/>
        <w:rPr>
          <w:b/>
          <w:bCs/>
        </w:rPr>
      </w:pPr>
      <w:r>
        <w:rPr>
          <w:rFonts w:hint="eastAsia"/>
          <w:b/>
          <w:bCs/>
        </w:rPr>
        <w:t>第一章 总则</w:t>
      </w:r>
    </w:p>
    <w:p>
      <w:pPr>
        <w:ind w:firstLine="480" w:firstLineChars="200"/>
      </w:pPr>
      <w:r>
        <w:rPr>
          <w:rFonts w:hint="eastAsia"/>
        </w:rPr>
        <w:t>简述规划范围、指导思想、规划原则、规划目标、建设内容与投资估算等。</w:t>
      </w:r>
    </w:p>
    <w:p>
      <w:pPr>
        <w:ind w:firstLine="480" w:firstLineChars="200"/>
        <w:rPr>
          <w:b/>
          <w:bCs/>
        </w:rPr>
      </w:pPr>
      <w:r>
        <w:rPr>
          <w:rFonts w:hint="eastAsia"/>
          <w:b/>
          <w:bCs/>
        </w:rPr>
        <w:t>第二章 现状分析与评价</w:t>
      </w:r>
    </w:p>
    <w:p>
      <w:pPr>
        <w:ind w:firstLine="480" w:firstLineChars="200"/>
      </w:pPr>
      <w:r>
        <w:rPr>
          <w:rFonts w:hint="eastAsia"/>
        </w:rPr>
        <w:t>重点分析项目规划区域的自然资源条件、经济社会发展概况等，明确规划区域水生态环境保护现状与突出问题、关联产业发展基础与现状等。</w:t>
      </w:r>
    </w:p>
    <w:p>
      <w:pPr>
        <w:ind w:firstLine="480" w:firstLineChars="200"/>
        <w:rPr>
          <w:b/>
          <w:bCs/>
        </w:rPr>
      </w:pPr>
      <w:r>
        <w:rPr>
          <w:rFonts w:hint="eastAsia"/>
          <w:b/>
          <w:bCs/>
        </w:rPr>
        <w:t>第三章 总体要求</w:t>
      </w:r>
    </w:p>
    <w:p>
      <w:pPr>
        <w:ind w:firstLine="480" w:firstLineChars="200"/>
      </w:pPr>
      <w:r>
        <w:rPr>
          <w:rFonts w:hint="eastAsia"/>
        </w:rPr>
        <w:t>提出生态环境保护与产业融合发展思路、技术路线与主要规划目标，实施前后生态环境质量改善定量、定性目标。</w:t>
      </w:r>
    </w:p>
    <w:p>
      <w:pPr>
        <w:ind w:firstLine="480" w:firstLineChars="200"/>
        <w:rPr>
          <w:b/>
          <w:bCs/>
        </w:rPr>
      </w:pPr>
      <w:r>
        <w:rPr>
          <w:rFonts w:hint="eastAsia"/>
          <w:b/>
          <w:bCs/>
        </w:rPr>
        <w:t>第四章 水生态环境保护规划</w:t>
      </w:r>
    </w:p>
    <w:p>
      <w:pPr>
        <w:ind w:firstLine="480" w:firstLineChars="200"/>
      </w:pPr>
      <w:r>
        <w:rPr>
          <w:rFonts w:hint="eastAsia"/>
        </w:rPr>
        <w:t>明确水生态环境保护项目规模布局、主要建设内容、功能目标、工程措施、要素保障、效益分析及目标可达性分析等，确保水生态工程实施后能达到前期确定的水生态环境指标。</w:t>
      </w:r>
    </w:p>
    <w:p>
      <w:pPr>
        <w:ind w:firstLine="480" w:firstLineChars="200"/>
        <w:rPr>
          <w:b/>
          <w:bCs/>
        </w:rPr>
      </w:pPr>
      <w:r>
        <w:rPr>
          <w:rFonts w:hint="eastAsia"/>
          <w:b/>
          <w:bCs/>
        </w:rPr>
        <w:t>第五章 关联产业规划</w:t>
      </w:r>
    </w:p>
    <w:p>
      <w:pPr>
        <w:ind w:firstLine="480" w:firstLineChars="200"/>
      </w:pPr>
      <w:r>
        <w:rPr>
          <w:rFonts w:hint="eastAsia"/>
        </w:rPr>
        <w:t>明确产业与水生态环境保护项目之间的关联关系，明确关联产业开发基础、建设与运营方案、工程措施等。</w:t>
      </w:r>
    </w:p>
    <w:p>
      <w:pPr>
        <w:ind w:firstLine="480" w:firstLineChars="200"/>
        <w:rPr>
          <w:b/>
          <w:bCs/>
        </w:rPr>
      </w:pPr>
      <w:r>
        <w:rPr>
          <w:rFonts w:hint="eastAsia"/>
          <w:b/>
          <w:bCs/>
        </w:rPr>
        <w:t>第六章 项目组织实施及投资安排</w:t>
      </w:r>
    </w:p>
    <w:p>
      <w:pPr>
        <w:ind w:firstLine="480" w:firstLineChars="200"/>
      </w:pPr>
      <w:r>
        <w:rPr>
          <w:rFonts w:hint="eastAsia"/>
        </w:rPr>
        <w:t>明确WEOD项目组织实施方式、实施期限、实施进展与年度计划安排；明确WEOD项目投资估算与资金筹措方式；</w:t>
      </w:r>
    </w:p>
    <w:p>
      <w:pPr>
        <w:ind w:firstLine="480" w:firstLineChars="200"/>
        <w:rPr>
          <w:b/>
          <w:bCs/>
        </w:rPr>
      </w:pPr>
      <w:r>
        <w:rPr>
          <w:rFonts w:hint="eastAsia"/>
          <w:b/>
          <w:bCs/>
        </w:rPr>
        <w:t>第七章 技术经济分析</w:t>
      </w:r>
    </w:p>
    <w:p>
      <w:pPr>
        <w:ind w:firstLine="480" w:firstLineChars="200"/>
      </w:pPr>
      <w:r>
        <w:rPr>
          <w:rFonts w:hint="eastAsia"/>
        </w:rPr>
        <w:t>明确项目预期收益与支出成本测算，制定WEOD项目资金平衡方案。对WEOD项目综合预期效益和目标可达性进行分析。</w:t>
      </w:r>
    </w:p>
    <w:p>
      <w:pPr>
        <w:ind w:firstLine="480" w:firstLineChars="200"/>
        <w:rPr>
          <w:b/>
          <w:bCs/>
        </w:rPr>
      </w:pPr>
      <w:r>
        <w:rPr>
          <w:rFonts w:hint="eastAsia"/>
          <w:b/>
          <w:bCs/>
        </w:rPr>
        <w:t>第八章 保障措施</w:t>
      </w:r>
    </w:p>
    <w:p>
      <w:pPr>
        <w:ind w:firstLine="480" w:firstLineChars="200"/>
      </w:pPr>
      <w:r>
        <w:rPr>
          <w:rFonts w:hint="eastAsia"/>
        </w:rPr>
        <w:t>提出WEOD项目规划实施需要的组织、政策、资金、人才等保障措施。</w:t>
      </w:r>
    </w:p>
    <w:p>
      <w:pPr>
        <w:pStyle w:val="20"/>
        <w:numPr>
          <w:ilvl w:val="0"/>
          <w:numId w:val="0"/>
        </w:numPr>
        <w:rPr>
          <w:rFonts w:cs="Times New Roman"/>
        </w:rPr>
      </w:pPr>
      <w:r>
        <w:rPr>
          <w:rFonts w:cs="Times New Roman"/>
        </w:rPr>
        <w:br/>
      </w:r>
      <w:r>
        <w:rPr>
          <w:rFonts w:cs="Times New Roman"/>
        </w:rP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https://d.book118.com/967166123153006054</w:t>
        </w:r>
      </w:hyperlink>
    </w:p>
    <w:p>
      <w:pPr>
        <w:pStyle w:val="20"/>
        <w:numPr>
          <w:ilvl w:val="0"/>
          <w:numId w:val="0"/>
        </w:numPr>
        <w:rPr>
          <w:rFonts w:cs="Times New Roman"/>
        </w:rPr>
      </w:pPr>
    </w:p>
    <w:sectPr>
      <w:headerReference w:type="default" r:id="rId51"/>
      <w:footerReference w:type="even" r:id="rId52"/>
      <w:footerReference w:type="default" r:id="rId53"/>
      <w:pgSz w:w="11906" w:h="16838"/>
      <w:pgMar w:top="1440" w:right="1800" w:bottom="1440" w:left="1800" w:header="1417" w:footer="1134" w:gutter="0"/>
      <w:pgNumType w:start="15"/>
      <w:cols w:num="1" w:space="425"/>
      <w:docGrid w:type="linesAndChar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88539448"/>
      <w:docPartObj>
        <w:docPartGallery w:val="AutoText"/>
      </w:docPartObj>
    </w:sdtPr>
    <w:sdtEndPr>
      <w:rPr>
        <w:rFonts w:ascii="宋体" w:hAnsi="宋体"/>
      </w:rPr>
    </w:sdtEndPr>
    <w:sdtContent>
      <w:p>
        <w:pPr>
          <w:pStyle w:val="Footer"/>
          <w:ind w:left="227"/>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36</w:t>
        </w:r>
        <w:r>
          <w:rPr>
            <w:rFonts w:ascii="宋体" w:hAnsi="宋体"/>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62853588"/>
      <w:docPartObj>
        <w:docPartGallery w:val="AutoText"/>
      </w:docPartObj>
    </w:sdtPr>
    <w:sdtEndPr>
      <w:rPr>
        <w:rFonts w:ascii="宋体" w:hAnsi="宋体"/>
      </w:rPr>
    </w:sdtEndPr>
    <w:sdtContent>
      <w:p>
        <w:pPr>
          <w:pStyle w:val="Footer"/>
          <w:ind w:right="227"/>
          <w:jc w:val="right"/>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37</w:t>
        </w:r>
        <w:r>
          <w:rPr>
            <w:rFonts w:ascii="宋体" w:hAnsi="宋体"/>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93070331"/>
      <w:docPartObj>
        <w:docPartGallery w:val="AutoText"/>
      </w:docPartObj>
    </w:sdtPr>
    <w:sdtEndPr>
      <w:rPr>
        <w:rFonts w:ascii="宋体" w:hAnsi="宋体"/>
      </w:rPr>
    </w:sdtEndPr>
    <w:sdtContent>
      <w:p>
        <w:pPr>
          <w:pStyle w:val="Footer"/>
          <w:ind w:left="227"/>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36</w:t>
        </w:r>
        <w:r>
          <w:rPr>
            <w:rFonts w:ascii="宋体" w:hAnsi="宋体"/>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2857152"/>
      <w:docPartObj>
        <w:docPartGallery w:val="AutoText"/>
      </w:docPartObj>
    </w:sdtPr>
    <w:sdtEndPr>
      <w:rPr>
        <w:rFonts w:ascii="宋体" w:hAnsi="宋体"/>
      </w:rPr>
    </w:sdtEndPr>
    <w:sdtContent>
      <w:p>
        <w:pPr>
          <w:pStyle w:val="Footer"/>
          <w:ind w:right="227"/>
          <w:jc w:val="right"/>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1</w:t>
        </w:r>
        <w:r>
          <w:rPr>
            <w:rFonts w:ascii="宋体" w:hAnsi="宋体"/>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05234983"/>
      <w:docPartObj>
        <w:docPartGallery w:val="AutoText"/>
      </w:docPartObj>
    </w:sdtPr>
    <w:sdtEndPr>
      <w:rPr>
        <w:rFonts w:ascii="宋体" w:hAnsi="宋体"/>
      </w:rPr>
    </w:sdtEndPr>
    <w:sdtContent>
      <w:p>
        <w:pPr>
          <w:pStyle w:val="Footer"/>
          <w:ind w:left="227"/>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2</w:t>
        </w:r>
        <w:r>
          <w:rPr>
            <w:rFonts w:ascii="宋体" w:hAnsi="宋体"/>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30687701"/>
      <w:docPartObj>
        <w:docPartGallery w:val="AutoText"/>
      </w:docPartObj>
    </w:sdtPr>
    <w:sdtEndPr>
      <w:rPr>
        <w:rFonts w:ascii="宋体" w:hAnsi="宋体"/>
      </w:rPr>
    </w:sdtEndPr>
    <w:sdtContent>
      <w:p>
        <w:pPr>
          <w:pStyle w:val="Footer"/>
          <w:ind w:right="227"/>
          <w:jc w:val="right"/>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37</w:t>
        </w:r>
        <w:r>
          <w:rPr>
            <w:rFonts w:ascii="宋体" w:hAnsi="宋体"/>
          </w:rP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59575471"/>
      <w:docPartObj>
        <w:docPartGallery w:val="AutoText"/>
      </w:docPartObj>
    </w:sdtPr>
    <w:sdtEndPr>
      <w:rPr>
        <w:rFonts w:ascii="宋体" w:hAnsi="宋体"/>
      </w:rPr>
    </w:sdtEndPr>
    <w:sdtContent>
      <w:p>
        <w:pPr>
          <w:pStyle w:val="Footer"/>
          <w:ind w:left="227"/>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36</w:t>
        </w:r>
        <w:r>
          <w:rPr>
            <w:rFonts w:ascii="宋体" w:hAnsi="宋体"/>
          </w:rP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60354151"/>
      <w:docPartObj>
        <w:docPartGallery w:val="AutoText"/>
      </w:docPartObj>
    </w:sdtPr>
    <w:sdtEndPr>
      <w:rPr>
        <w:rFonts w:ascii="宋体" w:hAnsi="宋体"/>
      </w:rPr>
    </w:sdtEndPr>
    <w:sdtContent>
      <w:p>
        <w:pPr>
          <w:pStyle w:val="Footer"/>
          <w:ind w:right="227"/>
          <w:jc w:val="right"/>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3</w:t>
        </w:r>
        <w:r>
          <w:rPr>
            <w:rFonts w:ascii="宋体" w:hAnsi="宋体"/>
          </w:rPr>
          <w:fldChar w:fldCharType="end"/>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06225372"/>
      <w:docPartObj>
        <w:docPartGallery w:val="AutoText"/>
      </w:docPartObj>
    </w:sdtPr>
    <w:sdtEndPr>
      <w:rPr>
        <w:rFonts w:ascii="宋体" w:hAnsi="宋体"/>
      </w:rPr>
    </w:sdtEndPr>
    <w:sdtContent>
      <w:p>
        <w:pPr>
          <w:pStyle w:val="Footer"/>
          <w:ind w:left="227"/>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4</w:t>
        </w:r>
        <w:r>
          <w:rPr>
            <w:rFonts w:ascii="宋体" w:hAnsi="宋体"/>
          </w:rPr>
          <w:fldChar w:fldCharType="end"/>
        </w: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02357361"/>
      <w:docPartObj>
        <w:docPartGallery w:val="AutoText"/>
      </w:docPartObj>
    </w:sdtPr>
    <w:sdtEndPr>
      <w:rPr>
        <w:rFonts w:ascii="宋体" w:hAnsi="宋体"/>
      </w:rPr>
    </w:sdtEndPr>
    <w:sdtContent>
      <w:p>
        <w:pPr>
          <w:pStyle w:val="Footer"/>
          <w:ind w:right="227"/>
          <w:jc w:val="right"/>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37</w:t>
        </w:r>
        <w:r>
          <w:rPr>
            <w:rFonts w:ascii="宋体" w:hAnsi="宋体"/>
          </w:rPr>
          <w:fldChar w:fldCharType="end"/>
        </w:r>
      </w:p>
    </w:sdtContent>
  </w:sdt>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27116765"/>
      <w:docPartObj>
        <w:docPartGallery w:val="AutoText"/>
      </w:docPartObj>
    </w:sdtPr>
    <w:sdtEndPr>
      <w:rPr>
        <w:rFonts w:ascii="宋体" w:hAnsi="宋体"/>
      </w:rPr>
    </w:sdtEndPr>
    <w:sdtContent>
      <w:p>
        <w:pPr>
          <w:pStyle w:val="Footer"/>
          <w:ind w:left="227"/>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36</w:t>
        </w:r>
        <w:r>
          <w:rPr>
            <w:rFonts w:ascii="宋体" w:hAnsi="宋体"/>
          </w:rPr>
          <w:fldChar w:fldCharType="end"/>
        </w:r>
      </w:p>
    </w:sdtContent>
  </w:sdt>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43962250"/>
      <w:docPartObj>
        <w:docPartGallery w:val="AutoText"/>
      </w:docPartObj>
    </w:sdtPr>
    <w:sdtEndPr>
      <w:rPr>
        <w:rFonts w:ascii="宋体" w:hAnsi="宋体"/>
      </w:rPr>
    </w:sdtEndPr>
    <w:sdtContent>
      <w:p>
        <w:pPr>
          <w:pStyle w:val="Footer"/>
          <w:ind w:right="227"/>
          <w:jc w:val="right"/>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5</w:t>
        </w:r>
        <w:r>
          <w:rPr>
            <w:rFonts w:ascii="宋体" w:hAnsi="宋体"/>
          </w:rPr>
          <w:fldChar w:fldCharType="end"/>
        </w:r>
      </w:p>
    </w:sdtContent>
  </w:sdt>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22070143"/>
      <w:docPartObj>
        <w:docPartGallery w:val="AutoText"/>
      </w:docPartObj>
    </w:sdtPr>
    <w:sdtEndPr>
      <w:rPr>
        <w:rFonts w:ascii="宋体" w:hAnsi="宋体"/>
      </w:rPr>
    </w:sdtEndPr>
    <w:sdtContent>
      <w:p>
        <w:pPr>
          <w:pStyle w:val="Footer"/>
          <w:ind w:left="227"/>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6</w:t>
        </w:r>
        <w:r>
          <w:rPr>
            <w:rFonts w:ascii="宋体" w:hAnsi="宋体"/>
          </w:rPr>
          <w:fldChar w:fldCharType="end"/>
        </w:r>
      </w:p>
    </w:sdtContent>
  </w:sdt>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3682162"/>
      <w:docPartObj>
        <w:docPartGallery w:val="AutoText"/>
      </w:docPartObj>
    </w:sdtPr>
    <w:sdtEndPr>
      <w:rPr>
        <w:rFonts w:ascii="宋体" w:hAnsi="宋体"/>
      </w:rPr>
    </w:sdtEndPr>
    <w:sdtContent>
      <w:p>
        <w:pPr>
          <w:pStyle w:val="Footer"/>
          <w:ind w:right="227"/>
          <w:jc w:val="right"/>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37</w:t>
        </w:r>
        <w:r>
          <w:rPr>
            <w:rFonts w:ascii="宋体" w:hAnsi="宋体"/>
          </w:rPr>
          <w:fldChar w:fldCharType="end"/>
        </w:r>
      </w:p>
    </w:sdtContent>
  </w:sdt>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47941830"/>
      <w:docPartObj>
        <w:docPartGallery w:val="AutoText"/>
      </w:docPartObj>
    </w:sdtPr>
    <w:sdtEndPr>
      <w:rPr>
        <w:rFonts w:ascii="宋体" w:hAnsi="宋体"/>
      </w:rPr>
    </w:sdtEndPr>
    <w:sdtContent>
      <w:p>
        <w:pPr>
          <w:pStyle w:val="Footer"/>
          <w:ind w:left="227"/>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36</w:t>
        </w:r>
        <w:r>
          <w:rPr>
            <w:rFonts w:ascii="宋体" w:hAnsi="宋体"/>
          </w:rPr>
          <w:fldChar w:fldCharType="end"/>
        </w:r>
      </w:p>
    </w:sdtContent>
  </w:sdt>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53431904"/>
      <w:docPartObj>
        <w:docPartGallery w:val="AutoText"/>
      </w:docPartObj>
    </w:sdtPr>
    <w:sdtEndPr>
      <w:rPr>
        <w:rFonts w:ascii="宋体" w:hAnsi="宋体"/>
      </w:rPr>
    </w:sdtEndPr>
    <w:sdtContent>
      <w:p>
        <w:pPr>
          <w:pStyle w:val="Footer"/>
          <w:ind w:right="227"/>
          <w:jc w:val="right"/>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7</w:t>
        </w:r>
        <w:r>
          <w:rPr>
            <w:rFonts w:ascii="宋体" w:hAnsi="宋体"/>
          </w:rPr>
          <w:fldChar w:fldCharType="end"/>
        </w:r>
      </w:p>
    </w:sdtContent>
  </w:sdt>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7132385"/>
      <w:docPartObj>
        <w:docPartGallery w:val="AutoText"/>
      </w:docPartObj>
    </w:sdtPr>
    <w:sdtEndPr>
      <w:rPr>
        <w:rFonts w:ascii="宋体" w:hAnsi="宋体"/>
      </w:rPr>
    </w:sdtEndPr>
    <w:sdtContent>
      <w:p>
        <w:pPr>
          <w:pStyle w:val="Footer"/>
          <w:ind w:left="227"/>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8</w:t>
        </w:r>
        <w:r>
          <w:rPr>
            <w:rFonts w:ascii="宋体" w:hAnsi="宋体"/>
          </w:rPr>
          <w:fldChar w:fldCharType="end"/>
        </w:r>
      </w:p>
    </w:sdtContent>
  </w:sdt>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04270040"/>
      <w:docPartObj>
        <w:docPartGallery w:val="AutoText"/>
      </w:docPartObj>
    </w:sdtPr>
    <w:sdtEndPr>
      <w:rPr>
        <w:rFonts w:ascii="宋体" w:hAnsi="宋体"/>
      </w:rPr>
    </w:sdtEndPr>
    <w:sdtContent>
      <w:p>
        <w:pPr>
          <w:pStyle w:val="Footer"/>
          <w:ind w:right="227"/>
          <w:jc w:val="right"/>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37</w:t>
        </w:r>
        <w:r>
          <w:rPr>
            <w:rFonts w:ascii="宋体" w:hAnsi="宋体"/>
          </w:rPr>
          <w:fldChar w:fldCharType="end"/>
        </w:r>
      </w:p>
    </w:sdtContent>
  </w:sdt>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48305873"/>
      <w:docPartObj>
        <w:docPartGallery w:val="AutoText"/>
      </w:docPartObj>
    </w:sdtPr>
    <w:sdtEndPr>
      <w:rPr>
        <w:rFonts w:ascii="宋体" w:hAnsi="宋体"/>
      </w:rPr>
    </w:sdtEndPr>
    <w:sdtContent>
      <w:p>
        <w:pPr>
          <w:pStyle w:val="Footer"/>
          <w:ind w:left="227"/>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36</w:t>
        </w:r>
        <w:r>
          <w:rPr>
            <w:rFonts w:ascii="宋体" w:hAnsi="宋体"/>
          </w:rPr>
          <w:fldChar w:fldCharType="end"/>
        </w:r>
      </w:p>
    </w:sdtContent>
  </w:sdt>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51636104"/>
      <w:docPartObj>
        <w:docPartGallery w:val="AutoText"/>
      </w:docPartObj>
    </w:sdtPr>
    <w:sdtEndPr>
      <w:rPr>
        <w:rFonts w:ascii="宋体" w:hAnsi="宋体"/>
      </w:rPr>
    </w:sdtEndPr>
    <w:sdtContent>
      <w:p>
        <w:pPr>
          <w:pStyle w:val="Footer"/>
          <w:ind w:right="227"/>
          <w:jc w:val="right"/>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9</w:t>
        </w:r>
        <w:r>
          <w:rPr>
            <w:rFonts w:ascii="宋体" w:hAnsi="宋体"/>
          </w:rPr>
          <w:fldChar w:fldCharType="end"/>
        </w:r>
      </w:p>
    </w:sdtContent>
  </w:sdt>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7323434"/>
      <w:docPartObj>
        <w:docPartGallery w:val="AutoText"/>
      </w:docPartObj>
    </w:sdtPr>
    <w:sdtEndPr>
      <w:rPr>
        <w:rFonts w:ascii="宋体" w:hAnsi="宋体"/>
      </w:rPr>
    </w:sdtEndPr>
    <w:sdtContent>
      <w:p>
        <w:pPr>
          <w:pStyle w:val="Footer"/>
          <w:ind w:left="227"/>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10</w:t>
        </w:r>
        <w:r>
          <w:rPr>
            <w:rFonts w:ascii="宋体" w:hAnsi="宋体"/>
          </w:rPr>
          <w:fldChar w:fldCharType="end"/>
        </w:r>
      </w:p>
    </w:sdtContent>
  </w:sdt>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33757137"/>
      <w:docPartObj>
        <w:docPartGallery w:val="AutoText"/>
      </w:docPartObj>
    </w:sdtPr>
    <w:sdtEndPr>
      <w:rPr>
        <w:rFonts w:ascii="宋体" w:hAnsi="宋体"/>
      </w:rPr>
    </w:sdtEndPr>
    <w:sdtContent>
      <w:p>
        <w:pPr>
          <w:pStyle w:val="Footer"/>
          <w:ind w:right="227"/>
          <w:jc w:val="right"/>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37</w:t>
        </w:r>
        <w:r>
          <w:rPr>
            <w:rFonts w:ascii="宋体" w:hAnsi="宋体"/>
          </w:rPr>
          <w:fldChar w:fldCharType="end"/>
        </w:r>
      </w:p>
    </w:sdtContent>
  </w:sdt>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01724442"/>
      <w:docPartObj>
        <w:docPartGallery w:val="AutoText"/>
      </w:docPartObj>
    </w:sdtPr>
    <w:sdtEndPr>
      <w:rPr>
        <w:rFonts w:ascii="宋体" w:hAnsi="宋体"/>
      </w:rPr>
    </w:sdtEndPr>
    <w:sdtContent>
      <w:p>
        <w:pPr>
          <w:pStyle w:val="Footer"/>
          <w:ind w:left="227"/>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36</w:t>
        </w:r>
        <w:r>
          <w:rPr>
            <w:rFonts w:ascii="宋体" w:hAnsi="宋体"/>
          </w:rPr>
          <w:fldChar w:fldCharType="end"/>
        </w:r>
      </w:p>
    </w:sdtContent>
  </w:sdt>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3014353"/>
      <w:docPartObj>
        <w:docPartGallery w:val="AutoText"/>
      </w:docPartObj>
    </w:sdtPr>
    <w:sdtEndPr>
      <w:rPr>
        <w:rFonts w:ascii="宋体" w:hAnsi="宋体"/>
      </w:rPr>
    </w:sdtEndPr>
    <w:sdtContent>
      <w:p>
        <w:pPr>
          <w:pStyle w:val="Footer"/>
          <w:ind w:right="227"/>
          <w:jc w:val="right"/>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11</w:t>
        </w:r>
        <w:r>
          <w:rPr>
            <w:rFonts w:ascii="宋体" w:hAnsi="宋体"/>
          </w:rPr>
          <w:fldChar w:fldCharType="end"/>
        </w:r>
      </w:p>
    </w:sdtContent>
  </w:sdt>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98313373"/>
      <w:docPartObj>
        <w:docPartGallery w:val="AutoText"/>
      </w:docPartObj>
    </w:sdtPr>
    <w:sdtEndPr>
      <w:rPr>
        <w:rFonts w:ascii="宋体" w:hAnsi="宋体"/>
      </w:rPr>
    </w:sdtEndPr>
    <w:sdtContent>
      <w:p>
        <w:pPr>
          <w:pStyle w:val="Footer"/>
          <w:ind w:left="227"/>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12</w:t>
        </w:r>
        <w:r>
          <w:rPr>
            <w:rFonts w:ascii="宋体" w:hAnsi="宋体"/>
          </w:rPr>
          <w:fldChar w:fldCharType="end"/>
        </w:r>
      </w:p>
    </w:sdtContent>
  </w:sdt>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72953931"/>
      <w:docPartObj>
        <w:docPartGallery w:val="AutoText"/>
      </w:docPartObj>
    </w:sdtPr>
    <w:sdtEndPr>
      <w:rPr>
        <w:rFonts w:ascii="宋体" w:hAnsi="宋体"/>
      </w:rPr>
    </w:sdtEndPr>
    <w:sdtContent>
      <w:p>
        <w:pPr>
          <w:pStyle w:val="Footer"/>
          <w:ind w:right="227"/>
          <w:jc w:val="right"/>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37</w:t>
        </w:r>
        <w:r>
          <w:rPr>
            <w:rFonts w:ascii="宋体" w:hAnsi="宋体"/>
          </w:rPr>
          <w:fldChar w:fldCharType="end"/>
        </w:r>
      </w:p>
    </w:sdtContent>
  </w:sdt>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39004029"/>
      <w:docPartObj>
        <w:docPartGallery w:val="AutoText"/>
      </w:docPartObj>
    </w:sdtPr>
    <w:sdtEndPr>
      <w:rPr>
        <w:rFonts w:ascii="宋体" w:hAnsi="宋体"/>
      </w:rPr>
    </w:sdtEndPr>
    <w:sdtContent>
      <w:p>
        <w:pPr>
          <w:pStyle w:val="Footer"/>
          <w:ind w:left="227"/>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36</w:t>
        </w:r>
        <w:r>
          <w:rPr>
            <w:rFonts w:ascii="宋体" w:hAnsi="宋体"/>
          </w:rPr>
          <w:fldChar w:fldCharType="end"/>
        </w:r>
      </w:p>
    </w:sdtContent>
  </w:sdt>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25717782"/>
      <w:docPartObj>
        <w:docPartGallery w:val="AutoText"/>
      </w:docPartObj>
    </w:sdtPr>
    <w:sdtEndPr>
      <w:rPr>
        <w:rFonts w:ascii="宋体" w:hAnsi="宋体"/>
      </w:rPr>
    </w:sdtEndPr>
    <w:sdtContent>
      <w:p>
        <w:pPr>
          <w:pStyle w:val="Footer"/>
          <w:ind w:right="227"/>
          <w:jc w:val="right"/>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13</w:t>
        </w:r>
        <w:r>
          <w:rPr>
            <w:rFonts w:ascii="宋体" w:hAnsi="宋体"/>
          </w:rPr>
          <w:fldChar w:fldCharType="end"/>
        </w:r>
      </w:p>
    </w:sdtContent>
  </w:sdt>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89935649"/>
      <w:docPartObj>
        <w:docPartGallery w:val="AutoText"/>
      </w:docPartObj>
    </w:sdtPr>
    <w:sdtEndPr>
      <w:rPr>
        <w:rFonts w:ascii="宋体" w:hAnsi="宋体"/>
      </w:rPr>
    </w:sdtEndPr>
    <w:sdtContent>
      <w:p>
        <w:pPr>
          <w:pStyle w:val="Footer"/>
          <w:ind w:left="227"/>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14</w:t>
        </w:r>
        <w:r>
          <w:rPr>
            <w:rFonts w:ascii="宋体" w:hAnsi="宋体"/>
          </w:rPr>
          <w:fldChar w:fldCharType="end"/>
        </w:r>
      </w:p>
    </w:sdtContent>
  </w:sdt>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20421765"/>
      <w:docPartObj>
        <w:docPartGallery w:val="AutoText"/>
      </w:docPartObj>
    </w:sdtPr>
    <w:sdtEndPr>
      <w:rPr>
        <w:rFonts w:ascii="宋体" w:hAnsi="宋体"/>
      </w:rPr>
    </w:sdtEndPr>
    <w:sdtContent>
      <w:p>
        <w:pPr>
          <w:pStyle w:val="Footer"/>
          <w:ind w:right="227"/>
          <w:jc w:val="right"/>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37</w:t>
        </w:r>
        <w:r>
          <w:rPr>
            <w:rFonts w:ascii="宋体" w:hAnsi="宋体"/>
          </w:rPr>
          <w:fldChar w:fldCharType="end"/>
        </w:r>
      </w:p>
    </w:sdtContent>
  </w:sdt>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32825807"/>
      <w:docPartObj>
        <w:docPartGallery w:val="AutoText"/>
      </w:docPartObj>
    </w:sdtPr>
    <w:sdtEndPr>
      <w:rPr>
        <w:rFonts w:ascii="宋体" w:hAnsi="宋体"/>
      </w:rPr>
    </w:sdtEndPr>
    <w:sdtContent>
      <w:p>
        <w:pPr>
          <w:pStyle w:val="Footer"/>
          <w:ind w:left="227"/>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36</w:t>
        </w:r>
        <w:r>
          <w:rPr>
            <w:rFonts w:ascii="宋体" w:hAnsi="宋体"/>
          </w:rPr>
          <w:fldChar w:fldCharType="end"/>
        </w:r>
      </w:p>
    </w:sdtContent>
  </w:sdt>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37179214"/>
      <w:docPartObj>
        <w:docPartGallery w:val="AutoText"/>
      </w:docPartObj>
    </w:sdtPr>
    <w:sdtEndPr>
      <w:rPr>
        <w:rFonts w:ascii="宋体" w:hAnsi="宋体"/>
      </w:rPr>
    </w:sdtEndPr>
    <w:sdtContent>
      <w:p>
        <w:pPr>
          <w:pStyle w:val="Footer"/>
          <w:ind w:right="227"/>
          <w:jc w:val="right"/>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15</w:t>
        </w:r>
        <w:r>
          <w:rPr>
            <w:rFonts w:ascii="宋体" w:hAnsi="宋体"/>
          </w:rPr>
          <w:fldChar w:fldCharType="end"/>
        </w:r>
      </w:p>
    </w:sdtContent>
  </w:sdt>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0C870DC"/>
    <w:multiLevelType w:val="multilevel"/>
    <w:tmpl w:val="10C870DC"/>
    <w:lvl w:ilvl="0">
      <w:start w:val="1"/>
      <w:numFmt w:val="decimal"/>
      <w:pStyle w:val="Heading1"/>
      <w:lvlText w:val="%1"/>
      <w:lvlJc w:val="left"/>
      <w:pPr>
        <w:ind w:left="0" w:firstLine="0"/>
      </w:pPr>
      <w:rPr>
        <w:rFonts w:ascii="Times New Roman" w:eastAsia="宋体" w:hAnsi="Times New Roman" w:hint="default"/>
        <w:sz w:val="30"/>
      </w:rPr>
    </w:lvl>
    <w:lvl w:ilvl="1">
      <w:start w:val="1"/>
      <w:numFmt w:val="decimal"/>
      <w:pStyle w:val="Heading2"/>
      <w:isLgl/>
      <w:lvlText w:val="%1.%2"/>
      <w:lvlJc w:val="left"/>
      <w:pPr>
        <w:ind w:left="0" w:firstLine="0"/>
      </w:pPr>
      <w:rPr>
        <w:rFonts w:hint="default"/>
        <w:b/>
        <w:color w:val="000000"/>
      </w:rPr>
    </w:lvl>
    <w:lvl w:ilvl="2">
      <w:start w:val="1"/>
      <w:numFmt w:val="decimal"/>
      <w:pStyle w:val="20"/>
      <w:isLgl/>
      <w:suff w:val="space"/>
      <w:lvlText w:val="%1.%2.%3"/>
      <w:lvlJc w:val="left"/>
      <w:pPr>
        <w:ind w:left="0" w:firstLine="0"/>
      </w:pPr>
      <w:rPr>
        <w:rFonts w:hint="default"/>
        <w:b w:val="0"/>
        <w:color w:val="000000"/>
        <w:sz w:val="24"/>
        <w:szCs w:val="24"/>
      </w:rPr>
    </w:lvl>
    <w:lvl w:ilvl="3">
      <w:start w:val="1"/>
      <w:numFmt w:val="decimal"/>
      <w:isLgl/>
      <w:lvlText w:val="%1.%2.%3.%4"/>
      <w:lvlJc w:val="left"/>
      <w:pPr>
        <w:ind w:left="744" w:hanging="744"/>
      </w:pPr>
      <w:rPr>
        <w:rFonts w:hint="default"/>
        <w:b/>
        <w:color w:val="000000"/>
      </w:rPr>
    </w:lvl>
    <w:lvl w:ilvl="4">
      <w:start w:val="1"/>
      <w:numFmt w:val="decimal"/>
      <w:isLgl/>
      <w:lvlText w:val="%1.%2.%3.%4.%5"/>
      <w:lvlJc w:val="left"/>
      <w:pPr>
        <w:ind w:left="1080" w:hanging="1080"/>
      </w:pPr>
      <w:rPr>
        <w:rFonts w:hint="default"/>
        <w:b/>
        <w:color w:val="000000"/>
      </w:rPr>
    </w:lvl>
    <w:lvl w:ilvl="5">
      <w:start w:val="1"/>
      <w:numFmt w:val="decimal"/>
      <w:isLgl/>
      <w:lvlText w:val="%1.%2.%3.%4.%5.%6"/>
      <w:lvlJc w:val="left"/>
      <w:pPr>
        <w:ind w:left="1080" w:hanging="1080"/>
      </w:pPr>
      <w:rPr>
        <w:rFonts w:hint="default"/>
        <w:b/>
        <w:color w:val="000000"/>
      </w:rPr>
    </w:lvl>
    <w:lvl w:ilvl="6">
      <w:start w:val="1"/>
      <w:numFmt w:val="decimal"/>
      <w:isLgl/>
      <w:lvlText w:val="%1.%2.%3.%4.%5.%6.%7"/>
      <w:lvlJc w:val="left"/>
      <w:pPr>
        <w:ind w:left="1440" w:hanging="1440"/>
      </w:pPr>
      <w:rPr>
        <w:rFonts w:hint="default"/>
        <w:b/>
        <w:color w:val="000000"/>
      </w:rPr>
    </w:lvl>
    <w:lvl w:ilvl="7">
      <w:start w:val="1"/>
      <w:numFmt w:val="decimal"/>
      <w:isLgl/>
      <w:lvlText w:val="%1.%2.%3.%4.%5.%6.%7.%8"/>
      <w:lvlJc w:val="left"/>
      <w:pPr>
        <w:ind w:left="1440" w:hanging="1440"/>
      </w:pPr>
      <w:rPr>
        <w:rFonts w:hint="default"/>
        <w:b/>
        <w:color w:val="000000"/>
      </w:rPr>
    </w:lvl>
    <w:lvl w:ilvl="8">
      <w:start w:val="1"/>
      <w:numFmt w:val="decimal"/>
      <w:isLgl/>
      <w:lvlText w:val="%1.%2.%3.%4.%5.%6.%7.%8.%9"/>
      <w:lvlJc w:val="left"/>
      <w:pPr>
        <w:ind w:left="1800" w:hanging="1800"/>
      </w:pPr>
      <w:rPr>
        <w:rFonts w:hint="default"/>
        <w:b/>
        <w:color w:val="000000"/>
      </w:rPr>
    </w:lvl>
  </w:abstractNum>
  <w:abstractNum w:abstractNumId="1">
    <w:nsid w:val="315C4AFB"/>
    <w:multiLevelType w:val="multilevel"/>
    <w:tmpl w:val="315C4AFB"/>
    <w:lvl w:ilvl="0">
      <w:start w:val="1"/>
      <w:numFmt w:val="decimal"/>
      <w:pStyle w:val="a1"/>
      <w:lvlText w:val="%1"/>
      <w:lvlJc w:val="left"/>
      <w:pPr>
        <w:tabs>
          <w:tab w:val="left" w:pos="855"/>
        </w:tabs>
        <w:ind w:left="855" w:hanging="855"/>
      </w:pPr>
      <w:rPr>
        <w:rFonts w:hint="default"/>
        <w:b w:val="0"/>
        <w:bCs w:val="0"/>
        <w:i w:val="0"/>
        <w:iCs w:val="0"/>
        <w:caps w:val="0"/>
        <w:smallCaps w:val="0"/>
        <w:strike w:val="0"/>
        <w:dstrike w:val="0"/>
        <w:outline w:val="0"/>
        <w:shadow w:val="0"/>
        <w:emboss w:val="0"/>
        <w:imprint w:val="0"/>
        <w:vanish w:val="0"/>
        <w:spacing w:val="0"/>
        <w:position w:val="0"/>
        <w:u w:val="none"/>
        <w:vertAlign w:val="baseline"/>
      </w:rPr>
    </w:lvl>
    <w:lvl w:ilvl="1">
      <w:start w:val="0"/>
      <w:numFmt w:val="decimal"/>
      <w:pStyle w:val="7"/>
      <w:lvlText w:val="%1.%2"/>
      <w:lvlJc w:val="left"/>
      <w:pPr>
        <w:tabs>
          <w:tab w:val="left" w:pos="855"/>
        </w:tabs>
        <w:ind w:left="855" w:hanging="855"/>
      </w:pPr>
      <w:rPr>
        <w:rFonts w:hint="default"/>
        <w:b w:val="0"/>
        <w:color w:val="000000"/>
      </w:rPr>
    </w:lvl>
    <w:lvl w:ilvl="2">
      <w:start w:val="1"/>
      <w:numFmt w:val="decimal"/>
      <w:lvlText w:val="%1.%2.%3"/>
      <w:lvlJc w:val="left"/>
      <w:pPr>
        <w:tabs>
          <w:tab w:val="left" w:pos="855"/>
        </w:tabs>
        <w:ind w:left="0" w:firstLine="0"/>
      </w:pPr>
      <w:rPr>
        <w:rFonts w:hint="default"/>
        <w:b w:val="0"/>
        <w:color w:val="000000"/>
        <w:shd w:val="clear" w:color="auto" w:fill="auto"/>
      </w:rPr>
    </w:lvl>
    <w:lvl w:ilvl="3">
      <w:start w:val="1"/>
      <w:numFmt w:val="decimal"/>
      <w:lvlText w:val="%1.%2.%3.%4"/>
      <w:lvlJc w:val="left"/>
      <w:pPr>
        <w:tabs>
          <w:tab w:val="left" w:pos="1080"/>
        </w:tabs>
        <w:ind w:left="1080" w:hanging="1080"/>
      </w:pPr>
      <w:rPr>
        <w:rFonts w:hint="default"/>
        <w:b/>
        <w:color w:val="000000"/>
      </w:rPr>
    </w:lvl>
    <w:lvl w:ilvl="4">
      <w:start w:val="1"/>
      <w:numFmt w:val="decimal"/>
      <w:lvlText w:val="%1.%2.%3.%4.%5"/>
      <w:lvlJc w:val="left"/>
      <w:pPr>
        <w:tabs>
          <w:tab w:val="left" w:pos="1080"/>
        </w:tabs>
        <w:ind w:left="1080" w:hanging="1080"/>
      </w:pPr>
      <w:rPr>
        <w:rFonts w:hint="default"/>
        <w:b/>
        <w:color w:val="000000"/>
      </w:rPr>
    </w:lvl>
    <w:lvl w:ilvl="5">
      <w:start w:val="1"/>
      <w:numFmt w:val="decimal"/>
      <w:lvlText w:val="%1.%2.%3.%4.%5.%6"/>
      <w:lvlJc w:val="left"/>
      <w:pPr>
        <w:tabs>
          <w:tab w:val="left" w:pos="1440"/>
        </w:tabs>
        <w:ind w:left="1440" w:hanging="1440"/>
      </w:pPr>
      <w:rPr>
        <w:rFonts w:hint="default"/>
        <w:b/>
        <w:color w:val="000000"/>
      </w:rPr>
    </w:lvl>
    <w:lvl w:ilvl="6">
      <w:start w:val="1"/>
      <w:numFmt w:val="decimal"/>
      <w:lvlText w:val="%1.%2.%3.%4.%5.%6.%7"/>
      <w:lvlJc w:val="left"/>
      <w:pPr>
        <w:tabs>
          <w:tab w:val="left" w:pos="1440"/>
        </w:tabs>
        <w:ind w:left="1440" w:hanging="1440"/>
      </w:pPr>
      <w:rPr>
        <w:rFonts w:hint="default"/>
        <w:b/>
        <w:color w:val="000000"/>
      </w:rPr>
    </w:lvl>
    <w:lvl w:ilvl="7">
      <w:start w:val="1"/>
      <w:numFmt w:val="decimal"/>
      <w:lvlText w:val="%1.%2.%3.%4.%5.%6.%7.%8"/>
      <w:lvlJc w:val="left"/>
      <w:pPr>
        <w:tabs>
          <w:tab w:val="left" w:pos="1800"/>
        </w:tabs>
        <w:ind w:left="1800" w:hanging="1800"/>
      </w:pPr>
      <w:rPr>
        <w:rFonts w:hint="default"/>
        <w:b/>
        <w:color w:val="000000"/>
      </w:rPr>
    </w:lvl>
    <w:lvl w:ilvl="8">
      <w:start w:val="1"/>
      <w:numFmt w:val="decimal"/>
      <w:lvlText w:val="%1.%2.%3.%4.%5.%6.%7.%8.%9"/>
      <w:lvlJc w:val="left"/>
      <w:pPr>
        <w:tabs>
          <w:tab w:val="left" w:pos="2160"/>
        </w:tabs>
        <w:ind w:left="2160" w:hanging="2160"/>
      </w:pPr>
      <w:rPr>
        <w:rFonts w:hint="default"/>
        <w:b/>
        <w:color w:val="000000"/>
      </w:rPr>
    </w:lvl>
  </w:abstractNum>
  <w:abstractNum w:abstractNumId="2">
    <w:nsid w:val="637C4BD7"/>
    <w:multiLevelType w:val="multilevel"/>
    <w:tmpl w:val="637C4BD7"/>
    <w:lvl w:ilvl="0">
      <w:start w:val="1"/>
      <w:numFmt w:val="decimal"/>
      <w:pStyle w:val="21"/>
      <w:suff w:val="space"/>
      <w:lvlText w:val="2.0.%1"/>
      <w:lvlJc w:val="left"/>
      <w:pPr>
        <w:ind w:left="0" w:firstLine="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768D611D"/>
    <w:multiLevelType w:val="multilevel"/>
    <w:tmpl w:val="768D611D"/>
    <w:lvl w:ilvl="0">
      <w:start w:val="1"/>
      <w:numFmt w:val="decimal"/>
      <w:pStyle w:val="10"/>
      <w:suff w:val="space"/>
      <w:lvlText w:val="1.0.%1"/>
      <w:lvlJc w:val="left"/>
      <w:pPr>
        <w:ind w:left="0" w:firstLine="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3"/>
  </w:num>
  <w:num w:numId="3">
    <w:abstractNumId w:val="2"/>
  </w:num>
  <w:num w:numId="4">
    <w:abstractNumId w:val="1"/>
  </w:num>
  <w:num w:numId="5">
    <w:abstractNumId w:val="0"/>
    <w:lvlOverride w:ilvl="0">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evenAndOddHeaders/>
  <w:drawingGridHorizontalSpacing w:val="120"/>
  <w:drawingGridVerticalSpacing w:val="163"/>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259"/>
    <w:rsid w:val="00000D06"/>
    <w:rsid w:val="0000240D"/>
    <w:rsid w:val="0000346B"/>
    <w:rsid w:val="000041E6"/>
    <w:rsid w:val="00007D75"/>
    <w:rsid w:val="00015E6E"/>
    <w:rsid w:val="00016978"/>
    <w:rsid w:val="00016D25"/>
    <w:rsid w:val="000228F4"/>
    <w:rsid w:val="0002580B"/>
    <w:rsid w:val="00025AD0"/>
    <w:rsid w:val="0003134C"/>
    <w:rsid w:val="00044988"/>
    <w:rsid w:val="000455BB"/>
    <w:rsid w:val="000472B1"/>
    <w:rsid w:val="00051532"/>
    <w:rsid w:val="00055C2A"/>
    <w:rsid w:val="0006412B"/>
    <w:rsid w:val="00065259"/>
    <w:rsid w:val="00065800"/>
    <w:rsid w:val="0008390F"/>
    <w:rsid w:val="0008705B"/>
    <w:rsid w:val="00091A47"/>
    <w:rsid w:val="00091A6B"/>
    <w:rsid w:val="00091DA1"/>
    <w:rsid w:val="00094F38"/>
    <w:rsid w:val="0009584C"/>
    <w:rsid w:val="000965FF"/>
    <w:rsid w:val="000A4572"/>
    <w:rsid w:val="000A67F5"/>
    <w:rsid w:val="000B069C"/>
    <w:rsid w:val="000B26B0"/>
    <w:rsid w:val="000B3191"/>
    <w:rsid w:val="000B352C"/>
    <w:rsid w:val="000B79D9"/>
    <w:rsid w:val="000B7C31"/>
    <w:rsid w:val="000C0BE9"/>
    <w:rsid w:val="000C1148"/>
    <w:rsid w:val="000C61B8"/>
    <w:rsid w:val="000D15A1"/>
    <w:rsid w:val="000D27B6"/>
    <w:rsid w:val="000D6D2B"/>
    <w:rsid w:val="000D7C80"/>
    <w:rsid w:val="000E1EA5"/>
    <w:rsid w:val="000E2931"/>
    <w:rsid w:val="000E76DE"/>
    <w:rsid w:val="000F2DF3"/>
    <w:rsid w:val="000F57EA"/>
    <w:rsid w:val="000F5BF2"/>
    <w:rsid w:val="001011ED"/>
    <w:rsid w:val="00102E3C"/>
    <w:rsid w:val="00105A13"/>
    <w:rsid w:val="00110A39"/>
    <w:rsid w:val="00121595"/>
    <w:rsid w:val="00133164"/>
    <w:rsid w:val="00136F0F"/>
    <w:rsid w:val="00137D93"/>
    <w:rsid w:val="0014041A"/>
    <w:rsid w:val="00145272"/>
    <w:rsid w:val="0016391A"/>
    <w:rsid w:val="001665F3"/>
    <w:rsid w:val="00167C13"/>
    <w:rsid w:val="001707D7"/>
    <w:rsid w:val="00173465"/>
    <w:rsid w:val="001801C6"/>
    <w:rsid w:val="001841F2"/>
    <w:rsid w:val="001847D8"/>
    <w:rsid w:val="00184E0C"/>
    <w:rsid w:val="00190B7E"/>
    <w:rsid w:val="00193F20"/>
    <w:rsid w:val="00194B73"/>
    <w:rsid w:val="00196460"/>
    <w:rsid w:val="00197A2D"/>
    <w:rsid w:val="001A1042"/>
    <w:rsid w:val="001A29A9"/>
    <w:rsid w:val="001A3FA6"/>
    <w:rsid w:val="001A55C3"/>
    <w:rsid w:val="001B0BA4"/>
    <w:rsid w:val="001B1330"/>
    <w:rsid w:val="001B169B"/>
    <w:rsid w:val="001B2976"/>
    <w:rsid w:val="001B3474"/>
    <w:rsid w:val="001B481B"/>
    <w:rsid w:val="001B5AE3"/>
    <w:rsid w:val="001C2A03"/>
    <w:rsid w:val="001C7CFD"/>
    <w:rsid w:val="001C7F6D"/>
    <w:rsid w:val="001D0BE6"/>
    <w:rsid w:val="001E6A78"/>
    <w:rsid w:val="001E6C68"/>
    <w:rsid w:val="001F683B"/>
    <w:rsid w:val="001F7B59"/>
    <w:rsid w:val="00200F0A"/>
    <w:rsid w:val="002021F0"/>
    <w:rsid w:val="002060EE"/>
    <w:rsid w:val="00210701"/>
    <w:rsid w:val="00212037"/>
    <w:rsid w:val="002156B2"/>
    <w:rsid w:val="00223B0E"/>
    <w:rsid w:val="00230E51"/>
    <w:rsid w:val="0023279D"/>
    <w:rsid w:val="00235784"/>
    <w:rsid w:val="0024756B"/>
    <w:rsid w:val="00252146"/>
    <w:rsid w:val="0025420D"/>
    <w:rsid w:val="00261627"/>
    <w:rsid w:val="00261FEC"/>
    <w:rsid w:val="002621A5"/>
    <w:rsid w:val="00262733"/>
    <w:rsid w:val="00262736"/>
    <w:rsid w:val="00276F3A"/>
    <w:rsid w:val="0028070D"/>
    <w:rsid w:val="00280B26"/>
    <w:rsid w:val="00280F36"/>
    <w:rsid w:val="002827F1"/>
    <w:rsid w:val="00283C77"/>
    <w:rsid w:val="00285582"/>
    <w:rsid w:val="002937A0"/>
    <w:rsid w:val="002A0721"/>
    <w:rsid w:val="002A17B4"/>
    <w:rsid w:val="002A4F97"/>
    <w:rsid w:val="002A6880"/>
    <w:rsid w:val="002B279E"/>
    <w:rsid w:val="002B30D9"/>
    <w:rsid w:val="002B5E67"/>
    <w:rsid w:val="002B60A4"/>
    <w:rsid w:val="002C3DB3"/>
    <w:rsid w:val="002C54DE"/>
    <w:rsid w:val="002C7861"/>
    <w:rsid w:val="002D47FF"/>
    <w:rsid w:val="002D66C6"/>
    <w:rsid w:val="002D6756"/>
    <w:rsid w:val="002E38FD"/>
    <w:rsid w:val="002E65FE"/>
    <w:rsid w:val="002F5617"/>
    <w:rsid w:val="002F779F"/>
    <w:rsid w:val="002F77EE"/>
    <w:rsid w:val="002F7B4B"/>
    <w:rsid w:val="0030432D"/>
    <w:rsid w:val="0030595D"/>
    <w:rsid w:val="00313528"/>
    <w:rsid w:val="003159BF"/>
    <w:rsid w:val="00316861"/>
    <w:rsid w:val="00317A09"/>
    <w:rsid w:val="00322362"/>
    <w:rsid w:val="00325913"/>
    <w:rsid w:val="00345742"/>
    <w:rsid w:val="00357F76"/>
    <w:rsid w:val="00366021"/>
    <w:rsid w:val="00371134"/>
    <w:rsid w:val="00374A9C"/>
    <w:rsid w:val="0037581B"/>
    <w:rsid w:val="0038635E"/>
    <w:rsid w:val="003878CB"/>
    <w:rsid w:val="0039448E"/>
    <w:rsid w:val="00395202"/>
    <w:rsid w:val="003A045E"/>
    <w:rsid w:val="003A09DA"/>
    <w:rsid w:val="003A2604"/>
    <w:rsid w:val="003A5AF5"/>
    <w:rsid w:val="003B1CEB"/>
    <w:rsid w:val="003B228B"/>
    <w:rsid w:val="003B2B2F"/>
    <w:rsid w:val="003B3582"/>
    <w:rsid w:val="003B521F"/>
    <w:rsid w:val="003B54A5"/>
    <w:rsid w:val="003B55F7"/>
    <w:rsid w:val="003B6BB3"/>
    <w:rsid w:val="003F41FB"/>
    <w:rsid w:val="00400615"/>
    <w:rsid w:val="00400D88"/>
    <w:rsid w:val="00403B43"/>
    <w:rsid w:val="004042D2"/>
    <w:rsid w:val="004078EA"/>
    <w:rsid w:val="0041093A"/>
    <w:rsid w:val="004120FF"/>
    <w:rsid w:val="00412A7F"/>
    <w:rsid w:val="00416D93"/>
    <w:rsid w:val="00417194"/>
    <w:rsid w:val="00420B95"/>
    <w:rsid w:val="00422D6A"/>
    <w:rsid w:val="00426A68"/>
    <w:rsid w:val="004348BF"/>
    <w:rsid w:val="00434E42"/>
    <w:rsid w:val="00437DB1"/>
    <w:rsid w:val="00450090"/>
    <w:rsid w:val="00450A23"/>
    <w:rsid w:val="00482F37"/>
    <w:rsid w:val="00485CCF"/>
    <w:rsid w:val="0048704C"/>
    <w:rsid w:val="00490B43"/>
    <w:rsid w:val="0049509B"/>
    <w:rsid w:val="00495852"/>
    <w:rsid w:val="0049712E"/>
    <w:rsid w:val="004A0CDB"/>
    <w:rsid w:val="004A1146"/>
    <w:rsid w:val="004B0ABC"/>
    <w:rsid w:val="004B63EE"/>
    <w:rsid w:val="004B764B"/>
    <w:rsid w:val="004C03BA"/>
    <w:rsid w:val="004C0547"/>
    <w:rsid w:val="004C4F6E"/>
    <w:rsid w:val="004C7E34"/>
    <w:rsid w:val="004D0C00"/>
    <w:rsid w:val="004E3084"/>
    <w:rsid w:val="004E52F3"/>
    <w:rsid w:val="004E79B4"/>
    <w:rsid w:val="004F14D6"/>
    <w:rsid w:val="004F1773"/>
    <w:rsid w:val="004F2506"/>
    <w:rsid w:val="004F3F73"/>
    <w:rsid w:val="004F662A"/>
    <w:rsid w:val="004F7300"/>
    <w:rsid w:val="004F7D43"/>
    <w:rsid w:val="00500308"/>
    <w:rsid w:val="0050128A"/>
    <w:rsid w:val="0050178A"/>
    <w:rsid w:val="00504D5A"/>
    <w:rsid w:val="005104CB"/>
    <w:rsid w:val="00514372"/>
    <w:rsid w:val="00521C0B"/>
    <w:rsid w:val="0053158B"/>
    <w:rsid w:val="00535C82"/>
    <w:rsid w:val="005426FA"/>
    <w:rsid w:val="00550372"/>
    <w:rsid w:val="005510B8"/>
    <w:rsid w:val="00553980"/>
    <w:rsid w:val="00554E60"/>
    <w:rsid w:val="00560048"/>
    <w:rsid w:val="0056189F"/>
    <w:rsid w:val="005656A8"/>
    <w:rsid w:val="00565AAD"/>
    <w:rsid w:val="00580467"/>
    <w:rsid w:val="005808BC"/>
    <w:rsid w:val="005827C8"/>
    <w:rsid w:val="00584999"/>
    <w:rsid w:val="00595818"/>
    <w:rsid w:val="00595D92"/>
    <w:rsid w:val="005A0B40"/>
    <w:rsid w:val="005A0DD3"/>
    <w:rsid w:val="005A6470"/>
    <w:rsid w:val="005B6156"/>
    <w:rsid w:val="005B7512"/>
    <w:rsid w:val="005C0371"/>
    <w:rsid w:val="005C4F10"/>
    <w:rsid w:val="005D2995"/>
    <w:rsid w:val="005D699A"/>
    <w:rsid w:val="005D71D5"/>
    <w:rsid w:val="005E35F6"/>
    <w:rsid w:val="005E4675"/>
    <w:rsid w:val="005E6862"/>
    <w:rsid w:val="005E76D9"/>
    <w:rsid w:val="005F0788"/>
    <w:rsid w:val="005F1BEC"/>
    <w:rsid w:val="005F26B9"/>
    <w:rsid w:val="005F428C"/>
    <w:rsid w:val="005F72C2"/>
    <w:rsid w:val="005F7B61"/>
    <w:rsid w:val="00610144"/>
    <w:rsid w:val="00614618"/>
    <w:rsid w:val="00615268"/>
    <w:rsid w:val="006166D0"/>
    <w:rsid w:val="00617DE5"/>
    <w:rsid w:val="00626D8F"/>
    <w:rsid w:val="006303A8"/>
    <w:rsid w:val="00633623"/>
    <w:rsid w:val="006339E0"/>
    <w:rsid w:val="00650535"/>
    <w:rsid w:val="0065112A"/>
    <w:rsid w:val="006542BC"/>
    <w:rsid w:val="00655B5C"/>
    <w:rsid w:val="00656DE0"/>
    <w:rsid w:val="00661252"/>
    <w:rsid w:val="00662F6C"/>
    <w:rsid w:val="00665BE9"/>
    <w:rsid w:val="00665D0C"/>
    <w:rsid w:val="00667974"/>
    <w:rsid w:val="00670D30"/>
    <w:rsid w:val="00674C17"/>
    <w:rsid w:val="0067529E"/>
    <w:rsid w:val="0067581E"/>
    <w:rsid w:val="00684FF1"/>
    <w:rsid w:val="006917F6"/>
    <w:rsid w:val="00694771"/>
    <w:rsid w:val="00697973"/>
    <w:rsid w:val="006A36D8"/>
    <w:rsid w:val="006A424F"/>
    <w:rsid w:val="006B2461"/>
    <w:rsid w:val="006B2B8B"/>
    <w:rsid w:val="006B4DDC"/>
    <w:rsid w:val="006B6F53"/>
    <w:rsid w:val="006B775F"/>
    <w:rsid w:val="006D1FB7"/>
    <w:rsid w:val="006E146C"/>
    <w:rsid w:val="006E1BDB"/>
    <w:rsid w:val="006E2AC2"/>
    <w:rsid w:val="006E3618"/>
    <w:rsid w:val="006E3802"/>
    <w:rsid w:val="006E3D5D"/>
    <w:rsid w:val="006E438E"/>
    <w:rsid w:val="006F2E7F"/>
    <w:rsid w:val="006F5714"/>
    <w:rsid w:val="00701410"/>
    <w:rsid w:val="00703744"/>
    <w:rsid w:val="00704733"/>
    <w:rsid w:val="0071437B"/>
    <w:rsid w:val="007159B9"/>
    <w:rsid w:val="0072001C"/>
    <w:rsid w:val="007228C8"/>
    <w:rsid w:val="00724DC4"/>
    <w:rsid w:val="0074048F"/>
    <w:rsid w:val="007426D9"/>
    <w:rsid w:val="00755D4E"/>
    <w:rsid w:val="00757E34"/>
    <w:rsid w:val="007629D6"/>
    <w:rsid w:val="00764556"/>
    <w:rsid w:val="00764B4F"/>
    <w:rsid w:val="00765655"/>
    <w:rsid w:val="00766C2E"/>
    <w:rsid w:val="00777874"/>
    <w:rsid w:val="00795E52"/>
    <w:rsid w:val="007A26EF"/>
    <w:rsid w:val="007A27EA"/>
    <w:rsid w:val="007A3A83"/>
    <w:rsid w:val="007A410C"/>
    <w:rsid w:val="007A4CCB"/>
    <w:rsid w:val="007B2ACF"/>
    <w:rsid w:val="007B5568"/>
    <w:rsid w:val="007C252C"/>
    <w:rsid w:val="007C30A9"/>
    <w:rsid w:val="007C72BF"/>
    <w:rsid w:val="007D54CE"/>
    <w:rsid w:val="007D7C8F"/>
    <w:rsid w:val="007E208A"/>
    <w:rsid w:val="008002A3"/>
    <w:rsid w:val="00802638"/>
    <w:rsid w:val="008126E8"/>
    <w:rsid w:val="008152A6"/>
    <w:rsid w:val="00817E69"/>
    <w:rsid w:val="00821CE6"/>
    <w:rsid w:val="00825DA0"/>
    <w:rsid w:val="00826A32"/>
    <w:rsid w:val="00832743"/>
    <w:rsid w:val="00832918"/>
    <w:rsid w:val="00836F8A"/>
    <w:rsid w:val="008470C5"/>
    <w:rsid w:val="00852288"/>
    <w:rsid w:val="008528A0"/>
    <w:rsid w:val="0085504F"/>
    <w:rsid w:val="00862154"/>
    <w:rsid w:val="008633A4"/>
    <w:rsid w:val="008634E4"/>
    <w:rsid w:val="00864A1E"/>
    <w:rsid w:val="0087112A"/>
    <w:rsid w:val="008779D4"/>
    <w:rsid w:val="008853AE"/>
    <w:rsid w:val="00885A2A"/>
    <w:rsid w:val="0088703F"/>
    <w:rsid w:val="008901DE"/>
    <w:rsid w:val="00894445"/>
    <w:rsid w:val="008A2009"/>
    <w:rsid w:val="008B4736"/>
    <w:rsid w:val="008C3FB4"/>
    <w:rsid w:val="008D27CB"/>
    <w:rsid w:val="008D2A51"/>
    <w:rsid w:val="008E2138"/>
    <w:rsid w:val="008E362F"/>
    <w:rsid w:val="008E70D0"/>
    <w:rsid w:val="008F2E6D"/>
    <w:rsid w:val="008F3191"/>
    <w:rsid w:val="008F777A"/>
    <w:rsid w:val="00902739"/>
    <w:rsid w:val="00903D25"/>
    <w:rsid w:val="00906D72"/>
    <w:rsid w:val="00915DE0"/>
    <w:rsid w:val="0091649C"/>
    <w:rsid w:val="0091790B"/>
    <w:rsid w:val="0092089F"/>
    <w:rsid w:val="00924CA2"/>
    <w:rsid w:val="009251FC"/>
    <w:rsid w:val="009264A8"/>
    <w:rsid w:val="0092757B"/>
    <w:rsid w:val="00933EC3"/>
    <w:rsid w:val="009349B7"/>
    <w:rsid w:val="00935DAB"/>
    <w:rsid w:val="009439FF"/>
    <w:rsid w:val="00945EE4"/>
    <w:rsid w:val="00950836"/>
    <w:rsid w:val="00952C38"/>
    <w:rsid w:val="00954D8D"/>
    <w:rsid w:val="00954EEA"/>
    <w:rsid w:val="009601DD"/>
    <w:rsid w:val="0096302A"/>
    <w:rsid w:val="00967C1A"/>
    <w:rsid w:val="00985447"/>
    <w:rsid w:val="00987699"/>
    <w:rsid w:val="009946DB"/>
    <w:rsid w:val="009960D4"/>
    <w:rsid w:val="009977FE"/>
    <w:rsid w:val="009A2025"/>
    <w:rsid w:val="009A28C7"/>
    <w:rsid w:val="009B5B2D"/>
    <w:rsid w:val="009B77B3"/>
    <w:rsid w:val="009C06DB"/>
    <w:rsid w:val="009C3276"/>
    <w:rsid w:val="009C3350"/>
    <w:rsid w:val="009C764C"/>
    <w:rsid w:val="009C7AD7"/>
    <w:rsid w:val="009C7D9C"/>
    <w:rsid w:val="009D1575"/>
    <w:rsid w:val="009D479B"/>
    <w:rsid w:val="009E0740"/>
    <w:rsid w:val="009E0B07"/>
    <w:rsid w:val="009E0CD2"/>
    <w:rsid w:val="009E26AC"/>
    <w:rsid w:val="009E3C97"/>
    <w:rsid w:val="009E4EC6"/>
    <w:rsid w:val="009F5998"/>
    <w:rsid w:val="009F6DE2"/>
    <w:rsid w:val="009F7E31"/>
    <w:rsid w:val="00A06E87"/>
    <w:rsid w:val="00A17755"/>
    <w:rsid w:val="00A24FF0"/>
    <w:rsid w:val="00A256F6"/>
    <w:rsid w:val="00A35615"/>
    <w:rsid w:val="00A361F0"/>
    <w:rsid w:val="00A40527"/>
    <w:rsid w:val="00A42437"/>
    <w:rsid w:val="00A428BE"/>
    <w:rsid w:val="00A43D12"/>
    <w:rsid w:val="00A44C76"/>
    <w:rsid w:val="00A461D8"/>
    <w:rsid w:val="00A47396"/>
    <w:rsid w:val="00A5221C"/>
    <w:rsid w:val="00A644AB"/>
    <w:rsid w:val="00A72519"/>
    <w:rsid w:val="00A73199"/>
    <w:rsid w:val="00A8131E"/>
    <w:rsid w:val="00A84ED8"/>
    <w:rsid w:val="00A9045E"/>
    <w:rsid w:val="00A9048C"/>
    <w:rsid w:val="00A93613"/>
    <w:rsid w:val="00AA1E45"/>
    <w:rsid w:val="00AA7EBF"/>
    <w:rsid w:val="00AB4FC0"/>
    <w:rsid w:val="00AB5C16"/>
    <w:rsid w:val="00AB626B"/>
    <w:rsid w:val="00AB7AEB"/>
    <w:rsid w:val="00AC0EE4"/>
    <w:rsid w:val="00AD076F"/>
    <w:rsid w:val="00AD41AE"/>
    <w:rsid w:val="00AD59A1"/>
    <w:rsid w:val="00AD79AE"/>
    <w:rsid w:val="00AE0AB8"/>
    <w:rsid w:val="00AE68D2"/>
    <w:rsid w:val="00AF507E"/>
    <w:rsid w:val="00B01716"/>
    <w:rsid w:val="00B01C60"/>
    <w:rsid w:val="00B02523"/>
    <w:rsid w:val="00B04A09"/>
    <w:rsid w:val="00B07356"/>
    <w:rsid w:val="00B07B37"/>
    <w:rsid w:val="00B15E30"/>
    <w:rsid w:val="00B15F93"/>
    <w:rsid w:val="00B161F2"/>
    <w:rsid w:val="00B23017"/>
    <w:rsid w:val="00B273EB"/>
    <w:rsid w:val="00B30C63"/>
    <w:rsid w:val="00B31B62"/>
    <w:rsid w:val="00B33723"/>
    <w:rsid w:val="00B35222"/>
    <w:rsid w:val="00B40928"/>
    <w:rsid w:val="00B42779"/>
    <w:rsid w:val="00B51E79"/>
    <w:rsid w:val="00B5617A"/>
    <w:rsid w:val="00B640F6"/>
    <w:rsid w:val="00B650ED"/>
    <w:rsid w:val="00B67DC5"/>
    <w:rsid w:val="00B729E5"/>
    <w:rsid w:val="00B80982"/>
    <w:rsid w:val="00B85450"/>
    <w:rsid w:val="00B9006C"/>
    <w:rsid w:val="00B90CE9"/>
    <w:rsid w:val="00B92BFD"/>
    <w:rsid w:val="00B93F68"/>
    <w:rsid w:val="00BA0694"/>
    <w:rsid w:val="00BA4B9B"/>
    <w:rsid w:val="00BA6A2C"/>
    <w:rsid w:val="00BB06F4"/>
    <w:rsid w:val="00BB7235"/>
    <w:rsid w:val="00BC0083"/>
    <w:rsid w:val="00BC2ECE"/>
    <w:rsid w:val="00BD4DDD"/>
    <w:rsid w:val="00BD73D5"/>
    <w:rsid w:val="00BD77BF"/>
    <w:rsid w:val="00BE064D"/>
    <w:rsid w:val="00BE4EE7"/>
    <w:rsid w:val="00BF0125"/>
    <w:rsid w:val="00BF104F"/>
    <w:rsid w:val="00C0023B"/>
    <w:rsid w:val="00C0506B"/>
    <w:rsid w:val="00C05733"/>
    <w:rsid w:val="00C1070F"/>
    <w:rsid w:val="00C213C5"/>
    <w:rsid w:val="00C2415F"/>
    <w:rsid w:val="00C3096C"/>
    <w:rsid w:val="00C371AB"/>
    <w:rsid w:val="00C4360D"/>
    <w:rsid w:val="00C444B4"/>
    <w:rsid w:val="00C45BD5"/>
    <w:rsid w:val="00C50629"/>
    <w:rsid w:val="00C50AD3"/>
    <w:rsid w:val="00C5350C"/>
    <w:rsid w:val="00C577BE"/>
    <w:rsid w:val="00C66A77"/>
    <w:rsid w:val="00C67B43"/>
    <w:rsid w:val="00C722C8"/>
    <w:rsid w:val="00C73C31"/>
    <w:rsid w:val="00C771EB"/>
    <w:rsid w:val="00C802D3"/>
    <w:rsid w:val="00C8178F"/>
    <w:rsid w:val="00C82724"/>
    <w:rsid w:val="00C858C0"/>
    <w:rsid w:val="00C86B19"/>
    <w:rsid w:val="00CA2426"/>
    <w:rsid w:val="00CA2CF7"/>
    <w:rsid w:val="00CA69C2"/>
    <w:rsid w:val="00CA6FAA"/>
    <w:rsid w:val="00CA7A2E"/>
    <w:rsid w:val="00CB2AE8"/>
    <w:rsid w:val="00CB4DB4"/>
    <w:rsid w:val="00CB527D"/>
    <w:rsid w:val="00CB5830"/>
    <w:rsid w:val="00CB778E"/>
    <w:rsid w:val="00CC144B"/>
    <w:rsid w:val="00CC1BAB"/>
    <w:rsid w:val="00CC203E"/>
    <w:rsid w:val="00CC7ADA"/>
    <w:rsid w:val="00CD14C8"/>
    <w:rsid w:val="00CD6195"/>
    <w:rsid w:val="00CE0FB2"/>
    <w:rsid w:val="00CE77CD"/>
    <w:rsid w:val="00CF3C72"/>
    <w:rsid w:val="00CF68AF"/>
    <w:rsid w:val="00D00971"/>
    <w:rsid w:val="00D107C7"/>
    <w:rsid w:val="00D12048"/>
    <w:rsid w:val="00D130C0"/>
    <w:rsid w:val="00D16448"/>
    <w:rsid w:val="00D22001"/>
    <w:rsid w:val="00D257EA"/>
    <w:rsid w:val="00D26039"/>
    <w:rsid w:val="00D33E2F"/>
    <w:rsid w:val="00D363C6"/>
    <w:rsid w:val="00D37C89"/>
    <w:rsid w:val="00D44EC0"/>
    <w:rsid w:val="00D473B8"/>
    <w:rsid w:val="00D51964"/>
    <w:rsid w:val="00D53185"/>
    <w:rsid w:val="00D54BFE"/>
    <w:rsid w:val="00D55766"/>
    <w:rsid w:val="00D564DA"/>
    <w:rsid w:val="00D6247C"/>
    <w:rsid w:val="00D62D2C"/>
    <w:rsid w:val="00D66CC0"/>
    <w:rsid w:val="00D71A2C"/>
    <w:rsid w:val="00D7536E"/>
    <w:rsid w:val="00D8148B"/>
    <w:rsid w:val="00D836B7"/>
    <w:rsid w:val="00D922D9"/>
    <w:rsid w:val="00D9323B"/>
    <w:rsid w:val="00D93E45"/>
    <w:rsid w:val="00DA2F9A"/>
    <w:rsid w:val="00DA3E9F"/>
    <w:rsid w:val="00DA641A"/>
    <w:rsid w:val="00DB4C5D"/>
    <w:rsid w:val="00DB7488"/>
    <w:rsid w:val="00DB78E0"/>
    <w:rsid w:val="00DC0D83"/>
    <w:rsid w:val="00DC28CF"/>
    <w:rsid w:val="00DD1FCA"/>
    <w:rsid w:val="00DD4510"/>
    <w:rsid w:val="00DD4741"/>
    <w:rsid w:val="00DD57CB"/>
    <w:rsid w:val="00DE085D"/>
    <w:rsid w:val="00DE0E12"/>
    <w:rsid w:val="00DE0E38"/>
    <w:rsid w:val="00DE55EA"/>
    <w:rsid w:val="00DE7918"/>
    <w:rsid w:val="00DF06A1"/>
    <w:rsid w:val="00E02B87"/>
    <w:rsid w:val="00E052F2"/>
    <w:rsid w:val="00E077E8"/>
    <w:rsid w:val="00E07D63"/>
    <w:rsid w:val="00E129A8"/>
    <w:rsid w:val="00E1411C"/>
    <w:rsid w:val="00E15F2A"/>
    <w:rsid w:val="00E22B1D"/>
    <w:rsid w:val="00E22C2A"/>
    <w:rsid w:val="00E23129"/>
    <w:rsid w:val="00E2591A"/>
    <w:rsid w:val="00E305A3"/>
    <w:rsid w:val="00E30645"/>
    <w:rsid w:val="00E3281D"/>
    <w:rsid w:val="00E3442F"/>
    <w:rsid w:val="00E35547"/>
    <w:rsid w:val="00E358CB"/>
    <w:rsid w:val="00E406D7"/>
    <w:rsid w:val="00E44827"/>
    <w:rsid w:val="00E44E5C"/>
    <w:rsid w:val="00E57028"/>
    <w:rsid w:val="00E6205A"/>
    <w:rsid w:val="00E64B58"/>
    <w:rsid w:val="00E752E5"/>
    <w:rsid w:val="00E80ADF"/>
    <w:rsid w:val="00E82172"/>
    <w:rsid w:val="00E8336D"/>
    <w:rsid w:val="00E85E52"/>
    <w:rsid w:val="00E93A9C"/>
    <w:rsid w:val="00EA002F"/>
    <w:rsid w:val="00EA5FCE"/>
    <w:rsid w:val="00EB5337"/>
    <w:rsid w:val="00EC0986"/>
    <w:rsid w:val="00EC0D2D"/>
    <w:rsid w:val="00EC6ADB"/>
    <w:rsid w:val="00ED0004"/>
    <w:rsid w:val="00ED7205"/>
    <w:rsid w:val="00EE46FD"/>
    <w:rsid w:val="00EE6797"/>
    <w:rsid w:val="00EF47EA"/>
    <w:rsid w:val="00EF63C1"/>
    <w:rsid w:val="00F022CE"/>
    <w:rsid w:val="00F14627"/>
    <w:rsid w:val="00F2252D"/>
    <w:rsid w:val="00F23893"/>
    <w:rsid w:val="00F255F6"/>
    <w:rsid w:val="00F25B85"/>
    <w:rsid w:val="00F303CE"/>
    <w:rsid w:val="00F310D5"/>
    <w:rsid w:val="00F33F9D"/>
    <w:rsid w:val="00F34E1F"/>
    <w:rsid w:val="00F431F6"/>
    <w:rsid w:val="00F60B0E"/>
    <w:rsid w:val="00F61B1A"/>
    <w:rsid w:val="00F81947"/>
    <w:rsid w:val="00F83614"/>
    <w:rsid w:val="00F9140B"/>
    <w:rsid w:val="00FA04EC"/>
    <w:rsid w:val="00FA0DCA"/>
    <w:rsid w:val="00FA17E1"/>
    <w:rsid w:val="00FA46CA"/>
    <w:rsid w:val="00FC0496"/>
    <w:rsid w:val="00FC4DAD"/>
    <w:rsid w:val="00FD07C5"/>
    <w:rsid w:val="00FD27FB"/>
    <w:rsid w:val="00FD3CB3"/>
    <w:rsid w:val="00FD76CD"/>
    <w:rsid w:val="00FF04F6"/>
    <w:rsid w:val="00FF3B74"/>
    <w:rsid w:val="00FF4518"/>
    <w:rsid w:val="00FF7E8E"/>
    <w:rsid w:val="4A225CEB"/>
  </w:rsids>
  <w:docVars>
    <w:docVar w:name="commondata" w:val="eyJoZGlkIjoiNzgyYjI0MGRkMmY4NDE0YjgxYzdjMzBiNDQ0OTk1M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semiHidden="0" w:qFormat="1"/>
    <w:lsdException w:name="header" w:semiHidden="0"/>
    <w:lsdException w:name="footer" w:semiHidden="0" w:qFormat="1"/>
    <w:lsdException w:name="index heading"/>
    <w:lsdException w:name="caption" w:semiHidden="0" w:uiPriority="35" w:qFormat="1"/>
    <w:lsdException w:name="table of figures"/>
    <w:lsdException w:name="envelope address"/>
    <w:lsdException w:name="envelope return"/>
    <w:lsdException w:name="footnote reference"/>
    <w:lsdException w:name="annotation reference"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spacing w:line="360" w:lineRule="auto"/>
      <w:jc w:val="both"/>
    </w:pPr>
    <w:rPr>
      <w:rFonts w:ascii="Times New Roman" w:eastAsia="宋体" w:hAnsi="Times New Roman" w:cstheme="minorBidi"/>
      <w:kern w:val="2"/>
      <w:sz w:val="24"/>
      <w:szCs w:val="22"/>
      <w:lang w:val="en-US" w:eastAsia="zh-CN" w:bidi="ar-SA"/>
    </w:rPr>
  </w:style>
  <w:style w:type="paragraph" w:styleId="Heading1">
    <w:name w:val="heading 1"/>
    <w:basedOn w:val="Normal"/>
    <w:next w:val="Normal"/>
    <w:link w:val="1"/>
    <w:uiPriority w:val="9"/>
    <w:qFormat/>
    <w:pPr>
      <w:keepNext/>
      <w:keepLines/>
      <w:numPr>
        <w:ilvl w:val="0"/>
        <w:numId w:val="1"/>
      </w:numPr>
      <w:snapToGrid w:val="0"/>
      <w:spacing w:before="600" w:after="480" w:line="240" w:lineRule="auto"/>
      <w:jc w:val="center"/>
      <w:outlineLvl w:val="0"/>
    </w:pPr>
    <w:rPr>
      <w:rFonts w:eastAsia="黑体"/>
      <w:b/>
      <w:bCs/>
      <w:kern w:val="44"/>
      <w:sz w:val="32"/>
      <w:szCs w:val="44"/>
    </w:rPr>
  </w:style>
  <w:style w:type="paragraph" w:styleId="Heading2">
    <w:name w:val="heading 2"/>
    <w:basedOn w:val="Normal"/>
    <w:next w:val="Normal"/>
    <w:link w:val="2"/>
    <w:uiPriority w:val="9"/>
    <w:unhideWhenUsed/>
    <w:qFormat/>
    <w:pPr>
      <w:keepNext/>
      <w:keepLines/>
      <w:numPr>
        <w:ilvl w:val="1"/>
        <w:numId w:val="1"/>
      </w:numPr>
      <w:spacing w:before="100" w:beforeLines="100" w:after="100" w:afterLines="100"/>
      <w:jc w:val="center"/>
      <w:outlineLvl w:val="1"/>
    </w:pPr>
    <w:rPr>
      <w:rFonts w:eastAsia="黑体" w:cstheme="majorBidi"/>
      <w:b/>
      <w:bCs/>
      <w:szCs w:val="32"/>
    </w:rPr>
  </w:style>
  <w:style w:type="paragraph" w:styleId="Heading3">
    <w:name w:val="heading 3"/>
    <w:basedOn w:val="Normal"/>
    <w:next w:val="Normal"/>
    <w:link w:val="32"/>
    <w:uiPriority w:val="9"/>
    <w:semiHidden/>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aption">
    <w:name w:val="caption"/>
    <w:basedOn w:val="Normal"/>
    <w:next w:val="Normal"/>
    <w:uiPriority w:val="35"/>
    <w:unhideWhenUsed/>
    <w:qFormat/>
    <w:rPr>
      <w:rFonts w:eastAsia="黑体" w:asciiTheme="majorHAnsi" w:hAnsiTheme="majorHAnsi" w:cstheme="majorBidi"/>
      <w:sz w:val="20"/>
      <w:szCs w:val="20"/>
    </w:rPr>
  </w:style>
  <w:style w:type="paragraph" w:styleId="CommentText">
    <w:name w:val="annotation text"/>
    <w:basedOn w:val="Normal"/>
    <w:link w:val="a3"/>
    <w:uiPriority w:val="99"/>
    <w:unhideWhenUsed/>
    <w:qFormat/>
    <w:pPr>
      <w:jc w:val="left"/>
    </w:pPr>
  </w:style>
  <w:style w:type="paragraph" w:styleId="TOC3">
    <w:name w:val="toc 3"/>
    <w:basedOn w:val="Normal"/>
    <w:next w:val="Normal"/>
    <w:autoRedefine/>
    <w:uiPriority w:val="39"/>
    <w:unhideWhenUsed/>
    <w:pPr>
      <w:widowControl/>
      <w:spacing w:after="100" w:line="259" w:lineRule="auto"/>
      <w:ind w:left="440"/>
      <w:jc w:val="left"/>
    </w:pPr>
    <w:rPr>
      <w:rFonts w:asciiTheme="minorHAnsi" w:eastAsiaTheme="minorEastAsia" w:hAnsiTheme="minorHAnsi" w:cs="Times New Roman"/>
      <w:kern w:val="0"/>
      <w:sz w:val="22"/>
    </w:rPr>
  </w:style>
  <w:style w:type="paragraph" w:styleId="Date">
    <w:name w:val="Date"/>
    <w:basedOn w:val="Normal"/>
    <w:next w:val="Normal"/>
    <w:link w:val="a5"/>
    <w:uiPriority w:val="99"/>
    <w:semiHidden/>
    <w:unhideWhenUsed/>
    <w:pPr>
      <w:ind w:left="100" w:leftChars="2500"/>
    </w:pPr>
  </w:style>
  <w:style w:type="paragraph" w:styleId="Footer">
    <w:name w:val="footer"/>
    <w:basedOn w:val="Normal"/>
    <w:link w:val="a0"/>
    <w:autoRedefine/>
    <w:uiPriority w:val="99"/>
    <w:unhideWhenUsed/>
    <w:qFormat/>
    <w:pPr>
      <w:tabs>
        <w:tab w:val="center" w:pos="4153"/>
        <w:tab w:val="right" w:pos="8306"/>
      </w:tabs>
      <w:snapToGrid w:val="0"/>
      <w:spacing w:line="240" w:lineRule="auto"/>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spacing w:line="240" w:lineRule="auto"/>
      <w:jc w:val="center"/>
    </w:pPr>
    <w:rPr>
      <w:sz w:val="18"/>
      <w:szCs w:val="18"/>
    </w:rPr>
  </w:style>
  <w:style w:type="paragraph" w:styleId="TOC1">
    <w:name w:val="toc 1"/>
    <w:basedOn w:val="Normal"/>
    <w:next w:val="Normal"/>
    <w:autoRedefine/>
    <w:uiPriority w:val="39"/>
    <w:unhideWhenUsed/>
    <w:qFormat/>
    <w:pPr>
      <w:tabs>
        <w:tab w:val="left" w:pos="420"/>
        <w:tab w:val="right" w:leader="dot" w:pos="9344"/>
      </w:tabs>
      <w:spacing w:line="276" w:lineRule="auto"/>
    </w:pPr>
    <w:rPr>
      <w:rFonts w:cs="Times New Roman"/>
      <w:szCs w:val="24"/>
    </w:rPr>
  </w:style>
  <w:style w:type="paragraph" w:styleId="TOC2">
    <w:name w:val="toc 2"/>
    <w:basedOn w:val="Normal"/>
    <w:next w:val="Normal"/>
    <w:autoRedefine/>
    <w:uiPriority w:val="39"/>
    <w:unhideWhenUsed/>
    <w:pPr>
      <w:tabs>
        <w:tab w:val="left" w:pos="1050"/>
        <w:tab w:val="right" w:leader="dot" w:pos="9344"/>
      </w:tabs>
      <w:spacing w:line="276" w:lineRule="auto"/>
      <w:ind w:left="480" w:leftChars="200"/>
    </w:pPr>
    <w:rPr>
      <w:rFonts w:cs="Times New Roman"/>
      <w:szCs w:val="24"/>
    </w:rPr>
  </w:style>
  <w:style w:type="paragraph" w:styleId="NormalWeb">
    <w:name w:val="Normal (Web)"/>
    <w:basedOn w:val="Normal"/>
    <w:uiPriority w:val="99"/>
    <w:semiHidden/>
    <w:unhideWhenUsed/>
    <w:pPr>
      <w:widowControl/>
      <w:spacing w:before="100" w:beforeAutospacing="1" w:after="100" w:afterAutospacing="1" w:line="240" w:lineRule="auto"/>
      <w:jc w:val="left"/>
    </w:pPr>
    <w:rPr>
      <w:rFonts w:ascii="宋体" w:hAnsi="宋体" w:cs="宋体"/>
      <w:kern w:val="0"/>
      <w:szCs w:val="24"/>
    </w:rPr>
  </w:style>
  <w:style w:type="paragraph" w:styleId="CommentSubject">
    <w:name w:val="annotation subject"/>
    <w:basedOn w:val="CommentText"/>
    <w:next w:val="CommentText"/>
    <w:link w:val="a4"/>
    <w:uiPriority w:val="99"/>
    <w:semiHidden/>
    <w:unhideWhenUsed/>
    <w:rPr>
      <w:b/>
      <w:bCs/>
    </w:rPr>
  </w:style>
  <w:style w:type="table" w:styleId="TableGrid">
    <w:name w:val="Table Grid"/>
    <w:basedOn w:val="TableNormal"/>
    <w:uiPriority w:val="39"/>
    <w:qFormat/>
    <w:pPr>
      <w:widowControl w:val="0"/>
      <w:jc w:val="both"/>
    </w:pPr>
    <w:rPr>
      <w:rFonts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Pr>
      <w:color w:val="954F72" w:themeColor="followedHyperlink"/>
      <w:u w:val="single"/>
      <w14:textFill>
        <w14:solidFill>
          <w14:schemeClr w14:val="folHlink"/>
        </w14:solidFill>
      </w14:textFill>
    </w:rPr>
  </w:style>
  <w:style w:type="character" w:styleId="Hyperlink">
    <w:name w:val="Hyperlink"/>
    <w:uiPriority w:val="99"/>
    <w:rPr>
      <w:color w:val="0000FF"/>
      <w:u w:val="single"/>
    </w:rPr>
  </w:style>
  <w:style w:type="character" w:styleId="CommentReference">
    <w:name w:val="annotation reference"/>
    <w:basedOn w:val="DefaultParagraphFont"/>
    <w:uiPriority w:val="99"/>
    <w:semiHidden/>
    <w:unhideWhenUsed/>
    <w:qFormat/>
    <w:rPr>
      <w:sz w:val="21"/>
      <w:szCs w:val="21"/>
    </w:rPr>
  </w:style>
  <w:style w:type="character" w:customStyle="1" w:styleId="1">
    <w:name w:val="标题 1 字符"/>
    <w:basedOn w:val="DefaultParagraphFont"/>
    <w:link w:val="Heading1"/>
    <w:autoRedefine/>
    <w:uiPriority w:val="9"/>
    <w:qFormat/>
    <w:rPr>
      <w:rFonts w:eastAsia="黑体"/>
      <w:b/>
      <w:bCs/>
      <w:kern w:val="44"/>
      <w:sz w:val="32"/>
      <w:szCs w:val="44"/>
    </w:rPr>
  </w:style>
  <w:style w:type="character" w:customStyle="1" w:styleId="2">
    <w:name w:val="标题 2 字符"/>
    <w:basedOn w:val="DefaultParagraphFont"/>
    <w:link w:val="Heading2"/>
    <w:uiPriority w:val="9"/>
    <w:qFormat/>
    <w:rPr>
      <w:rFonts w:eastAsia="黑体" w:cstheme="majorBidi"/>
      <w:b/>
      <w:bCs/>
      <w:szCs w:val="32"/>
    </w:rPr>
  </w:style>
  <w:style w:type="paragraph" w:customStyle="1" w:styleId="10">
    <w:name w:val="1章正文"/>
    <w:basedOn w:val="Normal"/>
    <w:link w:val="11"/>
    <w:autoRedefine/>
    <w:qFormat/>
    <w:pPr>
      <w:numPr>
        <w:ilvl w:val="0"/>
        <w:numId w:val="2"/>
      </w:numPr>
    </w:pPr>
  </w:style>
  <w:style w:type="paragraph" w:customStyle="1" w:styleId="20">
    <w:name w:val="样式2"/>
    <w:basedOn w:val="Normal"/>
    <w:link w:val="22"/>
    <w:autoRedefine/>
    <w:qFormat/>
    <w:pPr>
      <w:numPr>
        <w:ilvl w:val="2"/>
        <w:numId w:val="1"/>
      </w:numPr>
    </w:pPr>
  </w:style>
  <w:style w:type="character" w:customStyle="1" w:styleId="11">
    <w:name w:val="1章正文 字符"/>
    <w:basedOn w:val="DefaultParagraphFont"/>
    <w:link w:val="10"/>
    <w:autoRedefine/>
    <w:qFormat/>
  </w:style>
  <w:style w:type="paragraph" w:customStyle="1" w:styleId="21">
    <w:name w:val="2章正文"/>
    <w:basedOn w:val="Normal"/>
    <w:link w:val="23"/>
    <w:autoRedefine/>
    <w:qFormat/>
    <w:pPr>
      <w:numPr>
        <w:ilvl w:val="0"/>
        <w:numId w:val="3"/>
      </w:numPr>
    </w:pPr>
  </w:style>
  <w:style w:type="character" w:customStyle="1" w:styleId="22">
    <w:name w:val="样式2 字符"/>
    <w:basedOn w:val="DefaultParagraphFont"/>
    <w:link w:val="20"/>
    <w:autoRedefine/>
    <w:qFormat/>
  </w:style>
  <w:style w:type="paragraph" w:customStyle="1" w:styleId="3">
    <w:name w:val="样式3"/>
    <w:basedOn w:val="20"/>
    <w:link w:val="3Char"/>
    <w:pPr>
      <w:keepNext/>
      <w:keepLines/>
      <w:numPr>
        <w:ilvl w:val="0"/>
        <w:numId w:val="0"/>
      </w:numPr>
      <w:jc w:val="left"/>
    </w:pPr>
    <w:rPr>
      <w:rFonts w:cs="Times New Roman"/>
      <w:bCs/>
      <w:kern w:val="44"/>
      <w:szCs w:val="44"/>
    </w:rPr>
  </w:style>
  <w:style w:type="character" w:customStyle="1" w:styleId="23">
    <w:name w:val="2章正文 字符"/>
    <w:basedOn w:val="DefaultParagraphFont"/>
    <w:link w:val="21"/>
    <w:autoRedefine/>
    <w:qFormat/>
  </w:style>
  <w:style w:type="character" w:customStyle="1" w:styleId="3Char">
    <w:name w:val="样式3 Char"/>
    <w:link w:val="3"/>
    <w:autoRedefine/>
    <w:qFormat/>
    <w:rPr>
      <w:rFonts w:cs="Times New Roman"/>
      <w:bCs/>
      <w:kern w:val="44"/>
      <w:szCs w:val="44"/>
    </w:rPr>
  </w:style>
  <w:style w:type="paragraph" w:customStyle="1" w:styleId="5">
    <w:name w:val="样式5"/>
    <w:basedOn w:val="Heading1"/>
    <w:link w:val="5Char"/>
    <w:autoRedefine/>
    <w:qFormat/>
    <w:pPr>
      <w:numPr>
        <w:numId w:val="0"/>
      </w:numPr>
      <w:jc w:val="left"/>
    </w:pPr>
    <w:rPr>
      <w:rFonts w:cs="Times New Roman"/>
    </w:rPr>
  </w:style>
  <w:style w:type="character" w:customStyle="1" w:styleId="5Char">
    <w:name w:val="样式5 Char"/>
    <w:link w:val="5"/>
    <w:autoRedefine/>
    <w:qFormat/>
    <w:rPr>
      <w:rFonts w:cs="Times New Roman"/>
      <w:b/>
      <w:bCs/>
      <w:kern w:val="44"/>
      <w:sz w:val="32"/>
      <w:szCs w:val="44"/>
    </w:rPr>
  </w:style>
  <w:style w:type="paragraph" w:customStyle="1" w:styleId="TOCHeading">
    <w:name w:val="TOC Heading"/>
    <w:basedOn w:val="Heading1"/>
    <w:next w:val="Normal"/>
    <w:autoRedefine/>
    <w:uiPriority w:val="39"/>
    <w:unhideWhenUsed/>
    <w:qFormat/>
    <w:pPr>
      <w:widowControl/>
      <w:numPr>
        <w:numId w:val="0"/>
      </w:numPr>
      <w:spacing w:before="240" w:line="259" w:lineRule="auto"/>
      <w:jc w:val="left"/>
      <w:outlineLvl w:val="9"/>
    </w:pPr>
    <w:rPr>
      <w:rFonts w:asciiTheme="majorHAnsi" w:eastAsiaTheme="majorEastAsia" w:hAnsiTheme="majorHAnsi" w:cstheme="majorBidi"/>
      <w:b w:val="0"/>
      <w:bCs w:val="0"/>
      <w:color w:val="2F5597" w:themeColor="accent1" w:themeShade="BF"/>
      <w:kern w:val="0"/>
      <w:szCs w:val="32"/>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uiPriority w:val="99"/>
    <w:rPr>
      <w:sz w:val="18"/>
      <w:szCs w:val="18"/>
    </w:rPr>
  </w:style>
  <w:style w:type="paragraph" w:customStyle="1" w:styleId="7">
    <w:name w:val="样式7"/>
    <w:basedOn w:val="Heading1"/>
    <w:autoRedefine/>
    <w:qFormat/>
    <w:pPr>
      <w:numPr>
        <w:ilvl w:val="1"/>
        <w:numId w:val="4"/>
      </w:numPr>
      <w:spacing w:before="100" w:beforeLines="100" w:after="100" w:afterLines="100"/>
      <w:outlineLvl w:val="1"/>
    </w:pPr>
    <w:rPr>
      <w:rFonts w:cs="Times New Roman"/>
      <w:sz w:val="24"/>
    </w:rPr>
  </w:style>
  <w:style w:type="paragraph" w:customStyle="1" w:styleId="8">
    <w:name w:val="样式8"/>
    <w:basedOn w:val="7"/>
    <w:link w:val="8Char"/>
    <w:autoRedefine/>
    <w:qFormat/>
    <w:pPr>
      <w:spacing w:before="326" w:after="326"/>
      <w:jc w:val="left"/>
    </w:pPr>
    <w:rPr>
      <w:rFonts w:eastAsia="宋体"/>
      <w:b w:val="0"/>
    </w:rPr>
  </w:style>
  <w:style w:type="character" w:customStyle="1" w:styleId="8Char">
    <w:name w:val="样式8 Char"/>
    <w:link w:val="8"/>
    <w:autoRedefine/>
    <w:qFormat/>
    <w:rPr>
      <w:rFonts w:cs="Times New Roman"/>
      <w:bCs/>
      <w:kern w:val="44"/>
      <w:szCs w:val="44"/>
    </w:rPr>
  </w:style>
  <w:style w:type="paragraph" w:customStyle="1" w:styleId="a1">
    <w:name w:val="字母编号列项（一级）"/>
    <w:pPr>
      <w:numPr>
        <w:ilvl w:val="0"/>
        <w:numId w:val="4"/>
      </w:numPr>
      <w:tabs>
        <w:tab w:val="left" w:pos="840"/>
        <w:tab w:val="clear" w:pos="855"/>
      </w:tabs>
      <w:jc w:val="both"/>
    </w:pPr>
    <w:rPr>
      <w:rFonts w:ascii="宋体" w:eastAsia="宋体" w:hAnsi="Times New Roman" w:cs="Times New Roman"/>
      <w:kern w:val="0"/>
      <w:sz w:val="21"/>
      <w:szCs w:val="20"/>
      <w:lang w:val="en-US" w:eastAsia="zh-CN" w:bidi="ar-SA"/>
    </w:rPr>
  </w:style>
  <w:style w:type="paragraph" w:customStyle="1" w:styleId="a2">
    <w:name w:val="数字编号列项（二级）"/>
    <w:pPr>
      <w:tabs>
        <w:tab w:val="left" w:pos="855"/>
        <w:tab w:val="left" w:pos="1260"/>
      </w:tabs>
      <w:ind w:left="855" w:hanging="855"/>
      <w:jc w:val="both"/>
    </w:pPr>
    <w:rPr>
      <w:rFonts w:ascii="宋体" w:eastAsia="宋体" w:hAnsi="Times New Roman" w:cs="Times New Roman"/>
      <w:kern w:val="0"/>
      <w:sz w:val="21"/>
      <w:szCs w:val="20"/>
      <w:lang w:val="en-US" w:eastAsia="zh-CN" w:bidi="ar-SA"/>
    </w:rPr>
  </w:style>
  <w:style w:type="paragraph" w:customStyle="1" w:styleId="30">
    <w:name w:val="规范标题3"/>
    <w:basedOn w:val="Heading3"/>
    <w:link w:val="31"/>
    <w:qFormat/>
    <w:pPr>
      <w:keepNext w:val="0"/>
      <w:keepLines w:val="0"/>
      <w:spacing w:line="415" w:lineRule="auto"/>
      <w:ind w:firstLine="561"/>
      <w:jc w:val="left"/>
    </w:pPr>
    <w:rPr>
      <w:rFonts w:cs="Times New Roman"/>
      <w:b w:val="0"/>
      <w:sz w:val="28"/>
    </w:rPr>
  </w:style>
  <w:style w:type="character" w:customStyle="1" w:styleId="31">
    <w:name w:val="规范标题3 字符"/>
    <w:basedOn w:val="32"/>
    <w:link w:val="30"/>
    <w:qFormat/>
    <w:rPr>
      <w:rFonts w:cs="Times New Roman"/>
      <w:b w:val="0"/>
      <w:sz w:val="28"/>
      <w:szCs w:val="32"/>
    </w:rPr>
  </w:style>
  <w:style w:type="character" w:customStyle="1" w:styleId="32">
    <w:name w:val="标题 3 字符"/>
    <w:basedOn w:val="DefaultParagraphFont"/>
    <w:link w:val="Heading3"/>
    <w:uiPriority w:val="9"/>
    <w:semiHidden/>
    <w:rPr>
      <w:b/>
      <w:bCs/>
      <w:sz w:val="32"/>
      <w:szCs w:val="32"/>
    </w:rPr>
  </w:style>
  <w:style w:type="paragraph" w:styleId="ListParagraph">
    <w:name w:val="List Paragraph"/>
    <w:basedOn w:val="Normal"/>
    <w:uiPriority w:val="34"/>
    <w:qFormat/>
    <w:pPr>
      <w:ind w:firstLine="420" w:firstLineChars="200"/>
    </w:pPr>
  </w:style>
  <w:style w:type="paragraph" w:customStyle="1" w:styleId="Revision">
    <w:name w:val="Revision"/>
    <w:hidden/>
    <w:uiPriority w:val="99"/>
    <w:semiHidden/>
    <w:rPr>
      <w:rFonts w:ascii="Times New Roman" w:eastAsia="宋体" w:hAnsi="Times New Roman" w:cstheme="minorBidi"/>
      <w:kern w:val="2"/>
      <w:sz w:val="24"/>
      <w:szCs w:val="22"/>
      <w:lang w:val="en-US" w:eastAsia="zh-CN" w:bidi="ar-SA"/>
    </w:rPr>
  </w:style>
  <w:style w:type="paragraph" w:styleId="NoSpacing">
    <w:name w:val="No Spacing"/>
    <w:uiPriority w:val="1"/>
    <w:qFormat/>
    <w:pPr>
      <w:widowControl w:val="0"/>
      <w:jc w:val="both"/>
    </w:pPr>
    <w:rPr>
      <w:rFonts w:ascii="Times New Roman" w:eastAsia="宋体" w:hAnsi="Times New Roman" w:cstheme="minorBidi"/>
      <w:kern w:val="2"/>
      <w:sz w:val="24"/>
      <w:szCs w:val="22"/>
      <w:lang w:val="en-US" w:eastAsia="zh-CN" w:bidi="ar-SA"/>
    </w:rPr>
  </w:style>
  <w:style w:type="character" w:customStyle="1" w:styleId="a3">
    <w:name w:val="批注文字 字符"/>
    <w:basedOn w:val="DefaultParagraphFont"/>
    <w:link w:val="CommentText"/>
    <w:uiPriority w:val="99"/>
    <w:qFormat/>
  </w:style>
  <w:style w:type="character" w:customStyle="1" w:styleId="a4">
    <w:name w:val="批注主题 字符"/>
    <w:basedOn w:val="a3"/>
    <w:link w:val="CommentSubject"/>
    <w:uiPriority w:val="99"/>
    <w:semiHidden/>
    <w:rPr>
      <w:b/>
      <w:bCs/>
    </w:rPr>
  </w:style>
  <w:style w:type="character" w:customStyle="1" w:styleId="a5">
    <w:name w:val="日期 字符"/>
    <w:basedOn w:val="DefaultParagraphFont"/>
    <w:link w:val="Date"/>
    <w:uiPriority w:val="99"/>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header" Target="header2.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header" Target="header3.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header" Target="header4.xml"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header" Target="header5.xml"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header" Target="header6.xml" /><Relationship Id="rId24" Type="http://schemas.openxmlformats.org/officeDocument/2006/relationships/footer" Target="footer13.xml" /><Relationship Id="rId25" Type="http://schemas.openxmlformats.org/officeDocument/2006/relationships/footer" Target="footer14.xml" /><Relationship Id="rId26" Type="http://schemas.openxmlformats.org/officeDocument/2006/relationships/header" Target="header7.xml" /><Relationship Id="rId27" Type="http://schemas.openxmlformats.org/officeDocument/2006/relationships/footer" Target="footer15.xml" /><Relationship Id="rId28" Type="http://schemas.openxmlformats.org/officeDocument/2006/relationships/footer" Target="footer16.xml" /><Relationship Id="rId29" Type="http://schemas.openxmlformats.org/officeDocument/2006/relationships/header" Target="header8.xml" /><Relationship Id="rId3" Type="http://schemas.openxmlformats.org/officeDocument/2006/relationships/fontTable" Target="fontTable.xml" /><Relationship Id="rId30" Type="http://schemas.openxmlformats.org/officeDocument/2006/relationships/footer" Target="footer17.xml" /><Relationship Id="rId31" Type="http://schemas.openxmlformats.org/officeDocument/2006/relationships/footer" Target="footer18.xml" /><Relationship Id="rId32" Type="http://schemas.openxmlformats.org/officeDocument/2006/relationships/header" Target="header9.xml" /><Relationship Id="rId33" Type="http://schemas.openxmlformats.org/officeDocument/2006/relationships/footer" Target="footer19.xml" /><Relationship Id="rId34" Type="http://schemas.openxmlformats.org/officeDocument/2006/relationships/footer" Target="footer20.xml" /><Relationship Id="rId35" Type="http://schemas.openxmlformats.org/officeDocument/2006/relationships/header" Target="header10.xml" /><Relationship Id="rId36" Type="http://schemas.openxmlformats.org/officeDocument/2006/relationships/footer" Target="footer21.xml" /><Relationship Id="rId37" Type="http://schemas.openxmlformats.org/officeDocument/2006/relationships/footer" Target="footer22.xml" /><Relationship Id="rId38" Type="http://schemas.openxmlformats.org/officeDocument/2006/relationships/header" Target="header11.xml" /><Relationship Id="rId39" Type="http://schemas.openxmlformats.org/officeDocument/2006/relationships/footer" Target="footer23.xml" /><Relationship Id="rId4" Type="http://schemas.openxmlformats.org/officeDocument/2006/relationships/customXml" Target="../customXml/item1.xml" /><Relationship Id="rId40" Type="http://schemas.openxmlformats.org/officeDocument/2006/relationships/footer" Target="footer24.xml" /><Relationship Id="rId41" Type="http://schemas.openxmlformats.org/officeDocument/2006/relationships/header" Target="header12.xml" /><Relationship Id="rId42" Type="http://schemas.openxmlformats.org/officeDocument/2006/relationships/footer" Target="footer25.xml" /><Relationship Id="rId43" Type="http://schemas.openxmlformats.org/officeDocument/2006/relationships/footer" Target="footer26.xml" /><Relationship Id="rId44" Type="http://schemas.openxmlformats.org/officeDocument/2006/relationships/header" Target="header13.xml" /><Relationship Id="rId45" Type="http://schemas.openxmlformats.org/officeDocument/2006/relationships/footer" Target="footer27.xml" /><Relationship Id="rId46" Type="http://schemas.openxmlformats.org/officeDocument/2006/relationships/footer" Target="footer28.xml" /><Relationship Id="rId47" Type="http://schemas.openxmlformats.org/officeDocument/2006/relationships/header" Target="header14.xml" /><Relationship Id="rId48" Type="http://schemas.openxmlformats.org/officeDocument/2006/relationships/footer" Target="footer29.xml" /><Relationship Id="rId49" Type="http://schemas.openxmlformats.org/officeDocument/2006/relationships/footer" Target="footer30.xml" /><Relationship Id="rId5" Type="http://schemas.openxmlformats.org/officeDocument/2006/relationships/customXml" Target="../customXml/item2.xml" /><Relationship Id="rId50" Type="http://schemas.openxmlformats.org/officeDocument/2006/relationships/hyperlink" Target="https://d.book118.com/967166123153006054" TargetMode="External" /><Relationship Id="rId51" Type="http://schemas.openxmlformats.org/officeDocument/2006/relationships/header" Target="header15.xml" /><Relationship Id="rId52" Type="http://schemas.openxmlformats.org/officeDocument/2006/relationships/footer" Target="footer31.xml" /><Relationship Id="rId53" Type="http://schemas.openxmlformats.org/officeDocument/2006/relationships/footer" Target="footer32.xml" /><Relationship Id="rId54" Type="http://schemas.openxmlformats.org/officeDocument/2006/relationships/theme" Target="theme/theme1.xml" /><Relationship Id="rId55" Type="http://schemas.openxmlformats.org/officeDocument/2006/relationships/numbering" Target="numbering.xml" /><Relationship Id="rId56"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1.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06D86C-0EED-4ABD-99A0-B648D89C44E8}">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3731</Words>
  <Characters>21268</Characters>
  <Application>Microsoft Office Word</Application>
  <DocSecurity>0</DocSecurity>
  <Lines>177</Lines>
  <Paragraphs>49</Paragraphs>
  <ScaleCrop>false</ScaleCrop>
  <Company/>
  <LinksUpToDate>false</LinksUpToDate>
  <CharactersWithSpaces>24950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曼</dc:creator>
  <cp:lastModifiedBy>xwbjl</cp:lastModifiedBy>
  <cp:revision>2</cp:revision>
  <cp:lastPrinted>2024-01-11T00:52:00Z</cp:lastPrinted>
  <dcterms:created xsi:type="dcterms:W3CDTF">2024-01-11T00:56:00Z</dcterms:created>
  <dcterms:modified xsi:type="dcterms:W3CDTF">2024-03-20T02:35:45Z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7210F02C472D4118BC7351EA43886B52_12</vt:lpwstr>
  </property>
  <property fmtid="{D5CDD505-2E9C-101B-9397-08002B2CF9AE}" pid="3" name="KSOProductBuildVer">
    <vt:lpwstr>2052-12.1.0.16388</vt:lpwstr>
  </property>
</Properties>
</file>