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1"/>
        <w:rPr>
          <w:rFonts w:ascii="Times New Roman"/>
          <w:sz w:val="27"/>
        </w:rPr>
      </w:pPr>
    </w:p>
    <w:p>
      <w:pPr>
        <w:spacing w:before="0" w:line="1239" w:lineRule="exact"/>
        <w:ind w:left="772" w:right="0" w:firstLine="0"/>
        <w:jc w:val="left"/>
        <w:rPr>
          <w:rFonts w:ascii="微软雅黑" w:eastAsia="微软雅黑" w:hint="eastAsia"/>
          <w:sz w:val="72"/>
        </w:rPr>
      </w:pPr>
      <w:r>
        <w:rPr>
          <w:rFonts w:ascii="微软雅黑" w:eastAsia="微软雅黑" w:hint="eastAsia"/>
          <w:sz w:val="72"/>
        </w:rPr>
        <w:t>建设项目环境影响报告表</w:t>
      </w:r>
    </w:p>
    <w:p>
      <w:pPr>
        <w:spacing w:before="148"/>
        <w:ind w:left="2364" w:right="2045" w:firstLine="0"/>
        <w:jc w:val="center"/>
        <w:rPr>
          <w:b/>
          <w:sz w:val="48"/>
        </w:rPr>
      </w:pPr>
      <w:r>
        <w:rPr>
          <w:b/>
          <w:sz w:val="48"/>
        </w:rPr>
        <w:t>（污染影响类）</w:t>
      </w:r>
      <w:r>
        <w:rPr>
          <w:b/>
          <w:w w:val="99"/>
          <w:sz w:val="48"/>
        </w:rPr>
        <w:t xml:space="preserve"> </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18"/>
        </w:rPr>
      </w:pPr>
    </w:p>
    <w:tbl>
      <w:tblPr>
        <w:tblStyle w:val="TableNormal"/>
        <w:tblW w:w="0" w:type="auto"/>
        <w:tblInd w:w="1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3193"/>
        <w:gridCol w:w="482"/>
        <w:gridCol w:w="5489"/>
      </w:tblGrid>
      <w:tr>
        <w:tblPrEx>
          <w:tblW w:w="0" w:type="auto"/>
          <w:tblInd w:w="1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892"/>
        </w:trPr>
        <w:tc>
          <w:tcPr>
            <w:tcW w:w="3193" w:type="dxa"/>
          </w:tcPr>
          <w:p>
            <w:pPr>
              <w:pStyle w:val="TableParagraph"/>
              <w:spacing w:before="6"/>
              <w:rPr>
                <w:b/>
                <w:sz w:val="33"/>
              </w:rPr>
            </w:pPr>
          </w:p>
          <w:p>
            <w:pPr>
              <w:pStyle w:val="TableParagraph"/>
              <w:tabs>
                <w:tab w:val="left" w:pos="841"/>
                <w:tab w:val="left" w:pos="1681"/>
                <w:tab w:val="left" w:pos="2523"/>
              </w:tabs>
              <w:spacing w:line="443" w:lineRule="exact"/>
              <w:ind w:right="107"/>
              <w:jc w:val="right"/>
              <w:rPr>
                <w:sz w:val="36"/>
              </w:rPr>
            </w:pPr>
            <w:r>
              <w:rPr>
                <w:sz w:val="36"/>
              </w:rPr>
              <w:t>项</w:t>
            </w:r>
            <w:r>
              <w:rPr>
                <w:sz w:val="36"/>
              </w:rPr>
              <w:tab/>
            </w:r>
            <w:r>
              <w:rPr>
                <w:sz w:val="36"/>
              </w:rPr>
              <w:t>目</w:t>
            </w:r>
            <w:r>
              <w:rPr>
                <w:sz w:val="36"/>
              </w:rPr>
              <w:tab/>
            </w:r>
            <w:r>
              <w:rPr>
                <w:sz w:val="36"/>
              </w:rPr>
              <w:t>名</w:t>
            </w:r>
            <w:r>
              <w:rPr>
                <w:sz w:val="36"/>
              </w:rPr>
              <w:tab/>
            </w:r>
            <w:r>
              <w:rPr>
                <w:sz w:val="36"/>
              </w:rPr>
              <w:t>称</w:t>
            </w:r>
          </w:p>
        </w:tc>
        <w:tc>
          <w:tcPr>
            <w:tcW w:w="482" w:type="dxa"/>
            <w:tcBorders>
              <w:bottom w:val="single" w:sz="4" w:space="0" w:color="000000"/>
            </w:tcBorders>
          </w:tcPr>
          <w:p>
            <w:pPr>
              <w:pStyle w:val="TableParagraph"/>
              <w:spacing w:before="6"/>
              <w:rPr>
                <w:b/>
                <w:sz w:val="33"/>
              </w:rPr>
            </w:pPr>
          </w:p>
          <w:p>
            <w:pPr>
              <w:pStyle w:val="TableParagraph"/>
              <w:spacing w:line="443" w:lineRule="exact"/>
              <w:ind w:left="108"/>
              <w:rPr>
                <w:sz w:val="36"/>
              </w:rPr>
            </w:pPr>
            <w:r>
              <w:rPr>
                <w:sz w:val="36"/>
              </w:rPr>
              <w:t>：</w:t>
            </w:r>
          </w:p>
        </w:tc>
        <w:tc>
          <w:tcPr>
            <w:tcW w:w="5489" w:type="dxa"/>
            <w:tcBorders>
              <w:bottom w:val="single" w:sz="4" w:space="0" w:color="000000"/>
            </w:tcBorders>
          </w:tcPr>
          <w:p>
            <w:pPr>
              <w:pStyle w:val="TableParagraph"/>
              <w:spacing w:line="422" w:lineRule="exact"/>
              <w:ind w:right="185"/>
              <w:jc w:val="center"/>
              <w:rPr>
                <w:sz w:val="36"/>
              </w:rPr>
            </w:pPr>
            <w:r>
              <w:rPr>
                <w:spacing w:val="-30"/>
                <w:sz w:val="36"/>
              </w:rPr>
              <w:t xml:space="preserve">年产 </w:t>
            </w:r>
            <w:r>
              <w:rPr>
                <w:rFonts w:ascii="Times New Roman" w:eastAsia="Times New Roman"/>
                <w:sz w:val="36"/>
              </w:rPr>
              <w:t>100</w:t>
            </w:r>
            <w:r>
              <w:rPr>
                <w:rFonts w:ascii="Times New Roman" w:eastAsia="Times New Roman"/>
                <w:spacing w:val="-18"/>
                <w:sz w:val="36"/>
              </w:rPr>
              <w:t xml:space="preserve"> </w:t>
            </w:r>
            <w:r>
              <w:rPr>
                <w:sz w:val="36"/>
              </w:rPr>
              <w:t>吨食品包装膜、</w:t>
            </w:r>
            <w:r>
              <w:rPr>
                <w:rFonts w:ascii="Times New Roman" w:eastAsia="Times New Roman"/>
                <w:sz w:val="36"/>
              </w:rPr>
              <w:t>1</w:t>
            </w:r>
            <w:r>
              <w:rPr>
                <w:rFonts w:ascii="Times New Roman" w:eastAsia="Times New Roman"/>
                <w:spacing w:val="-18"/>
                <w:sz w:val="36"/>
              </w:rPr>
              <w:t xml:space="preserve"> </w:t>
            </w:r>
            <w:r>
              <w:rPr>
                <w:sz w:val="36"/>
              </w:rPr>
              <w:t>亿片单</w:t>
            </w:r>
          </w:p>
          <w:p>
            <w:pPr>
              <w:pStyle w:val="TableParagraph"/>
              <w:spacing w:before="7" w:line="443" w:lineRule="exact"/>
              <w:ind w:right="186"/>
              <w:jc w:val="center"/>
              <w:rPr>
                <w:sz w:val="36"/>
              </w:rPr>
            </w:pPr>
            <w:r>
              <w:rPr>
                <w:sz w:val="36"/>
              </w:rPr>
              <w:t>片压花膜技术改造项目</w:t>
            </w:r>
          </w:p>
        </w:tc>
      </w:tr>
      <w:tr>
        <w:tblPrEx>
          <w:tblW w:w="0" w:type="auto"/>
          <w:tblInd w:w="114" w:type="dxa"/>
          <w:tblLayout w:type="fixed"/>
          <w:tblCellMar>
            <w:top w:w="0" w:type="dxa"/>
            <w:left w:w="0" w:type="dxa"/>
            <w:bottom w:w="0" w:type="dxa"/>
            <w:right w:w="0" w:type="dxa"/>
          </w:tblCellMar>
        </w:tblPrEx>
        <w:trPr>
          <w:trHeight w:val="678"/>
        </w:trPr>
        <w:tc>
          <w:tcPr>
            <w:tcW w:w="3193" w:type="dxa"/>
          </w:tcPr>
          <w:p>
            <w:pPr>
              <w:pStyle w:val="TableParagraph"/>
              <w:spacing w:before="216" w:line="443" w:lineRule="exact"/>
              <w:ind w:right="106"/>
              <w:jc w:val="right"/>
              <w:rPr>
                <w:sz w:val="36"/>
              </w:rPr>
            </w:pPr>
            <w:r>
              <w:rPr>
                <w:sz w:val="36"/>
              </w:rPr>
              <w:t>建设单位（盖章）</w:t>
            </w:r>
          </w:p>
        </w:tc>
        <w:tc>
          <w:tcPr>
            <w:tcW w:w="482" w:type="dxa"/>
            <w:tcBorders>
              <w:top w:val="single" w:sz="4" w:space="0" w:color="000000"/>
              <w:bottom w:val="single" w:sz="4" w:space="0" w:color="000000"/>
            </w:tcBorders>
          </w:tcPr>
          <w:p>
            <w:pPr>
              <w:pStyle w:val="TableParagraph"/>
              <w:spacing w:before="216" w:line="443" w:lineRule="exact"/>
              <w:ind w:left="108"/>
              <w:rPr>
                <w:sz w:val="36"/>
              </w:rPr>
            </w:pPr>
            <w:r>
              <w:rPr>
                <w:sz w:val="36"/>
              </w:rPr>
              <w:t>：</w:t>
            </w:r>
          </w:p>
        </w:tc>
        <w:tc>
          <w:tcPr>
            <w:tcW w:w="5489" w:type="dxa"/>
            <w:tcBorders>
              <w:top w:val="single" w:sz="4" w:space="0" w:color="000000"/>
              <w:bottom w:val="single" w:sz="4" w:space="0" w:color="000000"/>
            </w:tcBorders>
          </w:tcPr>
          <w:p>
            <w:pPr>
              <w:pStyle w:val="TableParagraph"/>
              <w:spacing w:before="216" w:line="443" w:lineRule="exact"/>
              <w:ind w:left="490"/>
              <w:rPr>
                <w:sz w:val="36"/>
              </w:rPr>
            </w:pPr>
            <w:r>
              <w:rPr>
                <w:sz w:val="36"/>
              </w:rPr>
              <w:t>江苏沃源包装制品有限公司</w:t>
            </w:r>
          </w:p>
        </w:tc>
      </w:tr>
      <w:tr>
        <w:tblPrEx>
          <w:tblW w:w="0" w:type="auto"/>
          <w:tblInd w:w="114" w:type="dxa"/>
          <w:tblLayout w:type="fixed"/>
          <w:tblCellMar>
            <w:top w:w="0" w:type="dxa"/>
            <w:left w:w="0" w:type="dxa"/>
            <w:bottom w:w="0" w:type="dxa"/>
            <w:right w:w="0" w:type="dxa"/>
          </w:tblCellMar>
        </w:tblPrEx>
        <w:trPr>
          <w:trHeight w:val="656"/>
        </w:trPr>
        <w:tc>
          <w:tcPr>
            <w:tcW w:w="3193" w:type="dxa"/>
          </w:tcPr>
          <w:p>
            <w:pPr>
              <w:pStyle w:val="TableParagraph"/>
              <w:tabs>
                <w:tab w:val="left" w:pos="841"/>
                <w:tab w:val="left" w:pos="1681"/>
                <w:tab w:val="left" w:pos="2523"/>
              </w:tabs>
              <w:spacing w:before="218" w:line="418" w:lineRule="exact"/>
              <w:ind w:right="107"/>
              <w:jc w:val="right"/>
              <w:rPr>
                <w:sz w:val="36"/>
              </w:rPr>
            </w:pPr>
            <w:r>
              <w:rPr>
                <w:sz w:val="36"/>
              </w:rPr>
              <w:t>编</w:t>
            </w:r>
            <w:r>
              <w:rPr>
                <w:sz w:val="36"/>
              </w:rPr>
              <w:tab/>
            </w:r>
            <w:r>
              <w:rPr>
                <w:sz w:val="36"/>
              </w:rPr>
              <w:t>制</w:t>
            </w:r>
            <w:r>
              <w:rPr>
                <w:sz w:val="36"/>
              </w:rPr>
              <w:tab/>
            </w:r>
            <w:r>
              <w:rPr>
                <w:sz w:val="36"/>
              </w:rPr>
              <w:t>日</w:t>
            </w:r>
            <w:r>
              <w:rPr>
                <w:sz w:val="36"/>
              </w:rPr>
              <w:tab/>
            </w:r>
            <w:r>
              <w:rPr>
                <w:sz w:val="36"/>
              </w:rPr>
              <w:t>期</w:t>
            </w:r>
          </w:p>
        </w:tc>
        <w:tc>
          <w:tcPr>
            <w:tcW w:w="482" w:type="dxa"/>
            <w:tcBorders>
              <w:top w:val="single" w:sz="4" w:space="0" w:color="000000"/>
            </w:tcBorders>
          </w:tcPr>
          <w:p>
            <w:pPr>
              <w:pStyle w:val="TableParagraph"/>
              <w:tabs>
                <w:tab w:val="left" w:pos="2122"/>
              </w:tabs>
              <w:spacing w:before="218" w:line="418" w:lineRule="exact"/>
              <w:ind w:left="108" w:right="-1642"/>
              <w:rPr>
                <w:sz w:val="36"/>
              </w:rPr>
            </w:pPr>
            <w:r>
              <w:rPr>
                <w:sz w:val="36"/>
              </w:rPr>
              <w:t>：</w:t>
            </w:r>
            <w:r>
              <w:rPr>
                <w:sz w:val="36"/>
              </w:rPr>
              <w:tab/>
            </w:r>
          </w:p>
        </w:tc>
        <w:tc>
          <w:tcPr>
            <w:tcW w:w="5489" w:type="dxa"/>
            <w:tcBorders>
              <w:top w:val="single" w:sz="4" w:space="0" w:color="000000"/>
            </w:tcBorders>
          </w:tcPr>
          <w:p>
            <w:pPr>
              <w:pStyle w:val="TableParagraph"/>
              <w:tabs>
                <w:tab w:val="left" w:pos="5488"/>
              </w:tabs>
              <w:spacing w:before="218" w:line="418" w:lineRule="exact"/>
              <w:ind w:left="1640"/>
              <w:rPr>
                <w:sz w:val="36"/>
              </w:rPr>
            </w:pPr>
            <w:r>
              <w:rPr>
                <w:rFonts w:ascii="Times New Roman" w:eastAsia="Times New Roman"/>
                <w:sz w:val="36"/>
                <w:u w:val="single"/>
              </w:rPr>
              <w:t xml:space="preserve">2023 </w:t>
            </w:r>
            <w:r>
              <w:rPr>
                <w:sz w:val="36"/>
                <w:u w:val="single"/>
              </w:rPr>
              <w:t>年</w:t>
            </w:r>
            <w:r>
              <w:rPr>
                <w:spacing w:val="-116"/>
                <w:sz w:val="36"/>
                <w:u w:val="single"/>
              </w:rPr>
              <w:t xml:space="preserve"> </w:t>
            </w:r>
            <w:r>
              <w:rPr>
                <w:rFonts w:ascii="Times New Roman" w:eastAsia="Times New Roman"/>
                <w:spacing w:val="-8"/>
                <w:sz w:val="36"/>
                <w:u w:val="single"/>
              </w:rPr>
              <w:t xml:space="preserve">11 </w:t>
            </w:r>
            <w:r>
              <w:rPr>
                <w:sz w:val="36"/>
                <w:u w:val="single"/>
              </w:rPr>
              <w:t>月</w:t>
            </w:r>
            <w:r>
              <w:rPr>
                <w:sz w:val="36"/>
                <w:u w:val="single"/>
              </w:rPr>
              <w:tab/>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7"/>
        <w:rPr>
          <w:b/>
          <w:sz w:val="19"/>
        </w:rPr>
      </w:pPr>
    </w:p>
    <w:p>
      <w:pPr>
        <w:spacing w:before="50"/>
        <w:ind w:left="2364" w:right="2287" w:firstLine="0"/>
        <w:jc w:val="center"/>
        <w:rPr>
          <w:b/>
          <w:sz w:val="36"/>
        </w:rPr>
      </w:pPr>
      <w:r>
        <w:rPr>
          <w:b/>
          <w:sz w:val="36"/>
        </w:rPr>
        <w:t>中华人民共和国生态环境部制</w:t>
      </w:r>
    </w:p>
    <w:p>
      <w:pPr>
        <w:spacing w:after="0"/>
        <w:jc w:val="center"/>
        <w:rPr>
          <w:sz w:val="36"/>
        </w:rPr>
        <w:sectPr>
          <w:type w:val="continuous"/>
          <w:pgSz w:w="11910" w:h="16840"/>
          <w:pgMar w:top="1580" w:right="1300" w:bottom="280" w:left="1220" w:header="720" w:footer="720" w:gutter="0"/>
          <w:cols w:num="1" w:space="720"/>
        </w:sectPr>
      </w:pPr>
    </w:p>
    <w:p>
      <w:pPr>
        <w:pStyle w:val="BodyText"/>
        <w:spacing w:before="4"/>
        <w:rPr>
          <w:rFonts w:ascii="Times New Roman"/>
          <w:sz w:val="17"/>
        </w:rPr>
      </w:pPr>
    </w:p>
    <w:p>
      <w:pPr>
        <w:spacing w:before="43"/>
        <w:ind w:left="0" w:right="0" w:firstLine="0"/>
        <w:jc w:val="center"/>
        <w:rPr>
          <w:b/>
          <w:sz w:val="30"/>
        </w:rPr>
      </w:pPr>
      <w:r>
        <w:rPr>
          <w:b/>
          <w:sz w:val="30"/>
        </w:rPr>
        <w:t>目 录</w:t>
      </w:r>
    </w:p>
    <w:sdt>
      <w:sdtPr>
        <w:id w:val="0"/>
        <w:docPartObj>
          <w:docPartGallery w:val="Table of Contents"/>
          <w:docPartUnique/>
        </w:docPartObj>
      </w:sdtPr>
      <w:sdtContent>
        <w:p>
          <w:pPr>
            <w:pStyle w:val="TOC1"/>
            <w:numPr>
              <w:ilvl w:val="0"/>
              <w:numId w:val="1"/>
            </w:numPr>
            <w:tabs>
              <w:tab w:val="left" w:pos="419"/>
              <w:tab w:val="left" w:pos="699"/>
              <w:tab w:val="right" w:leader="dot" w:pos="9061"/>
            </w:tabs>
            <w:spacing w:before="198" w:after="0" w:line="240" w:lineRule="auto"/>
            <w:ind w:left="698" w:right="5" w:hanging="699"/>
            <w:jc w:val="left"/>
            <w:rPr>
              <w:rFonts w:ascii="Times New Roman" w:eastAsia="Times New Roman"/>
            </w:rPr>
          </w:pPr>
          <w:r>
            <w:fldChar w:fldCharType="begin"/>
          </w:r>
          <w:r>
            <w:instrText xml:space="preserve">TOC \o "1-1" \h \z \u </w:instrText>
          </w:r>
          <w:r>
            <w:fldChar w:fldCharType="separate"/>
          </w:r>
          <w:hyperlink w:anchor="_bookmark1" w:history="1">
            <w:r>
              <w:t>建设项目基本情况</w:t>
            </w:r>
            <w:r>
              <w:tab/>
            </w:r>
            <w:r>
              <w:rPr>
                <w:rFonts w:ascii="Times New Roman" w:eastAsia="Times New Roman"/>
              </w:rPr>
              <w:t>1</w:t>
            </w:r>
          </w:hyperlink>
        </w:p>
        <w:p>
          <w:pPr>
            <w:pStyle w:val="TOC1"/>
            <w:numPr>
              <w:ilvl w:val="0"/>
              <w:numId w:val="1"/>
            </w:numPr>
            <w:tabs>
              <w:tab w:val="left" w:pos="419"/>
              <w:tab w:val="left" w:pos="699"/>
              <w:tab w:val="right" w:leader="dot" w:pos="9061"/>
            </w:tabs>
            <w:spacing w:before="161" w:after="0" w:line="240" w:lineRule="auto"/>
            <w:ind w:left="698" w:right="5" w:hanging="699"/>
            <w:jc w:val="left"/>
            <w:rPr>
              <w:rFonts w:ascii="Times New Roman" w:eastAsia="Times New Roman"/>
            </w:rPr>
          </w:pPr>
          <w:hyperlink w:anchor="_bookmark8" w:history="1">
            <w:r>
              <w:t>建设项目工程分析</w:t>
            </w:r>
            <w:r>
              <w:tab/>
            </w:r>
            <w:r>
              <w:rPr>
                <w:rFonts w:ascii="Times New Roman" w:eastAsia="Times New Roman"/>
              </w:rPr>
              <w:t>16</w:t>
            </w:r>
          </w:hyperlink>
        </w:p>
        <w:p>
          <w:pPr>
            <w:pStyle w:val="TOC1"/>
            <w:numPr>
              <w:ilvl w:val="0"/>
              <w:numId w:val="1"/>
            </w:numPr>
            <w:tabs>
              <w:tab w:val="left" w:pos="419"/>
              <w:tab w:val="left" w:pos="699"/>
              <w:tab w:val="right" w:leader="dot" w:pos="9061"/>
            </w:tabs>
            <w:spacing w:before="158" w:after="0" w:line="240" w:lineRule="auto"/>
            <w:ind w:left="698" w:right="5" w:hanging="699"/>
            <w:jc w:val="left"/>
            <w:rPr>
              <w:rFonts w:ascii="Times New Roman" w:eastAsia="Times New Roman"/>
            </w:rPr>
          </w:pPr>
          <w:hyperlink w:anchor="_bookmark24" w:history="1">
            <w:r>
              <w:t>区域环境质量现状、环境保护目标及评价标准</w:t>
            </w:r>
            <w:r>
              <w:tab/>
            </w:r>
            <w:r>
              <w:rPr>
                <w:rFonts w:ascii="Times New Roman" w:eastAsia="Times New Roman"/>
              </w:rPr>
              <w:t>31</w:t>
            </w:r>
          </w:hyperlink>
        </w:p>
        <w:p>
          <w:pPr>
            <w:pStyle w:val="TOC1"/>
            <w:numPr>
              <w:ilvl w:val="0"/>
              <w:numId w:val="1"/>
            </w:numPr>
            <w:tabs>
              <w:tab w:val="left" w:pos="419"/>
              <w:tab w:val="left" w:pos="699"/>
              <w:tab w:val="right" w:leader="dot" w:pos="9061"/>
            </w:tabs>
            <w:spacing w:before="160" w:after="0" w:line="240" w:lineRule="auto"/>
            <w:ind w:left="698" w:right="5" w:hanging="699"/>
            <w:jc w:val="left"/>
            <w:rPr>
              <w:rFonts w:ascii="Times New Roman" w:eastAsia="Times New Roman"/>
            </w:rPr>
          </w:pPr>
          <w:hyperlink w:anchor="_bookmark33" w:history="1">
            <w:r>
              <w:t>主要环境影响和保护措施</w:t>
            </w:r>
            <w:r>
              <w:tab/>
            </w:r>
            <w:r>
              <w:rPr>
                <w:rFonts w:ascii="Times New Roman" w:eastAsia="Times New Roman"/>
              </w:rPr>
              <w:t>37</w:t>
            </w:r>
          </w:hyperlink>
        </w:p>
        <w:p>
          <w:pPr>
            <w:pStyle w:val="TOC1"/>
            <w:numPr>
              <w:ilvl w:val="0"/>
              <w:numId w:val="1"/>
            </w:numPr>
            <w:tabs>
              <w:tab w:val="left" w:pos="419"/>
              <w:tab w:val="left" w:pos="699"/>
              <w:tab w:val="right" w:leader="dot" w:pos="9061"/>
            </w:tabs>
            <w:spacing w:before="159" w:after="0" w:line="240" w:lineRule="auto"/>
            <w:ind w:left="698" w:right="5" w:hanging="699"/>
            <w:jc w:val="left"/>
            <w:rPr>
              <w:rFonts w:ascii="Times New Roman" w:eastAsia="Times New Roman"/>
            </w:rPr>
          </w:pPr>
          <w:hyperlink w:anchor="_bookmark63" w:history="1">
            <w:r>
              <w:t>环境保护措施监督检查清单</w:t>
            </w:r>
            <w:r>
              <w:tab/>
            </w:r>
            <w:r>
              <w:rPr>
                <w:rFonts w:ascii="Times New Roman" w:eastAsia="Times New Roman"/>
              </w:rPr>
              <w:t>62</w:t>
            </w:r>
          </w:hyperlink>
        </w:p>
        <w:p>
          <w:pPr>
            <w:pStyle w:val="TOC1"/>
            <w:tabs>
              <w:tab w:val="left" w:pos="419"/>
              <w:tab w:val="right" w:leader="dot" w:pos="9061"/>
            </w:tabs>
            <w:ind w:left="0" w:firstLine="0"/>
            <w:jc w:val="center"/>
            <w:rPr>
              <w:rFonts w:ascii="Times New Roman" w:eastAsia="Times New Roman"/>
            </w:rPr>
          </w:pPr>
          <w:hyperlink w:anchor="_bookmark64" w:history="1">
            <w:r>
              <w:rPr>
                <w:rFonts w:ascii="Times New Roman" w:eastAsia="Times New Roman"/>
              </w:rPr>
              <w:t>6</w:t>
            </w:r>
            <w:r>
              <w:rPr>
                <w:rFonts w:ascii="Times New Roman" w:eastAsia="Times New Roman"/>
              </w:rPr>
              <w:tab/>
            </w:r>
            <w:r>
              <w:t>结论</w:t>
            </w:r>
            <w:r>
              <w:tab/>
            </w:r>
            <w:r>
              <w:rPr>
                <w:rFonts w:ascii="Times New Roman" w:eastAsia="Times New Roman"/>
              </w:rPr>
              <w:t>64</w:t>
            </w:r>
          </w:hyperlink>
        </w:p>
        <w:p>
          <w:pPr>
            <w:spacing w:before="0" w:line="240" w:lineRule="auto"/>
            <w:rPr>
              <w:rFonts w:ascii="Times New Roman"/>
              <w:sz w:val="26"/>
            </w:rPr>
          </w:pPr>
          <w:r>
            <w:fldChar w:fldCharType="end"/>
          </w:r>
        </w:p>
      </w:sdtContent>
    </w:sdt>
    <w:p>
      <w:pPr>
        <w:pStyle w:val="Heading3"/>
        <w:spacing w:before="185"/>
        <w:ind w:left="278"/>
      </w:pPr>
      <w:r>
        <w:t>附件：</w:t>
      </w:r>
    </w:p>
    <w:p>
      <w:pPr>
        <w:pStyle w:val="BodyText"/>
        <w:spacing w:before="103" w:line="302" w:lineRule="auto"/>
        <w:ind w:left="710" w:right="7031"/>
      </w:pPr>
      <w:r>
        <w:rPr>
          <w:spacing w:val="7"/>
        </w:rPr>
        <w:t>附件一 环评委托书附件二 项目备案证</w:t>
      </w:r>
    </w:p>
    <w:p>
      <w:pPr>
        <w:pStyle w:val="BodyText"/>
        <w:spacing w:before="1" w:line="304" w:lineRule="auto"/>
        <w:ind w:left="710" w:right="3879"/>
      </w:pPr>
      <w:bookmarkStart w:id="0" w:name="_bookmark0"/>
      <w:bookmarkEnd w:id="0"/>
      <w:r>
        <w:rPr>
          <w:spacing w:val="-4"/>
        </w:rPr>
        <w:t>附件三 营业执照及法人身份证复印件、排污登记回执</w:t>
      </w:r>
      <w:r>
        <w:rPr>
          <w:spacing w:val="8"/>
        </w:rPr>
        <w:t>附件四 不动产权证</w:t>
      </w:r>
    </w:p>
    <w:p>
      <w:pPr>
        <w:pStyle w:val="BodyText"/>
        <w:spacing w:line="304" w:lineRule="auto"/>
        <w:ind w:left="710" w:right="2828"/>
      </w:pPr>
      <w:r>
        <w:t>附件五 产业定位规划相符性说明、房屋购买协议及其他说明文件附件六 现有项目环评批复及竣工验收</w:t>
      </w:r>
    </w:p>
    <w:p>
      <w:pPr>
        <w:pStyle w:val="BodyText"/>
        <w:spacing w:line="267" w:lineRule="exact"/>
        <w:ind w:left="710"/>
      </w:pPr>
      <w:r>
        <w:t>附件七 建设单位突发环境事件应急预案备案表</w:t>
      </w:r>
    </w:p>
    <w:p>
      <w:pPr>
        <w:pStyle w:val="BodyText"/>
        <w:spacing w:before="70" w:line="302" w:lineRule="auto"/>
        <w:ind w:left="710" w:right="1908"/>
      </w:pPr>
      <w:r>
        <w:t>附件八 现有项目废气、废水、噪声检测报告（头罾环检</w:t>
      </w:r>
      <w:r>
        <w:rPr>
          <w:rFonts w:ascii="Times New Roman" w:eastAsia="Times New Roman"/>
        </w:rPr>
        <w:t>(</w:t>
      </w:r>
      <w:r>
        <w:t>综</w:t>
      </w:r>
      <w:r>
        <w:rPr>
          <w:rFonts w:ascii="Times New Roman" w:eastAsia="Times New Roman"/>
        </w:rPr>
        <w:t>)</w:t>
      </w:r>
      <w:r>
        <w:t xml:space="preserve">字 </w:t>
      </w:r>
      <w:r>
        <w:rPr>
          <w:rFonts w:ascii="Times New Roman" w:eastAsia="Times New Roman"/>
        </w:rPr>
        <w:t>No.221247</w:t>
      </w:r>
      <w:r>
        <w:t>） 附件九 现状环境噪声检测报告</w:t>
      </w:r>
    </w:p>
    <w:p>
      <w:pPr>
        <w:pStyle w:val="BodyText"/>
        <w:spacing w:before="2"/>
        <w:ind w:left="710"/>
      </w:pPr>
      <w:r>
        <w:t>附件十 污水处理厂环评批复</w:t>
      </w:r>
    </w:p>
    <w:p>
      <w:pPr>
        <w:pStyle w:val="BodyText"/>
        <w:tabs>
          <w:tab w:val="left" w:pos="1958"/>
        </w:tabs>
        <w:spacing w:before="71"/>
        <w:ind w:left="710"/>
      </w:pPr>
      <w:r>
        <w:t>附件</w:t>
      </w:r>
      <w:r>
        <w:rPr>
          <w:spacing w:val="-3"/>
        </w:rPr>
        <w:t>十</w:t>
      </w:r>
      <w:r>
        <w:t>一</w:t>
      </w:r>
      <w:r>
        <w:tab/>
      </w:r>
      <w:r>
        <w:t>油墨</w:t>
      </w:r>
      <w:r>
        <w:rPr>
          <w:spacing w:val="-3"/>
        </w:rPr>
        <w:t>、</w:t>
      </w:r>
      <w:r>
        <w:t>胶</w:t>
      </w:r>
      <w:r>
        <w:rPr>
          <w:spacing w:val="-3"/>
        </w:rPr>
        <w:t>粘</w:t>
      </w:r>
      <w:r>
        <w:t>剂</w:t>
      </w:r>
      <w:r>
        <w:rPr>
          <w:spacing w:val="-52"/>
        </w:rPr>
        <w:t xml:space="preserve"> </w:t>
      </w:r>
      <w:r>
        <w:rPr>
          <w:rFonts w:ascii="Times New Roman" w:eastAsia="Times New Roman"/>
        </w:rPr>
        <w:t>MSDS</w:t>
      </w:r>
      <w:r>
        <w:rPr>
          <w:rFonts w:ascii="Times New Roman" w:eastAsia="Times New Roman"/>
          <w:spacing w:val="-12"/>
        </w:rPr>
        <w:t xml:space="preserve"> </w:t>
      </w:r>
      <w:r>
        <w:t>及</w:t>
      </w:r>
      <w:r>
        <w:rPr>
          <w:spacing w:val="-3"/>
        </w:rPr>
        <w:t>检</w:t>
      </w:r>
      <w:r>
        <w:t>测报告</w:t>
      </w:r>
    </w:p>
    <w:p>
      <w:pPr>
        <w:pStyle w:val="BodyText"/>
        <w:tabs>
          <w:tab w:val="left" w:pos="1958"/>
        </w:tabs>
        <w:spacing w:before="72" w:line="304" w:lineRule="auto"/>
        <w:ind w:left="710" w:right="3880"/>
      </w:pPr>
      <w:r>
        <w:t>附件</w:t>
      </w:r>
      <w:r>
        <w:rPr>
          <w:spacing w:val="-3"/>
        </w:rPr>
        <w:t>十</w:t>
      </w:r>
      <w:r>
        <w:t>二</w:t>
      </w:r>
      <w:r>
        <w:tab/>
      </w:r>
      <w:r>
        <w:t>凹版</w:t>
      </w:r>
      <w:r>
        <w:rPr>
          <w:spacing w:val="-3"/>
        </w:rPr>
        <w:t>印</w:t>
      </w:r>
      <w:r>
        <w:t>刷</w:t>
      </w:r>
      <w:r>
        <w:rPr>
          <w:spacing w:val="-3"/>
        </w:rPr>
        <w:t>油</w:t>
      </w:r>
      <w:r>
        <w:t>墨</w:t>
      </w:r>
      <w:r>
        <w:rPr>
          <w:spacing w:val="-3"/>
        </w:rPr>
        <w:t>及</w:t>
      </w:r>
      <w:r>
        <w:t>胶</w:t>
      </w:r>
      <w:r>
        <w:rPr>
          <w:spacing w:val="-3"/>
        </w:rPr>
        <w:t>粘</w:t>
      </w:r>
      <w:r>
        <w:t>剂</w:t>
      </w:r>
      <w:r>
        <w:rPr>
          <w:spacing w:val="-3"/>
        </w:rPr>
        <w:t>行</w:t>
      </w:r>
      <w:r>
        <w:t>业协</w:t>
      </w:r>
      <w:r>
        <w:rPr>
          <w:spacing w:val="-3"/>
        </w:rPr>
        <w:t>会</w:t>
      </w:r>
      <w:r>
        <w:t>说</w:t>
      </w:r>
      <w:r>
        <w:rPr>
          <w:spacing w:val="-3"/>
        </w:rPr>
        <w:t>明</w:t>
      </w:r>
      <w:r>
        <w:t>材</w:t>
      </w:r>
      <w:r>
        <w:rPr>
          <w:spacing w:val="-13"/>
        </w:rPr>
        <w:t>料</w:t>
      </w:r>
      <w:r>
        <w:t>附件</w:t>
      </w:r>
      <w:r>
        <w:rPr>
          <w:spacing w:val="-3"/>
        </w:rPr>
        <w:t>十</w:t>
      </w:r>
      <w:r>
        <w:t>三</w:t>
      </w:r>
      <w:r>
        <w:tab/>
      </w:r>
      <w:r>
        <w:t>污水</w:t>
      </w:r>
      <w:r>
        <w:rPr>
          <w:spacing w:val="-3"/>
        </w:rPr>
        <w:t>接</w:t>
      </w:r>
      <w:r>
        <w:t>管</w:t>
      </w:r>
      <w:r>
        <w:rPr>
          <w:spacing w:val="-3"/>
        </w:rPr>
        <w:t>协</w:t>
      </w:r>
      <w:r>
        <w:t>议</w:t>
      </w:r>
    </w:p>
    <w:p>
      <w:pPr>
        <w:pStyle w:val="BodyText"/>
        <w:tabs>
          <w:tab w:val="left" w:pos="1958"/>
        </w:tabs>
        <w:spacing w:line="302" w:lineRule="auto"/>
        <w:ind w:left="710" w:right="5982"/>
      </w:pPr>
      <w:r>
        <w:t>附件</w:t>
      </w:r>
      <w:r>
        <w:rPr>
          <w:spacing w:val="-3"/>
        </w:rPr>
        <w:t>十</w:t>
      </w:r>
      <w:r>
        <w:t>四</w:t>
      </w:r>
      <w:r>
        <w:tab/>
      </w:r>
      <w:r>
        <w:t>危废</w:t>
      </w:r>
      <w:r>
        <w:rPr>
          <w:spacing w:val="-3"/>
        </w:rPr>
        <w:t>处</w:t>
      </w:r>
      <w:r>
        <w:t>置</w:t>
      </w:r>
      <w:r>
        <w:rPr>
          <w:spacing w:val="-3"/>
        </w:rPr>
        <w:t>意</w:t>
      </w:r>
      <w:r>
        <w:t>向</w:t>
      </w:r>
      <w:r>
        <w:rPr>
          <w:spacing w:val="-3"/>
        </w:rPr>
        <w:t>协</w:t>
      </w:r>
      <w:r>
        <w:rPr>
          <w:spacing w:val="-15"/>
        </w:rPr>
        <w:t>议</w:t>
      </w:r>
      <w:r>
        <w:t>附件</w:t>
      </w:r>
      <w:r>
        <w:rPr>
          <w:spacing w:val="-3"/>
        </w:rPr>
        <w:t>十</w:t>
      </w:r>
      <w:r>
        <w:t>五</w:t>
      </w:r>
      <w:r>
        <w:tab/>
      </w:r>
      <w:r>
        <w:t>建设</w:t>
      </w:r>
      <w:r>
        <w:rPr>
          <w:spacing w:val="-3"/>
        </w:rPr>
        <w:t>单</w:t>
      </w:r>
      <w:r>
        <w:t>位</w:t>
      </w:r>
      <w:r>
        <w:rPr>
          <w:spacing w:val="-3"/>
        </w:rPr>
        <w:t>承</w:t>
      </w:r>
      <w:r>
        <w:t>诺书</w:t>
      </w:r>
    </w:p>
    <w:p>
      <w:pPr>
        <w:pStyle w:val="BodyText"/>
        <w:tabs>
          <w:tab w:val="left" w:pos="1958"/>
        </w:tabs>
        <w:ind w:left="710"/>
      </w:pPr>
      <w:r>
        <w:t>附件</w:t>
      </w:r>
      <w:r>
        <w:rPr>
          <w:spacing w:val="-3"/>
        </w:rPr>
        <w:t>十</w:t>
      </w:r>
      <w:r>
        <w:t>六</w:t>
      </w:r>
      <w:r>
        <w:tab/>
      </w:r>
      <w:r>
        <w:t>评估</w:t>
      </w:r>
      <w:r>
        <w:rPr>
          <w:spacing w:val="-3"/>
        </w:rPr>
        <w:t>意</w:t>
      </w:r>
      <w:r>
        <w:t>见</w:t>
      </w:r>
      <w:r>
        <w:rPr>
          <w:spacing w:val="-3"/>
        </w:rPr>
        <w:t>及</w:t>
      </w:r>
      <w:r>
        <w:t>修</w:t>
      </w:r>
      <w:r>
        <w:rPr>
          <w:spacing w:val="-3"/>
        </w:rPr>
        <w:t>改</w:t>
      </w:r>
      <w:r>
        <w:t>清单</w:t>
      </w:r>
    </w:p>
    <w:p>
      <w:pPr>
        <w:pStyle w:val="BodyText"/>
        <w:spacing w:before="9"/>
        <w:rPr>
          <w:sz w:val="14"/>
        </w:rPr>
      </w:pPr>
    </w:p>
    <w:p>
      <w:pPr>
        <w:pStyle w:val="Heading3"/>
        <w:ind w:left="278"/>
      </w:pPr>
      <w:r>
        <w:t>附图：</w:t>
      </w:r>
    </w:p>
    <w:p>
      <w:pPr>
        <w:pStyle w:val="BodyText"/>
        <w:spacing w:before="101"/>
        <w:ind w:left="710"/>
      </w:pPr>
      <w:r>
        <w:t>附图一 项目所在地理位置图</w:t>
      </w:r>
    </w:p>
    <w:p>
      <w:pPr>
        <w:pStyle w:val="BodyText"/>
        <w:spacing w:before="72" w:line="304" w:lineRule="auto"/>
        <w:ind w:left="710" w:right="2840"/>
      </w:pPr>
      <w:r>
        <w:t xml:space="preserve">附图二 项目周边 </w:t>
      </w:r>
      <w:r>
        <w:rPr>
          <w:rFonts w:ascii="Times New Roman" w:eastAsia="Times New Roman"/>
        </w:rPr>
        <w:t xml:space="preserve">500 </w:t>
      </w:r>
      <w:r>
        <w:t>米环境概况及敏感目标分布图、测绘距离图附图三 扩建前后厂区总平面布置</w:t>
      </w:r>
    </w:p>
    <w:p>
      <w:pPr>
        <w:pStyle w:val="BodyText"/>
        <w:spacing w:line="304" w:lineRule="auto"/>
        <w:ind w:left="710" w:right="5140"/>
        <w:jc w:val="both"/>
      </w:pPr>
      <w:r>
        <w:t>附图四 扩建项目主要生产车间内布置图附图五 江苏省生态空间保护区域分布图附图六 江苏省环境管控单元图</w:t>
      </w:r>
    </w:p>
    <w:p>
      <w:pPr>
        <w:pStyle w:val="BodyText"/>
        <w:spacing w:line="304" w:lineRule="auto"/>
        <w:ind w:left="710" w:right="5982"/>
      </w:pPr>
      <w:r>
        <w:t>附图七 盐城市环境管控单元图附图八 项目周边水系概况图</w:t>
      </w:r>
    </w:p>
    <w:p>
      <w:pPr>
        <w:pStyle w:val="BodyText"/>
        <w:spacing w:line="267" w:lineRule="exact"/>
        <w:ind w:left="710"/>
      </w:pPr>
      <w:r>
        <w:t>附图九 厂区周边照片及工程师现场踏勘照片</w:t>
      </w:r>
    </w:p>
    <w:p>
      <w:pPr>
        <w:spacing w:after="0" w:line="267" w:lineRule="exact"/>
        <w:sectPr>
          <w:pgSz w:w="11910" w:h="16840"/>
          <w:pgMar w:top="1360" w:right="1140" w:bottom="280" w:left="1140" w:header="720" w:footer="720" w:gutter="0"/>
          <w:pgNumType w:start="2"/>
          <w:cols w:num="1" w:space="720"/>
        </w:sectPr>
      </w:pPr>
    </w:p>
    <w:p>
      <w:pPr>
        <w:pStyle w:val="Heading1"/>
        <w:tabs>
          <w:tab w:val="left" w:pos="3821"/>
        </w:tabs>
        <w:ind w:left="3397"/>
      </w:pPr>
      <w:bookmarkStart w:id="1" w:name="_bookmark1"/>
      <w:bookmarkEnd w:id="1"/>
      <w:r>
        <w:rPr>
          <w:rFonts w:ascii="Times New Roman" w:eastAsia="Times New Roman"/>
        </w:rPr>
        <w:t>1</w:t>
      </w:r>
      <w:r>
        <w:rPr>
          <w:rFonts w:ascii="Times New Roman" w:eastAsia="Times New Roman"/>
        </w:rPr>
        <w:tab/>
      </w:r>
      <w:r>
        <w:t>建设项目基本情况</w:t>
      </w:r>
    </w:p>
    <w:p>
      <w:pPr>
        <w:pStyle w:val="BodyText"/>
        <w:spacing w:before="4"/>
        <w:rPr>
          <w:b/>
          <w:sz w:val="15"/>
        </w:rPr>
      </w:pPr>
    </w:p>
    <w:tbl>
      <w:tblPr>
        <w:tblStyle w:val="TableNormal"/>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14"/>
        <w:gridCol w:w="2135"/>
        <w:gridCol w:w="2286"/>
        <w:gridCol w:w="3839"/>
      </w:tblGrid>
      <w:tr>
        <w:tblPrEx>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61"/>
        </w:trPr>
        <w:tc>
          <w:tcPr>
            <w:tcW w:w="1114" w:type="dxa"/>
            <w:tcBorders>
              <w:bottom w:val="single" w:sz="4" w:space="0" w:color="000000"/>
              <w:right w:val="single" w:sz="4" w:space="0" w:color="000000"/>
            </w:tcBorders>
          </w:tcPr>
          <w:p>
            <w:pPr>
              <w:pStyle w:val="TableParagraph"/>
              <w:spacing w:before="16" w:line="270" w:lineRule="atLeast"/>
              <w:ind w:left="450" w:right="12" w:hanging="420"/>
              <w:rPr>
                <w:sz w:val="21"/>
              </w:rPr>
            </w:pPr>
            <w:r>
              <w:rPr>
                <w:sz w:val="21"/>
              </w:rPr>
              <w:t>建设项目名称</w:t>
            </w:r>
          </w:p>
        </w:tc>
        <w:tc>
          <w:tcPr>
            <w:tcW w:w="8260" w:type="dxa"/>
            <w:gridSpan w:val="3"/>
            <w:tcBorders>
              <w:left w:val="single" w:sz="4" w:space="0" w:color="000000"/>
              <w:bottom w:val="single" w:sz="4" w:space="0" w:color="000000"/>
            </w:tcBorders>
          </w:tcPr>
          <w:p>
            <w:pPr>
              <w:pStyle w:val="TableParagraph"/>
              <w:spacing w:before="154"/>
              <w:ind w:left="1486" w:right="1468"/>
              <w:jc w:val="center"/>
              <w:rPr>
                <w:sz w:val="21"/>
              </w:rPr>
            </w:pPr>
            <w:r>
              <w:rPr>
                <w:sz w:val="21"/>
              </w:rPr>
              <w:t xml:space="preserve">年产 </w:t>
            </w:r>
            <w:r>
              <w:rPr>
                <w:rFonts w:ascii="Times New Roman" w:eastAsia="Times New Roman"/>
                <w:sz w:val="21"/>
              </w:rPr>
              <w:t xml:space="preserve">100 </w:t>
            </w:r>
            <w:r>
              <w:rPr>
                <w:sz w:val="21"/>
              </w:rPr>
              <w:t>吨食品包装膜、</w:t>
            </w:r>
            <w:r>
              <w:rPr>
                <w:rFonts w:ascii="Times New Roman" w:eastAsia="Times New Roman"/>
                <w:sz w:val="21"/>
              </w:rPr>
              <w:t xml:space="preserve">1 </w:t>
            </w:r>
            <w:r>
              <w:rPr>
                <w:sz w:val="21"/>
              </w:rPr>
              <w:t>亿片单片压花膜技术改造项目</w:t>
            </w:r>
          </w:p>
        </w:tc>
      </w:tr>
      <w:tr>
        <w:tblPrEx>
          <w:tblW w:w="0" w:type="auto"/>
          <w:tblInd w:w="138" w:type="dxa"/>
          <w:tblLayout w:type="fixed"/>
          <w:tblCellMar>
            <w:top w:w="0" w:type="dxa"/>
            <w:left w:w="0" w:type="dxa"/>
            <w:bottom w:w="0" w:type="dxa"/>
            <w:right w:w="0" w:type="dxa"/>
          </w:tblCellMar>
        </w:tblPrEx>
        <w:trPr>
          <w:trHeight w:val="412"/>
        </w:trPr>
        <w:tc>
          <w:tcPr>
            <w:tcW w:w="1114" w:type="dxa"/>
            <w:tcBorders>
              <w:top w:val="single" w:sz="4" w:space="0" w:color="000000"/>
              <w:bottom w:val="single" w:sz="4" w:space="0" w:color="000000"/>
              <w:right w:val="single" w:sz="4" w:space="0" w:color="000000"/>
            </w:tcBorders>
          </w:tcPr>
          <w:p>
            <w:pPr>
              <w:pStyle w:val="TableParagraph"/>
              <w:spacing w:before="80"/>
              <w:ind w:left="115" w:right="99"/>
              <w:jc w:val="center"/>
              <w:rPr>
                <w:sz w:val="21"/>
              </w:rPr>
            </w:pPr>
            <w:r>
              <w:rPr>
                <w:sz w:val="21"/>
              </w:rPr>
              <w:t>项目代码</w:t>
            </w:r>
          </w:p>
        </w:tc>
        <w:tc>
          <w:tcPr>
            <w:tcW w:w="8260" w:type="dxa"/>
            <w:gridSpan w:val="3"/>
            <w:tcBorders>
              <w:top w:val="single" w:sz="4" w:space="0" w:color="000000"/>
              <w:left w:val="single" w:sz="4" w:space="0" w:color="000000"/>
              <w:bottom w:val="single" w:sz="4" w:space="0" w:color="000000"/>
            </w:tcBorders>
          </w:tcPr>
          <w:p>
            <w:pPr>
              <w:pStyle w:val="TableParagraph"/>
              <w:spacing w:before="94"/>
              <w:ind w:left="1486" w:right="1468"/>
              <w:jc w:val="center"/>
              <w:rPr>
                <w:rFonts w:ascii="Times New Roman"/>
                <w:sz w:val="21"/>
              </w:rPr>
            </w:pPr>
            <w:r>
              <w:rPr>
                <w:rFonts w:ascii="Times New Roman"/>
                <w:sz w:val="21"/>
              </w:rPr>
              <w:t>2106-320922-89-02-488538</w:t>
            </w:r>
          </w:p>
        </w:tc>
      </w:tr>
      <w:tr>
        <w:tblPrEx>
          <w:tblW w:w="0" w:type="auto"/>
          <w:tblInd w:w="138" w:type="dxa"/>
          <w:tblLayout w:type="fixed"/>
          <w:tblCellMar>
            <w:top w:w="0" w:type="dxa"/>
            <w:left w:w="0" w:type="dxa"/>
            <w:bottom w:w="0" w:type="dxa"/>
            <w:right w:w="0" w:type="dxa"/>
          </w:tblCellMar>
        </w:tblPrEx>
        <w:trPr>
          <w:trHeight w:val="695"/>
        </w:trPr>
        <w:tc>
          <w:tcPr>
            <w:tcW w:w="1114" w:type="dxa"/>
            <w:tcBorders>
              <w:top w:val="single" w:sz="4" w:space="0" w:color="000000"/>
              <w:bottom w:val="single" w:sz="4" w:space="0" w:color="000000"/>
              <w:right w:val="single" w:sz="4" w:space="0" w:color="000000"/>
            </w:tcBorders>
          </w:tcPr>
          <w:p>
            <w:pPr>
              <w:pStyle w:val="TableParagraph"/>
              <w:spacing w:before="85" w:line="244" w:lineRule="auto"/>
              <w:ind w:left="345" w:right="12" w:hanging="315"/>
              <w:rPr>
                <w:sz w:val="21"/>
              </w:rPr>
            </w:pPr>
            <w:r>
              <w:rPr>
                <w:sz w:val="21"/>
              </w:rPr>
              <w:t>建设单位联系人</w:t>
            </w:r>
          </w:p>
        </w:tc>
        <w:tc>
          <w:tcPr>
            <w:tcW w:w="2135" w:type="dxa"/>
            <w:tcBorders>
              <w:top w:val="single" w:sz="4" w:space="0" w:color="000000"/>
              <w:left w:val="single" w:sz="4" w:space="0" w:color="000000"/>
              <w:bottom w:val="single" w:sz="4" w:space="0" w:color="000000"/>
              <w:right w:val="single" w:sz="4" w:space="0" w:color="000000"/>
            </w:tcBorders>
          </w:tcPr>
          <w:p>
            <w:pPr>
              <w:pStyle w:val="TableParagraph"/>
              <w:spacing w:before="4"/>
              <w:rPr>
                <w:b/>
                <w:sz w:val="18"/>
              </w:rPr>
            </w:pPr>
          </w:p>
          <w:p>
            <w:pPr>
              <w:pStyle w:val="TableParagraph"/>
              <w:ind w:right="839"/>
              <w:jc w:val="right"/>
              <w:rPr>
                <w:sz w:val="21"/>
              </w:rPr>
            </w:pPr>
            <w:r>
              <w:rPr>
                <w:sz w:val="21"/>
              </w:rPr>
              <w:t>包XXX</w:t>
            </w:r>
          </w:p>
        </w:tc>
        <w:tc>
          <w:tcPr>
            <w:tcW w:w="2286" w:type="dxa"/>
            <w:tcBorders>
              <w:top w:val="single" w:sz="4" w:space="0" w:color="000000"/>
              <w:left w:val="single" w:sz="4" w:space="0" w:color="000000"/>
              <w:bottom w:val="single" w:sz="4" w:space="0" w:color="000000"/>
              <w:right w:val="single" w:sz="4" w:space="0" w:color="000000"/>
            </w:tcBorders>
          </w:tcPr>
          <w:p>
            <w:pPr>
              <w:pStyle w:val="TableParagraph"/>
              <w:spacing w:before="3"/>
              <w:rPr>
                <w:b/>
                <w:sz w:val="17"/>
              </w:rPr>
            </w:pPr>
          </w:p>
          <w:p>
            <w:pPr>
              <w:pStyle w:val="TableParagraph"/>
              <w:spacing w:before="1"/>
              <w:ind w:left="286" w:right="269"/>
              <w:jc w:val="center"/>
              <w:rPr>
                <w:sz w:val="21"/>
              </w:rPr>
            </w:pPr>
            <w:r>
              <w:rPr>
                <w:sz w:val="21"/>
              </w:rPr>
              <w:t>联系方式</w:t>
            </w:r>
          </w:p>
        </w:tc>
        <w:tc>
          <w:tcPr>
            <w:tcW w:w="3839" w:type="dxa"/>
            <w:tcBorders>
              <w:top w:val="single" w:sz="4" w:space="0" w:color="000000"/>
              <w:left w:val="single" w:sz="4" w:space="0" w:color="000000"/>
              <w:bottom w:val="single" w:sz="4" w:space="0" w:color="000000"/>
            </w:tcBorders>
          </w:tcPr>
          <w:p>
            <w:pPr>
              <w:pStyle w:val="TableParagraph"/>
              <w:spacing w:before="5"/>
              <w:rPr>
                <w:b/>
                <w:sz w:val="18"/>
              </w:rPr>
            </w:pPr>
          </w:p>
          <w:p>
            <w:pPr>
              <w:pStyle w:val="TableParagraph"/>
              <w:ind w:left="90" w:right="137"/>
              <w:jc w:val="center"/>
              <w:rPr>
                <w:rFonts w:ascii="Times New Roman"/>
                <w:sz w:val="21"/>
              </w:rPr>
            </w:pPr>
            <w:r>
              <w:rPr>
                <w:rFonts w:ascii="Times New Roman"/>
                <w:sz w:val="21"/>
              </w:rPr>
              <w:t>180XXX777</w:t>
            </w:r>
          </w:p>
        </w:tc>
      </w:tr>
      <w:tr>
        <w:tblPrEx>
          <w:tblW w:w="0" w:type="auto"/>
          <w:tblInd w:w="138" w:type="dxa"/>
          <w:tblLayout w:type="fixed"/>
          <w:tblCellMar>
            <w:top w:w="0" w:type="dxa"/>
            <w:left w:w="0" w:type="dxa"/>
            <w:bottom w:w="0" w:type="dxa"/>
            <w:right w:w="0" w:type="dxa"/>
          </w:tblCellMar>
        </w:tblPrEx>
        <w:trPr>
          <w:trHeight w:val="697"/>
        </w:trPr>
        <w:tc>
          <w:tcPr>
            <w:tcW w:w="1114" w:type="dxa"/>
            <w:tcBorders>
              <w:top w:val="single" w:sz="4" w:space="0" w:color="000000"/>
              <w:bottom w:val="single" w:sz="4" w:space="0" w:color="000000"/>
              <w:right w:val="single" w:sz="4" w:space="0" w:color="000000"/>
            </w:tcBorders>
          </w:tcPr>
          <w:p>
            <w:pPr>
              <w:pStyle w:val="TableParagraph"/>
              <w:spacing w:before="3"/>
              <w:rPr>
                <w:b/>
                <w:sz w:val="17"/>
              </w:rPr>
            </w:pPr>
          </w:p>
          <w:p>
            <w:pPr>
              <w:pStyle w:val="TableParagraph"/>
              <w:spacing w:before="1"/>
              <w:ind w:left="115" w:right="99"/>
              <w:jc w:val="center"/>
              <w:rPr>
                <w:sz w:val="21"/>
              </w:rPr>
            </w:pPr>
            <w:r>
              <w:rPr>
                <w:sz w:val="21"/>
              </w:rPr>
              <w:t>建设地点</w:t>
            </w:r>
          </w:p>
        </w:tc>
        <w:tc>
          <w:tcPr>
            <w:tcW w:w="8260" w:type="dxa"/>
            <w:gridSpan w:val="3"/>
            <w:tcBorders>
              <w:top w:val="single" w:sz="4" w:space="0" w:color="000000"/>
              <w:left w:val="single" w:sz="4" w:space="0" w:color="000000"/>
              <w:bottom w:val="single" w:sz="4" w:space="0" w:color="000000"/>
            </w:tcBorders>
          </w:tcPr>
          <w:p>
            <w:pPr>
              <w:pStyle w:val="TableParagraph"/>
              <w:spacing w:before="85" w:line="244" w:lineRule="auto"/>
              <w:ind w:left="2512" w:right="1798" w:hanging="694"/>
              <w:rPr>
                <w:sz w:val="21"/>
              </w:rPr>
            </w:pPr>
            <w:r>
              <w:rPr>
                <w:sz w:val="21"/>
                <w:u w:val="single"/>
              </w:rPr>
              <w:t>江苏</w:t>
            </w:r>
            <w:r>
              <w:rPr>
                <w:sz w:val="21"/>
              </w:rPr>
              <w:t>省（自治区）</w:t>
            </w:r>
            <w:r>
              <w:rPr>
                <w:sz w:val="21"/>
                <w:u w:val="single"/>
              </w:rPr>
              <w:t>盐城</w:t>
            </w:r>
            <w:r>
              <w:rPr>
                <w:sz w:val="21"/>
              </w:rPr>
              <w:t>市</w:t>
            </w:r>
            <w:r>
              <w:rPr>
                <w:sz w:val="21"/>
                <w:u w:val="single"/>
              </w:rPr>
              <w:t>滨海</w:t>
            </w:r>
            <w:r>
              <w:rPr>
                <w:sz w:val="21"/>
              </w:rPr>
              <w:t xml:space="preserve">县（区）乡（街道） </w:t>
            </w:r>
            <w:r>
              <w:rPr>
                <w:sz w:val="21"/>
                <w:u w:val="single"/>
              </w:rPr>
              <w:t xml:space="preserve">东坎高新技术产业园盘洋大道 </w:t>
            </w:r>
            <w:r>
              <w:rPr>
                <w:rFonts w:ascii="Times New Roman" w:eastAsia="Times New Roman"/>
                <w:sz w:val="21"/>
                <w:u w:val="single"/>
              </w:rPr>
              <w:t xml:space="preserve">11 </w:t>
            </w:r>
            <w:r>
              <w:rPr>
                <w:sz w:val="21"/>
                <w:u w:val="single"/>
              </w:rPr>
              <w:t>号</w:t>
            </w:r>
          </w:p>
        </w:tc>
      </w:tr>
      <w:tr>
        <w:tblPrEx>
          <w:tblW w:w="0" w:type="auto"/>
          <w:tblInd w:w="138" w:type="dxa"/>
          <w:tblLayout w:type="fixed"/>
          <w:tblCellMar>
            <w:top w:w="0" w:type="dxa"/>
            <w:left w:w="0" w:type="dxa"/>
            <w:bottom w:w="0" w:type="dxa"/>
            <w:right w:w="0" w:type="dxa"/>
          </w:tblCellMar>
        </w:tblPrEx>
        <w:trPr>
          <w:trHeight w:val="412"/>
        </w:trPr>
        <w:tc>
          <w:tcPr>
            <w:tcW w:w="1114" w:type="dxa"/>
            <w:tcBorders>
              <w:top w:val="single" w:sz="4" w:space="0" w:color="000000"/>
              <w:bottom w:val="single" w:sz="4" w:space="0" w:color="000000"/>
              <w:right w:val="single" w:sz="4" w:space="0" w:color="000000"/>
            </w:tcBorders>
          </w:tcPr>
          <w:p>
            <w:pPr>
              <w:pStyle w:val="TableParagraph"/>
              <w:spacing w:before="78"/>
              <w:ind w:left="115" w:right="99"/>
              <w:jc w:val="center"/>
              <w:rPr>
                <w:sz w:val="21"/>
              </w:rPr>
            </w:pPr>
            <w:r>
              <w:rPr>
                <w:sz w:val="21"/>
              </w:rPr>
              <w:t>地理坐标</w:t>
            </w:r>
          </w:p>
        </w:tc>
        <w:tc>
          <w:tcPr>
            <w:tcW w:w="8260" w:type="dxa"/>
            <w:gridSpan w:val="3"/>
            <w:tcBorders>
              <w:top w:val="single" w:sz="4" w:space="0" w:color="000000"/>
              <w:left w:val="single" w:sz="4" w:space="0" w:color="000000"/>
              <w:bottom w:val="single" w:sz="4" w:space="0" w:color="000000"/>
            </w:tcBorders>
          </w:tcPr>
          <w:p>
            <w:pPr>
              <w:pStyle w:val="TableParagraph"/>
              <w:spacing w:before="78"/>
              <w:ind w:left="1486" w:right="1466"/>
              <w:jc w:val="center"/>
              <w:rPr>
                <w:sz w:val="21"/>
              </w:rPr>
            </w:pPr>
            <w:r>
              <w:rPr>
                <w:sz w:val="21"/>
              </w:rPr>
              <w:t>（</w:t>
            </w:r>
            <w:r>
              <w:rPr>
                <w:rFonts w:ascii="Times New Roman" w:eastAsia="Times New Roman"/>
                <w:sz w:val="21"/>
                <w:u w:val="single"/>
              </w:rPr>
              <w:t>119</w:t>
            </w:r>
            <w:r>
              <w:rPr>
                <w:rFonts w:ascii="Times New Roman" w:eastAsia="Times New Roman"/>
                <w:sz w:val="21"/>
              </w:rPr>
              <w:t xml:space="preserve"> </w:t>
            </w:r>
            <w:r>
              <w:rPr>
                <w:sz w:val="21"/>
              </w:rPr>
              <w:t xml:space="preserve">度 </w:t>
            </w:r>
            <w:r>
              <w:rPr>
                <w:rFonts w:ascii="Times New Roman" w:eastAsia="Times New Roman"/>
                <w:sz w:val="21"/>
                <w:u w:val="single"/>
              </w:rPr>
              <w:t>53</w:t>
            </w:r>
            <w:r>
              <w:rPr>
                <w:rFonts w:ascii="Times New Roman" w:eastAsia="Times New Roman"/>
                <w:sz w:val="21"/>
              </w:rPr>
              <w:t xml:space="preserve"> </w:t>
            </w:r>
            <w:r>
              <w:rPr>
                <w:sz w:val="21"/>
              </w:rPr>
              <w:t xml:space="preserve">分 </w:t>
            </w:r>
            <w:r>
              <w:rPr>
                <w:rFonts w:ascii="Times New Roman" w:eastAsia="Times New Roman"/>
                <w:sz w:val="21"/>
                <w:u w:val="single"/>
              </w:rPr>
              <w:t>4.105</w:t>
            </w:r>
            <w:r>
              <w:rPr>
                <w:rFonts w:ascii="Times New Roman" w:eastAsia="Times New Roman"/>
                <w:sz w:val="21"/>
              </w:rPr>
              <w:t xml:space="preserve"> </w:t>
            </w:r>
            <w:r>
              <w:rPr>
                <w:sz w:val="21"/>
              </w:rPr>
              <w:t>秒，</w:t>
            </w:r>
            <w:r>
              <w:rPr>
                <w:rFonts w:ascii="Times New Roman" w:eastAsia="Times New Roman"/>
                <w:sz w:val="21"/>
                <w:u w:val="single"/>
              </w:rPr>
              <w:t>34</w:t>
            </w:r>
            <w:r>
              <w:rPr>
                <w:rFonts w:ascii="Times New Roman" w:eastAsia="Times New Roman"/>
                <w:sz w:val="21"/>
              </w:rPr>
              <w:t xml:space="preserve"> </w:t>
            </w:r>
            <w:r>
              <w:rPr>
                <w:sz w:val="21"/>
              </w:rPr>
              <w:t xml:space="preserve">度 </w:t>
            </w:r>
            <w:r>
              <w:rPr>
                <w:rFonts w:ascii="Times New Roman" w:eastAsia="Times New Roman"/>
                <w:sz w:val="21"/>
                <w:u w:val="single"/>
              </w:rPr>
              <w:t>1</w:t>
            </w:r>
            <w:r>
              <w:rPr>
                <w:rFonts w:ascii="Times New Roman" w:eastAsia="Times New Roman"/>
                <w:sz w:val="21"/>
              </w:rPr>
              <w:t xml:space="preserve"> </w:t>
            </w:r>
            <w:r>
              <w:rPr>
                <w:sz w:val="21"/>
              </w:rPr>
              <w:t xml:space="preserve">分 </w:t>
            </w:r>
            <w:r>
              <w:rPr>
                <w:rFonts w:ascii="Times New Roman" w:eastAsia="Times New Roman"/>
                <w:sz w:val="21"/>
                <w:u w:val="single"/>
              </w:rPr>
              <w:t>40.005</w:t>
            </w:r>
            <w:r>
              <w:rPr>
                <w:rFonts w:ascii="Times New Roman" w:eastAsia="Times New Roman"/>
                <w:sz w:val="21"/>
              </w:rPr>
              <w:t xml:space="preserve"> </w:t>
            </w:r>
            <w:r>
              <w:rPr>
                <w:sz w:val="21"/>
              </w:rPr>
              <w:t>秒）</w:t>
            </w:r>
          </w:p>
        </w:tc>
      </w:tr>
      <w:tr>
        <w:tblPrEx>
          <w:tblW w:w="0" w:type="auto"/>
          <w:tblInd w:w="138" w:type="dxa"/>
          <w:tblLayout w:type="fixed"/>
          <w:tblCellMar>
            <w:top w:w="0" w:type="dxa"/>
            <w:left w:w="0" w:type="dxa"/>
            <w:bottom w:w="0" w:type="dxa"/>
            <w:right w:w="0" w:type="dxa"/>
          </w:tblCellMar>
        </w:tblPrEx>
        <w:trPr>
          <w:trHeight w:val="1377"/>
        </w:trPr>
        <w:tc>
          <w:tcPr>
            <w:tcW w:w="1114" w:type="dxa"/>
            <w:tcBorders>
              <w:top w:val="single" w:sz="4" w:space="0" w:color="000000"/>
              <w:bottom w:val="single" w:sz="4" w:space="0" w:color="000000"/>
              <w:right w:val="single" w:sz="4" w:space="0" w:color="000000"/>
            </w:tcBorders>
          </w:tcPr>
          <w:p>
            <w:pPr>
              <w:pStyle w:val="TableParagraph"/>
              <w:rPr>
                <w:b/>
                <w:sz w:val="20"/>
              </w:rPr>
            </w:pPr>
          </w:p>
          <w:p>
            <w:pPr>
              <w:pStyle w:val="TableParagraph"/>
              <w:spacing w:before="170" w:line="242" w:lineRule="auto"/>
              <w:ind w:left="136" w:right="118"/>
              <w:rPr>
                <w:sz w:val="21"/>
              </w:rPr>
            </w:pPr>
            <w:r>
              <w:rPr>
                <w:sz w:val="21"/>
              </w:rPr>
              <w:t>国民经济行业类别</w:t>
            </w:r>
          </w:p>
        </w:tc>
        <w:tc>
          <w:tcPr>
            <w:tcW w:w="2135"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170" w:line="242" w:lineRule="auto"/>
              <w:ind w:left="755" w:right="69" w:hanging="665"/>
              <w:rPr>
                <w:sz w:val="21"/>
              </w:rPr>
            </w:pPr>
            <w:r>
              <w:rPr>
                <w:rFonts w:ascii="Times New Roman" w:eastAsia="Times New Roman"/>
                <w:sz w:val="21"/>
              </w:rPr>
              <w:t>[C2319]</w:t>
            </w:r>
            <w:r>
              <w:rPr>
                <w:sz w:val="21"/>
              </w:rPr>
              <w:t>包装装潢及其他印刷</w:t>
            </w:r>
          </w:p>
        </w:tc>
        <w:tc>
          <w:tcPr>
            <w:tcW w:w="2286"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170" w:line="242" w:lineRule="auto"/>
              <w:ind w:left="725" w:right="705"/>
              <w:rPr>
                <w:sz w:val="21"/>
              </w:rPr>
            </w:pPr>
            <w:r>
              <w:rPr>
                <w:sz w:val="21"/>
              </w:rPr>
              <w:t>建设项目行业类别</w:t>
            </w:r>
          </w:p>
        </w:tc>
        <w:tc>
          <w:tcPr>
            <w:tcW w:w="3839" w:type="dxa"/>
            <w:tcBorders>
              <w:top w:val="single" w:sz="4" w:space="0" w:color="000000"/>
              <w:left w:val="single" w:sz="4" w:space="0" w:color="000000"/>
              <w:bottom w:val="single" w:sz="4" w:space="0" w:color="000000"/>
            </w:tcBorders>
          </w:tcPr>
          <w:p>
            <w:pPr>
              <w:pStyle w:val="TableParagraph"/>
              <w:spacing w:before="7"/>
              <w:rPr>
                <w:b/>
                <w:sz w:val="22"/>
              </w:rPr>
            </w:pPr>
          </w:p>
          <w:p>
            <w:pPr>
              <w:pStyle w:val="TableParagraph"/>
              <w:spacing w:line="242" w:lineRule="auto"/>
              <w:ind w:left="134" w:right="137"/>
              <w:jc w:val="center"/>
              <w:rPr>
                <w:sz w:val="21"/>
              </w:rPr>
            </w:pPr>
            <w:r>
              <w:rPr>
                <w:sz w:val="21"/>
              </w:rPr>
              <w:t xml:space="preserve">二十、印刷和记录媒介复制业 </w:t>
            </w:r>
            <w:r>
              <w:rPr>
                <w:rFonts w:ascii="Times New Roman" w:eastAsia="Times New Roman"/>
                <w:sz w:val="21"/>
              </w:rPr>
              <w:t>23-39</w:t>
            </w:r>
            <w:r>
              <w:rPr>
                <w:sz w:val="21"/>
              </w:rPr>
              <w:t xml:space="preserve">、印刷 </w:t>
            </w:r>
            <w:r>
              <w:rPr>
                <w:rFonts w:ascii="Times New Roman" w:eastAsia="Times New Roman"/>
                <w:sz w:val="21"/>
              </w:rPr>
              <w:t>231*-</w:t>
            </w:r>
            <w:r>
              <w:rPr>
                <w:sz w:val="21"/>
              </w:rPr>
              <w:t>其他（年用低</w:t>
            </w:r>
            <w:r>
              <w:rPr>
                <w:rFonts w:ascii="Times New Roman" w:eastAsia="Times New Roman"/>
                <w:sz w:val="21"/>
              </w:rPr>
              <w:t xml:space="preserve">VOCs </w:t>
            </w:r>
            <w:r>
              <w:rPr>
                <w:sz w:val="21"/>
              </w:rPr>
              <w:t xml:space="preserve">含量油墨 </w:t>
            </w:r>
            <w:r>
              <w:rPr>
                <w:rFonts w:ascii="Times New Roman" w:eastAsia="Times New Roman"/>
                <w:sz w:val="21"/>
              </w:rPr>
              <w:t xml:space="preserve">10 </w:t>
            </w:r>
            <w:r>
              <w:rPr>
                <w:sz w:val="21"/>
              </w:rPr>
              <w:t>吨以下）</w:t>
            </w:r>
          </w:p>
        </w:tc>
      </w:tr>
      <w:tr>
        <w:tblPrEx>
          <w:tblW w:w="0" w:type="auto"/>
          <w:tblInd w:w="138" w:type="dxa"/>
          <w:tblLayout w:type="fixed"/>
          <w:tblCellMar>
            <w:top w:w="0" w:type="dxa"/>
            <w:left w:w="0" w:type="dxa"/>
            <w:bottom w:w="0" w:type="dxa"/>
            <w:right w:w="0" w:type="dxa"/>
          </w:tblCellMar>
        </w:tblPrEx>
        <w:trPr>
          <w:trHeight w:val="1538"/>
        </w:trPr>
        <w:tc>
          <w:tcPr>
            <w:tcW w:w="1114" w:type="dxa"/>
            <w:tcBorders>
              <w:top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spacing w:before="129"/>
              <w:ind w:left="115" w:right="99"/>
              <w:jc w:val="center"/>
              <w:rPr>
                <w:sz w:val="21"/>
              </w:rPr>
            </w:pPr>
            <w:r>
              <w:rPr>
                <w:sz w:val="21"/>
              </w:rPr>
              <w:t>建设性质</w:t>
            </w:r>
          </w:p>
        </w:tc>
        <w:tc>
          <w:tcPr>
            <w:tcW w:w="2135" w:type="dxa"/>
            <w:tcBorders>
              <w:top w:val="single" w:sz="4" w:space="0" w:color="000000"/>
              <w:left w:val="single" w:sz="4" w:space="0" w:color="000000"/>
              <w:bottom w:val="single" w:sz="4" w:space="0" w:color="000000"/>
              <w:right w:val="single" w:sz="4" w:space="0" w:color="000000"/>
            </w:tcBorders>
          </w:tcPr>
          <w:p>
            <w:pPr>
              <w:pStyle w:val="TableParagraph"/>
              <w:numPr>
                <w:ilvl w:val="0"/>
                <w:numId w:val="2"/>
              </w:numPr>
              <w:tabs>
                <w:tab w:val="left" w:pos="192"/>
              </w:tabs>
              <w:spacing w:before="210" w:after="0" w:line="240" w:lineRule="auto"/>
              <w:ind w:left="191" w:right="0" w:hanging="184"/>
              <w:jc w:val="left"/>
              <w:rPr>
                <w:sz w:val="21"/>
              </w:rPr>
            </w:pPr>
            <w:r>
              <w:rPr>
                <w:spacing w:val="-2"/>
                <w:sz w:val="21"/>
              </w:rPr>
              <w:t>新建</w:t>
            </w:r>
            <w:r>
              <w:rPr>
                <w:spacing w:val="-3"/>
                <w:sz w:val="21"/>
              </w:rPr>
              <w:t>（</w:t>
            </w:r>
            <w:r>
              <w:rPr>
                <w:spacing w:val="-2"/>
                <w:sz w:val="21"/>
              </w:rPr>
              <w:t>迁建</w:t>
            </w:r>
            <w:r>
              <w:rPr>
                <w:sz w:val="21"/>
              </w:rPr>
              <w:t>）</w:t>
            </w:r>
          </w:p>
          <w:p>
            <w:pPr>
              <w:pStyle w:val="TableParagraph"/>
              <w:numPr>
                <w:ilvl w:val="0"/>
                <w:numId w:val="2"/>
              </w:numPr>
              <w:tabs>
                <w:tab w:val="left" w:pos="192"/>
              </w:tabs>
              <w:spacing w:before="2" w:after="0" w:line="240" w:lineRule="auto"/>
              <w:ind w:left="191" w:right="0" w:hanging="184"/>
              <w:jc w:val="left"/>
              <w:rPr>
                <w:sz w:val="21"/>
              </w:rPr>
            </w:pPr>
            <w:r>
              <w:rPr>
                <w:spacing w:val="-3"/>
                <w:sz w:val="21"/>
              </w:rPr>
              <w:t>改建</w:t>
            </w:r>
          </w:p>
          <w:p>
            <w:pPr>
              <w:pStyle w:val="TableParagraph"/>
              <w:spacing w:before="2"/>
              <w:ind w:left="8"/>
              <w:rPr>
                <w:sz w:val="21"/>
              </w:rPr>
            </w:pPr>
            <w:r>
              <w:rPr>
                <w:rFonts w:ascii="Wingdings" w:eastAsia="Wingdings" w:hAnsi="Wingdings"/>
                <w:sz w:val="21"/>
              </w:rPr>
              <w:sym w:font="Wingdings" w:char="F052"/>
            </w:r>
            <w:r>
              <w:rPr>
                <w:sz w:val="21"/>
              </w:rPr>
              <w:t>扩建</w:t>
            </w:r>
          </w:p>
          <w:p>
            <w:pPr>
              <w:pStyle w:val="TableParagraph"/>
              <w:numPr>
                <w:ilvl w:val="0"/>
                <w:numId w:val="2"/>
              </w:numPr>
              <w:tabs>
                <w:tab w:val="left" w:pos="192"/>
              </w:tabs>
              <w:spacing w:before="2" w:after="0" w:line="240" w:lineRule="auto"/>
              <w:ind w:left="191" w:right="0" w:hanging="184"/>
              <w:jc w:val="left"/>
              <w:rPr>
                <w:sz w:val="21"/>
              </w:rPr>
            </w:pPr>
            <w:r>
              <w:rPr>
                <w:spacing w:val="-3"/>
                <w:sz w:val="21"/>
              </w:rPr>
              <w:t>技术改造</w:t>
            </w:r>
          </w:p>
        </w:tc>
        <w:tc>
          <w:tcPr>
            <w:tcW w:w="2286"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5"/>
              <w:rPr>
                <w:b/>
                <w:sz w:val="19"/>
              </w:rPr>
            </w:pPr>
          </w:p>
          <w:p>
            <w:pPr>
              <w:pStyle w:val="TableParagraph"/>
              <w:spacing w:line="244" w:lineRule="auto"/>
              <w:ind w:left="725" w:right="705"/>
              <w:rPr>
                <w:sz w:val="21"/>
              </w:rPr>
            </w:pPr>
            <w:r>
              <w:rPr>
                <w:sz w:val="21"/>
              </w:rPr>
              <w:t>建设项目申报情形</w:t>
            </w:r>
          </w:p>
        </w:tc>
        <w:tc>
          <w:tcPr>
            <w:tcW w:w="3839" w:type="dxa"/>
            <w:tcBorders>
              <w:top w:val="single" w:sz="4" w:space="0" w:color="000000"/>
              <w:left w:val="single" w:sz="4" w:space="0" w:color="000000"/>
              <w:bottom w:val="single" w:sz="4" w:space="0" w:color="000000"/>
            </w:tcBorders>
          </w:tcPr>
          <w:p>
            <w:pPr>
              <w:pStyle w:val="TableParagraph"/>
              <w:spacing w:before="7"/>
              <w:rPr>
                <w:b/>
                <w:sz w:val="16"/>
              </w:rPr>
            </w:pPr>
          </w:p>
          <w:p>
            <w:pPr>
              <w:pStyle w:val="TableParagraph"/>
              <w:ind w:left="7"/>
              <w:rPr>
                <w:sz w:val="21"/>
              </w:rPr>
            </w:pPr>
            <w:r>
              <w:rPr>
                <w:rFonts w:ascii="Wingdings" w:eastAsia="Wingdings" w:hAnsi="Wingdings"/>
                <w:sz w:val="21"/>
              </w:rPr>
              <w:sym w:font="Wingdings" w:char="F052"/>
            </w:r>
            <w:r>
              <w:rPr>
                <w:sz w:val="21"/>
              </w:rPr>
              <w:t>首次申报项目</w:t>
            </w:r>
          </w:p>
          <w:p>
            <w:pPr>
              <w:pStyle w:val="TableParagraph"/>
              <w:numPr>
                <w:ilvl w:val="0"/>
                <w:numId w:val="3"/>
              </w:numPr>
              <w:tabs>
                <w:tab w:val="left" w:pos="191"/>
              </w:tabs>
              <w:spacing w:before="2" w:after="0" w:line="240" w:lineRule="auto"/>
              <w:ind w:left="190" w:right="0" w:hanging="184"/>
              <w:jc w:val="left"/>
              <w:rPr>
                <w:sz w:val="21"/>
              </w:rPr>
            </w:pPr>
            <w:r>
              <w:rPr>
                <w:spacing w:val="-3"/>
                <w:sz w:val="21"/>
              </w:rPr>
              <w:t>不予批准后再次申报项目</w:t>
            </w:r>
          </w:p>
          <w:p>
            <w:pPr>
              <w:pStyle w:val="TableParagraph"/>
              <w:numPr>
                <w:ilvl w:val="0"/>
                <w:numId w:val="3"/>
              </w:numPr>
              <w:tabs>
                <w:tab w:val="left" w:pos="191"/>
              </w:tabs>
              <w:spacing w:before="0" w:after="0" w:line="240" w:lineRule="auto"/>
              <w:ind w:left="190" w:right="0" w:hanging="184"/>
              <w:jc w:val="left"/>
              <w:rPr>
                <w:sz w:val="21"/>
              </w:rPr>
            </w:pPr>
            <w:r>
              <w:rPr>
                <w:spacing w:val="-3"/>
                <w:sz w:val="21"/>
              </w:rPr>
              <w:t>超五年重新审核项目</w:t>
            </w:r>
          </w:p>
          <w:p>
            <w:pPr>
              <w:pStyle w:val="TableParagraph"/>
              <w:numPr>
                <w:ilvl w:val="0"/>
                <w:numId w:val="3"/>
              </w:numPr>
              <w:tabs>
                <w:tab w:val="left" w:pos="191"/>
              </w:tabs>
              <w:spacing w:before="2" w:after="0" w:line="240" w:lineRule="auto"/>
              <w:ind w:left="190" w:right="0" w:hanging="184"/>
              <w:jc w:val="left"/>
              <w:rPr>
                <w:sz w:val="21"/>
              </w:rPr>
            </w:pPr>
            <w:r>
              <w:rPr>
                <w:spacing w:val="-3"/>
                <w:sz w:val="21"/>
              </w:rPr>
              <w:t>重大变动重新报批项目</w:t>
            </w:r>
          </w:p>
        </w:tc>
      </w:tr>
      <w:tr>
        <w:tblPrEx>
          <w:tblW w:w="0" w:type="auto"/>
          <w:tblInd w:w="138" w:type="dxa"/>
          <w:tblLayout w:type="fixed"/>
          <w:tblCellMar>
            <w:top w:w="0" w:type="dxa"/>
            <w:left w:w="0" w:type="dxa"/>
            <w:bottom w:w="0" w:type="dxa"/>
            <w:right w:w="0" w:type="dxa"/>
          </w:tblCellMar>
        </w:tblPrEx>
        <w:trPr>
          <w:trHeight w:val="1106"/>
        </w:trPr>
        <w:tc>
          <w:tcPr>
            <w:tcW w:w="1114" w:type="dxa"/>
            <w:tcBorders>
              <w:top w:val="single" w:sz="4" w:space="0" w:color="000000"/>
              <w:bottom w:val="single" w:sz="4" w:space="0" w:color="000000"/>
              <w:right w:val="single" w:sz="4" w:space="0" w:color="000000"/>
            </w:tcBorders>
          </w:tcPr>
          <w:p>
            <w:pPr>
              <w:pStyle w:val="TableParagraph"/>
              <w:spacing w:before="17"/>
              <w:ind w:left="136"/>
              <w:rPr>
                <w:sz w:val="21"/>
              </w:rPr>
            </w:pPr>
            <w:r>
              <w:rPr>
                <w:sz w:val="21"/>
              </w:rPr>
              <w:t>项目审批</w:t>
            </w:r>
          </w:p>
          <w:p>
            <w:pPr>
              <w:pStyle w:val="TableParagraph"/>
              <w:spacing w:before="3" w:line="244" w:lineRule="auto"/>
              <w:ind w:left="30" w:right="12" w:firstLine="180"/>
              <w:rPr>
                <w:sz w:val="21"/>
              </w:rPr>
            </w:pPr>
            <w:r>
              <w:rPr>
                <w:sz w:val="21"/>
              </w:rPr>
              <w:t>（核准</w:t>
            </w:r>
            <w:r>
              <w:rPr>
                <w:rFonts w:ascii="Times New Roman" w:eastAsia="Times New Roman"/>
                <w:sz w:val="21"/>
              </w:rPr>
              <w:t xml:space="preserve">/ </w:t>
            </w:r>
            <w:r>
              <w:rPr>
                <w:sz w:val="21"/>
              </w:rPr>
              <w:t>备案</w:t>
            </w:r>
            <w:r>
              <w:rPr>
                <w:spacing w:val="-3"/>
                <w:sz w:val="21"/>
              </w:rPr>
              <w:t>）</w:t>
            </w:r>
            <w:r>
              <w:rPr>
                <w:spacing w:val="-8"/>
                <w:sz w:val="21"/>
              </w:rPr>
              <w:t>部门</w:t>
            </w:r>
          </w:p>
          <w:p>
            <w:pPr>
              <w:pStyle w:val="TableParagraph"/>
              <w:spacing w:line="248" w:lineRule="exact"/>
              <w:ind w:left="136"/>
              <w:rPr>
                <w:sz w:val="21"/>
              </w:rPr>
            </w:pPr>
            <w:r>
              <w:rPr>
                <w:sz w:val="21"/>
              </w:rPr>
              <w:t>（</w:t>
            </w:r>
            <w:r>
              <w:rPr>
                <w:spacing w:val="-2"/>
                <w:sz w:val="21"/>
              </w:rPr>
              <w:t>选填</w:t>
            </w:r>
            <w:r>
              <w:rPr>
                <w:sz w:val="21"/>
              </w:rPr>
              <w:t>）</w:t>
            </w:r>
          </w:p>
        </w:tc>
        <w:tc>
          <w:tcPr>
            <w:tcW w:w="2135" w:type="dxa"/>
            <w:tcBorders>
              <w:top w:val="single" w:sz="4" w:space="0" w:color="000000"/>
              <w:left w:val="single" w:sz="4" w:space="0" w:color="000000"/>
              <w:bottom w:val="single" w:sz="4" w:space="0" w:color="000000"/>
              <w:right w:val="single" w:sz="4" w:space="0" w:color="000000"/>
            </w:tcBorders>
          </w:tcPr>
          <w:p>
            <w:pPr>
              <w:pStyle w:val="TableParagraph"/>
              <w:spacing w:before="7"/>
              <w:rPr>
                <w:b/>
                <w:sz w:val="22"/>
              </w:rPr>
            </w:pPr>
          </w:p>
          <w:p>
            <w:pPr>
              <w:pStyle w:val="TableParagraph"/>
              <w:spacing w:line="244" w:lineRule="auto"/>
              <w:ind w:left="544" w:right="525" w:firstLine="211"/>
              <w:rPr>
                <w:sz w:val="21"/>
              </w:rPr>
            </w:pPr>
            <w:r>
              <w:rPr>
                <w:sz w:val="21"/>
              </w:rPr>
              <w:t>滨 海 县 行政审批局</w:t>
            </w:r>
          </w:p>
        </w:tc>
        <w:tc>
          <w:tcPr>
            <w:tcW w:w="2286" w:type="dxa"/>
            <w:tcBorders>
              <w:top w:val="single" w:sz="4" w:space="0" w:color="000000"/>
              <w:left w:val="single" w:sz="4" w:space="0" w:color="000000"/>
              <w:bottom w:val="single" w:sz="4" w:space="0" w:color="000000"/>
              <w:right w:val="single" w:sz="4" w:space="0" w:color="000000"/>
            </w:tcBorders>
          </w:tcPr>
          <w:p>
            <w:pPr>
              <w:pStyle w:val="TableParagraph"/>
              <w:spacing w:before="7"/>
              <w:rPr>
                <w:b/>
                <w:sz w:val="22"/>
              </w:rPr>
            </w:pPr>
          </w:p>
          <w:p>
            <w:pPr>
              <w:pStyle w:val="TableParagraph"/>
              <w:spacing w:line="244" w:lineRule="auto"/>
              <w:ind w:left="200" w:right="180" w:firstLine="180"/>
              <w:rPr>
                <w:sz w:val="21"/>
              </w:rPr>
            </w:pPr>
            <w:r>
              <w:rPr>
                <w:sz w:val="21"/>
              </w:rPr>
              <w:t>项目审批（核准</w:t>
            </w:r>
            <w:r>
              <w:rPr>
                <w:rFonts w:ascii="Times New Roman" w:eastAsia="Times New Roman"/>
                <w:sz w:val="21"/>
              </w:rPr>
              <w:t xml:space="preserve">/ </w:t>
            </w:r>
            <w:r>
              <w:rPr>
                <w:sz w:val="21"/>
              </w:rPr>
              <w:t>备案）文号（选填）</w:t>
            </w:r>
          </w:p>
        </w:tc>
        <w:tc>
          <w:tcPr>
            <w:tcW w:w="3839" w:type="dxa"/>
            <w:tcBorders>
              <w:top w:val="single" w:sz="4" w:space="0" w:color="000000"/>
              <w:left w:val="single" w:sz="4" w:space="0" w:color="000000"/>
              <w:bottom w:val="single" w:sz="4" w:space="0" w:color="000000"/>
            </w:tcBorders>
          </w:tcPr>
          <w:p>
            <w:pPr>
              <w:pStyle w:val="TableParagraph"/>
              <w:rPr>
                <w:b/>
                <w:sz w:val="22"/>
              </w:rPr>
            </w:pPr>
          </w:p>
          <w:p>
            <w:pPr>
              <w:pStyle w:val="TableParagraph"/>
              <w:spacing w:before="144"/>
              <w:ind w:left="134" w:right="120"/>
              <w:jc w:val="center"/>
              <w:rPr>
                <w:sz w:val="21"/>
              </w:rPr>
            </w:pPr>
            <w:r>
              <w:rPr>
                <w:sz w:val="21"/>
              </w:rPr>
              <w:t>滨行审投资备〔</w:t>
            </w:r>
            <w:r>
              <w:rPr>
                <w:rFonts w:ascii="Times New Roman" w:eastAsia="Times New Roman"/>
                <w:sz w:val="21"/>
              </w:rPr>
              <w:t>2021</w:t>
            </w:r>
            <w:r>
              <w:rPr>
                <w:sz w:val="21"/>
              </w:rPr>
              <w:t>〕</w:t>
            </w:r>
            <w:r>
              <w:rPr>
                <w:rFonts w:ascii="Times New Roman" w:eastAsia="Times New Roman"/>
                <w:sz w:val="21"/>
              </w:rPr>
              <w:t xml:space="preserve">208 </w:t>
            </w:r>
            <w:r>
              <w:rPr>
                <w:sz w:val="21"/>
              </w:rPr>
              <w:t>号</w:t>
            </w:r>
          </w:p>
        </w:tc>
      </w:tr>
      <w:tr>
        <w:tblPrEx>
          <w:tblW w:w="0" w:type="auto"/>
          <w:tblInd w:w="138" w:type="dxa"/>
          <w:tblLayout w:type="fixed"/>
          <w:tblCellMar>
            <w:top w:w="0" w:type="dxa"/>
            <w:left w:w="0" w:type="dxa"/>
            <w:bottom w:w="0" w:type="dxa"/>
            <w:right w:w="0" w:type="dxa"/>
          </w:tblCellMar>
        </w:tblPrEx>
        <w:trPr>
          <w:trHeight w:val="561"/>
        </w:trPr>
        <w:tc>
          <w:tcPr>
            <w:tcW w:w="1114" w:type="dxa"/>
            <w:tcBorders>
              <w:top w:val="single" w:sz="4" w:space="0" w:color="000000"/>
              <w:bottom w:val="single" w:sz="4" w:space="0" w:color="000000"/>
              <w:right w:val="single" w:sz="4" w:space="0" w:color="000000"/>
            </w:tcBorders>
          </w:tcPr>
          <w:p>
            <w:pPr>
              <w:pStyle w:val="TableParagraph"/>
              <w:spacing w:before="17" w:line="270" w:lineRule="atLeast"/>
              <w:ind w:left="345" w:right="12" w:hanging="315"/>
              <w:rPr>
                <w:sz w:val="21"/>
              </w:rPr>
            </w:pPr>
            <w:r>
              <w:rPr>
                <w:sz w:val="21"/>
              </w:rPr>
              <w:t>总投资（万元）</w:t>
            </w:r>
          </w:p>
        </w:tc>
        <w:tc>
          <w:tcPr>
            <w:tcW w:w="2135" w:type="dxa"/>
            <w:tcBorders>
              <w:top w:val="single" w:sz="4" w:space="0" w:color="000000"/>
              <w:left w:val="single" w:sz="4" w:space="0" w:color="000000"/>
              <w:bottom w:val="single" w:sz="4" w:space="0" w:color="000000"/>
              <w:right w:val="single" w:sz="4" w:space="0" w:color="000000"/>
            </w:tcBorders>
          </w:tcPr>
          <w:p>
            <w:pPr>
              <w:pStyle w:val="TableParagraph"/>
              <w:spacing w:before="166"/>
              <w:ind w:right="839"/>
              <w:jc w:val="right"/>
              <w:rPr>
                <w:rFonts w:ascii="Times New Roman"/>
                <w:sz w:val="21"/>
              </w:rPr>
            </w:pPr>
            <w:r>
              <w:rPr>
                <w:rFonts w:ascii="Times New Roman"/>
                <w:sz w:val="21"/>
              </w:rPr>
              <w:t>1000</w:t>
            </w:r>
          </w:p>
        </w:tc>
        <w:tc>
          <w:tcPr>
            <w:tcW w:w="2286" w:type="dxa"/>
            <w:tcBorders>
              <w:top w:val="single" w:sz="4" w:space="0" w:color="000000"/>
              <w:left w:val="single" w:sz="4" w:space="0" w:color="000000"/>
              <w:bottom w:val="single" w:sz="4" w:space="0" w:color="000000"/>
              <w:right w:val="single" w:sz="4" w:space="0" w:color="000000"/>
            </w:tcBorders>
          </w:tcPr>
          <w:p>
            <w:pPr>
              <w:pStyle w:val="TableParagraph"/>
              <w:spacing w:before="152"/>
              <w:ind w:left="287" w:right="269"/>
              <w:jc w:val="center"/>
              <w:rPr>
                <w:sz w:val="21"/>
              </w:rPr>
            </w:pPr>
            <w:r>
              <w:rPr>
                <w:sz w:val="21"/>
              </w:rPr>
              <w:t>环保投资（万元）</w:t>
            </w:r>
          </w:p>
        </w:tc>
        <w:tc>
          <w:tcPr>
            <w:tcW w:w="3839" w:type="dxa"/>
            <w:tcBorders>
              <w:top w:val="single" w:sz="4" w:space="0" w:color="000000"/>
              <w:left w:val="single" w:sz="4" w:space="0" w:color="000000"/>
              <w:bottom w:val="single" w:sz="4" w:space="0" w:color="000000"/>
            </w:tcBorders>
          </w:tcPr>
          <w:p>
            <w:pPr>
              <w:pStyle w:val="TableParagraph"/>
              <w:spacing w:before="166"/>
              <w:ind w:left="134" w:right="117"/>
              <w:jc w:val="center"/>
              <w:rPr>
                <w:rFonts w:ascii="Times New Roman"/>
                <w:sz w:val="21"/>
              </w:rPr>
            </w:pPr>
            <w:r>
              <w:rPr>
                <w:rFonts w:ascii="Times New Roman"/>
                <w:sz w:val="21"/>
              </w:rPr>
              <w:t>35.5</w:t>
            </w:r>
          </w:p>
        </w:tc>
      </w:tr>
      <w:tr>
        <w:tblPrEx>
          <w:tblW w:w="0" w:type="auto"/>
          <w:tblInd w:w="138" w:type="dxa"/>
          <w:tblLayout w:type="fixed"/>
          <w:tblCellMar>
            <w:top w:w="0" w:type="dxa"/>
            <w:left w:w="0" w:type="dxa"/>
            <w:bottom w:w="0" w:type="dxa"/>
            <w:right w:w="0" w:type="dxa"/>
          </w:tblCellMar>
        </w:tblPrEx>
        <w:trPr>
          <w:trHeight w:val="558"/>
        </w:trPr>
        <w:tc>
          <w:tcPr>
            <w:tcW w:w="1114" w:type="dxa"/>
            <w:tcBorders>
              <w:top w:val="single" w:sz="4" w:space="0" w:color="000000"/>
              <w:bottom w:val="single" w:sz="4" w:space="0" w:color="000000"/>
              <w:right w:val="single" w:sz="4" w:space="0" w:color="000000"/>
            </w:tcBorders>
          </w:tcPr>
          <w:p>
            <w:pPr>
              <w:pStyle w:val="TableParagraph"/>
              <w:spacing w:before="14" w:line="270" w:lineRule="atLeast"/>
              <w:ind w:left="153" w:right="12" w:hanging="123"/>
              <w:rPr>
                <w:sz w:val="21"/>
              </w:rPr>
            </w:pPr>
            <w:r>
              <w:rPr>
                <w:sz w:val="21"/>
              </w:rPr>
              <w:t>环保投资占比（</w:t>
            </w:r>
            <w:r>
              <w:rPr>
                <w:rFonts w:ascii="Times New Roman" w:eastAsia="Times New Roman"/>
                <w:sz w:val="21"/>
              </w:rPr>
              <w:t>%</w:t>
            </w:r>
            <w:r>
              <w:rPr>
                <w:sz w:val="21"/>
              </w:rPr>
              <w:t>）</w:t>
            </w:r>
          </w:p>
        </w:tc>
        <w:tc>
          <w:tcPr>
            <w:tcW w:w="2135" w:type="dxa"/>
            <w:tcBorders>
              <w:top w:val="single" w:sz="4" w:space="0" w:color="000000"/>
              <w:left w:val="single" w:sz="4" w:space="0" w:color="000000"/>
              <w:bottom w:val="single" w:sz="4" w:space="0" w:color="000000"/>
              <w:right w:val="single" w:sz="4" w:space="0" w:color="000000"/>
            </w:tcBorders>
          </w:tcPr>
          <w:p>
            <w:pPr>
              <w:pStyle w:val="TableParagraph"/>
              <w:spacing w:before="166"/>
              <w:ind w:right="866"/>
              <w:jc w:val="right"/>
              <w:rPr>
                <w:rFonts w:ascii="Times New Roman"/>
                <w:sz w:val="21"/>
              </w:rPr>
            </w:pPr>
            <w:r>
              <w:rPr>
                <w:rFonts w:ascii="Times New Roman"/>
                <w:sz w:val="21"/>
              </w:rPr>
              <w:t>3.55</w:t>
            </w:r>
          </w:p>
        </w:tc>
        <w:tc>
          <w:tcPr>
            <w:tcW w:w="2286" w:type="dxa"/>
            <w:tcBorders>
              <w:top w:val="single" w:sz="4" w:space="0" w:color="000000"/>
              <w:left w:val="single" w:sz="4" w:space="0" w:color="000000"/>
              <w:bottom w:val="single" w:sz="4" w:space="0" w:color="000000"/>
              <w:right w:val="single" w:sz="4" w:space="0" w:color="000000"/>
            </w:tcBorders>
          </w:tcPr>
          <w:p>
            <w:pPr>
              <w:pStyle w:val="TableParagraph"/>
              <w:spacing w:before="152"/>
              <w:ind w:left="286" w:right="269"/>
              <w:jc w:val="center"/>
              <w:rPr>
                <w:sz w:val="21"/>
              </w:rPr>
            </w:pPr>
            <w:r>
              <w:rPr>
                <w:sz w:val="21"/>
              </w:rPr>
              <w:t>施工工期</w:t>
            </w:r>
          </w:p>
        </w:tc>
        <w:tc>
          <w:tcPr>
            <w:tcW w:w="3839" w:type="dxa"/>
            <w:tcBorders>
              <w:top w:val="single" w:sz="4" w:space="0" w:color="000000"/>
              <w:left w:val="single" w:sz="4" w:space="0" w:color="000000"/>
              <w:bottom w:val="single" w:sz="4" w:space="0" w:color="000000"/>
            </w:tcBorders>
          </w:tcPr>
          <w:p>
            <w:pPr>
              <w:pStyle w:val="TableParagraph"/>
              <w:spacing w:before="152"/>
              <w:ind w:left="134" w:right="122"/>
              <w:jc w:val="center"/>
              <w:rPr>
                <w:sz w:val="21"/>
              </w:rPr>
            </w:pPr>
            <w:r>
              <w:rPr>
                <w:rFonts w:ascii="Times New Roman" w:eastAsia="Times New Roman"/>
                <w:sz w:val="21"/>
              </w:rPr>
              <w:t xml:space="preserve">1 </w:t>
            </w:r>
            <w:r>
              <w:rPr>
                <w:sz w:val="21"/>
              </w:rPr>
              <w:t>个月</w:t>
            </w:r>
          </w:p>
        </w:tc>
      </w:tr>
      <w:tr>
        <w:tblPrEx>
          <w:tblW w:w="0" w:type="auto"/>
          <w:tblInd w:w="138" w:type="dxa"/>
          <w:tblLayout w:type="fixed"/>
          <w:tblCellMar>
            <w:top w:w="0" w:type="dxa"/>
            <w:left w:w="0" w:type="dxa"/>
            <w:bottom w:w="0" w:type="dxa"/>
            <w:right w:w="0" w:type="dxa"/>
          </w:tblCellMar>
        </w:tblPrEx>
        <w:trPr>
          <w:trHeight w:val="729"/>
        </w:trPr>
        <w:tc>
          <w:tcPr>
            <w:tcW w:w="1114" w:type="dxa"/>
            <w:tcBorders>
              <w:top w:val="single" w:sz="4" w:space="0" w:color="000000"/>
              <w:bottom w:val="single" w:sz="4" w:space="0" w:color="000000"/>
              <w:right w:val="single" w:sz="4" w:space="0" w:color="000000"/>
            </w:tcBorders>
          </w:tcPr>
          <w:p>
            <w:pPr>
              <w:pStyle w:val="TableParagraph"/>
              <w:spacing w:before="101" w:line="244" w:lineRule="auto"/>
              <w:ind w:left="450" w:right="12" w:hanging="420"/>
              <w:rPr>
                <w:sz w:val="21"/>
              </w:rPr>
            </w:pPr>
            <w:r>
              <w:rPr>
                <w:sz w:val="21"/>
              </w:rPr>
              <w:t>是否开工建设</w:t>
            </w:r>
          </w:p>
        </w:tc>
        <w:tc>
          <w:tcPr>
            <w:tcW w:w="2135" w:type="dxa"/>
            <w:tcBorders>
              <w:top w:val="single" w:sz="4" w:space="0" w:color="000000"/>
              <w:left w:val="single" w:sz="4" w:space="0" w:color="000000"/>
              <w:bottom w:val="single" w:sz="4" w:space="0" w:color="000000"/>
              <w:right w:val="single" w:sz="4" w:space="0" w:color="000000"/>
            </w:tcBorders>
          </w:tcPr>
          <w:p>
            <w:pPr>
              <w:pStyle w:val="TableParagraph"/>
              <w:spacing w:before="101"/>
              <w:ind w:left="8"/>
              <w:rPr>
                <w:sz w:val="21"/>
              </w:rPr>
            </w:pPr>
            <w:r>
              <w:rPr>
                <w:rFonts w:ascii="Wingdings" w:eastAsia="Wingdings" w:hAnsi="Wingdings"/>
                <w:sz w:val="21"/>
              </w:rPr>
              <w:sym w:font="Wingdings" w:char="F052"/>
            </w:r>
            <w:r>
              <w:rPr>
                <w:sz w:val="21"/>
              </w:rPr>
              <w:t>否</w:t>
            </w:r>
          </w:p>
          <w:p>
            <w:pPr>
              <w:pStyle w:val="TableParagraph"/>
              <w:numPr>
                <w:ilvl w:val="0"/>
                <w:numId w:val="4"/>
              </w:numPr>
              <w:tabs>
                <w:tab w:val="left" w:pos="199"/>
              </w:tabs>
              <w:spacing w:before="5" w:after="0" w:line="240" w:lineRule="auto"/>
              <w:ind w:left="198" w:right="0" w:hanging="191"/>
              <w:jc w:val="left"/>
              <w:rPr>
                <w:sz w:val="21"/>
              </w:rPr>
            </w:pPr>
            <w:r>
              <w:rPr>
                <w:sz w:val="21"/>
              </w:rPr>
              <w:t>是：</w:t>
            </w:r>
          </w:p>
        </w:tc>
        <w:tc>
          <w:tcPr>
            <w:tcW w:w="2286" w:type="dxa"/>
            <w:tcBorders>
              <w:top w:val="single" w:sz="4" w:space="0" w:color="000000"/>
              <w:left w:val="single" w:sz="4" w:space="0" w:color="000000"/>
              <w:bottom w:val="single" w:sz="4" w:space="0" w:color="000000"/>
              <w:right w:val="single" w:sz="4" w:space="0" w:color="000000"/>
            </w:tcBorders>
          </w:tcPr>
          <w:p>
            <w:pPr>
              <w:pStyle w:val="TableParagraph"/>
              <w:spacing w:before="101" w:line="244" w:lineRule="auto"/>
              <w:ind w:left="610" w:right="494" w:hanging="94"/>
              <w:rPr>
                <w:sz w:val="21"/>
              </w:rPr>
            </w:pPr>
            <w:r>
              <w:rPr>
                <w:sz w:val="21"/>
              </w:rPr>
              <w:t>用地（用海） 面积（</w:t>
            </w:r>
            <w:r>
              <w:rPr>
                <w:rFonts w:ascii="Times New Roman" w:eastAsia="Times New Roman"/>
                <w:sz w:val="21"/>
              </w:rPr>
              <w:t>m</w:t>
            </w:r>
            <w:r>
              <w:rPr>
                <w:rFonts w:ascii="Times New Roman" w:eastAsia="Times New Roman"/>
                <w:position w:val="7"/>
                <w:sz w:val="14"/>
              </w:rPr>
              <w:t>2</w:t>
            </w:r>
            <w:r>
              <w:rPr>
                <w:sz w:val="21"/>
              </w:rPr>
              <w:t>）</w:t>
            </w:r>
          </w:p>
        </w:tc>
        <w:tc>
          <w:tcPr>
            <w:tcW w:w="3839" w:type="dxa"/>
            <w:tcBorders>
              <w:top w:val="single" w:sz="4" w:space="0" w:color="000000"/>
              <w:left w:val="single" w:sz="4" w:space="0" w:color="000000"/>
              <w:bottom w:val="single" w:sz="4" w:space="0" w:color="000000"/>
            </w:tcBorders>
          </w:tcPr>
          <w:p>
            <w:pPr>
              <w:pStyle w:val="TableParagraph"/>
              <w:spacing w:before="7"/>
              <w:rPr>
                <w:b/>
                <w:sz w:val="18"/>
              </w:rPr>
            </w:pPr>
          </w:p>
          <w:p>
            <w:pPr>
              <w:pStyle w:val="TableParagraph"/>
              <w:spacing w:before="1"/>
              <w:ind w:left="134" w:right="118"/>
              <w:jc w:val="center"/>
              <w:rPr>
                <w:sz w:val="21"/>
              </w:rPr>
            </w:pPr>
            <w:r>
              <w:rPr>
                <w:sz w:val="21"/>
              </w:rPr>
              <w:t>现有厂区内，不新增用地</w:t>
            </w:r>
          </w:p>
        </w:tc>
      </w:tr>
      <w:tr>
        <w:tblPrEx>
          <w:tblW w:w="0" w:type="auto"/>
          <w:tblInd w:w="138" w:type="dxa"/>
          <w:tblLayout w:type="fixed"/>
          <w:tblCellMar>
            <w:top w:w="0" w:type="dxa"/>
            <w:left w:w="0" w:type="dxa"/>
            <w:bottom w:w="0" w:type="dxa"/>
            <w:right w:w="0" w:type="dxa"/>
          </w:tblCellMar>
        </w:tblPrEx>
        <w:trPr>
          <w:trHeight w:val="623"/>
        </w:trPr>
        <w:tc>
          <w:tcPr>
            <w:tcW w:w="1114" w:type="dxa"/>
            <w:tcBorders>
              <w:top w:val="single" w:sz="4" w:space="0" w:color="000000"/>
              <w:bottom w:val="single" w:sz="4" w:space="0" w:color="000000"/>
              <w:right w:val="single" w:sz="4" w:space="0" w:color="000000"/>
            </w:tcBorders>
          </w:tcPr>
          <w:p>
            <w:pPr>
              <w:pStyle w:val="TableParagraph"/>
              <w:spacing w:before="42" w:line="242" w:lineRule="auto"/>
              <w:ind w:left="134" w:right="120"/>
              <w:rPr>
                <w:sz w:val="21"/>
              </w:rPr>
            </w:pPr>
            <w:r>
              <w:rPr>
                <w:sz w:val="21"/>
              </w:rPr>
              <w:t>专项评价设置情况</w:t>
            </w:r>
          </w:p>
        </w:tc>
        <w:tc>
          <w:tcPr>
            <w:tcW w:w="8260" w:type="dxa"/>
            <w:gridSpan w:val="3"/>
            <w:tcBorders>
              <w:top w:val="single" w:sz="4" w:space="0" w:color="000000"/>
              <w:left w:val="single" w:sz="4" w:space="0" w:color="000000"/>
              <w:bottom w:val="single" w:sz="4" w:space="0" w:color="000000"/>
            </w:tcBorders>
          </w:tcPr>
          <w:p>
            <w:pPr>
              <w:pStyle w:val="TableParagraph"/>
              <w:spacing w:before="176"/>
              <w:ind w:left="21"/>
              <w:jc w:val="center"/>
              <w:rPr>
                <w:sz w:val="21"/>
              </w:rPr>
            </w:pPr>
            <w:r>
              <w:rPr>
                <w:w w:val="100"/>
                <w:sz w:val="21"/>
              </w:rPr>
              <w:t>无</w:t>
            </w:r>
          </w:p>
        </w:tc>
      </w:tr>
      <w:tr>
        <w:tblPrEx>
          <w:tblW w:w="0" w:type="auto"/>
          <w:tblInd w:w="138" w:type="dxa"/>
          <w:tblLayout w:type="fixed"/>
          <w:tblCellMar>
            <w:top w:w="0" w:type="dxa"/>
            <w:left w:w="0" w:type="dxa"/>
            <w:bottom w:w="0" w:type="dxa"/>
            <w:right w:w="0" w:type="dxa"/>
          </w:tblCellMar>
        </w:tblPrEx>
        <w:trPr>
          <w:trHeight w:val="1466"/>
        </w:trPr>
        <w:tc>
          <w:tcPr>
            <w:tcW w:w="1114" w:type="dxa"/>
            <w:tcBorders>
              <w:top w:val="single" w:sz="4" w:space="0" w:color="000000"/>
              <w:bottom w:val="single" w:sz="4" w:space="0" w:color="000000"/>
              <w:right w:val="single" w:sz="4" w:space="0" w:color="000000"/>
            </w:tcBorders>
          </w:tcPr>
          <w:p>
            <w:pPr>
              <w:pStyle w:val="TableParagraph"/>
              <w:rPr>
                <w:b/>
                <w:sz w:val="20"/>
              </w:rPr>
            </w:pPr>
          </w:p>
          <w:p>
            <w:pPr>
              <w:pStyle w:val="TableParagraph"/>
              <w:spacing w:before="9"/>
              <w:rPr>
                <w:b/>
                <w:sz w:val="26"/>
              </w:rPr>
            </w:pPr>
          </w:p>
          <w:p>
            <w:pPr>
              <w:pStyle w:val="TableParagraph"/>
              <w:spacing w:before="1"/>
              <w:ind w:left="112" w:right="101"/>
              <w:jc w:val="center"/>
              <w:rPr>
                <w:sz w:val="21"/>
              </w:rPr>
            </w:pPr>
            <w:r>
              <w:rPr>
                <w:sz w:val="21"/>
              </w:rPr>
              <w:t>规划情况</w:t>
            </w:r>
          </w:p>
        </w:tc>
        <w:tc>
          <w:tcPr>
            <w:tcW w:w="8260" w:type="dxa"/>
            <w:gridSpan w:val="3"/>
            <w:tcBorders>
              <w:top w:val="single" w:sz="4" w:space="0" w:color="000000"/>
              <w:left w:val="single" w:sz="4" w:space="0" w:color="000000"/>
              <w:bottom w:val="single" w:sz="4" w:space="0" w:color="000000"/>
            </w:tcBorders>
          </w:tcPr>
          <w:p>
            <w:pPr>
              <w:pStyle w:val="TableParagraph"/>
              <w:spacing w:before="10"/>
              <w:rPr>
                <w:b/>
                <w:sz w:val="18"/>
              </w:rPr>
            </w:pPr>
          </w:p>
          <w:p>
            <w:pPr>
              <w:pStyle w:val="TableParagraph"/>
              <w:spacing w:before="1" w:line="364" w:lineRule="auto"/>
              <w:ind w:left="532" w:right="3337"/>
              <w:rPr>
                <w:sz w:val="21"/>
              </w:rPr>
            </w:pPr>
            <w:r>
              <w:rPr>
                <w:spacing w:val="-12"/>
                <w:w w:val="100"/>
                <w:sz w:val="21"/>
              </w:rPr>
              <w:t>文件名称：《滨海县城市总体规划</w:t>
            </w:r>
            <w:r>
              <w:rPr>
                <w:w w:val="100"/>
                <w:sz w:val="21"/>
              </w:rPr>
              <w:t>（</w:t>
            </w:r>
            <w:r>
              <w:rPr>
                <w:rFonts w:ascii="Times New Roman" w:eastAsia="Times New Roman"/>
                <w:w w:val="100"/>
                <w:sz w:val="21"/>
              </w:rPr>
              <w:t>2</w:t>
            </w:r>
            <w:r>
              <w:rPr>
                <w:rFonts w:ascii="Times New Roman" w:eastAsia="Times New Roman"/>
                <w:spacing w:val="-3"/>
                <w:w w:val="100"/>
                <w:sz w:val="21"/>
              </w:rPr>
              <w:t>0</w:t>
            </w:r>
            <w:r>
              <w:rPr>
                <w:rFonts w:ascii="Times New Roman" w:eastAsia="Times New Roman"/>
                <w:w w:val="100"/>
                <w:sz w:val="21"/>
              </w:rPr>
              <w:t>1</w:t>
            </w:r>
            <w:r>
              <w:rPr>
                <w:rFonts w:ascii="Times New Roman" w:eastAsia="Times New Roman"/>
                <w:spacing w:val="-1"/>
                <w:w w:val="100"/>
                <w:sz w:val="21"/>
              </w:rPr>
              <w:t>8-</w:t>
            </w:r>
            <w:r>
              <w:rPr>
                <w:rFonts w:ascii="Times New Roman" w:eastAsia="Times New Roman"/>
                <w:w w:val="100"/>
                <w:sz w:val="21"/>
              </w:rPr>
              <w:t>2</w:t>
            </w:r>
            <w:r>
              <w:rPr>
                <w:rFonts w:ascii="Times New Roman" w:eastAsia="Times New Roman"/>
                <w:spacing w:val="-3"/>
                <w:w w:val="100"/>
                <w:sz w:val="21"/>
              </w:rPr>
              <w:t>0</w:t>
            </w:r>
            <w:r>
              <w:rPr>
                <w:rFonts w:ascii="Times New Roman" w:eastAsia="Times New Roman"/>
                <w:w w:val="100"/>
                <w:sz w:val="21"/>
              </w:rPr>
              <w:t>3</w:t>
            </w:r>
            <w:r>
              <w:rPr>
                <w:rFonts w:ascii="Times New Roman" w:eastAsia="Times New Roman"/>
                <w:spacing w:val="-1"/>
                <w:w w:val="100"/>
                <w:sz w:val="21"/>
              </w:rPr>
              <w:t>5</w:t>
            </w:r>
            <w:r>
              <w:rPr>
                <w:spacing w:val="-108"/>
                <w:w w:val="100"/>
                <w:sz w:val="21"/>
              </w:rPr>
              <w:t>）》</w:t>
            </w:r>
            <w:r>
              <w:rPr>
                <w:spacing w:val="-3"/>
                <w:sz w:val="21"/>
              </w:rPr>
              <w:t>审批机关：滨海县人大常委会</w:t>
            </w:r>
          </w:p>
          <w:p>
            <w:pPr>
              <w:pStyle w:val="TableParagraph"/>
              <w:ind w:left="532"/>
              <w:rPr>
                <w:sz w:val="21"/>
              </w:rPr>
            </w:pPr>
            <w:r>
              <w:rPr>
                <w:sz w:val="21"/>
              </w:rPr>
              <w:t>审批文件名称及文号：滨人发〔</w:t>
            </w:r>
            <w:r>
              <w:rPr>
                <w:rFonts w:ascii="Times New Roman" w:eastAsia="Times New Roman"/>
                <w:sz w:val="21"/>
              </w:rPr>
              <w:t>2019</w:t>
            </w:r>
            <w:r>
              <w:rPr>
                <w:sz w:val="21"/>
              </w:rPr>
              <w:t>〕</w:t>
            </w:r>
            <w:r>
              <w:rPr>
                <w:rFonts w:ascii="Times New Roman" w:eastAsia="Times New Roman"/>
                <w:sz w:val="21"/>
              </w:rPr>
              <w:t xml:space="preserve">10 </w:t>
            </w:r>
            <w:r>
              <w:rPr>
                <w:sz w:val="21"/>
              </w:rPr>
              <w:t>号</w:t>
            </w:r>
          </w:p>
        </w:tc>
      </w:tr>
      <w:tr>
        <w:tblPrEx>
          <w:tblW w:w="0" w:type="auto"/>
          <w:tblInd w:w="138" w:type="dxa"/>
          <w:tblLayout w:type="fixed"/>
          <w:tblCellMar>
            <w:top w:w="0" w:type="dxa"/>
            <w:left w:w="0" w:type="dxa"/>
            <w:bottom w:w="0" w:type="dxa"/>
            <w:right w:w="0" w:type="dxa"/>
          </w:tblCellMar>
        </w:tblPrEx>
        <w:trPr>
          <w:trHeight w:val="1019"/>
        </w:trPr>
        <w:tc>
          <w:tcPr>
            <w:tcW w:w="1114" w:type="dxa"/>
            <w:tcBorders>
              <w:top w:val="single" w:sz="4" w:space="0" w:color="000000"/>
              <w:bottom w:val="single" w:sz="4" w:space="0" w:color="000000"/>
              <w:right w:val="single" w:sz="4" w:space="0" w:color="000000"/>
            </w:tcBorders>
          </w:tcPr>
          <w:p>
            <w:pPr>
              <w:pStyle w:val="TableParagraph"/>
              <w:spacing w:before="104" w:line="242" w:lineRule="auto"/>
              <w:ind w:left="345" w:right="120" w:hanging="212"/>
              <w:rPr>
                <w:sz w:val="21"/>
              </w:rPr>
            </w:pPr>
            <w:r>
              <w:rPr>
                <w:sz w:val="21"/>
              </w:rPr>
              <w:t>规划环境影响</w:t>
            </w:r>
          </w:p>
          <w:p>
            <w:pPr>
              <w:pStyle w:val="TableParagraph"/>
              <w:spacing w:before="1"/>
              <w:ind w:left="134"/>
              <w:rPr>
                <w:sz w:val="21"/>
              </w:rPr>
            </w:pPr>
            <w:r>
              <w:rPr>
                <w:sz w:val="21"/>
              </w:rPr>
              <w:t>评价情况</w:t>
            </w:r>
          </w:p>
        </w:tc>
        <w:tc>
          <w:tcPr>
            <w:tcW w:w="8260" w:type="dxa"/>
            <w:gridSpan w:val="3"/>
            <w:tcBorders>
              <w:top w:val="single" w:sz="4" w:space="0" w:color="000000"/>
              <w:left w:val="single" w:sz="4" w:space="0" w:color="000000"/>
              <w:bottom w:val="single" w:sz="4" w:space="0" w:color="000000"/>
            </w:tcBorders>
          </w:tcPr>
          <w:p>
            <w:pPr>
              <w:pStyle w:val="TableParagraph"/>
              <w:spacing w:before="9"/>
              <w:rPr>
                <w:b/>
                <w:sz w:val="25"/>
              </w:rPr>
            </w:pPr>
          </w:p>
          <w:p>
            <w:pPr>
              <w:pStyle w:val="TableParagraph"/>
              <w:ind w:left="22"/>
              <w:jc w:val="center"/>
              <w:rPr>
                <w:rFonts w:ascii="Times New Roman"/>
                <w:sz w:val="21"/>
              </w:rPr>
            </w:pPr>
            <w:r>
              <w:rPr>
                <w:rFonts w:ascii="Times New Roman"/>
                <w:w w:val="100"/>
                <w:sz w:val="21"/>
              </w:rPr>
              <w:t>/</w:t>
            </w:r>
          </w:p>
        </w:tc>
      </w:tr>
      <w:tr>
        <w:tblPrEx>
          <w:tblW w:w="0" w:type="auto"/>
          <w:tblInd w:w="138" w:type="dxa"/>
          <w:tblLayout w:type="fixed"/>
          <w:tblCellMar>
            <w:top w:w="0" w:type="dxa"/>
            <w:left w:w="0" w:type="dxa"/>
            <w:bottom w:w="0" w:type="dxa"/>
            <w:right w:w="0" w:type="dxa"/>
          </w:tblCellMar>
        </w:tblPrEx>
        <w:trPr>
          <w:trHeight w:val="1463"/>
        </w:trPr>
        <w:tc>
          <w:tcPr>
            <w:tcW w:w="1114" w:type="dxa"/>
            <w:tcBorders>
              <w:top w:val="single" w:sz="4" w:space="0" w:color="000000"/>
              <w:right w:val="single" w:sz="4" w:space="0" w:color="000000"/>
            </w:tcBorders>
          </w:tcPr>
          <w:p>
            <w:pPr>
              <w:pStyle w:val="TableParagraph"/>
              <w:spacing w:before="54" w:line="242" w:lineRule="auto"/>
              <w:ind w:left="134" w:right="120"/>
              <w:jc w:val="center"/>
              <w:rPr>
                <w:sz w:val="21"/>
              </w:rPr>
            </w:pPr>
            <w:r>
              <w:rPr>
                <w:spacing w:val="-5"/>
                <w:sz w:val="21"/>
              </w:rPr>
              <w:t>规划及规</w:t>
            </w:r>
            <w:r>
              <w:rPr>
                <w:sz w:val="21"/>
              </w:rPr>
              <w:t xml:space="preserve">划环境 </w:t>
            </w:r>
            <w:r>
              <w:rPr>
                <w:spacing w:val="-5"/>
                <w:sz w:val="21"/>
              </w:rPr>
              <w:t>影响评价符合性分</w:t>
            </w:r>
            <w:r>
              <w:rPr>
                <w:sz w:val="21"/>
              </w:rPr>
              <w:t>析</w:t>
            </w:r>
          </w:p>
        </w:tc>
        <w:tc>
          <w:tcPr>
            <w:tcW w:w="8260" w:type="dxa"/>
            <w:gridSpan w:val="3"/>
            <w:tcBorders>
              <w:top w:val="single" w:sz="4" w:space="0" w:color="000000"/>
              <w:left w:val="single" w:sz="4" w:space="0" w:color="000000"/>
              <w:bottom w:val="single" w:sz="4" w:space="0" w:color="000000"/>
            </w:tcBorders>
          </w:tcPr>
          <w:p>
            <w:pPr>
              <w:pStyle w:val="TableParagraph"/>
              <w:spacing w:before="12"/>
              <w:rPr>
                <w:b/>
                <w:sz w:val="18"/>
              </w:rPr>
            </w:pPr>
          </w:p>
          <w:p>
            <w:pPr>
              <w:pStyle w:val="TableParagraph"/>
              <w:spacing w:line="364" w:lineRule="auto"/>
              <w:ind w:left="112" w:right="86" w:firstLine="420"/>
              <w:rPr>
                <w:sz w:val="21"/>
              </w:rPr>
            </w:pPr>
            <w:r>
              <w:rPr>
                <w:sz w:val="21"/>
              </w:rPr>
              <w:t>目前东坎高新技术产业园尚未编制规划环评。根据东坎镇人民政府提供的土地及规划相符性证明材料，本项目符合东坎镇规划，符合滨海县东坎高新技术产业园相关规划</w:t>
            </w:r>
          </w:p>
          <w:p>
            <w:pPr>
              <w:pStyle w:val="TableParagraph"/>
              <w:spacing w:line="268" w:lineRule="exact"/>
              <w:ind w:left="112"/>
              <w:rPr>
                <w:sz w:val="21"/>
              </w:rPr>
            </w:pPr>
            <w:hyperlink w:anchor="_bookmark66" w:history="1">
              <w:r>
                <w:rPr>
                  <w:sz w:val="21"/>
                </w:rPr>
                <w:t>（</w:t>
              </w:r>
              <w:r>
                <w:rPr>
                  <w:spacing w:val="-2"/>
                  <w:sz w:val="21"/>
                </w:rPr>
                <w:t>见附件五</w:t>
              </w:r>
            </w:hyperlink>
            <w:r>
              <w:rPr>
                <w:spacing w:val="-106"/>
                <w:sz w:val="21"/>
              </w:rPr>
              <w:t>）。</w:t>
            </w:r>
          </w:p>
        </w:tc>
      </w:tr>
    </w:tbl>
    <w:p>
      <w:pPr>
        <w:spacing w:after="0" w:line="268" w:lineRule="exact"/>
        <w:rPr>
          <w:sz w:val="21"/>
        </w:rPr>
        <w:sectPr>
          <w:footerReference w:type="default" r:id="rId5"/>
          <w:pgSz w:w="11910" w:h="16840"/>
          <w:pgMar w:top="1360" w:right="1140" w:bottom="1180" w:left="1140" w:header="0" w:footer="994" w:gutter="0"/>
          <w:pgNumType w:start="1"/>
          <w:cols w:num="1" w:space="720"/>
        </w:sectPr>
      </w:pPr>
    </w:p>
    <w:tbl>
      <w:tblPr>
        <w:tblStyle w:val="TableNormal"/>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14"/>
        <w:gridCol w:w="113"/>
        <w:gridCol w:w="771"/>
        <w:gridCol w:w="1259"/>
        <w:gridCol w:w="1136"/>
        <w:gridCol w:w="1676"/>
        <w:gridCol w:w="2341"/>
        <w:gridCol w:w="855"/>
        <w:gridCol w:w="111"/>
      </w:tblGrid>
      <w:tr>
        <w:tblPrEx>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83"/>
        </w:trPr>
        <w:tc>
          <w:tcPr>
            <w:tcW w:w="1114" w:type="dxa"/>
            <w:tcBorders>
              <w:bottom w:val="nil"/>
              <w:right w:val="single" w:sz="4" w:space="0" w:color="000000"/>
            </w:tcBorders>
          </w:tcPr>
          <w:p>
            <w:pPr>
              <w:pStyle w:val="TableParagraph"/>
              <w:rPr>
                <w:rFonts w:ascii="Times New Roman"/>
                <w:sz w:val="20"/>
              </w:rPr>
            </w:pPr>
          </w:p>
        </w:tc>
        <w:tc>
          <w:tcPr>
            <w:tcW w:w="8262" w:type="dxa"/>
            <w:gridSpan w:val="8"/>
            <w:tcBorders>
              <w:left w:val="single" w:sz="4" w:space="0" w:color="000000"/>
              <w:bottom w:val="nil"/>
            </w:tcBorders>
          </w:tcPr>
          <w:p>
            <w:pPr>
              <w:pStyle w:val="TableParagraph"/>
              <w:spacing w:before="10"/>
              <w:rPr>
                <w:b/>
                <w:sz w:val="18"/>
              </w:rPr>
            </w:pPr>
          </w:p>
          <w:p>
            <w:pPr>
              <w:pStyle w:val="TableParagraph"/>
              <w:ind w:left="534"/>
              <w:rPr>
                <w:b/>
                <w:sz w:val="21"/>
              </w:rPr>
            </w:pPr>
            <w:r>
              <w:rPr>
                <w:rFonts w:ascii="Times New Roman" w:eastAsia="Times New Roman"/>
                <w:b/>
                <w:sz w:val="21"/>
              </w:rPr>
              <w:t>1.</w:t>
            </w:r>
            <w:r>
              <w:rPr>
                <w:b/>
                <w:sz w:val="21"/>
              </w:rPr>
              <w:t>产业政策及选址相符性分析</w:t>
            </w:r>
          </w:p>
        </w:tc>
      </w:tr>
      <w:tr>
        <w:tblPrEx>
          <w:tblW w:w="0" w:type="auto"/>
          <w:tblInd w:w="138" w:type="dxa"/>
          <w:tblLayout w:type="fixed"/>
          <w:tblCellMar>
            <w:top w:w="0" w:type="dxa"/>
            <w:left w:w="0" w:type="dxa"/>
            <w:bottom w:w="0" w:type="dxa"/>
            <w:right w:w="0" w:type="dxa"/>
          </w:tblCellMar>
        </w:tblPrEx>
        <w:trPr>
          <w:trHeight w:val="409"/>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65"/>
              <w:ind w:left="532"/>
              <w:rPr>
                <w:sz w:val="21"/>
              </w:rPr>
            </w:pPr>
            <w:r>
              <w:rPr>
                <w:sz w:val="21"/>
              </w:rPr>
              <w:t>本项目行业类别为</w:t>
            </w:r>
            <w:r>
              <w:rPr>
                <w:rFonts w:ascii="Times New Roman" w:eastAsia="Times New Roman" w:hAnsi="Times New Roman"/>
                <w:sz w:val="21"/>
              </w:rPr>
              <w:t>“[C2319]</w:t>
            </w:r>
            <w:r>
              <w:rPr>
                <w:sz w:val="21"/>
              </w:rPr>
              <w:t>包装装潢及其他印刷</w:t>
            </w:r>
            <w:r>
              <w:rPr>
                <w:rFonts w:ascii="Times New Roman" w:eastAsia="Times New Roman" w:hAnsi="Times New Roman"/>
                <w:sz w:val="21"/>
              </w:rPr>
              <w:t>”</w:t>
            </w:r>
            <w:r>
              <w:rPr>
                <w:sz w:val="21"/>
              </w:rPr>
              <w:t>，不属于国家《产业结构调整指导</w:t>
            </w:r>
          </w:p>
        </w:tc>
      </w:tr>
      <w:tr>
        <w:tblPrEx>
          <w:tblW w:w="0" w:type="auto"/>
          <w:tblInd w:w="138" w:type="dxa"/>
          <w:tblLayout w:type="fixed"/>
          <w:tblCellMar>
            <w:top w:w="0" w:type="dxa"/>
            <w:left w:w="0" w:type="dxa"/>
            <w:bottom w:w="0" w:type="dxa"/>
            <w:right w:w="0" w:type="dxa"/>
          </w:tblCellMar>
        </w:tblPrEx>
        <w:trPr>
          <w:trHeight w:val="409"/>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66"/>
              <w:ind w:left="112"/>
              <w:rPr>
                <w:sz w:val="21"/>
              </w:rPr>
            </w:pPr>
            <w:r>
              <w:rPr>
                <w:sz w:val="21"/>
              </w:rPr>
              <w:t>目录（</w:t>
            </w:r>
            <w:r>
              <w:rPr>
                <w:rFonts w:ascii="Times New Roman" w:eastAsia="Times New Roman"/>
                <w:sz w:val="21"/>
              </w:rPr>
              <w:t xml:space="preserve">2019 </w:t>
            </w:r>
            <w:r>
              <w:rPr>
                <w:spacing w:val="-2"/>
                <w:sz w:val="21"/>
              </w:rPr>
              <w:t>年本</w:t>
            </w:r>
            <w:r>
              <w:rPr>
                <w:spacing w:val="-106"/>
                <w:sz w:val="21"/>
              </w:rPr>
              <w:t>）</w:t>
            </w:r>
            <w:r>
              <w:rPr>
                <w:spacing w:val="-108"/>
                <w:sz w:val="21"/>
              </w:rPr>
              <w:t>》</w:t>
            </w:r>
            <w:r>
              <w:rPr>
                <w:sz w:val="21"/>
              </w:rPr>
              <w:t>（</w:t>
            </w:r>
            <w:r>
              <w:rPr>
                <w:rFonts w:ascii="Times New Roman" w:eastAsia="Times New Roman"/>
                <w:sz w:val="21"/>
              </w:rPr>
              <w:t xml:space="preserve">2021 </w:t>
            </w:r>
            <w:r>
              <w:rPr>
                <w:spacing w:val="-1"/>
                <w:sz w:val="21"/>
              </w:rPr>
              <w:t>年修改</w:t>
            </w:r>
            <w:r>
              <w:rPr>
                <w:sz w:val="21"/>
              </w:rPr>
              <w:t>）</w:t>
            </w:r>
            <w:r>
              <w:rPr>
                <w:spacing w:val="-3"/>
                <w:sz w:val="21"/>
              </w:rPr>
              <w:t>中淘汰和限制类项目，属于允许类项目；对照《市场</w:t>
            </w:r>
          </w:p>
        </w:tc>
      </w:tr>
      <w:tr>
        <w:tblPrEx>
          <w:tblW w:w="0" w:type="auto"/>
          <w:tblInd w:w="138" w:type="dxa"/>
          <w:tblLayout w:type="fixed"/>
          <w:tblCellMar>
            <w:top w:w="0" w:type="dxa"/>
            <w:left w:w="0" w:type="dxa"/>
            <w:bottom w:w="0" w:type="dxa"/>
            <w:right w:w="0" w:type="dxa"/>
          </w:tblCellMar>
        </w:tblPrEx>
        <w:trPr>
          <w:trHeight w:val="407"/>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65"/>
              <w:ind w:left="112"/>
              <w:rPr>
                <w:sz w:val="21"/>
              </w:rPr>
            </w:pPr>
            <w:r>
              <w:rPr>
                <w:spacing w:val="-2"/>
                <w:sz w:val="21"/>
              </w:rPr>
              <w:t>准入负面清单</w:t>
            </w:r>
            <w:r>
              <w:rPr>
                <w:sz w:val="21"/>
              </w:rPr>
              <w:t>（</w:t>
            </w:r>
            <w:r>
              <w:rPr>
                <w:rFonts w:ascii="Times New Roman" w:eastAsia="Times New Roman"/>
                <w:sz w:val="21"/>
              </w:rPr>
              <w:t xml:space="preserve">2022 </w:t>
            </w:r>
            <w:r>
              <w:rPr>
                <w:spacing w:val="-3"/>
                <w:sz w:val="21"/>
              </w:rPr>
              <w:t>年版</w:t>
            </w:r>
            <w:r>
              <w:rPr>
                <w:spacing w:val="-106"/>
                <w:sz w:val="21"/>
              </w:rPr>
              <w:t>）</w:t>
            </w:r>
            <w:r>
              <w:rPr>
                <w:spacing w:val="-12"/>
                <w:sz w:val="21"/>
              </w:rPr>
              <w:t>》，本项目不属于禁止准入类项目类型，不属于准入负面清单</w:t>
            </w:r>
          </w:p>
        </w:tc>
      </w:tr>
      <w:tr>
        <w:tblPrEx>
          <w:tblW w:w="0" w:type="auto"/>
          <w:tblInd w:w="138" w:type="dxa"/>
          <w:tblLayout w:type="fixed"/>
          <w:tblCellMar>
            <w:top w:w="0" w:type="dxa"/>
            <w:left w:w="0" w:type="dxa"/>
            <w:bottom w:w="0" w:type="dxa"/>
            <w:right w:w="0" w:type="dxa"/>
          </w:tblCellMar>
        </w:tblPrEx>
        <w:trPr>
          <w:trHeight w:val="408"/>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65"/>
              <w:ind w:left="112"/>
              <w:rPr>
                <w:rFonts w:ascii="Times New Roman" w:eastAsia="Times New Roman"/>
                <w:sz w:val="21"/>
              </w:rPr>
            </w:pPr>
            <w:r>
              <w:rPr>
                <w:sz w:val="21"/>
              </w:rPr>
              <w:t>范围内项目类型；对照《江苏省产业结构调整限制、淘汰和禁止目录》</w:t>
            </w:r>
            <w:r>
              <w:rPr>
                <w:rFonts w:ascii="Times New Roman" w:eastAsia="Times New Roman"/>
                <w:sz w:val="21"/>
              </w:rPr>
              <w:t>(</w:t>
            </w:r>
            <w:r>
              <w:rPr>
                <w:sz w:val="21"/>
              </w:rPr>
              <w:t>苏办发</w:t>
            </w:r>
            <w:r>
              <w:rPr>
                <w:rFonts w:ascii="Times New Roman" w:eastAsia="Times New Roman"/>
                <w:sz w:val="21"/>
              </w:rPr>
              <w:t>[2018]32</w:t>
            </w:r>
          </w:p>
        </w:tc>
      </w:tr>
      <w:tr>
        <w:tblPrEx>
          <w:tblW w:w="0" w:type="auto"/>
          <w:tblInd w:w="138" w:type="dxa"/>
          <w:tblLayout w:type="fixed"/>
          <w:tblCellMar>
            <w:top w:w="0" w:type="dxa"/>
            <w:left w:w="0" w:type="dxa"/>
            <w:bottom w:w="0" w:type="dxa"/>
            <w:right w:w="0" w:type="dxa"/>
          </w:tblCellMar>
        </w:tblPrEx>
        <w:trPr>
          <w:trHeight w:val="407"/>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65"/>
              <w:ind w:left="112"/>
              <w:rPr>
                <w:sz w:val="21"/>
              </w:rPr>
            </w:pPr>
            <w:r>
              <w:rPr>
                <w:sz w:val="21"/>
              </w:rPr>
              <w:t xml:space="preserve">号附件 </w:t>
            </w:r>
            <w:r>
              <w:rPr>
                <w:rFonts w:ascii="Times New Roman" w:eastAsia="Times New Roman"/>
                <w:sz w:val="21"/>
              </w:rPr>
              <w:t>3)</w:t>
            </w:r>
            <w:r>
              <w:rPr>
                <w:sz w:val="21"/>
              </w:rPr>
              <w:t>，本项目未被列入限制类、淘汰类及禁止类项目，属于允许类项目；在现有厂</w:t>
            </w:r>
          </w:p>
        </w:tc>
      </w:tr>
      <w:tr>
        <w:tblPrEx>
          <w:tblW w:w="0" w:type="auto"/>
          <w:tblInd w:w="138" w:type="dxa"/>
          <w:tblLayout w:type="fixed"/>
          <w:tblCellMar>
            <w:top w:w="0" w:type="dxa"/>
            <w:left w:w="0" w:type="dxa"/>
            <w:bottom w:w="0" w:type="dxa"/>
            <w:right w:w="0" w:type="dxa"/>
          </w:tblCellMar>
        </w:tblPrEx>
        <w:trPr>
          <w:trHeight w:val="409"/>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65"/>
              <w:ind w:left="112"/>
              <w:rPr>
                <w:sz w:val="21"/>
              </w:rPr>
            </w:pPr>
            <w:r>
              <w:rPr>
                <w:sz w:val="21"/>
              </w:rPr>
              <w:t>区内扩建，不新增用地，不属于国家《禁止用地项目目录（</w:t>
            </w:r>
            <w:r>
              <w:rPr>
                <w:rFonts w:ascii="Times New Roman" w:eastAsia="Times New Roman"/>
                <w:sz w:val="21"/>
              </w:rPr>
              <w:t xml:space="preserve">2012 </w:t>
            </w:r>
            <w:r>
              <w:rPr>
                <w:sz w:val="21"/>
              </w:rPr>
              <w:t>年本</w:t>
            </w:r>
            <w:r>
              <w:rPr>
                <w:spacing w:val="-106"/>
                <w:sz w:val="21"/>
              </w:rPr>
              <w:t>）</w:t>
            </w:r>
            <w:r>
              <w:rPr>
                <w:sz w:val="21"/>
              </w:rPr>
              <w:t>》和《限制用地</w:t>
            </w:r>
          </w:p>
        </w:tc>
      </w:tr>
      <w:tr>
        <w:tblPrEx>
          <w:tblW w:w="0" w:type="auto"/>
          <w:tblInd w:w="138" w:type="dxa"/>
          <w:tblLayout w:type="fixed"/>
          <w:tblCellMar>
            <w:top w:w="0" w:type="dxa"/>
            <w:left w:w="0" w:type="dxa"/>
            <w:bottom w:w="0" w:type="dxa"/>
            <w:right w:w="0" w:type="dxa"/>
          </w:tblCellMar>
        </w:tblPrEx>
        <w:trPr>
          <w:trHeight w:val="409"/>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66"/>
              <w:ind w:left="112"/>
              <w:rPr>
                <w:sz w:val="21"/>
              </w:rPr>
            </w:pPr>
            <w:r>
              <w:rPr>
                <w:spacing w:val="7"/>
                <w:sz w:val="21"/>
              </w:rPr>
              <w:t>项目目录</w:t>
            </w:r>
            <w:r>
              <w:rPr>
                <w:sz w:val="21"/>
              </w:rPr>
              <w:t>（</w:t>
            </w:r>
            <w:r>
              <w:rPr>
                <w:rFonts w:ascii="Times New Roman" w:eastAsia="Times New Roman"/>
                <w:sz w:val="21"/>
              </w:rPr>
              <w:t xml:space="preserve">2012 </w:t>
            </w:r>
            <w:r>
              <w:rPr>
                <w:spacing w:val="7"/>
                <w:sz w:val="21"/>
              </w:rPr>
              <w:t>年本</w:t>
            </w:r>
            <w:r>
              <w:rPr>
                <w:spacing w:val="-99"/>
                <w:sz w:val="21"/>
              </w:rPr>
              <w:t>）</w:t>
            </w:r>
            <w:r>
              <w:rPr>
                <w:spacing w:val="5"/>
                <w:sz w:val="21"/>
              </w:rPr>
              <w:t>》中禁止、限制类项目，也不属于《江苏省禁止用地项目目录</w:t>
            </w:r>
          </w:p>
        </w:tc>
      </w:tr>
      <w:tr>
        <w:tblPrEx>
          <w:tblW w:w="0" w:type="auto"/>
          <w:tblInd w:w="138" w:type="dxa"/>
          <w:tblLayout w:type="fixed"/>
          <w:tblCellMar>
            <w:top w:w="0" w:type="dxa"/>
            <w:left w:w="0" w:type="dxa"/>
            <w:bottom w:w="0" w:type="dxa"/>
            <w:right w:w="0" w:type="dxa"/>
          </w:tblCellMar>
        </w:tblPrEx>
        <w:trPr>
          <w:trHeight w:val="408"/>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65"/>
              <w:ind w:left="112"/>
              <w:rPr>
                <w:sz w:val="21"/>
              </w:rPr>
            </w:pPr>
            <w:r>
              <w:rPr>
                <w:sz w:val="21"/>
              </w:rPr>
              <w:t>（</w:t>
            </w:r>
            <w:r>
              <w:rPr>
                <w:rFonts w:ascii="Times New Roman" w:eastAsia="Times New Roman"/>
                <w:sz w:val="21"/>
              </w:rPr>
              <w:t xml:space="preserve">2013 </w:t>
            </w:r>
            <w:r>
              <w:rPr>
                <w:spacing w:val="-2"/>
                <w:sz w:val="21"/>
              </w:rPr>
              <w:t>年本</w:t>
            </w:r>
            <w:r>
              <w:rPr>
                <w:spacing w:val="-108"/>
                <w:sz w:val="21"/>
              </w:rPr>
              <w:t>）</w:t>
            </w:r>
            <w:r>
              <w:rPr>
                <w:spacing w:val="-3"/>
                <w:sz w:val="21"/>
              </w:rPr>
              <w:t>》和《江苏省限制用地项目目录</w:t>
            </w:r>
            <w:r>
              <w:rPr>
                <w:sz w:val="21"/>
              </w:rPr>
              <w:t>（</w:t>
            </w:r>
            <w:r>
              <w:rPr>
                <w:rFonts w:ascii="Times New Roman" w:eastAsia="Times New Roman"/>
                <w:sz w:val="21"/>
              </w:rPr>
              <w:t xml:space="preserve">2013 </w:t>
            </w:r>
            <w:r>
              <w:rPr>
                <w:spacing w:val="-2"/>
                <w:sz w:val="21"/>
              </w:rPr>
              <w:t>年本</w:t>
            </w:r>
            <w:r>
              <w:rPr>
                <w:spacing w:val="-106"/>
                <w:sz w:val="21"/>
              </w:rPr>
              <w:t>）</w:t>
            </w:r>
            <w:r>
              <w:rPr>
                <w:spacing w:val="-3"/>
                <w:sz w:val="21"/>
              </w:rPr>
              <w:t>》中禁止、限制类项目。</w:t>
            </w:r>
          </w:p>
        </w:tc>
      </w:tr>
      <w:tr>
        <w:tblPrEx>
          <w:tblW w:w="0" w:type="auto"/>
          <w:tblInd w:w="138" w:type="dxa"/>
          <w:tblLayout w:type="fixed"/>
          <w:tblCellMar>
            <w:top w:w="0" w:type="dxa"/>
            <w:left w:w="0" w:type="dxa"/>
            <w:bottom w:w="0" w:type="dxa"/>
            <w:right w:w="0" w:type="dxa"/>
          </w:tblCellMar>
        </w:tblPrEx>
        <w:trPr>
          <w:trHeight w:val="407"/>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65"/>
              <w:ind w:left="532"/>
              <w:rPr>
                <w:sz w:val="21"/>
              </w:rPr>
            </w:pPr>
            <w:r>
              <w:rPr>
                <w:sz w:val="21"/>
              </w:rPr>
              <w:t>建设项目位于滨海县东坎高新技术产业园盘洋大道</w:t>
            </w:r>
            <w:r>
              <w:rPr>
                <w:rFonts w:ascii="Times New Roman" w:eastAsia="Times New Roman"/>
                <w:sz w:val="21"/>
              </w:rPr>
              <w:t xml:space="preserve">11 </w:t>
            </w:r>
            <w:r>
              <w:rPr>
                <w:sz w:val="21"/>
              </w:rPr>
              <w:t>号现有厂区内，用地性质为工</w:t>
            </w:r>
          </w:p>
        </w:tc>
      </w:tr>
      <w:tr>
        <w:tblPrEx>
          <w:tblW w:w="0" w:type="auto"/>
          <w:tblInd w:w="138" w:type="dxa"/>
          <w:tblLayout w:type="fixed"/>
          <w:tblCellMar>
            <w:top w:w="0" w:type="dxa"/>
            <w:left w:w="0" w:type="dxa"/>
            <w:bottom w:w="0" w:type="dxa"/>
            <w:right w:w="0" w:type="dxa"/>
          </w:tblCellMar>
        </w:tblPrEx>
        <w:trPr>
          <w:trHeight w:val="409"/>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65"/>
              <w:ind w:left="112"/>
              <w:rPr>
                <w:sz w:val="21"/>
              </w:rPr>
            </w:pPr>
            <w:r>
              <w:rPr>
                <w:spacing w:val="2"/>
                <w:w w:val="100"/>
                <w:sz w:val="21"/>
              </w:rPr>
              <w:t>业用地</w:t>
            </w:r>
            <w:r>
              <w:rPr>
                <w:w w:val="100"/>
                <w:sz w:val="21"/>
              </w:rPr>
              <w:t>（用地证明见附件四</w:t>
            </w:r>
            <w:r>
              <w:rPr>
                <w:spacing w:val="-104"/>
                <w:w w:val="100"/>
                <w:sz w:val="21"/>
              </w:rPr>
              <w:t>）</w:t>
            </w:r>
            <w:r>
              <w:rPr>
                <w:w w:val="100"/>
                <w:sz w:val="21"/>
              </w:rPr>
              <w:t>，项目用地符合《滨海县城市总体规划</w:t>
            </w:r>
            <w:r>
              <w:rPr>
                <w:spacing w:val="4"/>
                <w:w w:val="100"/>
                <w:sz w:val="21"/>
              </w:rPr>
              <w:t>（</w:t>
            </w:r>
            <w:r>
              <w:rPr>
                <w:rFonts w:ascii="Times New Roman" w:eastAsia="Times New Roman"/>
                <w:w w:val="100"/>
                <w:sz w:val="21"/>
              </w:rPr>
              <w:t>20</w:t>
            </w:r>
            <w:r>
              <w:rPr>
                <w:rFonts w:ascii="Times New Roman" w:eastAsia="Times New Roman"/>
                <w:spacing w:val="-3"/>
                <w:w w:val="100"/>
                <w:sz w:val="21"/>
              </w:rPr>
              <w:t>1</w:t>
            </w:r>
            <w:r>
              <w:rPr>
                <w:rFonts w:ascii="Times New Roman" w:eastAsia="Times New Roman"/>
                <w:spacing w:val="-1"/>
                <w:w w:val="100"/>
                <w:sz w:val="21"/>
              </w:rPr>
              <w:t>8-</w:t>
            </w:r>
            <w:r>
              <w:rPr>
                <w:rFonts w:ascii="Times New Roman" w:eastAsia="Times New Roman"/>
                <w:w w:val="100"/>
                <w:sz w:val="21"/>
              </w:rPr>
              <w:t>2</w:t>
            </w:r>
            <w:r>
              <w:rPr>
                <w:rFonts w:ascii="Times New Roman" w:eastAsia="Times New Roman"/>
                <w:spacing w:val="-3"/>
                <w:w w:val="100"/>
                <w:sz w:val="21"/>
              </w:rPr>
              <w:t>0</w:t>
            </w:r>
            <w:r>
              <w:rPr>
                <w:rFonts w:ascii="Times New Roman" w:eastAsia="Times New Roman"/>
                <w:w w:val="100"/>
                <w:sz w:val="21"/>
              </w:rPr>
              <w:t>3</w:t>
            </w:r>
            <w:r>
              <w:rPr>
                <w:rFonts w:ascii="Times New Roman" w:eastAsia="Times New Roman"/>
                <w:spacing w:val="2"/>
                <w:w w:val="100"/>
                <w:sz w:val="21"/>
              </w:rPr>
              <w:t>5</w:t>
            </w:r>
            <w:r>
              <w:rPr>
                <w:spacing w:val="-104"/>
                <w:w w:val="100"/>
                <w:sz w:val="21"/>
              </w:rPr>
              <w:t>）</w:t>
            </w:r>
            <w:r>
              <w:rPr>
                <w:spacing w:val="-35"/>
                <w:w w:val="100"/>
                <w:sz w:val="21"/>
              </w:rPr>
              <w:t>》。本</w:t>
            </w:r>
          </w:p>
        </w:tc>
      </w:tr>
      <w:tr>
        <w:tblPrEx>
          <w:tblW w:w="0" w:type="auto"/>
          <w:tblInd w:w="138" w:type="dxa"/>
          <w:tblLayout w:type="fixed"/>
          <w:tblCellMar>
            <w:top w:w="0" w:type="dxa"/>
            <w:left w:w="0" w:type="dxa"/>
            <w:bottom w:w="0" w:type="dxa"/>
            <w:right w:w="0" w:type="dxa"/>
          </w:tblCellMar>
        </w:tblPrEx>
        <w:trPr>
          <w:trHeight w:val="409"/>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66"/>
              <w:ind w:left="112"/>
              <w:rPr>
                <w:rFonts w:ascii="Times New Roman" w:eastAsia="Times New Roman"/>
                <w:sz w:val="21"/>
              </w:rPr>
            </w:pPr>
            <w:r>
              <w:rPr>
                <w:spacing w:val="14"/>
                <w:w w:val="100"/>
                <w:sz w:val="21"/>
              </w:rPr>
              <w:t>项目已取得备案证</w:t>
            </w:r>
            <w:r>
              <w:rPr>
                <w:spacing w:val="16"/>
                <w:w w:val="100"/>
                <w:sz w:val="21"/>
              </w:rPr>
              <w:t>（</w:t>
            </w:r>
            <w:r>
              <w:rPr>
                <w:spacing w:val="14"/>
                <w:w w:val="100"/>
                <w:sz w:val="21"/>
              </w:rPr>
              <w:t>滨行审投资备〔</w:t>
            </w:r>
            <w:r>
              <w:rPr>
                <w:rFonts w:ascii="Times New Roman" w:eastAsia="Times New Roman"/>
                <w:w w:val="100"/>
                <w:sz w:val="21"/>
              </w:rPr>
              <w:t>20</w:t>
            </w:r>
            <w:r>
              <w:rPr>
                <w:rFonts w:ascii="Times New Roman" w:eastAsia="Times New Roman"/>
                <w:spacing w:val="-3"/>
                <w:w w:val="100"/>
                <w:sz w:val="21"/>
              </w:rPr>
              <w:t>2</w:t>
            </w:r>
            <w:r>
              <w:rPr>
                <w:rFonts w:ascii="Times New Roman" w:eastAsia="Times New Roman"/>
                <w:spacing w:val="16"/>
                <w:w w:val="100"/>
                <w:sz w:val="21"/>
              </w:rPr>
              <w:t>1</w:t>
            </w:r>
            <w:r>
              <w:rPr>
                <w:spacing w:val="14"/>
                <w:w w:val="100"/>
                <w:sz w:val="21"/>
              </w:rPr>
              <w:t>〕</w:t>
            </w:r>
            <w:r>
              <w:rPr>
                <w:rFonts w:ascii="Times New Roman" w:eastAsia="Times New Roman"/>
                <w:w w:val="100"/>
                <w:sz w:val="21"/>
              </w:rPr>
              <w:t>208</w:t>
            </w:r>
            <w:r>
              <w:rPr>
                <w:rFonts w:ascii="Times New Roman" w:eastAsia="Times New Roman"/>
                <w:spacing w:val="-5"/>
                <w:sz w:val="21"/>
              </w:rPr>
              <w:t xml:space="preserve">  </w:t>
            </w:r>
            <w:r>
              <w:rPr>
                <w:spacing w:val="16"/>
                <w:w w:val="100"/>
                <w:sz w:val="21"/>
              </w:rPr>
              <w:t>号</w:t>
            </w:r>
            <w:r>
              <w:rPr>
                <w:spacing w:val="-89"/>
                <w:w w:val="100"/>
                <w:sz w:val="21"/>
              </w:rPr>
              <w:t>）</w:t>
            </w:r>
            <w:r>
              <w:rPr>
                <w:spacing w:val="12"/>
                <w:w w:val="100"/>
                <w:sz w:val="21"/>
              </w:rPr>
              <w:t>，项目代码</w:t>
            </w:r>
            <w:r>
              <w:rPr>
                <w:spacing w:val="11"/>
                <w:sz w:val="21"/>
              </w:rPr>
              <w:t xml:space="preserve"> </w:t>
            </w:r>
            <w:r>
              <w:rPr>
                <w:rFonts w:ascii="Times New Roman" w:eastAsia="Times New Roman"/>
                <w:w w:val="100"/>
                <w:sz w:val="21"/>
              </w:rPr>
              <w:t>2106</w:t>
            </w:r>
            <w:r>
              <w:rPr>
                <w:rFonts w:ascii="Times New Roman" w:eastAsia="Times New Roman"/>
                <w:spacing w:val="-4"/>
                <w:w w:val="100"/>
                <w:sz w:val="21"/>
              </w:rPr>
              <w:t>-</w:t>
            </w:r>
            <w:r>
              <w:rPr>
                <w:rFonts w:ascii="Times New Roman" w:eastAsia="Times New Roman"/>
                <w:w w:val="100"/>
                <w:sz w:val="21"/>
              </w:rPr>
              <w:t>32</w:t>
            </w:r>
            <w:r>
              <w:rPr>
                <w:rFonts w:ascii="Times New Roman" w:eastAsia="Times New Roman"/>
                <w:spacing w:val="-3"/>
                <w:w w:val="100"/>
                <w:sz w:val="21"/>
              </w:rPr>
              <w:t>0</w:t>
            </w:r>
            <w:r>
              <w:rPr>
                <w:rFonts w:ascii="Times New Roman" w:eastAsia="Times New Roman"/>
                <w:w w:val="100"/>
                <w:sz w:val="21"/>
              </w:rPr>
              <w:t>92</w:t>
            </w:r>
            <w:r>
              <w:rPr>
                <w:rFonts w:ascii="Times New Roman" w:eastAsia="Times New Roman"/>
                <w:spacing w:val="-1"/>
                <w:w w:val="100"/>
                <w:sz w:val="21"/>
              </w:rPr>
              <w:t>2-</w:t>
            </w:r>
            <w:r>
              <w:rPr>
                <w:rFonts w:ascii="Times New Roman" w:eastAsia="Times New Roman"/>
                <w:w w:val="100"/>
                <w:sz w:val="21"/>
              </w:rPr>
              <w:t>89</w:t>
            </w:r>
            <w:r>
              <w:rPr>
                <w:rFonts w:ascii="Times New Roman" w:eastAsia="Times New Roman"/>
                <w:spacing w:val="-1"/>
                <w:w w:val="100"/>
                <w:sz w:val="21"/>
              </w:rPr>
              <w:t>-</w:t>
            </w:r>
            <w:r>
              <w:rPr>
                <w:rFonts w:ascii="Times New Roman" w:eastAsia="Times New Roman"/>
                <w:w w:val="100"/>
                <w:sz w:val="21"/>
              </w:rPr>
              <w:t>02-</w:t>
            </w:r>
          </w:p>
        </w:tc>
      </w:tr>
      <w:tr>
        <w:tblPrEx>
          <w:tblW w:w="0" w:type="auto"/>
          <w:tblInd w:w="138" w:type="dxa"/>
          <w:tblLayout w:type="fixed"/>
          <w:tblCellMar>
            <w:top w:w="0" w:type="dxa"/>
            <w:left w:w="0" w:type="dxa"/>
            <w:bottom w:w="0" w:type="dxa"/>
            <w:right w:w="0" w:type="dxa"/>
          </w:tblCellMar>
        </w:tblPrEx>
        <w:trPr>
          <w:trHeight w:val="407"/>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65"/>
              <w:ind w:left="112"/>
              <w:rPr>
                <w:sz w:val="21"/>
              </w:rPr>
            </w:pPr>
            <w:r>
              <w:rPr>
                <w:rFonts w:ascii="Times New Roman" w:eastAsia="Times New Roman"/>
                <w:sz w:val="21"/>
              </w:rPr>
              <w:t>488538</w:t>
            </w:r>
            <w:r>
              <w:rPr>
                <w:sz w:val="21"/>
              </w:rPr>
              <w:t>，符合国家和地方产业政策要求、选址符合相关规划要求。</w:t>
            </w:r>
          </w:p>
        </w:tc>
      </w:tr>
      <w:tr>
        <w:tblPrEx>
          <w:tblW w:w="0" w:type="auto"/>
          <w:tblInd w:w="138" w:type="dxa"/>
          <w:tblLayout w:type="fixed"/>
          <w:tblCellMar>
            <w:top w:w="0" w:type="dxa"/>
            <w:left w:w="0" w:type="dxa"/>
            <w:bottom w:w="0" w:type="dxa"/>
            <w:right w:w="0" w:type="dxa"/>
          </w:tblCellMar>
        </w:tblPrEx>
        <w:trPr>
          <w:trHeight w:val="407"/>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65"/>
              <w:ind w:left="534"/>
              <w:rPr>
                <w:b/>
                <w:sz w:val="21"/>
              </w:rPr>
            </w:pPr>
            <w:r>
              <w:rPr>
                <w:rFonts w:ascii="Times New Roman" w:eastAsia="Times New Roman" w:hAnsi="Times New Roman"/>
                <w:b/>
                <w:sz w:val="21"/>
              </w:rPr>
              <w:t>2.“</w:t>
            </w:r>
            <w:r>
              <w:rPr>
                <w:b/>
                <w:sz w:val="21"/>
              </w:rPr>
              <w:t>三线一单</w:t>
            </w:r>
            <w:r>
              <w:rPr>
                <w:rFonts w:ascii="Times New Roman" w:eastAsia="Times New Roman" w:hAnsi="Times New Roman"/>
                <w:b/>
                <w:sz w:val="21"/>
              </w:rPr>
              <w:t>”</w:t>
            </w:r>
            <w:r>
              <w:rPr>
                <w:b/>
                <w:sz w:val="21"/>
              </w:rPr>
              <w:t>相符性</w:t>
            </w:r>
          </w:p>
        </w:tc>
      </w:tr>
      <w:tr>
        <w:tblPrEx>
          <w:tblW w:w="0" w:type="auto"/>
          <w:tblInd w:w="138" w:type="dxa"/>
          <w:tblLayout w:type="fixed"/>
          <w:tblCellMar>
            <w:top w:w="0" w:type="dxa"/>
            <w:left w:w="0" w:type="dxa"/>
            <w:bottom w:w="0" w:type="dxa"/>
            <w:right w:w="0" w:type="dxa"/>
          </w:tblCellMar>
        </w:tblPrEx>
        <w:trPr>
          <w:trHeight w:val="408"/>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65"/>
              <w:ind w:left="534"/>
              <w:rPr>
                <w:b/>
                <w:sz w:val="21"/>
              </w:rPr>
            </w:pPr>
            <w:r>
              <w:rPr>
                <w:b/>
                <w:sz w:val="21"/>
              </w:rPr>
              <w:t>（</w:t>
            </w:r>
            <w:r>
              <w:rPr>
                <w:rFonts w:ascii="Times New Roman" w:eastAsia="Times New Roman"/>
                <w:b/>
                <w:sz w:val="21"/>
              </w:rPr>
              <w:t>1</w:t>
            </w:r>
            <w:r>
              <w:rPr>
                <w:b/>
                <w:sz w:val="21"/>
              </w:rPr>
              <w:t>）生态保护红线</w:t>
            </w:r>
          </w:p>
        </w:tc>
      </w:tr>
      <w:tr>
        <w:tblPrEx>
          <w:tblW w:w="0" w:type="auto"/>
          <w:tblInd w:w="138" w:type="dxa"/>
          <w:tblLayout w:type="fixed"/>
          <w:tblCellMar>
            <w:top w:w="0" w:type="dxa"/>
            <w:left w:w="0" w:type="dxa"/>
            <w:bottom w:w="0" w:type="dxa"/>
            <w:right w:w="0" w:type="dxa"/>
          </w:tblCellMar>
        </w:tblPrEx>
        <w:trPr>
          <w:trHeight w:val="345"/>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65" w:line="260" w:lineRule="exact"/>
              <w:ind w:left="532"/>
              <w:rPr>
                <w:sz w:val="21"/>
              </w:rPr>
            </w:pPr>
            <w:r>
              <w:rPr>
                <w:spacing w:val="-9"/>
                <w:w w:val="100"/>
                <w:sz w:val="21"/>
              </w:rPr>
              <w:t>根据《江苏省国家级生态保护红线规划》</w:t>
            </w:r>
            <w:r>
              <w:rPr>
                <w:w w:val="100"/>
                <w:sz w:val="21"/>
              </w:rPr>
              <w:t>（</w:t>
            </w:r>
            <w:r>
              <w:rPr>
                <w:spacing w:val="-3"/>
                <w:w w:val="100"/>
                <w:sz w:val="21"/>
              </w:rPr>
              <w:t>苏政发〔</w:t>
            </w:r>
            <w:r>
              <w:rPr>
                <w:rFonts w:ascii="Times New Roman" w:eastAsia="Times New Roman"/>
                <w:w w:val="100"/>
                <w:sz w:val="21"/>
              </w:rPr>
              <w:t>2018</w:t>
            </w:r>
            <w:r>
              <w:rPr>
                <w:spacing w:val="-3"/>
                <w:w w:val="100"/>
                <w:sz w:val="21"/>
              </w:rPr>
              <w:t>〕</w:t>
            </w:r>
            <w:r>
              <w:rPr>
                <w:rFonts w:ascii="Times New Roman" w:eastAsia="Times New Roman"/>
                <w:w w:val="100"/>
                <w:sz w:val="21"/>
              </w:rPr>
              <w:t>74</w:t>
            </w:r>
            <w:r>
              <w:rPr>
                <w:rFonts w:ascii="Times New Roman" w:eastAsia="Times New Roman"/>
                <w:spacing w:val="8"/>
                <w:sz w:val="21"/>
              </w:rPr>
              <w:t xml:space="preserve"> </w:t>
            </w:r>
            <w:r>
              <w:rPr>
                <w:w w:val="100"/>
                <w:sz w:val="21"/>
              </w:rPr>
              <w:t>号</w:t>
            </w:r>
            <w:r>
              <w:rPr>
                <w:spacing w:val="-106"/>
                <w:w w:val="100"/>
                <w:sz w:val="21"/>
              </w:rPr>
              <w:t>）</w:t>
            </w:r>
            <w:r>
              <w:rPr>
                <w:spacing w:val="-3"/>
                <w:w w:val="100"/>
                <w:sz w:val="21"/>
              </w:rPr>
              <w:t>，距建设项目最近</w:t>
            </w:r>
          </w:p>
        </w:tc>
      </w:tr>
      <w:tr>
        <w:tblPrEx>
          <w:tblW w:w="0" w:type="auto"/>
          <w:tblInd w:w="138" w:type="dxa"/>
          <w:tblLayout w:type="fixed"/>
          <w:tblCellMar>
            <w:top w:w="0" w:type="dxa"/>
            <w:left w:w="0" w:type="dxa"/>
            <w:bottom w:w="0" w:type="dxa"/>
            <w:right w:w="0" w:type="dxa"/>
          </w:tblCellMar>
        </w:tblPrEx>
        <w:trPr>
          <w:trHeight w:val="537"/>
        </w:trPr>
        <w:tc>
          <w:tcPr>
            <w:tcW w:w="1114" w:type="dxa"/>
            <w:tcBorders>
              <w:top w:val="nil"/>
              <w:bottom w:val="nil"/>
              <w:right w:val="single" w:sz="4" w:space="0" w:color="000000"/>
            </w:tcBorders>
          </w:tcPr>
          <w:p>
            <w:pPr>
              <w:pStyle w:val="TableParagraph"/>
              <w:spacing w:line="265" w:lineRule="exact"/>
              <w:ind w:left="112" w:right="101"/>
              <w:jc w:val="center"/>
              <w:rPr>
                <w:sz w:val="21"/>
              </w:rPr>
            </w:pPr>
            <w:r>
              <w:rPr>
                <w:sz w:val="21"/>
              </w:rPr>
              <w:t>其他符合</w:t>
            </w:r>
          </w:p>
          <w:p>
            <w:pPr>
              <w:pStyle w:val="TableParagraph"/>
              <w:spacing w:before="2" w:line="250" w:lineRule="exact"/>
              <w:ind w:left="114" w:right="101"/>
              <w:jc w:val="center"/>
              <w:rPr>
                <w:sz w:val="21"/>
              </w:rPr>
            </w:pPr>
            <w:r>
              <w:rPr>
                <w:sz w:val="21"/>
              </w:rPr>
              <w:t>性分析</w:t>
            </w:r>
          </w:p>
        </w:tc>
        <w:tc>
          <w:tcPr>
            <w:tcW w:w="8262" w:type="dxa"/>
            <w:gridSpan w:val="8"/>
            <w:tcBorders>
              <w:top w:val="nil"/>
              <w:left w:val="single" w:sz="4" w:space="0" w:color="000000"/>
              <w:bottom w:val="nil"/>
            </w:tcBorders>
          </w:tcPr>
          <w:p>
            <w:pPr>
              <w:pStyle w:val="TableParagraph"/>
              <w:spacing w:before="130"/>
              <w:ind w:left="112"/>
              <w:rPr>
                <w:sz w:val="21"/>
              </w:rPr>
            </w:pPr>
            <w:r>
              <w:rPr>
                <w:spacing w:val="-3"/>
                <w:sz w:val="21"/>
              </w:rPr>
              <w:t xml:space="preserve">的国家生态红线区域为西侧 </w:t>
            </w:r>
            <w:r>
              <w:rPr>
                <w:rFonts w:ascii="Times New Roman" w:eastAsia="Times New Roman" w:hAnsi="Times New Roman"/>
                <w:sz w:val="21"/>
              </w:rPr>
              <w:t xml:space="preserve">12.3km </w:t>
            </w:r>
            <w:r>
              <w:rPr>
                <w:spacing w:val="-10"/>
                <w:sz w:val="21"/>
              </w:rPr>
              <w:t>处的“废黄河东坎饮用水水源保护区”。在项目评价</w:t>
            </w:r>
          </w:p>
        </w:tc>
      </w:tr>
      <w:tr>
        <w:tblPrEx>
          <w:tblW w:w="0" w:type="auto"/>
          <w:tblInd w:w="138" w:type="dxa"/>
          <w:tblLayout w:type="fixed"/>
          <w:tblCellMar>
            <w:top w:w="0" w:type="dxa"/>
            <w:left w:w="0" w:type="dxa"/>
            <w:bottom w:w="0" w:type="dxa"/>
            <w:right w:w="0" w:type="dxa"/>
          </w:tblCellMar>
        </w:tblPrEx>
        <w:trPr>
          <w:trHeight w:val="339"/>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1"/>
              <w:ind w:left="112"/>
              <w:rPr>
                <w:sz w:val="21"/>
              </w:rPr>
            </w:pPr>
            <w:r>
              <w:rPr>
                <w:sz w:val="21"/>
              </w:rPr>
              <w:t>范围内不涉及国家级生态保护红线保护区域，不会导致滨海县辖区内国家级生态保护红</w:t>
            </w:r>
          </w:p>
        </w:tc>
      </w:tr>
      <w:tr>
        <w:tblPrEx>
          <w:tblW w:w="0" w:type="auto"/>
          <w:tblInd w:w="138" w:type="dxa"/>
          <w:tblLayout w:type="fixed"/>
          <w:tblCellMar>
            <w:top w:w="0" w:type="dxa"/>
            <w:left w:w="0" w:type="dxa"/>
            <w:bottom w:w="0" w:type="dxa"/>
            <w:right w:w="0" w:type="dxa"/>
          </w:tblCellMar>
        </w:tblPrEx>
        <w:trPr>
          <w:trHeight w:val="404"/>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70"/>
              <w:ind w:left="112"/>
              <w:rPr>
                <w:sz w:val="21"/>
              </w:rPr>
            </w:pPr>
            <w:r>
              <w:rPr>
                <w:sz w:val="21"/>
              </w:rPr>
              <w:t>线生态服务功能下降。</w:t>
            </w:r>
          </w:p>
        </w:tc>
      </w:tr>
      <w:tr>
        <w:tblPrEx>
          <w:tblW w:w="0" w:type="auto"/>
          <w:tblInd w:w="138" w:type="dxa"/>
          <w:tblLayout w:type="fixed"/>
          <w:tblCellMar>
            <w:top w:w="0" w:type="dxa"/>
            <w:left w:w="0" w:type="dxa"/>
            <w:bottom w:w="0" w:type="dxa"/>
            <w:right w:w="0" w:type="dxa"/>
          </w:tblCellMar>
        </w:tblPrEx>
        <w:trPr>
          <w:trHeight w:val="415"/>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73"/>
              <w:ind w:left="532"/>
              <w:rPr>
                <w:sz w:val="21"/>
              </w:rPr>
            </w:pPr>
            <w:r>
              <w:rPr>
                <w:spacing w:val="-10"/>
                <w:sz w:val="21"/>
              </w:rPr>
              <w:t>根据《江苏省生态空间管控区域规划》</w:t>
            </w:r>
            <w:r>
              <w:rPr>
                <w:spacing w:val="-3"/>
                <w:sz w:val="21"/>
              </w:rPr>
              <w:t>（</w:t>
            </w:r>
            <w:r>
              <w:rPr>
                <w:spacing w:val="-2"/>
                <w:sz w:val="21"/>
              </w:rPr>
              <w:t>苏政发〔</w:t>
            </w:r>
            <w:r>
              <w:rPr>
                <w:rFonts w:ascii="Times New Roman" w:eastAsia="Times New Roman"/>
                <w:sz w:val="21"/>
              </w:rPr>
              <w:t>2020</w:t>
            </w:r>
            <w:r>
              <w:rPr>
                <w:sz w:val="21"/>
              </w:rPr>
              <w:t>〕</w:t>
            </w:r>
            <w:r>
              <w:rPr>
                <w:rFonts w:ascii="Times New Roman" w:eastAsia="Times New Roman"/>
                <w:sz w:val="21"/>
              </w:rPr>
              <w:t xml:space="preserve">1 </w:t>
            </w:r>
            <w:r>
              <w:rPr>
                <w:sz w:val="21"/>
              </w:rPr>
              <w:t>号</w:t>
            </w:r>
            <w:r>
              <w:rPr>
                <w:spacing w:val="-3"/>
                <w:sz w:val="21"/>
              </w:rPr>
              <w:t>）及《江苏省自然资源</w:t>
            </w:r>
          </w:p>
        </w:tc>
      </w:tr>
      <w:tr>
        <w:tblPrEx>
          <w:tblW w:w="0" w:type="auto"/>
          <w:tblInd w:w="138" w:type="dxa"/>
          <w:tblLayout w:type="fixed"/>
          <w:tblCellMar>
            <w:top w:w="0" w:type="dxa"/>
            <w:left w:w="0" w:type="dxa"/>
            <w:bottom w:w="0" w:type="dxa"/>
            <w:right w:w="0" w:type="dxa"/>
          </w:tblCellMar>
        </w:tblPrEx>
        <w:trPr>
          <w:trHeight w:val="409"/>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65"/>
              <w:ind w:left="112"/>
              <w:rPr>
                <w:sz w:val="21"/>
              </w:rPr>
            </w:pPr>
            <w:r>
              <w:rPr>
                <w:spacing w:val="-8"/>
                <w:w w:val="100"/>
                <w:sz w:val="21"/>
              </w:rPr>
              <w:t>厅关于滨海县生态空间管控区域调整方案的复函》</w:t>
            </w:r>
            <w:r>
              <w:rPr>
                <w:spacing w:val="-3"/>
                <w:w w:val="100"/>
                <w:sz w:val="21"/>
              </w:rPr>
              <w:t>（</w:t>
            </w:r>
            <w:r>
              <w:rPr>
                <w:spacing w:val="-2"/>
                <w:w w:val="100"/>
                <w:sz w:val="21"/>
              </w:rPr>
              <w:t>苏自然资函〔</w:t>
            </w:r>
            <w:r>
              <w:rPr>
                <w:rFonts w:ascii="Times New Roman" w:eastAsia="Times New Roman"/>
                <w:w w:val="100"/>
                <w:sz w:val="21"/>
              </w:rPr>
              <w:t>2</w:t>
            </w:r>
            <w:r>
              <w:rPr>
                <w:rFonts w:ascii="Times New Roman" w:eastAsia="Times New Roman"/>
                <w:spacing w:val="-3"/>
                <w:w w:val="100"/>
                <w:sz w:val="21"/>
              </w:rPr>
              <w:t>0</w:t>
            </w:r>
            <w:r>
              <w:rPr>
                <w:rFonts w:ascii="Times New Roman" w:eastAsia="Times New Roman"/>
                <w:w w:val="100"/>
                <w:sz w:val="21"/>
              </w:rPr>
              <w:t>21</w:t>
            </w:r>
            <w:r>
              <w:rPr>
                <w:spacing w:val="-3"/>
                <w:w w:val="100"/>
                <w:sz w:val="21"/>
              </w:rPr>
              <w:t>〕</w:t>
            </w:r>
            <w:r>
              <w:rPr>
                <w:rFonts w:ascii="Times New Roman" w:eastAsia="Times New Roman"/>
                <w:w w:val="100"/>
                <w:sz w:val="21"/>
              </w:rPr>
              <w:t>17</w:t>
            </w:r>
            <w:r>
              <w:rPr>
                <w:rFonts w:ascii="Times New Roman" w:eastAsia="Times New Roman"/>
                <w:spacing w:val="-3"/>
                <w:w w:val="100"/>
                <w:sz w:val="21"/>
              </w:rPr>
              <w:t>3</w:t>
            </w:r>
            <w:r>
              <w:rPr>
                <w:rFonts w:ascii="Times New Roman" w:eastAsia="Times New Roman"/>
                <w:w w:val="100"/>
                <w:sz w:val="21"/>
              </w:rPr>
              <w:t>6</w:t>
            </w:r>
            <w:r>
              <w:rPr>
                <w:rFonts w:ascii="Times New Roman" w:eastAsia="Times New Roman"/>
                <w:spacing w:val="7"/>
                <w:sz w:val="21"/>
              </w:rPr>
              <w:t xml:space="preserve"> </w:t>
            </w:r>
            <w:r>
              <w:rPr>
                <w:w w:val="100"/>
                <w:sz w:val="21"/>
              </w:rPr>
              <w:t>号</w:t>
            </w:r>
            <w:r>
              <w:rPr>
                <w:spacing w:val="-106"/>
                <w:w w:val="100"/>
                <w:sz w:val="21"/>
              </w:rPr>
              <w:t>）</w:t>
            </w:r>
            <w:r>
              <w:rPr>
                <w:spacing w:val="-2"/>
                <w:w w:val="100"/>
                <w:sz w:val="21"/>
              </w:rPr>
              <w:t>，与本</w:t>
            </w:r>
          </w:p>
        </w:tc>
      </w:tr>
      <w:tr>
        <w:tblPrEx>
          <w:tblW w:w="0" w:type="auto"/>
          <w:tblInd w:w="138" w:type="dxa"/>
          <w:tblLayout w:type="fixed"/>
          <w:tblCellMar>
            <w:top w:w="0" w:type="dxa"/>
            <w:left w:w="0" w:type="dxa"/>
            <w:bottom w:w="0" w:type="dxa"/>
            <w:right w:w="0" w:type="dxa"/>
          </w:tblCellMar>
        </w:tblPrEx>
        <w:trPr>
          <w:trHeight w:val="412"/>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66"/>
              <w:ind w:left="112"/>
              <w:rPr>
                <w:sz w:val="21"/>
              </w:rPr>
            </w:pPr>
            <w:r>
              <w:rPr>
                <w:sz w:val="21"/>
              </w:rPr>
              <w:t>项目直线距离最近的生态空间管控区域为西北侧处的“废黄河</w:t>
            </w:r>
            <w:r>
              <w:rPr>
                <w:rFonts w:ascii="Times New Roman" w:eastAsia="Times New Roman" w:hAnsi="Times New Roman"/>
                <w:sz w:val="21"/>
              </w:rPr>
              <w:t>-</w:t>
            </w:r>
            <w:r>
              <w:rPr>
                <w:sz w:val="21"/>
              </w:rPr>
              <w:t>中山河（滨海县）洪水</w:t>
            </w:r>
          </w:p>
        </w:tc>
      </w:tr>
      <w:tr>
        <w:tblPrEx>
          <w:tblW w:w="0" w:type="auto"/>
          <w:tblInd w:w="138" w:type="dxa"/>
          <w:tblLayout w:type="fixed"/>
          <w:tblCellMar>
            <w:top w:w="0" w:type="dxa"/>
            <w:left w:w="0" w:type="dxa"/>
            <w:bottom w:w="0" w:type="dxa"/>
            <w:right w:w="0" w:type="dxa"/>
          </w:tblCellMar>
        </w:tblPrEx>
        <w:trPr>
          <w:trHeight w:val="400"/>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62"/>
              <w:ind w:left="112"/>
              <w:rPr>
                <w:sz w:val="21"/>
              </w:rPr>
            </w:pPr>
            <w:r>
              <w:rPr>
                <w:sz w:val="21"/>
              </w:rPr>
              <w:t>调蓄区中山河（滨海县）洪水调蓄区中山河（滨海县）洪水调蓄区”。在项目评价范围</w:t>
            </w:r>
          </w:p>
        </w:tc>
      </w:tr>
      <w:tr>
        <w:tblPrEx>
          <w:tblW w:w="0" w:type="auto"/>
          <w:tblInd w:w="138" w:type="dxa"/>
          <w:tblLayout w:type="fixed"/>
          <w:tblCellMar>
            <w:top w:w="0" w:type="dxa"/>
            <w:left w:w="0" w:type="dxa"/>
            <w:bottom w:w="0" w:type="dxa"/>
            <w:right w:w="0" w:type="dxa"/>
          </w:tblCellMar>
        </w:tblPrEx>
        <w:trPr>
          <w:trHeight w:val="404"/>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70"/>
              <w:ind w:left="112"/>
              <w:rPr>
                <w:sz w:val="21"/>
              </w:rPr>
            </w:pPr>
            <w:r>
              <w:rPr>
                <w:sz w:val="21"/>
              </w:rPr>
              <w:t>内不涉及生态空间管控区，不会导致滨海县辖区内生态空间管控区生态服务功能下降。</w:t>
            </w:r>
          </w:p>
        </w:tc>
      </w:tr>
      <w:tr>
        <w:tblPrEx>
          <w:tblW w:w="0" w:type="auto"/>
          <w:tblInd w:w="138" w:type="dxa"/>
          <w:tblLayout w:type="fixed"/>
          <w:tblCellMar>
            <w:top w:w="0" w:type="dxa"/>
            <w:left w:w="0" w:type="dxa"/>
            <w:bottom w:w="0" w:type="dxa"/>
            <w:right w:w="0" w:type="dxa"/>
          </w:tblCellMar>
        </w:tblPrEx>
        <w:trPr>
          <w:trHeight w:val="417"/>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nil"/>
            </w:tcBorders>
          </w:tcPr>
          <w:p>
            <w:pPr>
              <w:pStyle w:val="TableParagraph"/>
              <w:spacing w:before="73"/>
              <w:ind w:left="532"/>
              <w:rPr>
                <w:sz w:val="21"/>
              </w:rPr>
            </w:pPr>
            <w:r>
              <w:rPr>
                <w:sz w:val="21"/>
              </w:rPr>
              <w:t>项目周边生态红线情况详</w:t>
            </w:r>
            <w:hyperlink w:anchor="_bookmark2" w:history="1">
              <w:r>
                <w:rPr>
                  <w:sz w:val="21"/>
                </w:rPr>
                <w:t xml:space="preserve">见表 </w:t>
              </w:r>
              <w:r>
                <w:rPr>
                  <w:rFonts w:ascii="Times New Roman" w:eastAsia="Times New Roman"/>
                  <w:sz w:val="21"/>
                </w:rPr>
                <w:t>1-1</w:t>
              </w:r>
            </w:hyperlink>
            <w:r>
              <w:rPr>
                <w:sz w:val="21"/>
              </w:rPr>
              <w:t>、</w:t>
            </w:r>
            <w:hyperlink w:anchor="_bookmark77" w:history="1">
              <w:r>
                <w:rPr>
                  <w:sz w:val="21"/>
                </w:rPr>
                <w:t>附图五</w:t>
              </w:r>
            </w:hyperlink>
            <w:r>
              <w:rPr>
                <w:sz w:val="21"/>
              </w:rPr>
              <w:t>。</w:t>
            </w:r>
          </w:p>
        </w:tc>
      </w:tr>
      <w:tr>
        <w:tblPrEx>
          <w:tblW w:w="0" w:type="auto"/>
          <w:tblInd w:w="138" w:type="dxa"/>
          <w:tblLayout w:type="fixed"/>
          <w:tblCellMar>
            <w:top w:w="0" w:type="dxa"/>
            <w:left w:w="0" w:type="dxa"/>
            <w:bottom w:w="0" w:type="dxa"/>
            <w:right w:w="0" w:type="dxa"/>
          </w:tblCellMar>
        </w:tblPrEx>
        <w:trPr>
          <w:trHeight w:val="336"/>
        </w:trPr>
        <w:tc>
          <w:tcPr>
            <w:tcW w:w="1114" w:type="dxa"/>
            <w:tcBorders>
              <w:top w:val="nil"/>
              <w:bottom w:val="nil"/>
              <w:right w:val="single" w:sz="4" w:space="0" w:color="000000"/>
            </w:tcBorders>
          </w:tcPr>
          <w:p>
            <w:pPr>
              <w:pStyle w:val="TableParagraph"/>
              <w:rPr>
                <w:rFonts w:ascii="Times New Roman"/>
                <w:sz w:val="20"/>
              </w:rPr>
            </w:pPr>
          </w:p>
        </w:tc>
        <w:tc>
          <w:tcPr>
            <w:tcW w:w="8262" w:type="dxa"/>
            <w:gridSpan w:val="8"/>
            <w:tcBorders>
              <w:top w:val="nil"/>
              <w:left w:val="single" w:sz="4" w:space="0" w:color="000000"/>
              <w:bottom w:val="single" w:sz="4" w:space="0" w:color="000000"/>
            </w:tcBorders>
          </w:tcPr>
          <w:p>
            <w:pPr>
              <w:pStyle w:val="TableParagraph"/>
              <w:spacing w:before="66" w:line="250" w:lineRule="exact"/>
              <w:ind w:left="2420" w:right="2397"/>
              <w:jc w:val="center"/>
              <w:rPr>
                <w:b/>
                <w:sz w:val="21"/>
              </w:rPr>
            </w:pPr>
            <w:bookmarkStart w:id="2" w:name="_bookmark2"/>
            <w:bookmarkEnd w:id="2"/>
            <w:r>
              <w:rPr>
                <w:b/>
                <w:sz w:val="21"/>
              </w:rPr>
              <w:t xml:space="preserve">表 </w:t>
            </w:r>
            <w:r>
              <w:rPr>
                <w:rFonts w:ascii="Times New Roman" w:eastAsia="Times New Roman"/>
                <w:b/>
                <w:sz w:val="21"/>
              </w:rPr>
              <w:t xml:space="preserve">1-1 </w:t>
            </w:r>
            <w:r>
              <w:rPr>
                <w:b/>
                <w:sz w:val="21"/>
              </w:rPr>
              <w:t>项目周边生态保护区域一览表</w:t>
            </w:r>
          </w:p>
        </w:tc>
      </w:tr>
      <w:tr>
        <w:tblPrEx>
          <w:tblW w:w="0" w:type="auto"/>
          <w:tblInd w:w="138" w:type="dxa"/>
          <w:tblLayout w:type="fixed"/>
          <w:tblCellMar>
            <w:top w:w="0" w:type="dxa"/>
            <w:left w:w="0" w:type="dxa"/>
            <w:bottom w:w="0" w:type="dxa"/>
            <w:right w:w="0" w:type="dxa"/>
          </w:tblCellMar>
        </w:tblPrEx>
        <w:trPr>
          <w:trHeight w:val="525"/>
        </w:trPr>
        <w:tc>
          <w:tcPr>
            <w:tcW w:w="1114" w:type="dxa"/>
            <w:tcBorders>
              <w:top w:val="nil"/>
              <w:bottom w:val="nil"/>
              <w:right w:val="single" w:sz="4" w:space="0" w:color="000000"/>
            </w:tcBorders>
          </w:tcPr>
          <w:p>
            <w:pPr>
              <w:pStyle w:val="TableParagraph"/>
              <w:rPr>
                <w:rFonts w:ascii="Times New Roman"/>
                <w:sz w:val="20"/>
              </w:rPr>
            </w:pPr>
          </w:p>
        </w:tc>
        <w:tc>
          <w:tcPr>
            <w:tcW w:w="113" w:type="dxa"/>
            <w:vMerge w:val="restart"/>
            <w:tcBorders>
              <w:top w:val="nil"/>
              <w:left w:val="single" w:sz="4" w:space="0" w:color="000000"/>
              <w:right w:val="single" w:sz="4" w:space="0" w:color="000000"/>
            </w:tcBorders>
          </w:tcPr>
          <w:p>
            <w:pPr>
              <w:pStyle w:val="TableParagraph"/>
              <w:rPr>
                <w:rFonts w:ascii="Times New Roman"/>
                <w:sz w:val="20"/>
              </w:rPr>
            </w:pPr>
          </w:p>
        </w:tc>
        <w:tc>
          <w:tcPr>
            <w:tcW w:w="771"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1259" w:type="dxa"/>
            <w:tcBorders>
              <w:top w:val="single" w:sz="4" w:space="0" w:color="000000"/>
              <w:left w:val="single" w:sz="4" w:space="0" w:color="000000"/>
              <w:bottom w:val="single" w:sz="4" w:space="0" w:color="000000"/>
              <w:right w:val="single" w:sz="4" w:space="0" w:color="000000"/>
            </w:tcBorders>
          </w:tcPr>
          <w:p>
            <w:pPr>
              <w:pStyle w:val="TableParagraph"/>
              <w:spacing w:before="62" w:line="230" w:lineRule="atLeast"/>
              <w:ind w:left="284" w:right="240"/>
              <w:rPr>
                <w:b/>
                <w:sz w:val="18"/>
              </w:rPr>
            </w:pPr>
            <w:r>
              <w:rPr>
                <w:b/>
                <w:sz w:val="18"/>
              </w:rPr>
              <w:t>生态保护红线名称</w:t>
            </w:r>
          </w:p>
        </w:tc>
        <w:tc>
          <w:tcPr>
            <w:tcW w:w="1136" w:type="dxa"/>
            <w:tcBorders>
              <w:top w:val="single" w:sz="4" w:space="0" w:color="000000"/>
              <w:left w:val="single" w:sz="4" w:space="0" w:color="000000"/>
              <w:bottom w:val="single" w:sz="4" w:space="0" w:color="000000"/>
              <w:right w:val="single" w:sz="4" w:space="0" w:color="000000"/>
            </w:tcBorders>
          </w:tcPr>
          <w:p>
            <w:pPr>
              <w:pStyle w:val="TableParagraph"/>
              <w:rPr>
                <w:b/>
                <w:sz w:val="14"/>
              </w:rPr>
            </w:pPr>
          </w:p>
          <w:p>
            <w:pPr>
              <w:pStyle w:val="TableParagraph"/>
              <w:ind w:left="400"/>
              <w:rPr>
                <w:b/>
                <w:sz w:val="18"/>
              </w:rPr>
            </w:pPr>
            <w:r>
              <w:rPr>
                <w:b/>
                <w:sz w:val="18"/>
              </w:rPr>
              <w:t>类型</w:t>
            </w:r>
          </w:p>
        </w:tc>
        <w:tc>
          <w:tcPr>
            <w:tcW w:w="4017" w:type="dxa"/>
            <w:gridSpan w:val="2"/>
            <w:tcBorders>
              <w:top w:val="single" w:sz="4" w:space="0" w:color="000000"/>
              <w:left w:val="single" w:sz="4" w:space="0" w:color="000000"/>
              <w:bottom w:val="single" w:sz="4" w:space="0" w:color="000000"/>
              <w:right w:val="single" w:sz="4" w:space="0" w:color="000000"/>
            </w:tcBorders>
          </w:tcPr>
          <w:p>
            <w:pPr>
              <w:pStyle w:val="TableParagraph"/>
              <w:rPr>
                <w:b/>
                <w:sz w:val="14"/>
              </w:rPr>
            </w:pPr>
          </w:p>
          <w:p>
            <w:pPr>
              <w:pStyle w:val="TableParagraph"/>
              <w:ind w:left="1640" w:right="1604"/>
              <w:jc w:val="center"/>
              <w:rPr>
                <w:b/>
                <w:sz w:val="18"/>
              </w:rPr>
            </w:pPr>
            <w:r>
              <w:rPr>
                <w:b/>
                <w:sz w:val="18"/>
              </w:rPr>
              <w:t>地理位置</w:t>
            </w:r>
          </w:p>
        </w:tc>
        <w:tc>
          <w:tcPr>
            <w:tcW w:w="855" w:type="dxa"/>
            <w:tcBorders>
              <w:top w:val="single" w:sz="4" w:space="0" w:color="000000"/>
              <w:left w:val="single" w:sz="4" w:space="0" w:color="000000"/>
              <w:bottom w:val="single" w:sz="4" w:space="0" w:color="000000"/>
              <w:right w:val="single" w:sz="4" w:space="0" w:color="000000"/>
            </w:tcBorders>
          </w:tcPr>
          <w:p>
            <w:pPr>
              <w:pStyle w:val="TableParagraph"/>
              <w:rPr>
                <w:b/>
                <w:sz w:val="14"/>
              </w:rPr>
            </w:pPr>
          </w:p>
          <w:p>
            <w:pPr>
              <w:pStyle w:val="TableParagraph"/>
              <w:ind w:left="59" w:right="22"/>
              <w:jc w:val="center"/>
              <w:rPr>
                <w:b/>
                <w:sz w:val="18"/>
              </w:rPr>
            </w:pPr>
            <w:r>
              <w:rPr>
                <w:b/>
                <w:sz w:val="18"/>
              </w:rPr>
              <w:t>最近距离</w:t>
            </w:r>
          </w:p>
        </w:tc>
        <w:tc>
          <w:tcPr>
            <w:tcW w:w="111" w:type="dxa"/>
            <w:tcBorders>
              <w:top w:val="nil"/>
              <w:left w:val="single" w:sz="4" w:space="0" w:color="000000"/>
              <w:bottom w:val="nil"/>
            </w:tcBorders>
          </w:tcPr>
          <w:p>
            <w:pPr>
              <w:pStyle w:val="TableParagraph"/>
              <w:rPr>
                <w:rFonts w:ascii="Times New Roman"/>
                <w:sz w:val="20"/>
              </w:rPr>
            </w:pPr>
          </w:p>
        </w:tc>
      </w:tr>
      <w:tr>
        <w:tblPrEx>
          <w:tblW w:w="0" w:type="auto"/>
          <w:tblInd w:w="138" w:type="dxa"/>
          <w:tblLayout w:type="fixed"/>
          <w:tblCellMar>
            <w:top w:w="0" w:type="dxa"/>
            <w:left w:w="0" w:type="dxa"/>
            <w:bottom w:w="0" w:type="dxa"/>
            <w:right w:w="0" w:type="dxa"/>
          </w:tblCellMar>
        </w:tblPrEx>
        <w:trPr>
          <w:trHeight w:val="1686"/>
        </w:trPr>
        <w:tc>
          <w:tcPr>
            <w:tcW w:w="1114" w:type="dxa"/>
            <w:tcBorders>
              <w:top w:val="nil"/>
              <w:bottom w:val="nil"/>
              <w:right w:val="single" w:sz="4" w:space="0" w:color="000000"/>
            </w:tcBorders>
          </w:tcPr>
          <w:p>
            <w:pPr>
              <w:pStyle w:val="TableParagraph"/>
              <w:rPr>
                <w:rFonts w:ascii="Times New Roman"/>
                <w:sz w:val="20"/>
              </w:rPr>
            </w:pPr>
          </w:p>
        </w:tc>
        <w:tc>
          <w:tcPr>
            <w:tcW w:w="113" w:type="dxa"/>
            <w:vMerge/>
            <w:tcBorders>
              <w:top w:val="nil"/>
              <w:left w:val="single" w:sz="4" w:space="0" w:color="000000"/>
              <w:right w:val="single" w:sz="4" w:space="0" w:color="000000"/>
            </w:tcBorders>
          </w:tcPr>
          <w:p>
            <w:pPr>
              <w:rPr>
                <w:sz w:val="2"/>
                <w:szCs w:val="2"/>
              </w:rPr>
            </w:pPr>
          </w:p>
        </w:tc>
        <w:tc>
          <w:tcPr>
            <w:tcW w:w="771" w:type="dxa"/>
            <w:tcBorders>
              <w:top w:val="nil"/>
              <w:left w:val="single" w:sz="4" w:space="0" w:color="000000"/>
              <w:bottom w:val="single" w:sz="4" w:space="0" w:color="000000"/>
              <w:right w:val="single" w:sz="4" w:space="0" w:color="000000"/>
            </w:tcBorders>
          </w:tcPr>
          <w:p>
            <w:pPr>
              <w:pStyle w:val="TableParagraph"/>
              <w:spacing w:before="139" w:line="242" w:lineRule="auto"/>
              <w:ind w:left="42" w:right="-15"/>
              <w:jc w:val="center"/>
              <w:rPr>
                <w:sz w:val="18"/>
              </w:rPr>
            </w:pPr>
            <w:r>
              <w:rPr>
                <w:sz w:val="18"/>
              </w:rPr>
              <w:t>江苏省国家级生态保护红线规划</w:t>
            </w:r>
          </w:p>
        </w:tc>
        <w:tc>
          <w:tcPr>
            <w:tcW w:w="1259"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spacing w:before="12"/>
              <w:rPr>
                <w:b/>
                <w:sz w:val="22"/>
              </w:rPr>
            </w:pPr>
          </w:p>
          <w:p>
            <w:pPr>
              <w:pStyle w:val="TableParagraph"/>
              <w:spacing w:line="242" w:lineRule="auto"/>
              <w:ind w:left="104" w:right="62"/>
              <w:jc w:val="center"/>
              <w:rPr>
                <w:sz w:val="18"/>
              </w:rPr>
            </w:pPr>
            <w:r>
              <w:rPr>
                <w:sz w:val="18"/>
              </w:rPr>
              <w:t>滨海县废黄河东坎饮用水水源保护区</w:t>
            </w:r>
          </w:p>
        </w:tc>
        <w:tc>
          <w:tcPr>
            <w:tcW w:w="1136"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spacing w:before="2"/>
              <w:rPr>
                <w:b/>
                <w:sz w:val="14"/>
              </w:rPr>
            </w:pPr>
          </w:p>
          <w:p>
            <w:pPr>
              <w:pStyle w:val="TableParagraph"/>
              <w:spacing w:line="242" w:lineRule="auto"/>
              <w:ind w:left="403" w:hanging="360"/>
              <w:rPr>
                <w:sz w:val="18"/>
              </w:rPr>
            </w:pPr>
            <w:r>
              <w:rPr>
                <w:sz w:val="18"/>
              </w:rPr>
              <w:t>饮用水水源保护区</w:t>
            </w:r>
          </w:p>
        </w:tc>
        <w:tc>
          <w:tcPr>
            <w:tcW w:w="401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57"/>
              <w:ind w:left="28"/>
              <w:rPr>
                <w:sz w:val="18"/>
              </w:rPr>
            </w:pPr>
            <w:r>
              <w:rPr>
                <w:sz w:val="18"/>
              </w:rPr>
              <w:t>一级保护区：滨海县东坎水厂取水口上游</w:t>
            </w:r>
          </w:p>
          <w:p>
            <w:pPr>
              <w:pStyle w:val="TableParagraph"/>
              <w:spacing w:before="4"/>
              <w:ind w:left="28" w:right="-15"/>
              <w:rPr>
                <w:sz w:val="18"/>
              </w:rPr>
            </w:pPr>
            <w:r>
              <w:rPr>
                <w:rFonts w:ascii="Times New Roman" w:eastAsia="Times New Roman"/>
                <w:sz w:val="18"/>
              </w:rPr>
              <w:t>1200</w:t>
            </w:r>
            <w:r>
              <w:rPr>
                <w:rFonts w:ascii="Times New Roman" w:eastAsia="Times New Roman"/>
                <w:spacing w:val="-9"/>
                <w:sz w:val="18"/>
              </w:rPr>
              <w:t xml:space="preserve"> </w:t>
            </w:r>
            <w:r>
              <w:rPr>
                <w:spacing w:val="-9"/>
                <w:sz w:val="18"/>
              </w:rPr>
              <w:t xml:space="preserve">米至下游 </w:t>
            </w:r>
            <w:r>
              <w:rPr>
                <w:rFonts w:ascii="Times New Roman" w:eastAsia="Times New Roman"/>
                <w:sz w:val="18"/>
              </w:rPr>
              <w:t>500</w:t>
            </w:r>
            <w:r>
              <w:rPr>
                <w:rFonts w:ascii="Times New Roman" w:eastAsia="Times New Roman"/>
                <w:spacing w:val="-8"/>
                <w:sz w:val="18"/>
              </w:rPr>
              <w:t xml:space="preserve"> </w:t>
            </w:r>
            <w:r>
              <w:rPr>
                <w:spacing w:val="-2"/>
                <w:sz w:val="18"/>
              </w:rPr>
              <w:t>米，及其两岸背水坡之间的水域</w:t>
            </w:r>
          </w:p>
          <w:p>
            <w:pPr>
              <w:pStyle w:val="TableParagraph"/>
              <w:spacing w:before="3" w:line="242" w:lineRule="auto"/>
              <w:ind w:left="28" w:right="-15"/>
              <w:rPr>
                <w:sz w:val="18"/>
              </w:rPr>
            </w:pPr>
            <w:r>
              <w:rPr>
                <w:spacing w:val="-2"/>
                <w:sz w:val="18"/>
              </w:rPr>
              <w:t xml:space="preserve">范围；一级保护区水域与相对应的两岸纵深 </w:t>
            </w:r>
            <w:r>
              <w:rPr>
                <w:rFonts w:ascii="Times New Roman" w:eastAsia="Times New Roman"/>
                <w:sz w:val="18"/>
              </w:rPr>
              <w:t>100</w:t>
            </w:r>
            <w:r>
              <w:rPr>
                <w:rFonts w:ascii="Times New Roman" w:eastAsia="Times New Roman"/>
                <w:spacing w:val="10"/>
                <w:sz w:val="18"/>
              </w:rPr>
              <w:t xml:space="preserve"> </w:t>
            </w:r>
            <w:r>
              <w:rPr>
                <w:spacing w:val="-17"/>
                <w:sz w:val="18"/>
              </w:rPr>
              <w:t>米</w:t>
            </w:r>
            <w:r>
              <w:rPr>
                <w:sz w:val="18"/>
              </w:rPr>
              <w:t>之间的陆域范围。</w:t>
            </w:r>
          </w:p>
          <w:p>
            <w:pPr>
              <w:pStyle w:val="TableParagraph"/>
              <w:spacing w:line="230" w:lineRule="exact"/>
              <w:ind w:left="28" w:right="-29"/>
              <w:rPr>
                <w:sz w:val="18"/>
              </w:rPr>
            </w:pPr>
            <w:r>
              <w:rPr>
                <w:spacing w:val="1"/>
                <w:sz w:val="18"/>
              </w:rPr>
              <w:t xml:space="preserve">二级保护区：一级保护区以外上溯 </w:t>
            </w:r>
            <w:r>
              <w:rPr>
                <w:rFonts w:ascii="Times New Roman" w:eastAsia="Times New Roman"/>
                <w:sz w:val="18"/>
              </w:rPr>
              <w:t>2000</w:t>
            </w:r>
            <w:r>
              <w:rPr>
                <w:rFonts w:ascii="Times New Roman" w:eastAsia="Times New Roman"/>
                <w:spacing w:val="41"/>
                <w:sz w:val="18"/>
              </w:rPr>
              <w:t xml:space="preserve"> </w:t>
            </w:r>
            <w:r>
              <w:rPr>
                <w:sz w:val="18"/>
              </w:rPr>
              <w:t>米、下延</w:t>
            </w:r>
          </w:p>
          <w:p>
            <w:pPr>
              <w:pStyle w:val="TableParagraph"/>
              <w:spacing w:before="4" w:line="230" w:lineRule="atLeast"/>
              <w:ind w:left="28" w:right="-15"/>
              <w:rPr>
                <w:sz w:val="18"/>
              </w:rPr>
            </w:pPr>
            <w:r>
              <w:rPr>
                <w:rFonts w:ascii="Times New Roman" w:eastAsia="Times New Roman"/>
                <w:sz w:val="18"/>
              </w:rPr>
              <w:t>500</w:t>
            </w:r>
            <w:r>
              <w:rPr>
                <w:rFonts w:ascii="Times New Roman" w:eastAsia="Times New Roman"/>
                <w:spacing w:val="17"/>
                <w:sz w:val="18"/>
              </w:rPr>
              <w:t xml:space="preserve"> </w:t>
            </w:r>
            <w:r>
              <w:rPr>
                <w:sz w:val="18"/>
              </w:rPr>
              <w:t>米的水域范围；二级保护区水域与相对应的两</w:t>
            </w:r>
            <w:r>
              <w:rPr>
                <w:spacing w:val="-12"/>
                <w:sz w:val="18"/>
              </w:rPr>
              <w:t xml:space="preserve">岸纵深 </w:t>
            </w:r>
            <w:r>
              <w:rPr>
                <w:rFonts w:ascii="Times New Roman" w:eastAsia="Times New Roman"/>
                <w:sz w:val="18"/>
              </w:rPr>
              <w:t>100</w:t>
            </w:r>
            <w:r>
              <w:rPr>
                <w:rFonts w:ascii="Times New Roman" w:eastAsia="Times New Roman"/>
                <w:spacing w:val="-8"/>
                <w:sz w:val="18"/>
              </w:rPr>
              <w:t xml:space="preserve"> </w:t>
            </w:r>
            <w:r>
              <w:rPr>
                <w:spacing w:val="-5"/>
                <w:sz w:val="18"/>
              </w:rPr>
              <w:t xml:space="preserve">米之间的陆域范围。总面积 </w:t>
            </w:r>
            <w:r>
              <w:rPr>
                <w:rFonts w:ascii="Times New Roman" w:eastAsia="Times New Roman"/>
                <w:sz w:val="18"/>
              </w:rPr>
              <w:t>5.24km</w:t>
            </w:r>
            <w:r>
              <w:rPr>
                <w:rFonts w:ascii="Times New Roman" w:eastAsia="Times New Roman"/>
                <w:position w:val="6"/>
                <w:sz w:val="12"/>
              </w:rPr>
              <w:t>2</w:t>
            </w:r>
            <w:r>
              <w:rPr>
                <w:sz w:val="18"/>
              </w:rPr>
              <w:t>。</w:t>
            </w:r>
          </w:p>
        </w:tc>
        <w:tc>
          <w:tcPr>
            <w:tcW w:w="855"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spacing w:before="3"/>
              <w:rPr>
                <w:b/>
                <w:sz w:val="20"/>
              </w:rPr>
            </w:pPr>
          </w:p>
          <w:p>
            <w:pPr>
              <w:pStyle w:val="TableParagraph"/>
              <w:ind w:left="59" w:right="19"/>
              <w:jc w:val="center"/>
              <w:rPr>
                <w:rFonts w:ascii="Times New Roman"/>
                <w:sz w:val="18"/>
              </w:rPr>
            </w:pPr>
            <w:r>
              <w:rPr>
                <w:rFonts w:ascii="Times New Roman"/>
                <w:sz w:val="18"/>
              </w:rPr>
              <w:t>12.3km</w:t>
            </w:r>
          </w:p>
        </w:tc>
        <w:tc>
          <w:tcPr>
            <w:tcW w:w="111" w:type="dxa"/>
            <w:tcBorders>
              <w:top w:val="nil"/>
              <w:left w:val="single" w:sz="4" w:space="0" w:color="000000"/>
              <w:bottom w:val="nil"/>
            </w:tcBorders>
          </w:tcPr>
          <w:p>
            <w:pPr>
              <w:pStyle w:val="TableParagraph"/>
              <w:rPr>
                <w:rFonts w:ascii="Times New Roman"/>
                <w:sz w:val="20"/>
              </w:rPr>
            </w:pPr>
          </w:p>
        </w:tc>
      </w:tr>
      <w:tr>
        <w:tblPrEx>
          <w:tblW w:w="0" w:type="auto"/>
          <w:tblInd w:w="138" w:type="dxa"/>
          <w:tblLayout w:type="fixed"/>
          <w:tblCellMar>
            <w:top w:w="0" w:type="dxa"/>
            <w:left w:w="0" w:type="dxa"/>
            <w:bottom w:w="0" w:type="dxa"/>
            <w:right w:w="0" w:type="dxa"/>
          </w:tblCellMar>
        </w:tblPrEx>
        <w:trPr>
          <w:trHeight w:val="282"/>
        </w:trPr>
        <w:tc>
          <w:tcPr>
            <w:tcW w:w="1114" w:type="dxa"/>
            <w:vMerge w:val="restart"/>
            <w:tcBorders>
              <w:top w:val="nil"/>
              <w:right w:val="single" w:sz="4" w:space="0" w:color="000000"/>
            </w:tcBorders>
          </w:tcPr>
          <w:p>
            <w:pPr>
              <w:pStyle w:val="TableParagraph"/>
              <w:rPr>
                <w:rFonts w:ascii="Times New Roman"/>
                <w:sz w:val="20"/>
              </w:rPr>
            </w:pPr>
          </w:p>
        </w:tc>
        <w:tc>
          <w:tcPr>
            <w:tcW w:w="113" w:type="dxa"/>
            <w:vMerge/>
            <w:tcBorders>
              <w:top w:val="nil"/>
              <w:left w:val="single" w:sz="4" w:space="0" w:color="000000"/>
              <w:right w:val="single" w:sz="4" w:space="0" w:color="000000"/>
            </w:tcBorders>
          </w:tcPr>
          <w:p>
            <w:pPr>
              <w:rPr>
                <w:sz w:val="2"/>
                <w:szCs w:val="2"/>
              </w:rPr>
            </w:pPr>
          </w:p>
        </w:tc>
        <w:tc>
          <w:tcPr>
            <w:tcW w:w="771" w:type="dxa"/>
            <w:vMerge w:val="restart"/>
            <w:tcBorders>
              <w:top w:val="single" w:sz="4" w:space="0" w:color="000000"/>
              <w:left w:val="single" w:sz="4" w:space="0" w:color="000000"/>
              <w:bottom w:val="single" w:sz="12" w:space="0" w:color="000000"/>
              <w:right w:val="single" w:sz="4" w:space="0" w:color="000000"/>
            </w:tcBorders>
          </w:tcPr>
          <w:p>
            <w:pPr>
              <w:pStyle w:val="TableParagraph"/>
              <w:spacing w:before="95" w:line="242" w:lineRule="auto"/>
              <w:ind w:left="42" w:right="-15"/>
              <w:jc w:val="both"/>
              <w:rPr>
                <w:sz w:val="18"/>
              </w:rPr>
            </w:pPr>
            <w:r>
              <w:rPr>
                <w:sz w:val="18"/>
              </w:rPr>
              <w:t>江苏省生态空间管控区域规</w:t>
            </w:r>
          </w:p>
        </w:tc>
        <w:tc>
          <w:tcPr>
            <w:tcW w:w="1259" w:type="dxa"/>
            <w:vMerge w:val="restart"/>
            <w:tcBorders>
              <w:top w:val="single" w:sz="4" w:space="0" w:color="000000"/>
              <w:left w:val="single" w:sz="4" w:space="0" w:color="000000"/>
              <w:bottom w:val="single" w:sz="12" w:space="0" w:color="000000"/>
              <w:right w:val="single" w:sz="4" w:space="0" w:color="000000"/>
            </w:tcBorders>
          </w:tcPr>
          <w:p>
            <w:pPr>
              <w:pStyle w:val="TableParagraph"/>
              <w:spacing w:before="5"/>
              <w:rPr>
                <w:b/>
                <w:sz w:val="16"/>
              </w:rPr>
            </w:pPr>
          </w:p>
          <w:p>
            <w:pPr>
              <w:pStyle w:val="TableParagraph"/>
              <w:spacing w:before="1" w:line="244" w:lineRule="auto"/>
              <w:ind w:left="373" w:right="60" w:hanging="272"/>
              <w:rPr>
                <w:b/>
                <w:sz w:val="18"/>
              </w:rPr>
            </w:pPr>
            <w:r>
              <w:rPr>
                <w:b/>
                <w:sz w:val="18"/>
              </w:rPr>
              <w:t>生态空间保护区域名</w:t>
            </w:r>
          </w:p>
        </w:tc>
        <w:tc>
          <w:tcPr>
            <w:tcW w:w="1136" w:type="dxa"/>
            <w:vMerge w:val="restart"/>
            <w:tcBorders>
              <w:top w:val="single" w:sz="4" w:space="0" w:color="000000"/>
              <w:left w:val="single" w:sz="4" w:space="0" w:color="000000"/>
              <w:bottom w:val="single" w:sz="12" w:space="0" w:color="000000"/>
              <w:right w:val="single" w:sz="4" w:space="0" w:color="000000"/>
            </w:tcBorders>
          </w:tcPr>
          <w:p>
            <w:pPr>
              <w:pStyle w:val="TableParagraph"/>
              <w:spacing w:before="8"/>
              <w:rPr>
                <w:b/>
                <w:sz w:val="25"/>
              </w:rPr>
            </w:pPr>
          </w:p>
          <w:p>
            <w:pPr>
              <w:pStyle w:val="TableParagraph"/>
              <w:ind w:left="40"/>
              <w:rPr>
                <w:b/>
                <w:sz w:val="18"/>
              </w:rPr>
            </w:pPr>
            <w:r>
              <w:rPr>
                <w:b/>
                <w:sz w:val="18"/>
              </w:rPr>
              <w:t>主导生态功能</w:t>
            </w:r>
          </w:p>
        </w:tc>
        <w:tc>
          <w:tcPr>
            <w:tcW w:w="4017" w:type="dxa"/>
            <w:gridSpan w:val="2"/>
            <w:tcBorders>
              <w:top w:val="single" w:sz="4" w:space="0" w:color="000000"/>
              <w:left w:val="single" w:sz="4" w:space="0" w:color="000000"/>
              <w:bottom w:val="single" w:sz="4" w:space="0" w:color="000000"/>
              <w:right w:val="single" w:sz="4" w:space="0" w:color="000000"/>
            </w:tcBorders>
          </w:tcPr>
          <w:p>
            <w:pPr>
              <w:pStyle w:val="TableParagraph"/>
              <w:spacing w:before="59" w:line="203" w:lineRule="exact"/>
              <w:ind w:left="1640" w:right="1602"/>
              <w:jc w:val="center"/>
              <w:rPr>
                <w:b/>
                <w:sz w:val="18"/>
              </w:rPr>
            </w:pPr>
            <w:r>
              <w:rPr>
                <w:b/>
                <w:sz w:val="18"/>
              </w:rPr>
              <w:t>范围</w:t>
            </w:r>
          </w:p>
        </w:tc>
        <w:tc>
          <w:tcPr>
            <w:tcW w:w="855" w:type="dxa"/>
            <w:vMerge w:val="restart"/>
            <w:tcBorders>
              <w:top w:val="single" w:sz="4" w:space="0" w:color="000000"/>
              <w:left w:val="single" w:sz="4" w:space="0" w:color="000000"/>
              <w:bottom w:val="single" w:sz="12" w:space="0" w:color="000000"/>
              <w:right w:val="single" w:sz="4" w:space="0" w:color="000000"/>
            </w:tcBorders>
          </w:tcPr>
          <w:p>
            <w:pPr>
              <w:pStyle w:val="TableParagraph"/>
              <w:spacing w:before="8"/>
              <w:rPr>
                <w:b/>
                <w:sz w:val="25"/>
              </w:rPr>
            </w:pPr>
          </w:p>
          <w:p>
            <w:pPr>
              <w:pStyle w:val="TableParagraph"/>
              <w:ind w:left="80"/>
              <w:rPr>
                <w:b/>
                <w:sz w:val="18"/>
              </w:rPr>
            </w:pPr>
            <w:r>
              <w:rPr>
                <w:b/>
                <w:sz w:val="18"/>
              </w:rPr>
              <w:t>最近距离</w:t>
            </w:r>
          </w:p>
        </w:tc>
        <w:tc>
          <w:tcPr>
            <w:tcW w:w="111" w:type="dxa"/>
            <w:vMerge w:val="restart"/>
            <w:tcBorders>
              <w:top w:val="nil"/>
              <w:left w:val="single" w:sz="4" w:space="0" w:color="000000"/>
            </w:tcBorders>
          </w:tcPr>
          <w:p>
            <w:pPr>
              <w:pStyle w:val="TableParagraph"/>
              <w:rPr>
                <w:rFonts w:ascii="Times New Roman"/>
                <w:sz w:val="20"/>
              </w:rPr>
            </w:pPr>
          </w:p>
        </w:tc>
      </w:tr>
      <w:tr>
        <w:tblPrEx>
          <w:tblW w:w="0" w:type="auto"/>
          <w:tblInd w:w="138" w:type="dxa"/>
          <w:tblLayout w:type="fixed"/>
          <w:tblCellMar>
            <w:top w:w="0" w:type="dxa"/>
            <w:left w:w="0" w:type="dxa"/>
            <w:bottom w:w="0" w:type="dxa"/>
            <w:right w:w="0" w:type="dxa"/>
          </w:tblCellMar>
        </w:tblPrEx>
        <w:trPr>
          <w:trHeight w:val="520"/>
        </w:trPr>
        <w:tc>
          <w:tcPr>
            <w:tcW w:w="111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71" w:type="dxa"/>
            <w:vMerge/>
            <w:tcBorders>
              <w:top w:val="nil"/>
              <w:left w:val="single" w:sz="4" w:space="0" w:color="000000"/>
              <w:bottom w:val="single" w:sz="12" w:space="0" w:color="000000"/>
              <w:right w:val="single" w:sz="4" w:space="0" w:color="000000"/>
            </w:tcBorders>
          </w:tcPr>
          <w:p>
            <w:pPr>
              <w:rPr>
                <w:sz w:val="2"/>
                <w:szCs w:val="2"/>
              </w:rPr>
            </w:pPr>
          </w:p>
        </w:tc>
        <w:tc>
          <w:tcPr>
            <w:tcW w:w="1259" w:type="dxa"/>
            <w:vMerge/>
            <w:tcBorders>
              <w:top w:val="nil"/>
              <w:left w:val="single" w:sz="4" w:space="0" w:color="000000"/>
              <w:bottom w:val="single" w:sz="12" w:space="0" w:color="000000"/>
              <w:right w:val="single" w:sz="4" w:space="0" w:color="000000"/>
            </w:tcBorders>
          </w:tcPr>
          <w:p>
            <w:pPr>
              <w:rPr>
                <w:sz w:val="2"/>
                <w:szCs w:val="2"/>
              </w:rPr>
            </w:pPr>
          </w:p>
        </w:tc>
        <w:tc>
          <w:tcPr>
            <w:tcW w:w="1136" w:type="dxa"/>
            <w:vMerge/>
            <w:tcBorders>
              <w:top w:val="nil"/>
              <w:left w:val="single" w:sz="4" w:space="0" w:color="000000"/>
              <w:bottom w:val="single" w:sz="12" w:space="0" w:color="000000"/>
              <w:right w:val="single" w:sz="4" w:space="0" w:color="000000"/>
            </w:tcBorders>
          </w:tcPr>
          <w:p>
            <w:pPr>
              <w:rPr>
                <w:sz w:val="2"/>
                <w:szCs w:val="2"/>
              </w:rPr>
            </w:pPr>
          </w:p>
        </w:tc>
        <w:tc>
          <w:tcPr>
            <w:tcW w:w="1676" w:type="dxa"/>
            <w:tcBorders>
              <w:top w:val="single" w:sz="4" w:space="0" w:color="000000"/>
              <w:left w:val="single" w:sz="4" w:space="0" w:color="000000"/>
              <w:bottom w:val="single" w:sz="12" w:space="0" w:color="000000"/>
              <w:right w:val="single" w:sz="4" w:space="0" w:color="000000"/>
            </w:tcBorders>
          </w:tcPr>
          <w:p>
            <w:pPr>
              <w:pStyle w:val="TableParagraph"/>
              <w:spacing w:before="52" w:line="230" w:lineRule="atLeast"/>
              <w:ind w:left="669" w:right="1" w:hanging="632"/>
              <w:rPr>
                <w:b/>
                <w:sz w:val="18"/>
              </w:rPr>
            </w:pPr>
            <w:r>
              <w:rPr>
                <w:b/>
                <w:sz w:val="18"/>
              </w:rPr>
              <w:t>国家级生态保护红线范围</w:t>
            </w:r>
          </w:p>
        </w:tc>
        <w:tc>
          <w:tcPr>
            <w:tcW w:w="2341" w:type="dxa"/>
            <w:tcBorders>
              <w:top w:val="single" w:sz="4" w:space="0" w:color="000000"/>
              <w:left w:val="single" w:sz="4" w:space="0" w:color="000000"/>
              <w:bottom w:val="single" w:sz="12" w:space="0" w:color="000000"/>
              <w:right w:val="single" w:sz="4" w:space="0" w:color="000000"/>
            </w:tcBorders>
          </w:tcPr>
          <w:p>
            <w:pPr>
              <w:pStyle w:val="TableParagraph"/>
              <w:spacing w:before="52"/>
              <w:ind w:left="279"/>
              <w:rPr>
                <w:b/>
                <w:sz w:val="18"/>
              </w:rPr>
            </w:pPr>
            <w:r>
              <w:rPr>
                <w:b/>
                <w:sz w:val="18"/>
              </w:rPr>
              <w:t>生态空间管控区域范围</w:t>
            </w:r>
          </w:p>
        </w:tc>
        <w:tc>
          <w:tcPr>
            <w:tcW w:w="855" w:type="dxa"/>
            <w:vMerge/>
            <w:tcBorders>
              <w:top w:val="nil"/>
              <w:left w:val="single" w:sz="4" w:space="0" w:color="000000"/>
              <w:bottom w:val="single" w:sz="12" w:space="0" w:color="000000"/>
              <w:right w:val="single" w:sz="4" w:space="0" w:color="000000"/>
            </w:tcBorders>
          </w:tcPr>
          <w:p>
            <w:pPr>
              <w:rPr>
                <w:sz w:val="2"/>
                <w:szCs w:val="2"/>
              </w:rPr>
            </w:pPr>
          </w:p>
        </w:tc>
        <w:tc>
          <w:tcPr>
            <w:tcW w:w="111" w:type="dxa"/>
            <w:vMerge/>
            <w:tcBorders>
              <w:top w:val="nil"/>
              <w:left w:val="single" w:sz="4" w:space="0" w:color="000000"/>
            </w:tcBorders>
          </w:tcPr>
          <w:p>
            <w:pPr>
              <w:rPr>
                <w:sz w:val="2"/>
                <w:szCs w:val="2"/>
              </w:rPr>
            </w:pPr>
          </w:p>
        </w:tc>
      </w:tr>
    </w:tbl>
    <w:p>
      <w:pPr>
        <w:spacing w:after="0"/>
        <w:rPr>
          <w:sz w:val="2"/>
          <w:szCs w:val="2"/>
        </w:rPr>
        <w:sectPr>
          <w:footerReference w:type="default" r:id="rId6"/>
          <w:pgSz w:w="11910" w:h="16840"/>
          <w:pgMar w:top="1400" w:right="1140" w:bottom="1180" w:left="1140" w:header="0" w:footer="994" w:gutter="0"/>
          <w:pgNumType w:start="2"/>
          <w:cols w:num="1" w:space="720"/>
        </w:sectPr>
      </w:pPr>
    </w:p>
    <w:tbl>
      <w:tblPr>
        <w:tblStyle w:val="TableNormal"/>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14"/>
        <w:gridCol w:w="113"/>
        <w:gridCol w:w="648"/>
        <w:gridCol w:w="122"/>
        <w:gridCol w:w="1258"/>
        <w:gridCol w:w="1135"/>
        <w:gridCol w:w="1675"/>
        <w:gridCol w:w="2179"/>
        <w:gridCol w:w="160"/>
        <w:gridCol w:w="854"/>
        <w:gridCol w:w="110"/>
      </w:tblGrid>
      <w:tr>
        <w:tblPrEx>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760"/>
        </w:trPr>
        <w:tc>
          <w:tcPr>
            <w:tcW w:w="1114" w:type="dxa"/>
            <w:vMerge w:val="restart"/>
            <w:tcBorders>
              <w:right w:val="single" w:sz="4" w:space="0" w:color="000000"/>
            </w:tcBorders>
          </w:tcPr>
          <w:p>
            <w:pPr>
              <w:pStyle w:val="TableParagraph"/>
              <w:rPr>
                <w:rFonts w:ascii="Times New Roman"/>
                <w:sz w:val="18"/>
              </w:rPr>
            </w:pPr>
          </w:p>
        </w:tc>
        <w:tc>
          <w:tcPr>
            <w:tcW w:w="113" w:type="dxa"/>
            <w:tcBorders>
              <w:left w:val="single" w:sz="4" w:space="0" w:color="000000"/>
              <w:bottom w:val="nil"/>
              <w:right w:val="single" w:sz="4" w:space="0" w:color="000000"/>
            </w:tcBorders>
          </w:tcPr>
          <w:p>
            <w:pPr>
              <w:pStyle w:val="TableParagraph"/>
              <w:rPr>
                <w:rFonts w:ascii="Times New Roman"/>
                <w:sz w:val="18"/>
              </w:rPr>
            </w:pPr>
          </w:p>
        </w:tc>
        <w:tc>
          <w:tcPr>
            <w:tcW w:w="770" w:type="dxa"/>
            <w:gridSpan w:val="2"/>
            <w:tcBorders>
              <w:top w:val="single" w:sz="12" w:space="0" w:color="000000"/>
              <w:left w:val="single" w:sz="4" w:space="0" w:color="000000"/>
              <w:bottom w:val="single" w:sz="4" w:space="0" w:color="000000"/>
              <w:right w:val="single" w:sz="4" w:space="0" w:color="000000"/>
            </w:tcBorders>
          </w:tcPr>
          <w:p>
            <w:pPr>
              <w:pStyle w:val="TableParagraph"/>
              <w:spacing w:before="64"/>
              <w:ind w:left="42"/>
              <w:jc w:val="center"/>
              <w:rPr>
                <w:sz w:val="18"/>
              </w:rPr>
            </w:pPr>
            <w:r>
              <w:rPr>
                <w:sz w:val="18"/>
              </w:rPr>
              <w:t>划</w:t>
            </w:r>
          </w:p>
        </w:tc>
        <w:tc>
          <w:tcPr>
            <w:tcW w:w="1258" w:type="dxa"/>
            <w:tcBorders>
              <w:top w:val="single" w:sz="12" w:space="0" w:color="000000"/>
              <w:left w:val="single" w:sz="4" w:space="0" w:color="000000"/>
              <w:bottom w:val="single" w:sz="4" w:space="0" w:color="000000"/>
              <w:right w:val="single" w:sz="4" w:space="0" w:color="000000"/>
            </w:tcBorders>
          </w:tcPr>
          <w:p>
            <w:pPr>
              <w:pStyle w:val="TableParagraph"/>
              <w:spacing w:before="64" w:line="230" w:lineRule="atLeast"/>
              <w:ind w:left="105" w:right="60"/>
              <w:jc w:val="both"/>
              <w:rPr>
                <w:sz w:val="18"/>
              </w:rPr>
            </w:pPr>
            <w:r>
              <w:rPr>
                <w:sz w:val="18"/>
              </w:rPr>
              <w:t>废黄河</w:t>
            </w:r>
            <w:r>
              <w:rPr>
                <w:rFonts w:ascii="Times New Roman" w:eastAsia="Times New Roman" w:hAnsi="Times New Roman"/>
                <w:sz w:val="18"/>
              </w:rPr>
              <w:t>—</w:t>
            </w:r>
            <w:r>
              <w:rPr>
                <w:sz w:val="18"/>
              </w:rPr>
              <w:t>中山河（滨海县） 洪水调蓄区</w:t>
            </w:r>
          </w:p>
        </w:tc>
        <w:tc>
          <w:tcPr>
            <w:tcW w:w="1135" w:type="dxa"/>
            <w:tcBorders>
              <w:top w:val="single" w:sz="12" w:space="0" w:color="000000"/>
              <w:left w:val="single" w:sz="4" w:space="0" w:color="000000"/>
              <w:bottom w:val="single" w:sz="4" w:space="0" w:color="000000"/>
              <w:right w:val="single" w:sz="4" w:space="0" w:color="000000"/>
            </w:tcBorders>
          </w:tcPr>
          <w:p>
            <w:pPr>
              <w:pStyle w:val="TableParagraph"/>
              <w:spacing w:before="2"/>
              <w:rPr>
                <w:b/>
                <w:sz w:val="23"/>
              </w:rPr>
            </w:pPr>
          </w:p>
          <w:p>
            <w:pPr>
              <w:pStyle w:val="TableParagraph"/>
              <w:ind w:left="225"/>
              <w:rPr>
                <w:sz w:val="18"/>
              </w:rPr>
            </w:pPr>
            <w:r>
              <w:rPr>
                <w:sz w:val="18"/>
              </w:rPr>
              <w:t>洪水调蓄</w:t>
            </w:r>
          </w:p>
        </w:tc>
        <w:tc>
          <w:tcPr>
            <w:tcW w:w="1675" w:type="dxa"/>
            <w:tcBorders>
              <w:top w:val="single" w:sz="12" w:space="0" w:color="000000"/>
              <w:left w:val="single" w:sz="4" w:space="0" w:color="000000"/>
              <w:bottom w:val="single" w:sz="4" w:space="0" w:color="000000"/>
              <w:right w:val="single" w:sz="4" w:space="0" w:color="000000"/>
            </w:tcBorders>
          </w:tcPr>
          <w:p>
            <w:pPr>
              <w:pStyle w:val="TableParagraph"/>
              <w:spacing w:before="1"/>
              <w:rPr>
                <w:b/>
                <w:sz w:val="24"/>
              </w:rPr>
            </w:pPr>
          </w:p>
          <w:p>
            <w:pPr>
              <w:pStyle w:val="TableParagraph"/>
              <w:spacing w:before="1"/>
              <w:ind w:left="41"/>
              <w:jc w:val="center"/>
              <w:rPr>
                <w:rFonts w:ascii="Times New Roman"/>
                <w:sz w:val="18"/>
              </w:rPr>
            </w:pPr>
            <w:r>
              <w:rPr>
                <w:rFonts w:ascii="Times New Roman"/>
                <w:sz w:val="18"/>
              </w:rPr>
              <w:t>/</w:t>
            </w:r>
          </w:p>
        </w:tc>
        <w:tc>
          <w:tcPr>
            <w:tcW w:w="2339" w:type="dxa"/>
            <w:gridSpan w:val="2"/>
            <w:tcBorders>
              <w:top w:val="single" w:sz="12" w:space="0" w:color="000000"/>
              <w:left w:val="single" w:sz="4" w:space="0" w:color="000000"/>
              <w:bottom w:val="single" w:sz="4" w:space="0" w:color="000000"/>
              <w:right w:val="single" w:sz="4" w:space="0" w:color="000000"/>
            </w:tcBorders>
          </w:tcPr>
          <w:p>
            <w:pPr>
              <w:pStyle w:val="TableParagraph"/>
              <w:spacing w:before="64" w:line="230" w:lineRule="atLeast"/>
              <w:ind w:left="67" w:right="14" w:hanging="3"/>
              <w:jc w:val="center"/>
              <w:rPr>
                <w:sz w:val="18"/>
              </w:rPr>
            </w:pPr>
            <w:r>
              <w:rPr>
                <w:sz w:val="18"/>
              </w:rPr>
              <w:t>滨海县境内废黄河－中山河</w:t>
            </w:r>
            <w:r>
              <w:rPr>
                <w:spacing w:val="-7"/>
                <w:sz w:val="18"/>
              </w:rPr>
              <w:t xml:space="preserve">两岸堤脚外侧 </w:t>
            </w:r>
            <w:r>
              <w:rPr>
                <w:rFonts w:ascii="Times New Roman" w:eastAsia="Times New Roman"/>
                <w:sz w:val="18"/>
              </w:rPr>
              <w:t xml:space="preserve">50 </w:t>
            </w:r>
            <w:r>
              <w:rPr>
                <w:spacing w:val="-4"/>
                <w:sz w:val="18"/>
              </w:rPr>
              <w:t>米范围。总</w:t>
            </w:r>
            <w:r>
              <w:rPr>
                <w:spacing w:val="-15"/>
                <w:sz w:val="18"/>
              </w:rPr>
              <w:t xml:space="preserve">面积 </w:t>
            </w:r>
            <w:r>
              <w:rPr>
                <w:rFonts w:ascii="Times New Roman" w:eastAsia="Times New Roman"/>
                <w:sz w:val="18"/>
              </w:rPr>
              <w:t>15.59km</w:t>
            </w:r>
            <w:r>
              <w:rPr>
                <w:rFonts w:ascii="Times New Roman" w:eastAsia="Times New Roman"/>
                <w:position w:val="6"/>
                <w:sz w:val="12"/>
              </w:rPr>
              <w:t>2</w:t>
            </w:r>
            <w:r>
              <w:rPr>
                <w:sz w:val="18"/>
              </w:rPr>
              <w:t>。</w:t>
            </w:r>
          </w:p>
        </w:tc>
        <w:tc>
          <w:tcPr>
            <w:tcW w:w="854" w:type="dxa"/>
            <w:tcBorders>
              <w:top w:val="single" w:sz="12" w:space="0" w:color="000000"/>
              <w:left w:val="single" w:sz="4" w:space="0" w:color="000000"/>
              <w:bottom w:val="single" w:sz="4" w:space="0" w:color="000000"/>
              <w:right w:val="single" w:sz="4" w:space="0" w:color="000000"/>
            </w:tcBorders>
          </w:tcPr>
          <w:p>
            <w:pPr>
              <w:pStyle w:val="TableParagraph"/>
              <w:spacing w:before="1"/>
              <w:rPr>
                <w:b/>
                <w:sz w:val="24"/>
              </w:rPr>
            </w:pPr>
          </w:p>
          <w:p>
            <w:pPr>
              <w:pStyle w:val="TableParagraph"/>
              <w:spacing w:before="1"/>
              <w:ind w:left="218"/>
              <w:rPr>
                <w:rFonts w:ascii="Times New Roman"/>
                <w:sz w:val="18"/>
              </w:rPr>
            </w:pPr>
            <w:r>
              <w:rPr>
                <w:rFonts w:ascii="Times New Roman"/>
                <w:sz w:val="18"/>
              </w:rPr>
              <w:t>6.7km</w:t>
            </w:r>
          </w:p>
        </w:tc>
        <w:tc>
          <w:tcPr>
            <w:tcW w:w="110" w:type="dxa"/>
            <w:tcBorders>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11818"/>
        </w:trPr>
        <w:tc>
          <w:tcPr>
            <w:tcW w:w="1114" w:type="dxa"/>
            <w:vMerge/>
            <w:tcBorders>
              <w:top w:val="nil"/>
              <w:right w:val="single" w:sz="4" w:space="0" w:color="000000"/>
            </w:tcBorders>
          </w:tcPr>
          <w:p>
            <w:pPr>
              <w:rPr>
                <w:sz w:val="2"/>
                <w:szCs w:val="2"/>
              </w:rPr>
            </w:pPr>
          </w:p>
        </w:tc>
        <w:tc>
          <w:tcPr>
            <w:tcW w:w="8254" w:type="dxa"/>
            <w:gridSpan w:val="10"/>
            <w:tcBorders>
              <w:top w:val="single" w:sz="4" w:space="0" w:color="000000"/>
              <w:left w:val="single" w:sz="4" w:space="0" w:color="000000"/>
              <w:bottom w:val="single" w:sz="4" w:space="0" w:color="000000"/>
            </w:tcBorders>
          </w:tcPr>
          <w:p>
            <w:pPr>
              <w:pStyle w:val="TableParagraph"/>
              <w:spacing w:before="5"/>
              <w:rPr>
                <w:b/>
                <w:sz w:val="18"/>
              </w:rPr>
            </w:pPr>
          </w:p>
          <w:p>
            <w:pPr>
              <w:pStyle w:val="TableParagraph"/>
              <w:ind w:left="532"/>
              <w:rPr>
                <w:sz w:val="21"/>
              </w:rPr>
            </w:pPr>
            <w:r>
              <w:rPr>
                <w:spacing w:val="-1"/>
                <w:sz w:val="21"/>
              </w:rPr>
              <w:t>因此，建设项目与《江苏省国家级生态保护红线规划》</w:t>
            </w:r>
            <w:r>
              <w:rPr>
                <w:spacing w:val="6"/>
                <w:sz w:val="21"/>
              </w:rPr>
              <w:t>（</w:t>
            </w:r>
            <w:r>
              <w:rPr>
                <w:spacing w:val="4"/>
                <w:sz w:val="21"/>
              </w:rPr>
              <w:t>苏政发〔</w:t>
            </w:r>
            <w:r>
              <w:rPr>
                <w:rFonts w:ascii="Times New Roman" w:eastAsia="Times New Roman"/>
                <w:sz w:val="21"/>
              </w:rPr>
              <w:t>2018</w:t>
            </w:r>
            <w:r>
              <w:rPr>
                <w:spacing w:val="-3"/>
                <w:sz w:val="21"/>
              </w:rPr>
              <w:t>〕</w:t>
            </w:r>
            <w:r>
              <w:rPr>
                <w:rFonts w:ascii="Times New Roman" w:eastAsia="Times New Roman"/>
                <w:sz w:val="21"/>
              </w:rPr>
              <w:t>74</w:t>
            </w:r>
            <w:r>
              <w:rPr>
                <w:rFonts w:ascii="Times New Roman" w:eastAsia="Times New Roman"/>
                <w:spacing w:val="51"/>
                <w:sz w:val="21"/>
              </w:rPr>
              <w:t xml:space="preserve"> </w:t>
            </w:r>
            <w:r>
              <w:rPr>
                <w:spacing w:val="4"/>
                <w:sz w:val="21"/>
              </w:rPr>
              <w:t>号</w:t>
            </w:r>
            <w:r>
              <w:rPr>
                <w:spacing w:val="-99"/>
                <w:sz w:val="21"/>
              </w:rPr>
              <w:t>）</w:t>
            </w:r>
            <w:r>
              <w:rPr>
                <w:sz w:val="21"/>
              </w:rPr>
              <w:t>、</w:t>
            </w:r>
          </w:p>
          <w:p>
            <w:pPr>
              <w:pStyle w:val="TableParagraph"/>
              <w:spacing w:before="139" w:line="364" w:lineRule="auto"/>
              <w:ind w:left="112" w:right="76"/>
              <w:rPr>
                <w:sz w:val="21"/>
              </w:rPr>
            </w:pPr>
            <w:r>
              <w:rPr>
                <w:spacing w:val="-10"/>
                <w:sz w:val="21"/>
              </w:rPr>
              <w:t>《江苏省生态空间管控区域规划》</w:t>
            </w:r>
            <w:r>
              <w:rPr>
                <w:spacing w:val="-3"/>
                <w:sz w:val="21"/>
              </w:rPr>
              <w:t>（</w:t>
            </w:r>
            <w:r>
              <w:rPr>
                <w:spacing w:val="-2"/>
                <w:sz w:val="21"/>
              </w:rPr>
              <w:t>苏政发〔</w:t>
            </w:r>
            <w:r>
              <w:rPr>
                <w:rFonts w:ascii="Times New Roman" w:eastAsia="Times New Roman"/>
                <w:sz w:val="21"/>
              </w:rPr>
              <w:t>2020</w:t>
            </w:r>
            <w:r>
              <w:rPr>
                <w:spacing w:val="-3"/>
                <w:sz w:val="21"/>
              </w:rPr>
              <w:t>〕</w:t>
            </w:r>
            <w:r>
              <w:rPr>
                <w:rFonts w:ascii="Times New Roman" w:eastAsia="Times New Roman"/>
                <w:sz w:val="21"/>
              </w:rPr>
              <w:t xml:space="preserve">1 </w:t>
            </w:r>
            <w:r>
              <w:rPr>
                <w:sz w:val="21"/>
              </w:rPr>
              <w:t>号</w:t>
            </w:r>
            <w:r>
              <w:rPr>
                <w:spacing w:val="-3"/>
                <w:sz w:val="21"/>
              </w:rPr>
              <w:t>）及《江苏省自然资源厅关于滨</w:t>
            </w:r>
            <w:r>
              <w:rPr>
                <w:spacing w:val="-9"/>
                <w:sz w:val="21"/>
              </w:rPr>
              <w:t>海县生态空间管控区域调整方案的复函》</w:t>
            </w:r>
            <w:r>
              <w:rPr>
                <w:sz w:val="21"/>
              </w:rPr>
              <w:t>（</w:t>
            </w:r>
            <w:r>
              <w:rPr>
                <w:spacing w:val="-3"/>
                <w:sz w:val="21"/>
              </w:rPr>
              <w:t>苏自然资函〔</w:t>
            </w:r>
            <w:r>
              <w:rPr>
                <w:rFonts w:ascii="Times New Roman" w:eastAsia="Times New Roman"/>
                <w:sz w:val="21"/>
              </w:rPr>
              <w:t>2021</w:t>
            </w:r>
            <w:r>
              <w:rPr>
                <w:spacing w:val="-3"/>
                <w:sz w:val="21"/>
              </w:rPr>
              <w:t>〕</w:t>
            </w:r>
            <w:r>
              <w:rPr>
                <w:rFonts w:ascii="Times New Roman" w:eastAsia="Times New Roman"/>
                <w:sz w:val="21"/>
              </w:rPr>
              <w:t xml:space="preserve">1736 </w:t>
            </w:r>
            <w:r>
              <w:rPr>
                <w:spacing w:val="-3"/>
                <w:sz w:val="21"/>
              </w:rPr>
              <w:t>号</w:t>
            </w:r>
            <w:r>
              <w:rPr>
                <w:sz w:val="21"/>
              </w:rPr>
              <w:t>）</w:t>
            </w:r>
            <w:r>
              <w:rPr>
                <w:spacing w:val="-2"/>
                <w:sz w:val="21"/>
              </w:rPr>
              <w:t>是相符的。</w:t>
            </w:r>
          </w:p>
          <w:p>
            <w:pPr>
              <w:pStyle w:val="TableParagraph"/>
              <w:numPr>
                <w:ilvl w:val="0"/>
                <w:numId w:val="53"/>
              </w:numPr>
              <w:tabs>
                <w:tab w:val="left" w:pos="1064"/>
              </w:tabs>
              <w:spacing w:before="0" w:after="0" w:line="267" w:lineRule="exact"/>
              <w:ind w:left="1063" w:right="0" w:hanging="530"/>
              <w:jc w:val="left"/>
              <w:rPr>
                <w:b/>
                <w:sz w:val="21"/>
              </w:rPr>
            </w:pPr>
            <w:r>
              <w:rPr>
                <w:b/>
                <w:sz w:val="21"/>
              </w:rPr>
              <w:t>环境质量底线</w:t>
            </w:r>
          </w:p>
          <w:p>
            <w:pPr>
              <w:pStyle w:val="TableParagraph"/>
              <w:spacing w:before="139" w:line="364" w:lineRule="auto"/>
              <w:ind w:left="112" w:right="76" w:firstLine="420"/>
              <w:jc w:val="both"/>
              <w:rPr>
                <w:sz w:val="21"/>
              </w:rPr>
            </w:pPr>
            <w:r>
              <w:rPr>
                <w:sz w:val="21"/>
              </w:rPr>
              <w:t>根据《</w:t>
            </w:r>
            <w:r>
              <w:rPr>
                <w:rFonts w:ascii="Times New Roman" w:eastAsia="Times New Roman"/>
                <w:sz w:val="21"/>
              </w:rPr>
              <w:t xml:space="preserve">2022 </w:t>
            </w:r>
            <w:r>
              <w:rPr>
                <w:spacing w:val="-12"/>
                <w:sz w:val="21"/>
              </w:rPr>
              <w:t>年滨海县生态环境状况公报》，</w:t>
            </w:r>
            <w:r>
              <w:rPr>
                <w:rFonts w:ascii="Times New Roman" w:eastAsia="Times New Roman"/>
                <w:sz w:val="21"/>
              </w:rPr>
              <w:t xml:space="preserve">2022 </w:t>
            </w:r>
            <w:r>
              <w:rPr>
                <w:spacing w:val="-3"/>
                <w:sz w:val="21"/>
              </w:rPr>
              <w:t xml:space="preserve">年滨海县环境空气质量持续改善， </w:t>
            </w:r>
            <w:r>
              <w:rPr>
                <w:spacing w:val="14"/>
                <w:position w:val="2"/>
                <w:sz w:val="21"/>
              </w:rPr>
              <w:t>二氧化硫、二氧化氮、</w:t>
            </w:r>
            <w:r>
              <w:rPr>
                <w:rFonts w:ascii="Times New Roman" w:eastAsia="Times New Roman"/>
                <w:position w:val="2"/>
                <w:sz w:val="21"/>
              </w:rPr>
              <w:t>PM</w:t>
            </w:r>
            <w:r>
              <w:rPr>
                <w:rFonts w:ascii="Times New Roman" w:eastAsia="Times New Roman"/>
                <w:sz w:val="14"/>
              </w:rPr>
              <w:t xml:space="preserve">10 </w:t>
            </w:r>
            <w:r>
              <w:rPr>
                <w:spacing w:val="16"/>
                <w:position w:val="2"/>
                <w:sz w:val="21"/>
              </w:rPr>
              <w:t>、</w:t>
            </w:r>
            <w:r>
              <w:rPr>
                <w:rFonts w:ascii="Times New Roman" w:eastAsia="Times New Roman"/>
                <w:position w:val="2"/>
                <w:sz w:val="21"/>
              </w:rPr>
              <w:t>PM</w:t>
            </w:r>
            <w:r>
              <w:rPr>
                <w:rFonts w:ascii="Times New Roman" w:eastAsia="Times New Roman"/>
                <w:sz w:val="14"/>
              </w:rPr>
              <w:t xml:space="preserve">2.5 </w:t>
            </w:r>
            <w:r>
              <w:rPr>
                <w:spacing w:val="14"/>
                <w:position w:val="2"/>
                <w:sz w:val="21"/>
              </w:rPr>
              <w:t>的年平均浓度和二氧化硫、二氧化氮、</w:t>
            </w:r>
            <w:r>
              <w:rPr>
                <w:rFonts w:ascii="Times New Roman" w:eastAsia="Times New Roman"/>
                <w:position w:val="2"/>
                <w:sz w:val="21"/>
              </w:rPr>
              <w:t>PM</w:t>
            </w:r>
            <w:r>
              <w:rPr>
                <w:rFonts w:ascii="Times New Roman" w:eastAsia="Times New Roman"/>
                <w:sz w:val="14"/>
              </w:rPr>
              <w:t xml:space="preserve">10 </w:t>
            </w:r>
            <w:r>
              <w:rPr>
                <w:position w:val="2"/>
                <w:sz w:val="21"/>
              </w:rPr>
              <w:t>、</w:t>
            </w:r>
            <w:r>
              <w:rPr>
                <w:rFonts w:ascii="Times New Roman" w:eastAsia="Times New Roman"/>
                <w:position w:val="2"/>
                <w:sz w:val="21"/>
              </w:rPr>
              <w:t>PM</w:t>
            </w:r>
            <w:r>
              <w:rPr>
                <w:rFonts w:ascii="Times New Roman" w:eastAsia="Times New Roman"/>
                <w:sz w:val="14"/>
              </w:rPr>
              <w:t xml:space="preserve">2.5 </w:t>
            </w:r>
            <w:r>
              <w:rPr>
                <w:spacing w:val="15"/>
                <w:position w:val="2"/>
                <w:sz w:val="21"/>
              </w:rPr>
              <w:t>、臭氧、一氧化碳的特定百分位数浓度， 全部达到《环境空气质量标准》</w:t>
            </w:r>
          </w:p>
          <w:p>
            <w:pPr>
              <w:pStyle w:val="TableParagraph"/>
              <w:spacing w:line="364" w:lineRule="auto"/>
              <w:ind w:left="112" w:right="76"/>
              <w:jc w:val="both"/>
              <w:rPr>
                <w:sz w:val="21"/>
              </w:rPr>
            </w:pPr>
            <w:r>
              <w:rPr>
                <w:sz w:val="21"/>
              </w:rPr>
              <w:t>（</w:t>
            </w:r>
            <w:r>
              <w:rPr>
                <w:rFonts w:ascii="Times New Roman" w:eastAsia="Times New Roman"/>
                <w:sz w:val="21"/>
              </w:rPr>
              <w:t>GB3095-2012</w:t>
            </w:r>
            <w:r>
              <w:rPr>
                <w:sz w:val="21"/>
              </w:rPr>
              <w:t>）二级标准，该区域属于大气环境质量达标区；地表水环境质量状况良</w:t>
            </w:r>
            <w:r>
              <w:rPr>
                <w:spacing w:val="-5"/>
                <w:sz w:val="21"/>
              </w:rPr>
              <w:t>好，国、省考断面水质达到《地表水环境质量标准》</w:t>
            </w:r>
            <w:r>
              <w:rPr>
                <w:sz w:val="21"/>
              </w:rPr>
              <w:t>（</w:t>
            </w:r>
            <w:r>
              <w:rPr>
                <w:rFonts w:ascii="Times New Roman" w:eastAsia="Times New Roman"/>
                <w:sz w:val="21"/>
              </w:rPr>
              <w:t>GB3838-2002</w:t>
            </w:r>
            <w:r>
              <w:rPr>
                <w:sz w:val="21"/>
              </w:rPr>
              <w:t>）</w:t>
            </w:r>
            <w:r>
              <w:rPr>
                <w:rFonts w:ascii="Times New Roman" w:eastAsia="Times New Roman"/>
                <w:sz w:val="21"/>
              </w:rPr>
              <w:t xml:space="preserve">III </w:t>
            </w:r>
            <w:r>
              <w:rPr>
                <w:sz w:val="21"/>
              </w:rPr>
              <w:t>类标准限值要</w:t>
            </w:r>
            <w:r>
              <w:rPr>
                <w:spacing w:val="-3"/>
                <w:sz w:val="21"/>
              </w:rPr>
              <w:t>求；根据编制指南补充噪声现状监测表明声环境质量昼间</w:t>
            </w:r>
            <w:r>
              <w:rPr>
                <w:sz w:val="21"/>
              </w:rPr>
              <w:t>（</w:t>
            </w:r>
            <w:r>
              <w:rPr>
                <w:spacing w:val="-3"/>
                <w:sz w:val="21"/>
              </w:rPr>
              <w:t>见</w:t>
            </w:r>
            <w:hyperlink w:anchor="_bookmark25" w:history="1">
              <w:r>
                <w:rPr>
                  <w:spacing w:val="-12"/>
                  <w:sz w:val="21"/>
                </w:rPr>
                <w:t xml:space="preserve">表 </w:t>
              </w:r>
              <w:r>
                <w:rPr>
                  <w:rFonts w:ascii="Times New Roman" w:eastAsia="Times New Roman"/>
                  <w:sz w:val="21"/>
                </w:rPr>
                <w:t>3-1</w:t>
              </w:r>
            </w:hyperlink>
            <w:r>
              <w:rPr>
                <w:sz w:val="21"/>
              </w:rPr>
              <w:t>）</w:t>
            </w:r>
            <w:r>
              <w:rPr>
                <w:spacing w:val="-7"/>
                <w:sz w:val="21"/>
              </w:rPr>
              <w:t xml:space="preserve">达标率为 </w:t>
            </w:r>
            <w:r>
              <w:rPr>
                <w:rFonts w:ascii="Times New Roman" w:eastAsia="Times New Roman"/>
                <w:sz w:val="21"/>
              </w:rPr>
              <w:t>100%</w:t>
            </w:r>
            <w:r>
              <w:rPr>
                <w:sz w:val="21"/>
              </w:rPr>
              <w:t xml:space="preserve">； </w:t>
            </w:r>
            <w:r>
              <w:rPr>
                <w:spacing w:val="-3"/>
                <w:sz w:val="21"/>
              </w:rPr>
              <w:t>固体废物均得到合理处置，厂界噪声达标排放。</w:t>
            </w:r>
          </w:p>
          <w:p>
            <w:pPr>
              <w:pStyle w:val="TableParagraph"/>
              <w:spacing w:line="364" w:lineRule="auto"/>
              <w:ind w:left="112" w:right="74" w:firstLine="420"/>
              <w:rPr>
                <w:sz w:val="21"/>
              </w:rPr>
            </w:pPr>
            <w:r>
              <w:rPr>
                <w:sz w:val="21"/>
              </w:rPr>
              <w:t>因此，本项目的建设对区域环境质量影响较小，符合环境质量底线的相关规定要求。</w:t>
            </w:r>
          </w:p>
          <w:p>
            <w:pPr>
              <w:pStyle w:val="TableParagraph"/>
              <w:numPr>
                <w:ilvl w:val="0"/>
                <w:numId w:val="53"/>
              </w:numPr>
              <w:tabs>
                <w:tab w:val="left" w:pos="1064"/>
              </w:tabs>
              <w:spacing w:before="0" w:after="0" w:line="267" w:lineRule="exact"/>
              <w:ind w:left="1063" w:right="0" w:hanging="530"/>
              <w:jc w:val="left"/>
              <w:rPr>
                <w:b/>
                <w:sz w:val="21"/>
              </w:rPr>
            </w:pPr>
            <w:r>
              <w:rPr>
                <w:b/>
                <w:sz w:val="21"/>
              </w:rPr>
              <w:t>资源利用上线</w:t>
            </w:r>
          </w:p>
          <w:p>
            <w:pPr>
              <w:pStyle w:val="TableParagraph"/>
              <w:spacing w:before="140" w:line="364" w:lineRule="auto"/>
              <w:ind w:left="112" w:right="80" w:firstLine="420"/>
              <w:jc w:val="both"/>
              <w:rPr>
                <w:sz w:val="21"/>
              </w:rPr>
            </w:pPr>
            <w:r>
              <w:rPr>
                <w:sz w:val="21"/>
              </w:rPr>
              <w:t>项目所需水电均由当地市政相关管网提供，水电消耗量较少；项目依托现有厂房进行生产，不新征用地。项目资源消耗量相对区域资源利用总量较少，符合资源利用上线要求。</w:t>
            </w:r>
          </w:p>
          <w:p>
            <w:pPr>
              <w:pStyle w:val="TableParagraph"/>
              <w:numPr>
                <w:ilvl w:val="0"/>
                <w:numId w:val="53"/>
              </w:numPr>
              <w:tabs>
                <w:tab w:val="left" w:pos="1064"/>
              </w:tabs>
              <w:spacing w:before="0" w:after="0" w:line="266" w:lineRule="exact"/>
              <w:ind w:left="1063" w:right="0" w:hanging="530"/>
              <w:jc w:val="left"/>
              <w:rPr>
                <w:b/>
                <w:sz w:val="21"/>
              </w:rPr>
            </w:pPr>
            <w:r>
              <w:rPr>
                <w:b/>
                <w:spacing w:val="-1"/>
                <w:sz w:val="21"/>
              </w:rPr>
              <w:t>环境准入负面清单</w:t>
            </w:r>
          </w:p>
          <w:p>
            <w:pPr>
              <w:pStyle w:val="TableParagraph"/>
              <w:spacing w:before="139" w:line="367" w:lineRule="auto"/>
              <w:ind w:left="112" w:right="80" w:firstLine="420"/>
              <w:rPr>
                <w:sz w:val="21"/>
              </w:rPr>
            </w:pPr>
            <w:r>
              <w:rPr>
                <w:sz w:val="21"/>
              </w:rPr>
              <w:t>本项目所在地没有列明环境准入负面清单，本次环评对照国家产业政策进行说明， 具体见下</w:t>
            </w:r>
            <w:hyperlink w:anchor="_bookmark3" w:history="1">
              <w:r>
                <w:rPr>
                  <w:sz w:val="21"/>
                </w:rPr>
                <w:t xml:space="preserve">表 </w:t>
              </w:r>
              <w:r>
                <w:rPr>
                  <w:rFonts w:ascii="Times New Roman" w:eastAsia="Times New Roman"/>
                  <w:sz w:val="21"/>
                </w:rPr>
                <w:t>1-2</w:t>
              </w:r>
            </w:hyperlink>
            <w:r>
              <w:rPr>
                <w:sz w:val="21"/>
              </w:rPr>
              <w:t>、</w:t>
            </w:r>
            <w:hyperlink w:anchor="_bookmark4" w:history="1">
              <w:r>
                <w:rPr>
                  <w:sz w:val="21"/>
                </w:rPr>
                <w:t xml:space="preserve">表 </w:t>
              </w:r>
              <w:r>
                <w:rPr>
                  <w:rFonts w:ascii="Times New Roman" w:eastAsia="Times New Roman"/>
                  <w:sz w:val="21"/>
                </w:rPr>
                <w:t>1-3</w:t>
              </w:r>
            </w:hyperlink>
            <w:r>
              <w:rPr>
                <w:sz w:val="21"/>
              </w:rPr>
              <w:t>。</w:t>
            </w:r>
          </w:p>
          <w:p>
            <w:pPr>
              <w:pStyle w:val="TableParagraph"/>
              <w:spacing w:line="264" w:lineRule="exact"/>
              <w:ind w:left="2361"/>
              <w:rPr>
                <w:b/>
                <w:sz w:val="21"/>
              </w:rPr>
            </w:pPr>
            <w:bookmarkStart w:id="3" w:name="_bookmark3"/>
            <w:bookmarkEnd w:id="3"/>
            <w:r>
              <w:rPr>
                <w:b/>
                <w:sz w:val="21"/>
              </w:rPr>
              <w:t xml:space="preserve">表 </w:t>
            </w:r>
            <w:r>
              <w:rPr>
                <w:rFonts w:ascii="Times New Roman" w:eastAsia="Times New Roman"/>
                <w:b/>
                <w:sz w:val="21"/>
              </w:rPr>
              <w:t xml:space="preserve">1-2 </w:t>
            </w:r>
            <w:r>
              <w:rPr>
                <w:b/>
                <w:sz w:val="21"/>
              </w:rPr>
              <w:t>项目与国家地方产业政策相符性分析</w:t>
            </w:r>
          </w:p>
          <w:p>
            <w:pPr>
              <w:pStyle w:val="TableParagraph"/>
              <w:tabs>
                <w:tab w:val="left" w:pos="2299"/>
                <w:tab w:val="left" w:pos="5659"/>
              </w:tabs>
              <w:spacing w:before="73"/>
              <w:ind w:left="332"/>
              <w:rPr>
                <w:b/>
                <w:sz w:val="18"/>
              </w:rPr>
            </w:pPr>
            <w:r>
              <w:rPr>
                <w:b/>
                <w:sz w:val="18"/>
              </w:rPr>
              <w:t>序号</w:t>
            </w:r>
            <w:r>
              <w:rPr>
                <w:b/>
                <w:sz w:val="18"/>
              </w:rPr>
              <w:tab/>
            </w:r>
            <w:r>
              <w:rPr>
                <w:b/>
                <w:sz w:val="18"/>
              </w:rPr>
              <w:t>文件</w:t>
            </w:r>
            <w:r>
              <w:rPr>
                <w:b/>
                <w:sz w:val="18"/>
              </w:rPr>
              <w:tab/>
            </w:r>
            <w:r>
              <w:rPr>
                <w:b/>
                <w:sz w:val="18"/>
              </w:rPr>
              <w:t>符合性分析</w:t>
            </w:r>
          </w:p>
          <w:p>
            <w:pPr>
              <w:pStyle w:val="TableParagraph"/>
              <w:spacing w:before="97" w:line="156" w:lineRule="auto"/>
              <w:ind w:right="90"/>
              <w:jc w:val="right"/>
              <w:rPr>
                <w:sz w:val="18"/>
              </w:rPr>
            </w:pPr>
            <w:r>
              <w:rPr>
                <w:position w:val="-11"/>
                <w:sz w:val="18"/>
              </w:rPr>
              <w:t>《产业结构调整指导目录</w:t>
            </w:r>
            <w:r>
              <w:rPr>
                <w:rFonts w:ascii="Times New Roman" w:eastAsia="Times New Roman"/>
                <w:position w:val="-11"/>
                <w:sz w:val="18"/>
              </w:rPr>
              <w:t>(2019</w:t>
            </w:r>
            <w:r>
              <w:rPr>
                <w:rFonts w:ascii="Times New Roman" w:eastAsia="Times New Roman"/>
                <w:spacing w:val="-10"/>
                <w:position w:val="-11"/>
                <w:sz w:val="18"/>
              </w:rPr>
              <w:t xml:space="preserve"> </w:t>
            </w:r>
            <w:r>
              <w:rPr>
                <w:position w:val="-11"/>
                <w:sz w:val="18"/>
              </w:rPr>
              <w:t>年本</w:t>
            </w:r>
            <w:r>
              <w:rPr>
                <w:rFonts w:ascii="Times New Roman" w:eastAsia="Times New Roman"/>
                <w:position w:val="-11"/>
                <w:sz w:val="18"/>
              </w:rPr>
              <w:t>)</w:t>
            </w:r>
            <w:r>
              <w:rPr>
                <w:spacing w:val="-5"/>
                <w:position w:val="-11"/>
                <w:sz w:val="18"/>
              </w:rPr>
              <w:t xml:space="preserve">》 </w:t>
            </w:r>
            <w:r>
              <w:rPr>
                <w:sz w:val="18"/>
              </w:rPr>
              <w:t>对照《产业结构调整指导目录</w:t>
            </w:r>
            <w:r>
              <w:rPr>
                <w:rFonts w:ascii="Times New Roman" w:eastAsia="Times New Roman"/>
                <w:sz w:val="18"/>
              </w:rPr>
              <w:t>(2019</w:t>
            </w:r>
            <w:r>
              <w:rPr>
                <w:rFonts w:ascii="Times New Roman" w:eastAsia="Times New Roman"/>
                <w:spacing w:val="-8"/>
                <w:sz w:val="18"/>
              </w:rPr>
              <w:t xml:space="preserve"> </w:t>
            </w:r>
            <w:r>
              <w:rPr>
                <w:sz w:val="18"/>
              </w:rPr>
              <w:t>年本</w:t>
            </w:r>
            <w:r>
              <w:rPr>
                <w:rFonts w:ascii="Times New Roman" w:eastAsia="Times New Roman"/>
                <w:sz w:val="18"/>
              </w:rPr>
              <w:t>)</w:t>
            </w:r>
            <w:r>
              <w:rPr>
                <w:spacing w:val="-92"/>
                <w:sz w:val="18"/>
              </w:rPr>
              <w:t>》</w:t>
            </w:r>
            <w:r>
              <w:rPr>
                <w:sz w:val="18"/>
              </w:rPr>
              <w:t>（</w:t>
            </w:r>
            <w:r>
              <w:rPr>
                <w:rFonts w:ascii="Times New Roman" w:eastAsia="Times New Roman"/>
                <w:sz w:val="18"/>
              </w:rPr>
              <w:t>2021</w:t>
            </w:r>
            <w:r>
              <w:rPr>
                <w:rFonts w:ascii="Times New Roman" w:eastAsia="Times New Roman"/>
                <w:spacing w:val="-8"/>
                <w:sz w:val="18"/>
              </w:rPr>
              <w:t xml:space="preserve"> </w:t>
            </w:r>
            <w:r>
              <w:rPr>
                <w:sz w:val="18"/>
              </w:rPr>
              <w:t>年</w:t>
            </w:r>
          </w:p>
          <w:p>
            <w:pPr>
              <w:pStyle w:val="TableParagraph"/>
              <w:numPr>
                <w:ilvl w:val="0"/>
                <w:numId w:val="6"/>
              </w:numPr>
              <w:tabs>
                <w:tab w:val="left" w:pos="1363"/>
                <w:tab w:val="left" w:pos="1364"/>
                <w:tab w:val="left" w:pos="3617"/>
              </w:tabs>
              <w:spacing w:before="0" w:after="0" w:line="156" w:lineRule="auto"/>
              <w:ind w:left="1831" w:right="100" w:hanging="1832"/>
              <w:jc w:val="right"/>
              <w:rPr>
                <w:sz w:val="18"/>
              </w:rPr>
            </w:pPr>
            <w:r>
              <w:rPr>
                <w:position w:val="-11"/>
                <w:sz w:val="18"/>
              </w:rPr>
              <w:t>（</w:t>
            </w:r>
            <w:r>
              <w:rPr>
                <w:rFonts w:ascii="Times New Roman" w:eastAsia="Times New Roman"/>
                <w:spacing w:val="1"/>
                <w:position w:val="-11"/>
                <w:sz w:val="18"/>
              </w:rPr>
              <w:t>20</w:t>
            </w:r>
            <w:r>
              <w:rPr>
                <w:rFonts w:ascii="Times New Roman" w:eastAsia="Times New Roman"/>
                <w:spacing w:val="-2"/>
                <w:position w:val="-11"/>
                <w:sz w:val="18"/>
              </w:rPr>
              <w:t>2</w:t>
            </w:r>
            <w:r>
              <w:rPr>
                <w:rFonts w:ascii="Times New Roman" w:eastAsia="Times New Roman"/>
                <w:position w:val="-11"/>
                <w:sz w:val="18"/>
              </w:rPr>
              <w:t>1</w:t>
            </w:r>
            <w:r>
              <w:rPr>
                <w:rFonts w:ascii="Times New Roman" w:eastAsia="Times New Roman"/>
                <w:spacing w:val="-8"/>
                <w:position w:val="-11"/>
                <w:sz w:val="18"/>
              </w:rPr>
              <w:t xml:space="preserve"> </w:t>
            </w:r>
            <w:r>
              <w:rPr>
                <w:position w:val="-11"/>
                <w:sz w:val="18"/>
              </w:rPr>
              <w:t>年修改）</w:t>
            </w:r>
            <w:r>
              <w:rPr>
                <w:position w:val="-11"/>
                <w:sz w:val="18"/>
              </w:rPr>
              <w:tab/>
            </w:r>
            <w:r>
              <w:rPr>
                <w:sz w:val="18"/>
              </w:rPr>
              <w:t>修改</w:t>
            </w:r>
            <w:r>
              <w:rPr>
                <w:spacing w:val="-92"/>
                <w:sz w:val="18"/>
              </w:rPr>
              <w:t>）</w:t>
            </w:r>
            <w:r>
              <w:rPr>
                <w:sz w:val="18"/>
              </w:rPr>
              <w:t>，本项目不属于限制类</w:t>
            </w:r>
            <w:r>
              <w:rPr>
                <w:spacing w:val="2"/>
                <w:sz w:val="18"/>
              </w:rPr>
              <w:t>和</w:t>
            </w:r>
            <w:r>
              <w:rPr>
                <w:sz w:val="18"/>
              </w:rPr>
              <w:t>淘汰类项目，属于允</w:t>
            </w:r>
          </w:p>
          <w:p>
            <w:pPr>
              <w:pStyle w:val="TableParagraph"/>
              <w:spacing w:line="173" w:lineRule="exact"/>
              <w:ind w:left="5030"/>
              <w:rPr>
                <w:sz w:val="18"/>
              </w:rPr>
            </w:pPr>
            <w:r>
              <w:rPr>
                <w:sz w:val="18"/>
              </w:rPr>
              <w:t>许类项目，符合该文件要求</w:t>
            </w:r>
          </w:p>
          <w:p>
            <w:pPr>
              <w:pStyle w:val="TableParagraph"/>
              <w:spacing w:before="56" w:line="158" w:lineRule="auto"/>
              <w:ind w:right="146"/>
              <w:jc w:val="right"/>
              <w:rPr>
                <w:sz w:val="18"/>
              </w:rPr>
            </w:pPr>
            <w:r>
              <w:rPr>
                <w:position w:val="-11"/>
                <w:sz w:val="18"/>
              </w:rPr>
              <w:t>《限制用地项目目录（</w:t>
            </w:r>
            <w:r>
              <w:rPr>
                <w:rFonts w:ascii="Times New Roman" w:eastAsia="Times New Roman"/>
                <w:position w:val="-11"/>
                <w:sz w:val="18"/>
              </w:rPr>
              <w:t>2012</w:t>
            </w:r>
            <w:r>
              <w:rPr>
                <w:rFonts w:ascii="Times New Roman" w:eastAsia="Times New Roman"/>
                <w:spacing w:val="-8"/>
                <w:position w:val="-11"/>
                <w:sz w:val="18"/>
              </w:rPr>
              <w:t xml:space="preserve"> </w:t>
            </w:r>
            <w:r>
              <w:rPr>
                <w:spacing w:val="-2"/>
                <w:position w:val="-11"/>
                <w:sz w:val="18"/>
              </w:rPr>
              <w:t>年本</w:t>
            </w:r>
            <w:r>
              <w:rPr>
                <w:spacing w:val="-92"/>
                <w:position w:val="-11"/>
                <w:sz w:val="18"/>
              </w:rPr>
              <w:t>）</w:t>
            </w:r>
            <w:r>
              <w:rPr>
                <w:spacing w:val="-21"/>
                <w:position w:val="-11"/>
                <w:sz w:val="18"/>
              </w:rPr>
              <w:t xml:space="preserve">》、  </w:t>
            </w:r>
            <w:r>
              <w:rPr>
                <w:sz w:val="18"/>
              </w:rPr>
              <w:t>本项目用地性质为工业用地，不在《限制用地项目</w:t>
            </w:r>
          </w:p>
          <w:p>
            <w:pPr>
              <w:pStyle w:val="TableParagraph"/>
              <w:numPr>
                <w:ilvl w:val="0"/>
                <w:numId w:val="6"/>
              </w:numPr>
              <w:tabs>
                <w:tab w:val="left" w:pos="597"/>
                <w:tab w:val="left" w:pos="598"/>
                <w:tab w:val="left" w:pos="3672"/>
              </w:tabs>
              <w:spacing w:before="0" w:after="0" w:line="156" w:lineRule="auto"/>
              <w:ind w:left="1064" w:right="150" w:hanging="1065"/>
              <w:jc w:val="right"/>
              <w:rPr>
                <w:sz w:val="18"/>
              </w:rPr>
            </w:pPr>
            <w:r>
              <w:rPr>
                <w:position w:val="-11"/>
                <w:sz w:val="18"/>
              </w:rPr>
              <w:t>《禁止用地项目目录（</w:t>
            </w:r>
            <w:r>
              <w:rPr>
                <w:rFonts w:ascii="Times New Roman" w:eastAsia="Times New Roman"/>
                <w:position w:val="-11"/>
                <w:sz w:val="18"/>
              </w:rPr>
              <w:t>2012</w:t>
            </w:r>
            <w:r>
              <w:rPr>
                <w:rFonts w:ascii="Times New Roman" w:eastAsia="Times New Roman"/>
                <w:spacing w:val="-8"/>
                <w:position w:val="-11"/>
                <w:sz w:val="18"/>
              </w:rPr>
              <w:t xml:space="preserve"> </w:t>
            </w:r>
            <w:r>
              <w:rPr>
                <w:spacing w:val="-3"/>
                <w:position w:val="-11"/>
                <w:sz w:val="18"/>
              </w:rPr>
              <w:t>年</w:t>
            </w:r>
            <w:r>
              <w:rPr>
                <w:position w:val="-11"/>
                <w:sz w:val="18"/>
              </w:rPr>
              <w:t>本</w:t>
            </w:r>
            <w:r>
              <w:rPr>
                <w:spacing w:val="-92"/>
                <w:position w:val="-11"/>
                <w:sz w:val="18"/>
              </w:rPr>
              <w:t>）</w:t>
            </w:r>
            <w:r>
              <w:rPr>
                <w:position w:val="-11"/>
                <w:sz w:val="18"/>
              </w:rPr>
              <w:t>》</w:t>
            </w:r>
            <w:r>
              <w:rPr>
                <w:position w:val="-11"/>
                <w:sz w:val="18"/>
              </w:rPr>
              <w:tab/>
            </w:r>
            <w:r>
              <w:rPr>
                <w:sz w:val="18"/>
              </w:rPr>
              <w:t>目录（</w:t>
            </w:r>
            <w:r>
              <w:rPr>
                <w:rFonts w:ascii="Times New Roman" w:eastAsia="Times New Roman"/>
                <w:sz w:val="18"/>
              </w:rPr>
              <w:t>2012</w:t>
            </w:r>
            <w:r>
              <w:rPr>
                <w:rFonts w:ascii="Times New Roman" w:eastAsia="Times New Roman"/>
                <w:spacing w:val="-9"/>
                <w:sz w:val="18"/>
              </w:rPr>
              <w:t xml:space="preserve"> </w:t>
            </w:r>
            <w:r>
              <w:rPr>
                <w:sz w:val="18"/>
              </w:rPr>
              <w:t>年本</w:t>
            </w:r>
            <w:r>
              <w:rPr>
                <w:spacing w:val="-92"/>
                <w:sz w:val="18"/>
              </w:rPr>
              <w:t>）》、</w:t>
            </w:r>
            <w:r>
              <w:rPr>
                <w:sz w:val="18"/>
              </w:rPr>
              <w:t>《禁止用地项目目录（</w:t>
            </w:r>
            <w:r>
              <w:rPr>
                <w:rFonts w:ascii="Times New Roman" w:eastAsia="Times New Roman"/>
                <w:sz w:val="18"/>
              </w:rPr>
              <w:t>2012</w:t>
            </w:r>
            <w:r>
              <w:rPr>
                <w:rFonts w:ascii="Times New Roman" w:eastAsia="Times New Roman"/>
                <w:spacing w:val="-6"/>
                <w:sz w:val="18"/>
              </w:rPr>
              <w:t xml:space="preserve"> </w:t>
            </w:r>
            <w:r>
              <w:rPr>
                <w:sz w:val="18"/>
              </w:rPr>
              <w:t>年</w:t>
            </w:r>
          </w:p>
          <w:p>
            <w:pPr>
              <w:pStyle w:val="TableParagraph"/>
              <w:spacing w:line="173" w:lineRule="exact"/>
              <w:ind w:left="5705"/>
              <w:rPr>
                <w:sz w:val="18"/>
              </w:rPr>
            </w:pPr>
            <w:r>
              <w:rPr>
                <w:sz w:val="18"/>
              </w:rPr>
              <w:t>本</w:t>
            </w:r>
            <w:r>
              <w:rPr>
                <w:spacing w:val="-92"/>
                <w:sz w:val="18"/>
              </w:rPr>
              <w:t>）</w:t>
            </w:r>
            <w:r>
              <w:rPr>
                <w:sz w:val="18"/>
              </w:rPr>
              <w:t>》中。</w:t>
            </w:r>
          </w:p>
          <w:p>
            <w:pPr>
              <w:pStyle w:val="TableParagraph"/>
              <w:tabs>
                <w:tab w:val="left" w:pos="4130"/>
              </w:tabs>
              <w:spacing w:before="38"/>
              <w:ind w:left="1081"/>
              <w:rPr>
                <w:sz w:val="18"/>
              </w:rPr>
            </w:pPr>
            <w:r>
              <w:rPr>
                <w:sz w:val="18"/>
              </w:rPr>
              <w:t>《江苏省限制用地项目目录</w:t>
            </w:r>
            <w:r>
              <w:rPr>
                <w:rFonts w:ascii="Times New Roman" w:eastAsia="Times New Roman"/>
                <w:sz w:val="18"/>
              </w:rPr>
              <w:t>(2013</w:t>
            </w:r>
            <w:r>
              <w:rPr>
                <w:rFonts w:ascii="Times New Roman" w:eastAsia="Times New Roman"/>
                <w:spacing w:val="-8"/>
                <w:sz w:val="18"/>
              </w:rPr>
              <w:t xml:space="preserve"> </w:t>
            </w:r>
            <w:r>
              <w:rPr>
                <w:sz w:val="18"/>
              </w:rPr>
              <w:t>年</w:t>
            </w:r>
            <w:r>
              <w:rPr>
                <w:sz w:val="18"/>
              </w:rPr>
              <w:tab/>
            </w:r>
            <w:r>
              <w:rPr>
                <w:sz w:val="18"/>
              </w:rPr>
              <w:t>本项目用地性质为工业用地，不在《江苏省限制用</w:t>
            </w:r>
          </w:p>
          <w:p>
            <w:pPr>
              <w:pStyle w:val="TableParagraph"/>
              <w:numPr>
                <w:ilvl w:val="0"/>
                <w:numId w:val="6"/>
              </w:numPr>
              <w:tabs>
                <w:tab w:val="left" w:pos="978"/>
                <w:tab w:val="left" w:pos="979"/>
                <w:tab w:val="left" w:pos="5313"/>
              </w:tabs>
              <w:spacing w:before="5" w:after="0" w:line="242" w:lineRule="auto"/>
              <w:ind w:left="2179" w:right="158" w:hanging="1712"/>
              <w:jc w:val="left"/>
              <w:rPr>
                <w:sz w:val="18"/>
              </w:rPr>
            </w:pPr>
            <w:r>
              <w:rPr>
                <w:sz w:val="18"/>
              </w:rPr>
              <w:t>本</w:t>
            </w:r>
            <w:r>
              <w:rPr>
                <w:rFonts w:ascii="Times New Roman" w:eastAsia="Times New Roman"/>
                <w:sz w:val="18"/>
              </w:rPr>
              <w:t>)</w:t>
            </w:r>
            <w:r>
              <w:rPr>
                <w:spacing w:val="-92"/>
                <w:sz w:val="18"/>
              </w:rPr>
              <w:t>》、</w:t>
            </w:r>
            <w:r>
              <w:rPr>
                <w:sz w:val="18"/>
              </w:rPr>
              <w:t>《江苏省禁止用地项目目录</w:t>
            </w:r>
            <w:r>
              <w:rPr>
                <w:rFonts w:ascii="Times New Roman" w:eastAsia="Times New Roman"/>
                <w:sz w:val="18"/>
              </w:rPr>
              <w:t>(2013</w:t>
            </w:r>
            <w:r>
              <w:rPr>
                <w:rFonts w:ascii="Times New Roman" w:eastAsia="Times New Roman"/>
                <w:spacing w:val="28"/>
                <w:sz w:val="18"/>
              </w:rPr>
              <w:t xml:space="preserve"> </w:t>
            </w:r>
            <w:r>
              <w:rPr>
                <w:sz w:val="18"/>
              </w:rPr>
              <w:t>地项目目录</w:t>
            </w:r>
            <w:r>
              <w:rPr>
                <w:rFonts w:ascii="Times New Roman" w:eastAsia="Times New Roman"/>
                <w:sz w:val="18"/>
              </w:rPr>
              <w:t>(2013</w:t>
            </w:r>
            <w:r>
              <w:rPr>
                <w:rFonts w:ascii="Times New Roman" w:eastAsia="Times New Roman"/>
                <w:spacing w:val="-8"/>
                <w:sz w:val="18"/>
              </w:rPr>
              <w:t xml:space="preserve"> </w:t>
            </w:r>
            <w:r>
              <w:rPr>
                <w:sz w:val="18"/>
              </w:rPr>
              <w:t>年本</w:t>
            </w:r>
            <w:r>
              <w:rPr>
                <w:rFonts w:ascii="Times New Roman" w:eastAsia="Times New Roman"/>
                <w:sz w:val="18"/>
              </w:rPr>
              <w:t>)</w:t>
            </w:r>
            <w:r>
              <w:rPr>
                <w:spacing w:val="-92"/>
                <w:sz w:val="18"/>
              </w:rPr>
              <w:t>》、</w:t>
            </w:r>
            <w:r>
              <w:rPr>
                <w:sz w:val="18"/>
              </w:rPr>
              <w:t>《江苏省禁止用地项目目年本</w:t>
            </w:r>
            <w:r>
              <w:rPr>
                <w:rFonts w:ascii="Times New Roman" w:eastAsia="Times New Roman"/>
                <w:sz w:val="18"/>
              </w:rPr>
              <w:t>)</w:t>
            </w:r>
            <w:r>
              <w:rPr>
                <w:sz w:val="18"/>
              </w:rPr>
              <w:t>》</w:t>
            </w:r>
            <w:r>
              <w:rPr>
                <w:sz w:val="18"/>
              </w:rPr>
              <w:tab/>
            </w:r>
            <w:r>
              <w:rPr>
                <w:sz w:val="18"/>
              </w:rPr>
              <w:t>录</w:t>
            </w:r>
            <w:r>
              <w:rPr>
                <w:rFonts w:ascii="Times New Roman" w:eastAsia="Times New Roman"/>
                <w:sz w:val="18"/>
              </w:rPr>
              <w:t>(2013</w:t>
            </w:r>
            <w:r>
              <w:rPr>
                <w:rFonts w:ascii="Times New Roman" w:eastAsia="Times New Roman"/>
                <w:spacing w:val="-8"/>
                <w:sz w:val="18"/>
              </w:rPr>
              <w:t xml:space="preserve"> </w:t>
            </w:r>
            <w:r>
              <w:rPr>
                <w:sz w:val="18"/>
              </w:rPr>
              <w:t>年本</w:t>
            </w:r>
            <w:r>
              <w:rPr>
                <w:rFonts w:ascii="Times New Roman" w:eastAsia="Times New Roman"/>
                <w:sz w:val="18"/>
              </w:rPr>
              <w:t>)</w:t>
            </w:r>
            <w:r>
              <w:rPr>
                <w:sz w:val="18"/>
              </w:rPr>
              <w:t>》中。</w:t>
            </w:r>
          </w:p>
          <w:p>
            <w:pPr>
              <w:pStyle w:val="TableParagraph"/>
              <w:spacing w:before="7"/>
              <w:rPr>
                <w:b/>
                <w:sz w:val="19"/>
              </w:rPr>
            </w:pPr>
          </w:p>
          <w:p>
            <w:pPr>
              <w:pStyle w:val="TableParagraph"/>
              <w:spacing w:line="247" w:lineRule="exact"/>
              <w:ind w:left="1773" w:right="1742"/>
              <w:jc w:val="center"/>
              <w:rPr>
                <w:b/>
                <w:sz w:val="21"/>
              </w:rPr>
            </w:pPr>
            <w:bookmarkStart w:id="4" w:name="_bookmark4"/>
            <w:bookmarkEnd w:id="4"/>
            <w:r>
              <w:rPr>
                <w:b/>
                <w:spacing w:val="-26"/>
                <w:sz w:val="21"/>
              </w:rPr>
              <w:t xml:space="preserve">表 </w:t>
            </w:r>
            <w:r>
              <w:rPr>
                <w:rFonts w:ascii="Times New Roman" w:eastAsia="Times New Roman"/>
                <w:b/>
                <w:spacing w:val="-3"/>
                <w:sz w:val="21"/>
              </w:rPr>
              <w:t>1-3</w:t>
            </w:r>
            <w:r>
              <w:rPr>
                <w:b/>
                <w:spacing w:val="-1"/>
                <w:sz w:val="21"/>
              </w:rPr>
              <w:t>《市场准入负面清单</w:t>
            </w:r>
            <w:r>
              <w:rPr>
                <w:b/>
                <w:sz w:val="21"/>
              </w:rPr>
              <w:t>（</w:t>
            </w:r>
            <w:r>
              <w:rPr>
                <w:rFonts w:ascii="Times New Roman" w:eastAsia="Times New Roman"/>
                <w:b/>
                <w:sz w:val="21"/>
              </w:rPr>
              <w:t xml:space="preserve">2022 </w:t>
            </w:r>
            <w:r>
              <w:rPr>
                <w:b/>
                <w:sz w:val="21"/>
              </w:rPr>
              <w:t>年版</w:t>
            </w:r>
            <w:r>
              <w:rPr>
                <w:b/>
                <w:spacing w:val="-106"/>
                <w:sz w:val="21"/>
              </w:rPr>
              <w:t>）</w:t>
            </w:r>
            <w:r>
              <w:rPr>
                <w:b/>
                <w:spacing w:val="-1"/>
                <w:sz w:val="21"/>
              </w:rPr>
              <w:t>》相关内容</w:t>
            </w:r>
          </w:p>
        </w:tc>
      </w:tr>
      <w:tr>
        <w:tblPrEx>
          <w:tblW w:w="0" w:type="auto"/>
          <w:tblInd w:w="138" w:type="dxa"/>
          <w:tblLayout w:type="fixed"/>
          <w:tblCellMar>
            <w:top w:w="0" w:type="dxa"/>
            <w:left w:w="0" w:type="dxa"/>
            <w:bottom w:w="0" w:type="dxa"/>
            <w:right w:w="0" w:type="dxa"/>
          </w:tblCellMar>
        </w:tblPrEx>
        <w:trPr>
          <w:trHeight w:val="301"/>
        </w:trPr>
        <w:tc>
          <w:tcPr>
            <w:tcW w:w="1114" w:type="dxa"/>
            <w:vMerge/>
            <w:tcBorders>
              <w:top w:val="nil"/>
              <w:right w:val="single" w:sz="4" w:space="0" w:color="000000"/>
            </w:tcBorders>
          </w:tcPr>
          <w:p>
            <w:pPr>
              <w:rPr>
                <w:sz w:val="2"/>
                <w:szCs w:val="2"/>
              </w:rPr>
            </w:pPr>
          </w:p>
        </w:tc>
        <w:tc>
          <w:tcPr>
            <w:tcW w:w="113" w:type="dxa"/>
            <w:vMerge w:val="restart"/>
            <w:tcBorders>
              <w:top w:val="nil"/>
              <w:left w:val="single" w:sz="4" w:space="0" w:color="000000"/>
              <w:right w:val="single" w:sz="4" w:space="0" w:color="000000"/>
            </w:tcBorders>
          </w:tcPr>
          <w:p>
            <w:pPr>
              <w:pStyle w:val="TableParagraph"/>
              <w:rPr>
                <w:rFonts w:ascii="Times New Roman"/>
                <w:sz w:val="18"/>
              </w:rPr>
            </w:pP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74" w:line="208" w:lineRule="exact"/>
              <w:ind w:left="126" w:right="109"/>
              <w:jc w:val="center"/>
              <w:rPr>
                <w:b/>
                <w:sz w:val="18"/>
              </w:rPr>
            </w:pPr>
            <w:r>
              <w:rPr>
                <w:b/>
                <w:sz w:val="18"/>
              </w:rPr>
              <w:t>序号</w:t>
            </w:r>
          </w:p>
        </w:tc>
        <w:tc>
          <w:tcPr>
            <w:tcW w:w="6369" w:type="dxa"/>
            <w:gridSpan w:val="5"/>
            <w:tcBorders>
              <w:top w:val="single" w:sz="4" w:space="0" w:color="000000"/>
              <w:left w:val="single" w:sz="4" w:space="0" w:color="000000"/>
              <w:bottom w:val="single" w:sz="4" w:space="0" w:color="000000"/>
              <w:right w:val="single" w:sz="4" w:space="0" w:color="000000"/>
            </w:tcBorders>
          </w:tcPr>
          <w:p>
            <w:pPr>
              <w:pStyle w:val="TableParagraph"/>
              <w:spacing w:before="74" w:line="208" w:lineRule="exact"/>
              <w:ind w:left="2353" w:right="2339"/>
              <w:jc w:val="center"/>
              <w:rPr>
                <w:b/>
                <w:sz w:val="18"/>
              </w:rPr>
            </w:pPr>
            <w:r>
              <w:rPr>
                <w:b/>
                <w:sz w:val="18"/>
              </w:rPr>
              <w:t>法律、法规、政策等</w:t>
            </w:r>
          </w:p>
        </w:tc>
        <w:tc>
          <w:tcPr>
            <w:tcW w:w="101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74" w:line="208" w:lineRule="exact"/>
              <w:ind w:left="150"/>
              <w:rPr>
                <w:b/>
                <w:sz w:val="18"/>
              </w:rPr>
            </w:pPr>
            <w:r>
              <w:rPr>
                <w:b/>
                <w:sz w:val="18"/>
              </w:rPr>
              <w:t>是否属于</w:t>
            </w:r>
          </w:p>
        </w:tc>
        <w:tc>
          <w:tcPr>
            <w:tcW w:w="110"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304"/>
        </w:trPr>
        <w:tc>
          <w:tcPr>
            <w:tcW w:w="111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88" w:line="196" w:lineRule="exact"/>
              <w:ind w:left="11"/>
              <w:jc w:val="center"/>
              <w:rPr>
                <w:rFonts w:ascii="Times New Roman"/>
                <w:sz w:val="18"/>
              </w:rPr>
            </w:pPr>
            <w:r>
              <w:rPr>
                <w:rFonts w:ascii="Times New Roman"/>
                <w:sz w:val="18"/>
              </w:rPr>
              <w:t>1</w:t>
            </w:r>
          </w:p>
        </w:tc>
        <w:tc>
          <w:tcPr>
            <w:tcW w:w="6369" w:type="dxa"/>
            <w:gridSpan w:val="5"/>
            <w:tcBorders>
              <w:top w:val="single" w:sz="4" w:space="0" w:color="000000"/>
              <w:left w:val="single" w:sz="4" w:space="0" w:color="000000"/>
              <w:bottom w:val="single" w:sz="4" w:space="0" w:color="000000"/>
              <w:right w:val="single" w:sz="4" w:space="0" w:color="000000"/>
            </w:tcBorders>
          </w:tcPr>
          <w:p>
            <w:pPr>
              <w:pStyle w:val="TableParagraph"/>
              <w:spacing w:before="76" w:line="208" w:lineRule="exact"/>
              <w:ind w:left="395"/>
              <w:rPr>
                <w:sz w:val="18"/>
              </w:rPr>
            </w:pPr>
            <w:r>
              <w:rPr>
                <w:sz w:val="18"/>
              </w:rPr>
              <w:t>法律、法规、国务院决定等明确设立且与市场准入相关的禁止性规定。</w:t>
            </w:r>
          </w:p>
        </w:tc>
        <w:tc>
          <w:tcPr>
            <w:tcW w:w="101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76" w:line="208" w:lineRule="exact"/>
              <w:ind w:left="241"/>
              <w:rPr>
                <w:sz w:val="18"/>
              </w:rPr>
            </w:pPr>
            <w:r>
              <w:rPr>
                <w:sz w:val="18"/>
              </w:rPr>
              <w:t>不属于</w:t>
            </w:r>
          </w:p>
        </w:tc>
        <w:tc>
          <w:tcPr>
            <w:tcW w:w="110"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304"/>
        </w:trPr>
        <w:tc>
          <w:tcPr>
            <w:tcW w:w="111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88" w:line="196" w:lineRule="exact"/>
              <w:ind w:left="11"/>
              <w:jc w:val="center"/>
              <w:rPr>
                <w:rFonts w:ascii="Times New Roman"/>
                <w:sz w:val="18"/>
              </w:rPr>
            </w:pPr>
            <w:r>
              <w:rPr>
                <w:rFonts w:ascii="Times New Roman"/>
                <w:sz w:val="18"/>
              </w:rPr>
              <w:t>2</w:t>
            </w:r>
          </w:p>
        </w:tc>
        <w:tc>
          <w:tcPr>
            <w:tcW w:w="6369" w:type="dxa"/>
            <w:gridSpan w:val="5"/>
            <w:tcBorders>
              <w:top w:val="single" w:sz="4" w:space="0" w:color="000000"/>
              <w:left w:val="single" w:sz="4" w:space="0" w:color="000000"/>
              <w:bottom w:val="single" w:sz="4" w:space="0" w:color="000000"/>
              <w:right w:val="single" w:sz="4" w:space="0" w:color="000000"/>
            </w:tcBorders>
          </w:tcPr>
          <w:p>
            <w:pPr>
              <w:pStyle w:val="TableParagraph"/>
              <w:spacing w:before="76" w:line="208" w:lineRule="exact"/>
              <w:ind w:left="575"/>
              <w:rPr>
                <w:sz w:val="18"/>
              </w:rPr>
            </w:pPr>
            <w:r>
              <w:rPr>
                <w:sz w:val="18"/>
              </w:rPr>
              <w:t>国家产业政策明令淘汰和限制的产品、技术、工艺、设备及行为。</w:t>
            </w:r>
          </w:p>
        </w:tc>
        <w:tc>
          <w:tcPr>
            <w:tcW w:w="101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76" w:line="208" w:lineRule="exact"/>
              <w:ind w:left="241"/>
              <w:rPr>
                <w:sz w:val="18"/>
              </w:rPr>
            </w:pPr>
            <w:r>
              <w:rPr>
                <w:sz w:val="18"/>
              </w:rPr>
              <w:t>不属于</w:t>
            </w:r>
          </w:p>
        </w:tc>
        <w:tc>
          <w:tcPr>
            <w:tcW w:w="110"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308"/>
        </w:trPr>
        <w:tc>
          <w:tcPr>
            <w:tcW w:w="111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648" w:type="dxa"/>
            <w:tcBorders>
              <w:top w:val="single" w:sz="4" w:space="0" w:color="000000"/>
              <w:left w:val="single" w:sz="4" w:space="0" w:color="000000"/>
              <w:bottom w:val="single" w:sz="12" w:space="0" w:color="000000"/>
              <w:right w:val="single" w:sz="4" w:space="0" w:color="000000"/>
            </w:tcBorders>
          </w:tcPr>
          <w:p>
            <w:pPr>
              <w:pStyle w:val="TableParagraph"/>
              <w:spacing w:before="88" w:line="200" w:lineRule="exact"/>
              <w:ind w:left="11"/>
              <w:jc w:val="center"/>
              <w:rPr>
                <w:rFonts w:ascii="Times New Roman"/>
                <w:sz w:val="18"/>
              </w:rPr>
            </w:pPr>
            <w:r>
              <w:rPr>
                <w:rFonts w:ascii="Times New Roman"/>
                <w:sz w:val="18"/>
              </w:rPr>
              <w:t>3</w:t>
            </w:r>
          </w:p>
        </w:tc>
        <w:tc>
          <w:tcPr>
            <w:tcW w:w="6369" w:type="dxa"/>
            <w:gridSpan w:val="5"/>
            <w:tcBorders>
              <w:top w:val="single" w:sz="4" w:space="0" w:color="000000"/>
              <w:left w:val="single" w:sz="4" w:space="0" w:color="000000"/>
              <w:bottom w:val="single" w:sz="12" w:space="0" w:color="000000"/>
              <w:right w:val="single" w:sz="4" w:space="0" w:color="000000"/>
            </w:tcBorders>
          </w:tcPr>
          <w:p>
            <w:pPr>
              <w:pStyle w:val="TableParagraph"/>
              <w:spacing w:before="74" w:line="215" w:lineRule="exact"/>
              <w:ind w:left="1386"/>
              <w:rPr>
                <w:sz w:val="18"/>
              </w:rPr>
            </w:pPr>
            <w:r>
              <w:rPr>
                <w:sz w:val="18"/>
              </w:rPr>
              <w:t>不符合主体功能区建设要求的各类开发活动。</w:t>
            </w:r>
          </w:p>
        </w:tc>
        <w:tc>
          <w:tcPr>
            <w:tcW w:w="1014" w:type="dxa"/>
            <w:gridSpan w:val="2"/>
            <w:tcBorders>
              <w:top w:val="single" w:sz="4" w:space="0" w:color="000000"/>
              <w:left w:val="single" w:sz="4" w:space="0" w:color="000000"/>
              <w:bottom w:val="single" w:sz="12" w:space="0" w:color="000000"/>
              <w:right w:val="single" w:sz="4" w:space="0" w:color="000000"/>
            </w:tcBorders>
          </w:tcPr>
          <w:p>
            <w:pPr>
              <w:pStyle w:val="TableParagraph"/>
              <w:spacing w:before="74" w:line="215" w:lineRule="exact"/>
              <w:ind w:left="241"/>
              <w:rPr>
                <w:sz w:val="18"/>
              </w:rPr>
            </w:pPr>
            <w:r>
              <w:rPr>
                <w:sz w:val="18"/>
              </w:rPr>
              <w:t>不属于</w:t>
            </w:r>
          </w:p>
        </w:tc>
        <w:tc>
          <w:tcPr>
            <w:tcW w:w="110" w:type="dxa"/>
            <w:tcBorders>
              <w:top w:val="nil"/>
              <w:left w:val="single" w:sz="4" w:space="0" w:color="000000"/>
            </w:tcBorders>
          </w:tcPr>
          <w:p>
            <w:pPr>
              <w:pStyle w:val="TableParagraph"/>
              <w:rPr>
                <w:rFonts w:ascii="Times New Roman"/>
                <w:sz w:val="18"/>
              </w:rPr>
            </w:pPr>
          </w:p>
        </w:tc>
      </w:tr>
    </w:tbl>
    <w:p>
      <w:pPr>
        <w:rPr>
          <w:sz w:val="2"/>
          <w:szCs w:val="2"/>
        </w:rPr>
      </w:pPr>
      <w:r>
        <w:pict>
          <v:group id="_x0000_s1026" o:spid="_x0000_s1025" style="width:402pt;height:131.7pt;margin-top:545.2pt;margin-left:124.45pt;mso-height-relative:page;mso-position-horizontal-relative:page;mso-position-vertical-relative:page;mso-width-relative:page;position:absolute;z-index:-251658240" coordorigin="2489,10905" coordsize="8040,2634">
            <v:rect id="_x0000_s1027" o:spid="_x0000_s1026" style="width:10;height:10;left:2489;position:absolute;top:10904" coordsize="21600,21600" filled="t" fillcolor="black" stroked="f"/>
            <v:line id="_x0000_s1028" o:spid="_x0000_s1027" style="position:absolute" from="2499,10909" to="3257,10909" coordsize="21600,21600" stroked="t" strokecolor="black"/>
            <v:rect id="_x0000_s1029" o:spid="_x0000_s1028" style="width:10;height:10;left:3257;position:absolute;top:10904" coordsize="21600,21600" filled="t" fillcolor="black" stroked="f"/>
            <v:line id="_x0000_s1030" o:spid="_x0000_s1029" style="position:absolute" from="3267,10909" to="6421,10909" coordsize="21600,21600" stroked="t" strokecolor="black"/>
            <v:rect id="_x0000_s1031" o:spid="_x0000_s1030" style="width:10;height:10;left:6421;position:absolute;top:10904" coordsize="21600,21600" filled="t" fillcolor="black" stroked="f"/>
            <v:line id="_x0000_s1032" o:spid="_x0000_s1031" style="position:absolute" from="6431,10909" to="10519,10909" coordsize="21600,21600" stroked="t" strokecolor="black"/>
            <v:rect id="_x0000_s1033" o:spid="_x0000_s1032" style="width:10;height:10;left:10518;position:absolute;top:10904" coordsize="21600,21600" filled="t" fillcolor="black" stroked="f"/>
            <v:line id="_x0000_s1034" o:spid="_x0000_s1033" style="position:absolute" from="2499,11217" to="3257,11217" coordsize="21600,21600" stroked="t" strokecolor="black"/>
            <v:line id="_x0000_s1035" o:spid="_x0000_s1034" style="position:absolute" from="3267,11217" to="6421,11217" coordsize="21600,21600" stroked="t" strokecolor="black"/>
            <v:line id="_x0000_s1036" o:spid="_x0000_s1035" style="position:absolute" from="6431,11217" to="10519,11217" coordsize="21600,21600" stroked="t" strokecolor="black"/>
            <v:line id="_x0000_s1037" o:spid="_x0000_s1036" style="position:absolute" from="2499,11988" to="3257,11988" coordsize="21600,21600" stroked="t" strokecolor="black"/>
            <v:line id="_x0000_s1038" o:spid="_x0000_s1037" style="position:absolute" from="3267,11988" to="6421,11988" coordsize="21600,21600" stroked="t" strokecolor="black"/>
            <v:line id="_x0000_s1039" o:spid="_x0000_s1038" style="position:absolute" from="6431,11988" to="10519,11988" coordsize="21600,21600" stroked="t" strokecolor="black"/>
            <v:line id="_x0000_s1040" o:spid="_x0000_s1039" style="position:absolute" from="2499,12760" to="3257,12760" coordsize="21600,21600" stroked="t" strokecolor="black"/>
            <v:line id="_x0000_s1041" o:spid="_x0000_s1040" style="position:absolute" from="3267,12760" to="6421,12760" coordsize="21600,21600" stroked="t" strokecolor="black"/>
            <v:line id="_x0000_s1042" o:spid="_x0000_s1041" style="position:absolute" from="6431,12760" to="10519,12760" coordsize="21600,21600" stroked="t" strokecolor="black"/>
            <v:line id="_x0000_s1043" o:spid="_x0000_s1042" style="position:absolute" from="2494,10905" to="2494,13538" coordsize="21600,21600" stroked="t" strokecolor="black"/>
            <v:line id="_x0000_s1044" o:spid="_x0000_s1043" style="position:absolute" from="2499,13533" to="3257,13533" coordsize="21600,21600" stroked="t" strokecolor="black"/>
            <v:line id="_x0000_s1045" o:spid="_x0000_s1044" style="position:absolute" from="3262,10914" to="3262,13538" coordsize="21600,21600" stroked="t" strokecolor="black"/>
            <v:line id="_x0000_s1046" o:spid="_x0000_s1045" style="position:absolute" from="3267,13533" to="6421,13533" coordsize="21600,21600" stroked="t" strokecolor="black"/>
            <v:line id="_x0000_s1047" o:spid="_x0000_s1046" style="position:absolute" from="6426,10914" to="6426,13538" coordsize="21600,21600" stroked="t" strokecolor="black"/>
            <v:line id="_x0000_s1048" o:spid="_x0000_s1047" style="position:absolute" from="6431,13533" to="10519,13533" coordsize="21600,21600" stroked="t" strokecolor="black"/>
            <v:line id="_x0000_s1049" o:spid="_x0000_s1048" style="position:absolute" from="10524,10905" to="10524,13538" coordsize="21600,21600" stroked="t" strokecolor="black"/>
          </v:group>
        </w:pict>
      </w:r>
      <w:r>
        <w:pict>
          <v:shapetype id="_x0000_t202" coordsize="21600,21600" o:spt="202" path="m,l,21600r21600,l21600,xe">
            <v:stroke joinstyle="miter"/>
            <v:path gradientshapeok="t" o:connecttype="rect"/>
          </v:shapetype>
          <v:shape id="_x0000_s1050" o:spid="_x0000_s1049" type="#_x0000_t202" style="width:401.5pt;height:131.2pt;margin-top:545.45pt;margin-left:124.65pt;mso-height-relative:page;mso-position-horizontal-relative:page;mso-position-vertical-relative:page;mso-width-relative:page;position:absolute;z-index:251659264" coordsize="21600,21600" filled="f" stroked="f">
            <v:stroke joinstyle="miter"/>
            <v:textbox inset="0,0,0,0">
              <w:txbxContent>
                <w:tbl>
                  <w:tblPr>
                    <w:tblStyle w:val="TableNormal"/>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768"/>
                    <w:gridCol w:w="3164"/>
                    <w:gridCol w:w="4097"/>
                  </w:tblGrid>
                  <w:tr>
                    <w:tblPrEx>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307"/>
                    </w:trPr>
                    <w:tc>
                      <w:tcPr>
                        <w:tcW w:w="768" w:type="dxa"/>
                      </w:tcPr>
                      <w:p>
                        <w:pPr>
                          <w:pStyle w:val="TableParagraph"/>
                          <w:rPr>
                            <w:rFonts w:ascii="Times New Roman"/>
                            <w:sz w:val="18"/>
                          </w:rPr>
                        </w:pPr>
                      </w:p>
                    </w:tc>
                    <w:tc>
                      <w:tcPr>
                        <w:tcW w:w="3164" w:type="dxa"/>
                      </w:tcPr>
                      <w:p>
                        <w:pPr>
                          <w:pStyle w:val="TableParagraph"/>
                          <w:rPr>
                            <w:rFonts w:ascii="Times New Roman"/>
                            <w:sz w:val="18"/>
                          </w:rPr>
                        </w:pPr>
                      </w:p>
                    </w:tc>
                    <w:tc>
                      <w:tcPr>
                        <w:tcW w:w="4097"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770"/>
                    </w:trPr>
                    <w:tc>
                      <w:tcPr>
                        <w:tcW w:w="768" w:type="dxa"/>
                      </w:tcPr>
                      <w:p>
                        <w:pPr>
                          <w:pStyle w:val="TableParagraph"/>
                          <w:rPr>
                            <w:rFonts w:ascii="Times New Roman"/>
                            <w:sz w:val="18"/>
                          </w:rPr>
                        </w:pPr>
                      </w:p>
                    </w:tc>
                    <w:tc>
                      <w:tcPr>
                        <w:tcW w:w="3164" w:type="dxa"/>
                      </w:tcPr>
                      <w:p>
                        <w:pPr>
                          <w:pStyle w:val="TableParagraph"/>
                          <w:rPr>
                            <w:rFonts w:ascii="Times New Roman"/>
                            <w:sz w:val="18"/>
                          </w:rPr>
                        </w:pPr>
                      </w:p>
                    </w:tc>
                    <w:tc>
                      <w:tcPr>
                        <w:tcW w:w="4097"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772"/>
                    </w:trPr>
                    <w:tc>
                      <w:tcPr>
                        <w:tcW w:w="768" w:type="dxa"/>
                      </w:tcPr>
                      <w:p>
                        <w:pPr>
                          <w:pStyle w:val="TableParagraph"/>
                          <w:rPr>
                            <w:rFonts w:ascii="Times New Roman"/>
                            <w:sz w:val="18"/>
                          </w:rPr>
                        </w:pPr>
                      </w:p>
                    </w:tc>
                    <w:tc>
                      <w:tcPr>
                        <w:tcW w:w="3164" w:type="dxa"/>
                      </w:tcPr>
                      <w:p>
                        <w:pPr>
                          <w:pStyle w:val="TableParagraph"/>
                          <w:rPr>
                            <w:rFonts w:ascii="Times New Roman"/>
                            <w:sz w:val="18"/>
                          </w:rPr>
                        </w:pPr>
                      </w:p>
                    </w:tc>
                    <w:tc>
                      <w:tcPr>
                        <w:tcW w:w="4097"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772"/>
                    </w:trPr>
                    <w:tc>
                      <w:tcPr>
                        <w:tcW w:w="768" w:type="dxa"/>
                      </w:tcPr>
                      <w:p>
                        <w:pPr>
                          <w:pStyle w:val="TableParagraph"/>
                          <w:rPr>
                            <w:rFonts w:ascii="Times New Roman"/>
                            <w:sz w:val="18"/>
                          </w:rPr>
                        </w:pPr>
                      </w:p>
                    </w:tc>
                    <w:tc>
                      <w:tcPr>
                        <w:tcW w:w="3164" w:type="dxa"/>
                      </w:tcPr>
                      <w:p>
                        <w:pPr>
                          <w:pStyle w:val="TableParagraph"/>
                          <w:rPr>
                            <w:rFonts w:ascii="Times New Roman"/>
                            <w:sz w:val="18"/>
                          </w:rPr>
                        </w:pPr>
                      </w:p>
                    </w:tc>
                    <w:tc>
                      <w:tcPr>
                        <w:tcW w:w="4097" w:type="dxa"/>
                      </w:tcPr>
                      <w:p>
                        <w:pPr>
                          <w:pStyle w:val="TableParagraph"/>
                          <w:rPr>
                            <w:rFonts w:ascii="Times New Roman"/>
                            <w:sz w:val="18"/>
                          </w:rPr>
                        </w:pPr>
                      </w:p>
                    </w:tc>
                  </w:tr>
                </w:tbl>
                <w:p>
                  <w:pPr>
                    <w:pStyle w:val="BodyText"/>
                  </w:pPr>
                </w:p>
              </w:txbxContent>
            </v:textbox>
          </v:shape>
        </w:pict>
      </w:r>
    </w:p>
    <w:p>
      <w:pPr>
        <w:spacing w:after="0"/>
        <w:rPr>
          <w:sz w:val="2"/>
          <w:szCs w:val="2"/>
        </w:rPr>
        <w:sectPr>
          <w:footerReference w:type="default" r:id="rId7"/>
          <w:pgSz w:w="11910" w:h="16840"/>
          <w:pgMar w:top="1400" w:right="1140" w:bottom="1180" w:left="1140" w:header="0" w:footer="994" w:gutter="0"/>
          <w:pgNumType w:start="3"/>
          <w:cols w:num="1" w:space="720"/>
        </w:sectPr>
      </w:pPr>
    </w:p>
    <w:tbl>
      <w:tblPr>
        <w:tblStyle w:val="TableNormal"/>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14"/>
        <w:gridCol w:w="113"/>
        <w:gridCol w:w="648"/>
        <w:gridCol w:w="110"/>
        <w:gridCol w:w="4959"/>
        <w:gridCol w:w="1301"/>
        <w:gridCol w:w="1015"/>
        <w:gridCol w:w="110"/>
      </w:tblGrid>
      <w:tr>
        <w:tblPrEx>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08"/>
        </w:trPr>
        <w:tc>
          <w:tcPr>
            <w:tcW w:w="1114" w:type="dxa"/>
            <w:vMerge w:val="restart"/>
            <w:tcBorders>
              <w:right w:val="single" w:sz="4" w:space="0" w:color="000000"/>
            </w:tcBorders>
          </w:tcPr>
          <w:p>
            <w:pPr>
              <w:pStyle w:val="TableParagraph"/>
              <w:rPr>
                <w:rFonts w:ascii="Times New Roman"/>
                <w:sz w:val="18"/>
              </w:rPr>
            </w:pPr>
          </w:p>
        </w:tc>
        <w:tc>
          <w:tcPr>
            <w:tcW w:w="113" w:type="dxa"/>
            <w:vMerge w:val="restart"/>
            <w:tcBorders>
              <w:left w:val="single" w:sz="4" w:space="0" w:color="000000"/>
              <w:bottom w:val="nil"/>
              <w:right w:val="single" w:sz="4" w:space="0" w:color="000000"/>
            </w:tcBorders>
          </w:tcPr>
          <w:p>
            <w:pPr>
              <w:pStyle w:val="TableParagraph"/>
              <w:rPr>
                <w:rFonts w:ascii="Times New Roman"/>
                <w:sz w:val="18"/>
              </w:rPr>
            </w:pPr>
          </w:p>
        </w:tc>
        <w:tc>
          <w:tcPr>
            <w:tcW w:w="648" w:type="dxa"/>
            <w:tcBorders>
              <w:top w:val="single" w:sz="12" w:space="0" w:color="000000"/>
              <w:left w:val="single" w:sz="4" w:space="0" w:color="000000"/>
              <w:bottom w:val="single" w:sz="4" w:space="0" w:color="000000"/>
              <w:right w:val="single" w:sz="4" w:space="0" w:color="000000"/>
            </w:tcBorders>
          </w:tcPr>
          <w:p>
            <w:pPr>
              <w:pStyle w:val="TableParagraph"/>
              <w:spacing w:before="93" w:line="196" w:lineRule="exact"/>
              <w:ind w:right="266"/>
              <w:jc w:val="right"/>
              <w:rPr>
                <w:rFonts w:ascii="Times New Roman"/>
                <w:sz w:val="18"/>
              </w:rPr>
            </w:pPr>
            <w:r>
              <w:rPr>
                <w:rFonts w:ascii="Times New Roman"/>
                <w:sz w:val="18"/>
              </w:rPr>
              <w:t>4</w:t>
            </w:r>
          </w:p>
        </w:tc>
        <w:tc>
          <w:tcPr>
            <w:tcW w:w="6370" w:type="dxa"/>
            <w:gridSpan w:val="3"/>
            <w:tcBorders>
              <w:top w:val="single" w:sz="12" w:space="0" w:color="000000"/>
              <w:left w:val="single" w:sz="4" w:space="0" w:color="000000"/>
              <w:bottom w:val="single" w:sz="4" w:space="0" w:color="000000"/>
              <w:right w:val="single" w:sz="4" w:space="0" w:color="000000"/>
            </w:tcBorders>
          </w:tcPr>
          <w:p>
            <w:pPr>
              <w:pStyle w:val="TableParagraph"/>
              <w:spacing w:before="81" w:line="208" w:lineRule="exact"/>
              <w:ind w:left="1835"/>
              <w:rPr>
                <w:sz w:val="18"/>
              </w:rPr>
            </w:pPr>
            <w:r>
              <w:rPr>
                <w:sz w:val="18"/>
              </w:rPr>
              <w:t>禁止违规开展金融相关经营活动。</w:t>
            </w:r>
          </w:p>
        </w:tc>
        <w:tc>
          <w:tcPr>
            <w:tcW w:w="1015" w:type="dxa"/>
            <w:tcBorders>
              <w:top w:val="single" w:sz="12" w:space="0" w:color="000000"/>
              <w:left w:val="single" w:sz="4" w:space="0" w:color="000000"/>
              <w:bottom w:val="single" w:sz="4" w:space="0" w:color="000000"/>
              <w:right w:val="single" w:sz="4" w:space="0" w:color="000000"/>
            </w:tcBorders>
          </w:tcPr>
          <w:p>
            <w:pPr>
              <w:pStyle w:val="TableParagraph"/>
              <w:spacing w:before="81" w:line="208" w:lineRule="exact"/>
              <w:ind w:left="220" w:right="205"/>
              <w:jc w:val="center"/>
              <w:rPr>
                <w:sz w:val="18"/>
              </w:rPr>
            </w:pPr>
            <w:r>
              <w:rPr>
                <w:sz w:val="18"/>
              </w:rPr>
              <w:t>不属于</w:t>
            </w:r>
          </w:p>
        </w:tc>
        <w:tc>
          <w:tcPr>
            <w:tcW w:w="110" w:type="dxa"/>
            <w:tcBorders>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304"/>
        </w:trPr>
        <w:tc>
          <w:tcPr>
            <w:tcW w:w="1114"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48" w:type="dxa"/>
            <w:tcBorders>
              <w:top w:val="single" w:sz="4" w:space="0" w:color="000000"/>
              <w:left w:val="single" w:sz="4" w:space="0" w:color="000000"/>
              <w:bottom w:val="single" w:sz="4" w:space="0" w:color="000000"/>
              <w:right w:val="single" w:sz="4" w:space="0" w:color="000000"/>
            </w:tcBorders>
          </w:tcPr>
          <w:p>
            <w:pPr>
              <w:pStyle w:val="TableParagraph"/>
              <w:spacing w:before="88" w:line="196" w:lineRule="exact"/>
              <w:ind w:right="266"/>
              <w:jc w:val="right"/>
              <w:rPr>
                <w:rFonts w:ascii="Times New Roman"/>
                <w:sz w:val="18"/>
              </w:rPr>
            </w:pPr>
            <w:r>
              <w:rPr>
                <w:rFonts w:ascii="Times New Roman"/>
                <w:sz w:val="18"/>
              </w:rPr>
              <w:t>5</w:t>
            </w:r>
          </w:p>
        </w:tc>
        <w:tc>
          <w:tcPr>
            <w:tcW w:w="6370" w:type="dxa"/>
            <w:gridSpan w:val="3"/>
            <w:tcBorders>
              <w:top w:val="single" w:sz="4" w:space="0" w:color="000000"/>
              <w:left w:val="single" w:sz="4" w:space="0" w:color="000000"/>
              <w:bottom w:val="single" w:sz="4" w:space="0" w:color="000000"/>
              <w:right w:val="single" w:sz="4" w:space="0" w:color="000000"/>
            </w:tcBorders>
          </w:tcPr>
          <w:p>
            <w:pPr>
              <w:pStyle w:val="TableParagraph"/>
              <w:spacing w:before="74" w:line="210" w:lineRule="exact"/>
              <w:ind w:left="1746"/>
              <w:rPr>
                <w:sz w:val="18"/>
              </w:rPr>
            </w:pPr>
            <w:r>
              <w:rPr>
                <w:sz w:val="18"/>
              </w:rPr>
              <w:t>禁止违规开展互联网相关经营活动。</w:t>
            </w:r>
          </w:p>
        </w:tc>
        <w:tc>
          <w:tcPr>
            <w:tcW w:w="1015" w:type="dxa"/>
            <w:tcBorders>
              <w:top w:val="single" w:sz="4" w:space="0" w:color="000000"/>
              <w:left w:val="single" w:sz="4" w:space="0" w:color="000000"/>
              <w:bottom w:val="single" w:sz="4" w:space="0" w:color="000000"/>
              <w:right w:val="single" w:sz="4" w:space="0" w:color="000000"/>
            </w:tcBorders>
          </w:tcPr>
          <w:p>
            <w:pPr>
              <w:pStyle w:val="TableParagraph"/>
              <w:spacing w:before="74" w:line="210" w:lineRule="exact"/>
              <w:ind w:left="220" w:right="205"/>
              <w:jc w:val="center"/>
              <w:rPr>
                <w:sz w:val="18"/>
              </w:rPr>
            </w:pPr>
            <w:r>
              <w:rPr>
                <w:sz w:val="18"/>
              </w:rPr>
              <w:t>不属于</w:t>
            </w:r>
          </w:p>
        </w:tc>
        <w:tc>
          <w:tcPr>
            <w:tcW w:w="110"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8877"/>
        </w:trPr>
        <w:tc>
          <w:tcPr>
            <w:tcW w:w="1114" w:type="dxa"/>
            <w:vMerge/>
            <w:tcBorders>
              <w:top w:val="nil"/>
              <w:right w:val="single" w:sz="4" w:space="0" w:color="000000"/>
            </w:tcBorders>
          </w:tcPr>
          <w:p>
            <w:pPr>
              <w:rPr>
                <w:sz w:val="2"/>
                <w:szCs w:val="2"/>
              </w:rPr>
            </w:pPr>
          </w:p>
        </w:tc>
        <w:tc>
          <w:tcPr>
            <w:tcW w:w="8256" w:type="dxa"/>
            <w:gridSpan w:val="7"/>
            <w:tcBorders>
              <w:top w:val="single" w:sz="4" w:space="0" w:color="000000"/>
              <w:left w:val="single" w:sz="4" w:space="0" w:color="000000"/>
              <w:bottom w:val="single" w:sz="4" w:space="0" w:color="000000"/>
            </w:tcBorders>
          </w:tcPr>
          <w:p>
            <w:pPr>
              <w:pStyle w:val="TableParagraph"/>
              <w:spacing w:before="5"/>
              <w:rPr>
                <w:b/>
                <w:sz w:val="18"/>
              </w:rPr>
            </w:pPr>
          </w:p>
          <w:p>
            <w:pPr>
              <w:pStyle w:val="TableParagraph"/>
              <w:ind w:left="532"/>
              <w:rPr>
                <w:sz w:val="21"/>
              </w:rPr>
            </w:pPr>
            <w:r>
              <w:rPr>
                <w:sz w:val="21"/>
              </w:rPr>
              <w:t>综上，项目建设符合“三线一单”相关要求。</w:t>
            </w:r>
          </w:p>
          <w:p>
            <w:pPr>
              <w:pStyle w:val="TableParagraph"/>
              <w:spacing w:before="139"/>
              <w:ind w:left="534"/>
              <w:rPr>
                <w:b/>
                <w:sz w:val="21"/>
              </w:rPr>
            </w:pPr>
            <w:r>
              <w:rPr>
                <w:rFonts w:ascii="Times New Roman" w:eastAsia="Times New Roman" w:hAnsi="Times New Roman"/>
                <w:b/>
                <w:sz w:val="21"/>
              </w:rPr>
              <w:t>3.</w:t>
            </w:r>
            <w:r>
              <w:rPr>
                <w:b/>
                <w:sz w:val="21"/>
              </w:rPr>
              <w:t>与“三线一单”生态环境分区管控等文件相符性分析</w:t>
            </w:r>
          </w:p>
          <w:p>
            <w:pPr>
              <w:pStyle w:val="TableParagraph"/>
              <w:spacing w:before="139"/>
              <w:ind w:left="532"/>
              <w:rPr>
                <w:sz w:val="21"/>
              </w:rPr>
            </w:pPr>
            <w:r>
              <w:rPr>
                <w:sz w:val="21"/>
              </w:rPr>
              <w:t xml:space="preserve">扩建项目位于东坎高新技术产业园盘洋大道 </w:t>
            </w:r>
            <w:r>
              <w:rPr>
                <w:rFonts w:ascii="Times New Roman" w:eastAsia="Times New Roman"/>
                <w:sz w:val="21"/>
              </w:rPr>
              <w:t xml:space="preserve">11 </w:t>
            </w:r>
            <w:r>
              <w:rPr>
                <w:sz w:val="21"/>
              </w:rPr>
              <w:t>号，属于重点管控单元。</w:t>
            </w:r>
          </w:p>
          <w:p>
            <w:pPr>
              <w:pStyle w:val="TableParagraph"/>
              <w:numPr>
                <w:ilvl w:val="0"/>
                <w:numId w:val="54"/>
              </w:numPr>
              <w:tabs>
                <w:tab w:val="left" w:pos="1071"/>
              </w:tabs>
              <w:spacing w:before="141" w:after="0" w:line="364" w:lineRule="auto"/>
              <w:ind w:left="112" w:right="86" w:firstLine="422"/>
              <w:jc w:val="left"/>
              <w:rPr>
                <w:b/>
                <w:sz w:val="21"/>
              </w:rPr>
            </w:pPr>
            <w:r>
              <w:rPr>
                <w:b/>
                <w:spacing w:val="-4"/>
                <w:sz w:val="21"/>
              </w:rPr>
              <w:t>《省政府关于印发江苏省“三线一单”生态环境分区管控方案的通知》</w:t>
            </w:r>
            <w:r>
              <w:rPr>
                <w:b/>
                <w:spacing w:val="4"/>
                <w:sz w:val="21"/>
              </w:rPr>
              <w:t>（苏</w:t>
            </w:r>
            <w:r>
              <w:rPr>
                <w:b/>
                <w:sz w:val="21"/>
              </w:rPr>
              <w:t>政发</w:t>
            </w:r>
            <w:r>
              <w:rPr>
                <w:rFonts w:ascii="Times New Roman" w:eastAsia="Times New Roman" w:hAnsi="Times New Roman"/>
                <w:b/>
                <w:sz w:val="21"/>
              </w:rPr>
              <w:t>[2020]49</w:t>
            </w:r>
            <w:r>
              <w:rPr>
                <w:b/>
                <w:sz w:val="21"/>
              </w:rPr>
              <w:t>）</w:t>
            </w:r>
          </w:p>
          <w:p>
            <w:pPr>
              <w:pStyle w:val="TableParagraph"/>
              <w:spacing w:line="267" w:lineRule="exact"/>
              <w:ind w:left="2272"/>
              <w:rPr>
                <w:b/>
                <w:sz w:val="21"/>
              </w:rPr>
            </w:pPr>
            <w:r>
              <w:rPr>
                <w:b/>
                <w:sz w:val="21"/>
              </w:rPr>
              <w:t xml:space="preserve">表 </w:t>
            </w:r>
            <w:r>
              <w:rPr>
                <w:rFonts w:ascii="Times New Roman" w:eastAsia="Times New Roman"/>
                <w:b/>
                <w:sz w:val="21"/>
              </w:rPr>
              <w:t xml:space="preserve">1-4 </w:t>
            </w:r>
            <w:r>
              <w:rPr>
                <w:b/>
                <w:sz w:val="21"/>
              </w:rPr>
              <w:t>与苏政发</w:t>
            </w:r>
            <w:r>
              <w:rPr>
                <w:rFonts w:ascii="Times New Roman" w:eastAsia="Times New Roman"/>
                <w:b/>
                <w:sz w:val="21"/>
              </w:rPr>
              <w:t xml:space="preserve">[2020]49 </w:t>
            </w:r>
            <w:r>
              <w:rPr>
                <w:b/>
                <w:sz w:val="21"/>
              </w:rPr>
              <w:t>号相符性一览表</w:t>
            </w:r>
          </w:p>
          <w:p>
            <w:pPr>
              <w:pStyle w:val="TableParagraph"/>
              <w:tabs>
                <w:tab w:val="left" w:pos="3139"/>
                <w:tab w:val="left" w:pos="6869"/>
              </w:tabs>
              <w:spacing w:before="190" w:line="120" w:lineRule="auto"/>
              <w:ind w:left="450" w:right="467" w:hanging="183"/>
              <w:rPr>
                <w:b/>
                <w:sz w:val="18"/>
              </w:rPr>
            </w:pPr>
            <w:r>
              <w:rPr>
                <w:b/>
                <w:position w:val="12"/>
                <w:sz w:val="18"/>
              </w:rPr>
              <w:t>管控类</w:t>
            </w:r>
            <w:r>
              <w:rPr>
                <w:b/>
                <w:position w:val="12"/>
                <w:sz w:val="18"/>
              </w:rPr>
              <w:tab/>
            </w:r>
            <w:r>
              <w:rPr>
                <w:b/>
                <w:sz w:val="18"/>
              </w:rPr>
              <w:t>重点管控要求</w:t>
            </w:r>
            <w:r>
              <w:rPr>
                <w:b/>
                <w:sz w:val="18"/>
              </w:rPr>
              <w:tab/>
            </w:r>
            <w:r>
              <w:rPr>
                <w:b/>
                <w:sz w:val="18"/>
              </w:rPr>
              <w:t>本项目情</w:t>
            </w:r>
            <w:r>
              <w:rPr>
                <w:b/>
                <w:spacing w:val="-17"/>
                <w:sz w:val="18"/>
              </w:rPr>
              <w:t>况</w:t>
            </w:r>
            <w:r>
              <w:rPr>
                <w:b/>
                <w:sz w:val="18"/>
              </w:rPr>
              <w:t>别</w:t>
            </w:r>
          </w:p>
          <w:p>
            <w:pPr>
              <w:pStyle w:val="TableParagraph"/>
              <w:numPr>
                <w:ilvl w:val="1"/>
                <w:numId w:val="54"/>
              </w:numPr>
              <w:tabs>
                <w:tab w:val="left" w:pos="1125"/>
                <w:tab w:val="left" w:pos="6509"/>
              </w:tabs>
              <w:spacing w:before="148" w:after="0" w:line="160" w:lineRule="auto"/>
              <w:ind w:left="980" w:right="109" w:firstLine="0"/>
              <w:jc w:val="both"/>
              <w:rPr>
                <w:sz w:val="18"/>
              </w:rPr>
            </w:pPr>
            <w:r>
              <w:rPr>
                <w:spacing w:val="7"/>
                <w:sz w:val="18"/>
              </w:rPr>
              <w:t>禁止在淮</w:t>
            </w:r>
            <w:r>
              <w:rPr>
                <w:spacing w:val="9"/>
                <w:sz w:val="18"/>
              </w:rPr>
              <w:t>河</w:t>
            </w:r>
            <w:r>
              <w:rPr>
                <w:spacing w:val="7"/>
                <w:sz w:val="18"/>
              </w:rPr>
              <w:t>流</w:t>
            </w:r>
            <w:r>
              <w:rPr>
                <w:spacing w:val="9"/>
                <w:sz w:val="18"/>
              </w:rPr>
              <w:t>域</w:t>
            </w:r>
            <w:r>
              <w:rPr>
                <w:spacing w:val="7"/>
                <w:sz w:val="18"/>
              </w:rPr>
              <w:t>新建</w:t>
            </w:r>
            <w:r>
              <w:rPr>
                <w:spacing w:val="9"/>
                <w:sz w:val="18"/>
              </w:rPr>
              <w:t>化</w:t>
            </w:r>
            <w:r>
              <w:rPr>
                <w:spacing w:val="7"/>
                <w:sz w:val="18"/>
              </w:rPr>
              <w:t>学</w:t>
            </w:r>
            <w:r>
              <w:rPr>
                <w:spacing w:val="9"/>
                <w:sz w:val="18"/>
              </w:rPr>
              <w:t>制</w:t>
            </w:r>
            <w:r>
              <w:rPr>
                <w:spacing w:val="7"/>
                <w:sz w:val="18"/>
              </w:rPr>
              <w:t>浆造</w:t>
            </w:r>
            <w:r>
              <w:rPr>
                <w:spacing w:val="9"/>
                <w:sz w:val="18"/>
              </w:rPr>
              <w:t>纸</w:t>
            </w:r>
            <w:r>
              <w:rPr>
                <w:spacing w:val="7"/>
                <w:sz w:val="18"/>
              </w:rPr>
              <w:t>企业</w:t>
            </w:r>
            <w:r>
              <w:rPr>
                <w:spacing w:val="9"/>
                <w:sz w:val="18"/>
              </w:rPr>
              <w:t>，</w:t>
            </w:r>
            <w:r>
              <w:rPr>
                <w:spacing w:val="7"/>
                <w:sz w:val="18"/>
              </w:rPr>
              <w:t>禁</w:t>
            </w:r>
            <w:r>
              <w:rPr>
                <w:spacing w:val="9"/>
                <w:sz w:val="18"/>
              </w:rPr>
              <w:t>止</w:t>
            </w:r>
            <w:r>
              <w:rPr>
                <w:spacing w:val="7"/>
                <w:sz w:val="18"/>
              </w:rPr>
              <w:t>在淮</w:t>
            </w:r>
            <w:r>
              <w:rPr>
                <w:spacing w:val="9"/>
                <w:sz w:val="18"/>
              </w:rPr>
              <w:t>河</w:t>
            </w:r>
            <w:r>
              <w:rPr>
                <w:spacing w:val="7"/>
                <w:sz w:val="18"/>
              </w:rPr>
              <w:t>流</w:t>
            </w:r>
            <w:r>
              <w:rPr>
                <w:spacing w:val="9"/>
                <w:sz w:val="18"/>
              </w:rPr>
              <w:t>域</w:t>
            </w:r>
            <w:r>
              <w:rPr>
                <w:spacing w:val="7"/>
                <w:sz w:val="18"/>
              </w:rPr>
              <w:t>新建</w:t>
            </w:r>
            <w:r>
              <w:rPr>
                <w:sz w:val="18"/>
              </w:rPr>
              <w:t>制</w:t>
            </w:r>
            <w:r>
              <w:rPr>
                <w:spacing w:val="44"/>
                <w:sz w:val="18"/>
              </w:rPr>
              <w:t xml:space="preserve"> </w:t>
            </w:r>
            <w:r>
              <w:rPr>
                <w:position w:val="-11"/>
                <w:sz w:val="18"/>
              </w:rPr>
              <w:t>项目属于食品包装</w:t>
            </w:r>
            <w:r>
              <w:rPr>
                <w:spacing w:val="-12"/>
                <w:position w:val="-11"/>
                <w:sz w:val="18"/>
              </w:rPr>
              <w:t>制</w:t>
            </w:r>
            <w:r>
              <w:rPr>
                <w:sz w:val="18"/>
              </w:rPr>
              <w:t>革、化工、印染、电镀、酿造等污染严重的小型企业。</w:t>
            </w:r>
            <w:r>
              <w:rPr>
                <w:sz w:val="18"/>
              </w:rPr>
              <w:tab/>
            </w:r>
            <w:r>
              <w:rPr>
                <w:position w:val="-11"/>
                <w:sz w:val="18"/>
              </w:rPr>
              <w:t>造，不属于制革、</w:t>
            </w:r>
            <w:r>
              <w:rPr>
                <w:spacing w:val="-17"/>
                <w:position w:val="-11"/>
                <w:sz w:val="18"/>
              </w:rPr>
              <w:t>化</w:t>
            </w:r>
            <w:r>
              <w:rPr>
                <w:rFonts w:ascii="Times New Roman" w:eastAsia="Times New Roman"/>
                <w:spacing w:val="3"/>
                <w:sz w:val="18"/>
              </w:rPr>
              <w:t>2.</w:t>
            </w:r>
            <w:r>
              <w:rPr>
                <w:spacing w:val="4"/>
                <w:sz w:val="18"/>
              </w:rPr>
              <w:t>落实《江苏省通榆河水污</w:t>
            </w:r>
            <w:r>
              <w:rPr>
                <w:sz w:val="18"/>
              </w:rPr>
              <w:t>染</w:t>
            </w:r>
            <w:r>
              <w:rPr>
                <w:spacing w:val="4"/>
                <w:sz w:val="18"/>
              </w:rPr>
              <w:t>防治条例</w:t>
            </w:r>
            <w:r>
              <w:rPr>
                <w:spacing w:val="-87"/>
                <w:sz w:val="18"/>
              </w:rPr>
              <w:t>》</w:t>
            </w:r>
            <w:r>
              <w:rPr>
                <w:spacing w:val="4"/>
                <w:sz w:val="18"/>
              </w:rPr>
              <w:t>，在通榆河一级保护区、</w:t>
            </w:r>
            <w:r>
              <w:rPr>
                <w:sz w:val="18"/>
              </w:rPr>
              <w:t>二</w:t>
            </w:r>
            <w:r>
              <w:rPr>
                <w:spacing w:val="37"/>
                <w:sz w:val="18"/>
              </w:rPr>
              <w:t xml:space="preserve"> </w:t>
            </w:r>
            <w:r>
              <w:rPr>
                <w:position w:val="-11"/>
                <w:sz w:val="18"/>
              </w:rPr>
              <w:t>工、印染、电镀、酿</w:t>
            </w:r>
            <w:r>
              <w:rPr>
                <w:sz w:val="18"/>
              </w:rPr>
              <w:t>级保护区，禁止新建、改建、扩建制浆、造纸、化工、制革、酿造、</w:t>
            </w:r>
            <w:r>
              <w:rPr>
                <w:spacing w:val="37"/>
                <w:sz w:val="18"/>
              </w:rPr>
              <w:t xml:space="preserve"> </w:t>
            </w:r>
            <w:r>
              <w:rPr>
                <w:position w:val="-11"/>
                <w:sz w:val="18"/>
              </w:rPr>
              <w:t>造等污染环境的项</w:t>
            </w:r>
          </w:p>
          <w:p>
            <w:pPr>
              <w:pStyle w:val="TableParagraph"/>
              <w:spacing w:line="4" w:lineRule="exact"/>
              <w:ind w:left="270"/>
              <w:rPr>
                <w:sz w:val="18"/>
              </w:rPr>
            </w:pPr>
            <w:r>
              <w:rPr>
                <w:sz w:val="18"/>
              </w:rPr>
              <w:t xml:space="preserve">空间布 染料、印染、电镀、炼油、铅酸蓄电池和排放水污染物的黑色金属冶 </w:t>
            </w:r>
            <w:r>
              <w:rPr>
                <w:position w:val="-11"/>
                <w:sz w:val="18"/>
              </w:rPr>
              <w:t>目，项目位于滨海县</w:t>
            </w:r>
          </w:p>
          <w:p>
            <w:pPr>
              <w:pStyle w:val="TableParagraph"/>
              <w:tabs>
                <w:tab w:val="left" w:pos="6562"/>
              </w:tabs>
              <w:spacing w:line="177" w:lineRule="auto"/>
              <w:ind w:left="980" w:right="109" w:hanging="711"/>
              <w:rPr>
                <w:sz w:val="18"/>
              </w:rPr>
            </w:pPr>
            <w:r>
              <w:rPr>
                <w:sz w:val="18"/>
              </w:rPr>
              <w:t>局约束</w:t>
            </w:r>
            <w:r>
              <w:rPr>
                <w:spacing w:val="82"/>
                <w:sz w:val="18"/>
              </w:rPr>
              <w:t xml:space="preserve"> </w:t>
            </w:r>
            <w:r>
              <w:rPr>
                <w:sz w:val="18"/>
              </w:rPr>
              <w:t>炼及压延加工项目、有色金属冶炼及压延加工项目、金属制品项目等</w:t>
            </w:r>
            <w:r>
              <w:rPr>
                <w:spacing w:val="35"/>
                <w:sz w:val="18"/>
              </w:rPr>
              <w:t xml:space="preserve"> </w:t>
            </w:r>
            <w:r>
              <w:rPr>
                <w:position w:val="-11"/>
                <w:sz w:val="18"/>
              </w:rPr>
              <w:t>东坎高新技术产业</w:t>
            </w:r>
            <w:r>
              <w:rPr>
                <w:spacing w:val="-15"/>
                <w:position w:val="-11"/>
                <w:sz w:val="18"/>
              </w:rPr>
              <w:t>园</w:t>
            </w:r>
            <w:r>
              <w:rPr>
                <w:position w:val="12"/>
                <w:sz w:val="18"/>
              </w:rPr>
              <w:t>污染环境的项目。</w:t>
            </w:r>
            <w:r>
              <w:rPr>
                <w:position w:val="12"/>
                <w:sz w:val="18"/>
              </w:rPr>
              <w:tab/>
            </w:r>
            <w:r>
              <w:rPr>
                <w:sz w:val="18"/>
              </w:rPr>
              <w:t>盘洋大道</w:t>
            </w:r>
            <w:r>
              <w:rPr>
                <w:spacing w:val="-45"/>
                <w:sz w:val="18"/>
              </w:rPr>
              <w:t xml:space="preserve"> </w:t>
            </w:r>
            <w:r>
              <w:rPr>
                <w:rFonts w:ascii="Times New Roman" w:eastAsia="Times New Roman"/>
                <w:spacing w:val="-3"/>
                <w:sz w:val="18"/>
              </w:rPr>
              <w:t>11</w:t>
            </w:r>
            <w:r>
              <w:rPr>
                <w:rFonts w:ascii="Times New Roman" w:eastAsia="Times New Roman"/>
                <w:spacing w:val="-8"/>
                <w:sz w:val="18"/>
              </w:rPr>
              <w:t xml:space="preserve"> </w:t>
            </w:r>
            <w:r>
              <w:rPr>
                <w:sz w:val="18"/>
              </w:rPr>
              <w:t>号，符</w:t>
            </w:r>
          </w:p>
          <w:p>
            <w:pPr>
              <w:pStyle w:val="TableParagraph"/>
              <w:spacing w:line="64" w:lineRule="auto"/>
              <w:ind w:left="980"/>
              <w:jc w:val="both"/>
              <w:rPr>
                <w:sz w:val="18"/>
              </w:rPr>
            </w:pPr>
            <w:r>
              <w:rPr>
                <w:rFonts w:ascii="Times New Roman" w:eastAsia="Times New Roman"/>
                <w:sz w:val="18"/>
              </w:rPr>
              <w:t>3.</w:t>
            </w:r>
            <w:r>
              <w:rPr>
                <w:sz w:val="18"/>
              </w:rPr>
              <w:t xml:space="preserve">在通榆河一级保护区，禁止新建、扩建直接或者间接向水体排放污 </w:t>
            </w:r>
            <w:r>
              <w:rPr>
                <w:position w:val="-11"/>
                <w:sz w:val="18"/>
              </w:rPr>
              <w:t>合盐城市总体规划等</w:t>
            </w:r>
          </w:p>
          <w:p>
            <w:pPr>
              <w:pStyle w:val="TableParagraph"/>
              <w:tabs>
                <w:tab w:val="left" w:pos="6869"/>
              </w:tabs>
              <w:spacing w:line="160" w:lineRule="auto"/>
              <w:ind w:left="980" w:right="469"/>
              <w:rPr>
                <w:sz w:val="18"/>
              </w:rPr>
            </w:pPr>
            <w:r>
              <w:rPr>
                <w:sz w:val="18"/>
              </w:rPr>
              <w:t>染物的项目，禁止建设工业固体废物集中贮存、利用、处置设施或者</w:t>
            </w:r>
            <w:r>
              <w:rPr>
                <w:sz w:val="18"/>
              </w:rPr>
              <w:tab/>
            </w:r>
            <w:r>
              <w:rPr>
                <w:position w:val="-11"/>
                <w:sz w:val="18"/>
              </w:rPr>
              <w:t>相关要求</w:t>
            </w:r>
            <w:r>
              <w:rPr>
                <w:spacing w:val="-17"/>
                <w:position w:val="-11"/>
                <w:sz w:val="18"/>
              </w:rPr>
              <w:t>。</w:t>
            </w:r>
            <w:r>
              <w:rPr>
                <w:sz w:val="18"/>
              </w:rPr>
              <w:t>场所以及城市生活垃圾填埋场，禁止新建规模化畜禽养殖场。</w:t>
            </w:r>
          </w:p>
          <w:p>
            <w:pPr>
              <w:pStyle w:val="TableParagraph"/>
              <w:tabs>
                <w:tab w:val="left" w:pos="6509"/>
              </w:tabs>
              <w:spacing w:before="8"/>
              <w:ind w:left="270"/>
              <w:rPr>
                <w:sz w:val="18"/>
              </w:rPr>
            </w:pPr>
            <w:r>
              <w:rPr>
                <w:sz w:val="18"/>
              </w:rPr>
              <w:t>污染物</w:t>
            </w:r>
            <w:r>
              <w:rPr>
                <w:sz w:val="18"/>
              </w:rPr>
              <w:tab/>
            </w:r>
            <w:r>
              <w:rPr>
                <w:sz w:val="18"/>
              </w:rPr>
              <w:t>本项目各类污染物均</w:t>
            </w:r>
          </w:p>
          <w:p>
            <w:pPr>
              <w:pStyle w:val="TableParagraph"/>
              <w:tabs>
                <w:tab w:val="left" w:pos="1252"/>
                <w:tab w:val="left" w:pos="6509"/>
              </w:tabs>
              <w:spacing w:before="2" w:line="242" w:lineRule="auto"/>
              <w:ind w:left="450" w:right="109" w:hanging="180"/>
              <w:rPr>
                <w:sz w:val="18"/>
              </w:rPr>
            </w:pPr>
            <w:r>
              <w:rPr>
                <w:sz w:val="18"/>
              </w:rPr>
              <w:t>排放管</w:t>
            </w:r>
            <w:r>
              <w:rPr>
                <w:sz w:val="18"/>
              </w:rPr>
              <w:tab/>
            </w:r>
            <w:r>
              <w:rPr>
                <w:sz w:val="18"/>
              </w:rPr>
              <w:t>按照《淮河流域水污染防治暂行条例》实施排污总量控制制度</w:t>
            </w:r>
            <w:r>
              <w:rPr>
                <w:sz w:val="18"/>
              </w:rPr>
              <w:tab/>
            </w:r>
            <w:r>
              <w:rPr>
                <w:sz w:val="18"/>
              </w:rPr>
              <w:t>处置达标后排放，</w:t>
            </w:r>
            <w:r>
              <w:rPr>
                <w:spacing w:val="-17"/>
                <w:sz w:val="18"/>
              </w:rPr>
              <w:t>环</w:t>
            </w:r>
            <w:r>
              <w:rPr>
                <w:sz w:val="18"/>
              </w:rPr>
              <w:t>控</w:t>
            </w:r>
            <w:r>
              <w:rPr>
                <w:sz w:val="18"/>
              </w:rPr>
              <w:tab/>
            </w:r>
            <w:r>
              <w:rPr>
                <w:sz w:val="18"/>
              </w:rPr>
              <w:tab/>
            </w:r>
            <w:r>
              <w:rPr>
                <w:sz w:val="18"/>
              </w:rPr>
              <w:t>评审批前申请总量</w:t>
            </w:r>
            <w:r>
              <w:rPr>
                <w:spacing w:val="-17"/>
                <w:sz w:val="18"/>
              </w:rPr>
              <w:t>。</w:t>
            </w:r>
          </w:p>
          <w:p>
            <w:pPr>
              <w:pStyle w:val="TableParagraph"/>
              <w:tabs>
                <w:tab w:val="left" w:pos="2152"/>
                <w:tab w:val="left" w:pos="6509"/>
              </w:tabs>
              <w:spacing w:before="160" w:line="158" w:lineRule="auto"/>
              <w:ind w:left="270" w:right="109"/>
              <w:rPr>
                <w:sz w:val="18"/>
              </w:rPr>
            </w:pPr>
            <w:r>
              <w:rPr>
                <w:sz w:val="18"/>
              </w:rPr>
              <w:t>环境风</w:t>
            </w:r>
            <w:r>
              <w:rPr>
                <w:spacing w:val="80"/>
                <w:sz w:val="18"/>
              </w:rPr>
              <w:t xml:space="preserve"> </w:t>
            </w:r>
            <w:r>
              <w:rPr>
                <w:sz w:val="18"/>
              </w:rPr>
              <w:t>禁止运输剧毒化学品以及国家规定禁止通过内河运输的其他危险化学</w:t>
            </w:r>
            <w:r>
              <w:rPr>
                <w:spacing w:val="38"/>
                <w:sz w:val="18"/>
              </w:rPr>
              <w:t xml:space="preserve"> </w:t>
            </w:r>
            <w:r>
              <w:rPr>
                <w:position w:val="12"/>
                <w:sz w:val="18"/>
              </w:rPr>
              <w:t>本项目不涉及运输</w:t>
            </w:r>
            <w:r>
              <w:rPr>
                <w:spacing w:val="-16"/>
                <w:position w:val="12"/>
                <w:sz w:val="18"/>
              </w:rPr>
              <w:t>剧</w:t>
            </w:r>
            <w:r>
              <w:rPr>
                <w:sz w:val="18"/>
              </w:rPr>
              <w:t>险防控</w:t>
            </w:r>
            <w:r>
              <w:rPr>
                <w:sz w:val="18"/>
              </w:rPr>
              <w:tab/>
            </w:r>
            <w:r>
              <w:rPr>
                <w:sz w:val="18"/>
              </w:rPr>
              <w:t>品的船舶进入通榆河及主要供水河道。</w:t>
            </w:r>
            <w:r>
              <w:rPr>
                <w:sz w:val="18"/>
              </w:rPr>
              <w:tab/>
            </w:r>
            <w:r>
              <w:rPr>
                <w:position w:val="12"/>
                <w:sz w:val="18"/>
              </w:rPr>
              <w:t>毒化学品进入通榆</w:t>
            </w:r>
            <w:r>
              <w:rPr>
                <w:spacing w:val="-17"/>
                <w:position w:val="12"/>
                <w:sz w:val="18"/>
              </w:rPr>
              <w:t>河</w:t>
            </w:r>
          </w:p>
          <w:p>
            <w:pPr>
              <w:pStyle w:val="TableParagraph"/>
              <w:spacing w:line="95" w:lineRule="exact"/>
              <w:ind w:right="198"/>
              <w:jc w:val="right"/>
              <w:rPr>
                <w:sz w:val="18"/>
              </w:rPr>
            </w:pPr>
            <w:r>
              <w:rPr>
                <w:sz w:val="18"/>
              </w:rPr>
              <w:t>及主要供水河道。</w:t>
            </w:r>
          </w:p>
          <w:p>
            <w:pPr>
              <w:pStyle w:val="TableParagraph"/>
              <w:spacing w:before="3"/>
              <w:rPr>
                <w:b/>
                <w:sz w:val="13"/>
              </w:rPr>
            </w:pPr>
          </w:p>
          <w:p>
            <w:pPr>
              <w:pStyle w:val="TableParagraph"/>
              <w:tabs>
                <w:tab w:val="left" w:pos="2152"/>
                <w:tab w:val="left" w:pos="6509"/>
                <w:tab w:val="left" w:pos="6600"/>
                <w:tab w:val="left" w:pos="6692"/>
              </w:tabs>
              <w:spacing w:before="1" w:line="144" w:lineRule="auto"/>
              <w:ind w:left="270" w:right="109"/>
              <w:rPr>
                <w:sz w:val="18"/>
              </w:rPr>
            </w:pPr>
            <w:r>
              <w:rPr>
                <w:position w:val="12"/>
                <w:sz w:val="18"/>
              </w:rPr>
              <w:t>资源开</w:t>
            </w:r>
            <w:r>
              <w:rPr>
                <w:spacing w:val="80"/>
                <w:position w:val="12"/>
                <w:sz w:val="18"/>
              </w:rPr>
              <w:t xml:space="preserve"> </w:t>
            </w:r>
            <w:r>
              <w:rPr>
                <w:sz w:val="18"/>
              </w:rPr>
              <w:t>限制缺水地区发展耗水型产业，调整缺水地区的产业结构，严格控制</w:t>
            </w:r>
            <w:r>
              <w:rPr>
                <w:sz w:val="18"/>
              </w:rPr>
              <w:tab/>
            </w:r>
            <w:r>
              <w:rPr>
                <w:sz w:val="18"/>
              </w:rPr>
              <w:tab/>
            </w:r>
            <w:r>
              <w:rPr>
                <w:position w:val="12"/>
                <w:sz w:val="18"/>
              </w:rPr>
              <w:t>本项目不属于高耗发效率</w:t>
            </w:r>
            <w:r>
              <w:rPr>
                <w:position w:val="12"/>
                <w:sz w:val="18"/>
              </w:rPr>
              <w:tab/>
            </w:r>
            <w:r>
              <w:rPr>
                <w:sz w:val="18"/>
              </w:rPr>
              <w:t>高耗水、高耗能和重污染的建设项目。</w:t>
            </w:r>
            <w:r>
              <w:rPr>
                <w:sz w:val="18"/>
              </w:rPr>
              <w:tab/>
            </w:r>
            <w:r>
              <w:rPr>
                <w:position w:val="12"/>
                <w:sz w:val="18"/>
              </w:rPr>
              <w:t>水、高耗能和重污</w:t>
            </w:r>
            <w:r>
              <w:rPr>
                <w:spacing w:val="-17"/>
                <w:position w:val="12"/>
                <w:sz w:val="18"/>
              </w:rPr>
              <w:t>染</w:t>
            </w:r>
            <w:r>
              <w:rPr>
                <w:sz w:val="18"/>
              </w:rPr>
              <w:t>要求</w:t>
            </w:r>
            <w:r>
              <w:rPr>
                <w:sz w:val="18"/>
              </w:rPr>
              <w:tab/>
            </w:r>
            <w:r>
              <w:rPr>
                <w:sz w:val="18"/>
              </w:rPr>
              <w:tab/>
            </w:r>
            <w:r>
              <w:rPr>
                <w:sz w:val="18"/>
              </w:rPr>
              <w:tab/>
            </w:r>
            <w:r>
              <w:rPr>
                <w:sz w:val="18"/>
              </w:rPr>
              <w:tab/>
            </w:r>
            <w:r>
              <w:rPr>
                <w:sz w:val="18"/>
              </w:rPr>
              <w:t>的建设项目。</w:t>
            </w:r>
          </w:p>
          <w:p>
            <w:pPr>
              <w:pStyle w:val="TableParagraph"/>
              <w:spacing w:before="85" w:line="410" w:lineRule="atLeast"/>
              <w:ind w:left="1415" w:right="354" w:hanging="882"/>
              <w:rPr>
                <w:b/>
                <w:sz w:val="21"/>
              </w:rPr>
            </w:pPr>
            <w:r>
              <w:rPr>
                <w:b/>
                <w:spacing w:val="2"/>
                <w:w w:val="100"/>
                <w:sz w:val="21"/>
              </w:rPr>
              <w:t>（</w:t>
            </w:r>
            <w:r>
              <w:rPr>
                <w:rFonts w:ascii="Times New Roman" w:eastAsia="Times New Roman" w:hAnsi="Times New Roman"/>
                <w:b/>
                <w:spacing w:val="-3"/>
                <w:w w:val="100"/>
                <w:sz w:val="21"/>
              </w:rPr>
              <w:t>2</w:t>
            </w:r>
            <w:r>
              <w:rPr>
                <w:b/>
                <w:spacing w:val="-106"/>
                <w:w w:val="100"/>
                <w:sz w:val="21"/>
              </w:rPr>
              <w:t>）</w:t>
            </w:r>
            <w:r>
              <w:rPr>
                <w:b/>
                <w:spacing w:val="-8"/>
                <w:w w:val="100"/>
                <w:sz w:val="21"/>
              </w:rPr>
              <w:t>《盐城市“三线一单”生态环境分区管控实施方案》</w:t>
            </w:r>
            <w:r>
              <w:rPr>
                <w:b/>
                <w:w w:val="100"/>
                <w:sz w:val="21"/>
              </w:rPr>
              <w:t>（盐环发</w:t>
            </w:r>
            <w:r>
              <w:rPr>
                <w:rFonts w:ascii="Times New Roman" w:eastAsia="Times New Roman" w:hAnsi="Times New Roman"/>
                <w:b/>
                <w:spacing w:val="-1"/>
                <w:w w:val="100"/>
                <w:sz w:val="21"/>
              </w:rPr>
              <w:t>[</w:t>
            </w:r>
            <w:r>
              <w:rPr>
                <w:rFonts w:ascii="Times New Roman" w:eastAsia="Times New Roman" w:hAnsi="Times New Roman"/>
                <w:b/>
                <w:w w:val="100"/>
                <w:sz w:val="21"/>
              </w:rPr>
              <w:t>2</w:t>
            </w:r>
            <w:r>
              <w:rPr>
                <w:rFonts w:ascii="Times New Roman" w:eastAsia="Times New Roman" w:hAnsi="Times New Roman"/>
                <w:b/>
                <w:spacing w:val="-3"/>
                <w:w w:val="100"/>
                <w:sz w:val="21"/>
              </w:rPr>
              <w:t>0</w:t>
            </w:r>
            <w:r>
              <w:rPr>
                <w:rFonts w:ascii="Times New Roman" w:eastAsia="Times New Roman" w:hAnsi="Times New Roman"/>
                <w:b/>
                <w:w w:val="100"/>
                <w:sz w:val="21"/>
              </w:rPr>
              <w:t>20</w:t>
            </w:r>
            <w:r>
              <w:rPr>
                <w:rFonts w:ascii="Times New Roman" w:eastAsia="Times New Roman" w:hAnsi="Times New Roman"/>
                <w:b/>
                <w:spacing w:val="-1"/>
                <w:w w:val="100"/>
                <w:sz w:val="21"/>
              </w:rPr>
              <w:t>]</w:t>
            </w:r>
            <w:r>
              <w:rPr>
                <w:rFonts w:ascii="Times New Roman" w:eastAsia="Times New Roman" w:hAnsi="Times New Roman"/>
                <w:b/>
                <w:w w:val="100"/>
                <w:sz w:val="21"/>
              </w:rPr>
              <w:t>2</w:t>
            </w:r>
            <w:r>
              <w:rPr>
                <w:rFonts w:ascii="Times New Roman" w:eastAsia="Times New Roman" w:hAnsi="Times New Roman"/>
                <w:b/>
                <w:spacing w:val="-3"/>
                <w:w w:val="100"/>
                <w:sz w:val="21"/>
              </w:rPr>
              <w:t>0</w:t>
            </w:r>
            <w:r>
              <w:rPr>
                <w:rFonts w:ascii="Times New Roman" w:eastAsia="Times New Roman" w:hAnsi="Times New Roman"/>
                <w:b/>
                <w:w w:val="100"/>
                <w:sz w:val="21"/>
              </w:rPr>
              <w:t>0</w:t>
            </w:r>
            <w:r>
              <w:rPr>
                <w:rFonts w:ascii="Times New Roman" w:eastAsia="Times New Roman" w:hAnsi="Times New Roman"/>
                <w:b/>
                <w:sz w:val="21"/>
              </w:rPr>
              <w:t xml:space="preserve"> </w:t>
            </w:r>
            <w:r>
              <w:rPr>
                <w:b/>
                <w:w w:val="100"/>
                <w:sz w:val="21"/>
              </w:rPr>
              <w:t>号）</w:t>
            </w:r>
            <w:r>
              <w:rPr>
                <w:b/>
                <w:spacing w:val="-26"/>
                <w:sz w:val="21"/>
              </w:rPr>
              <w:t xml:space="preserve">表 </w:t>
            </w:r>
            <w:r>
              <w:rPr>
                <w:rFonts w:ascii="Times New Roman" w:eastAsia="Times New Roman" w:hAnsi="Times New Roman"/>
                <w:b/>
                <w:sz w:val="21"/>
              </w:rPr>
              <w:t xml:space="preserve">1-5 </w:t>
            </w:r>
            <w:r>
              <w:rPr>
                <w:b/>
                <w:spacing w:val="-3"/>
                <w:sz w:val="21"/>
              </w:rPr>
              <w:t>与盐城市“三线一单”生态环境分区管控相符性分析</w:t>
            </w:r>
          </w:p>
        </w:tc>
      </w:tr>
      <w:tr>
        <w:tblPrEx>
          <w:tblW w:w="0" w:type="auto"/>
          <w:tblInd w:w="138" w:type="dxa"/>
          <w:tblLayout w:type="fixed"/>
          <w:tblCellMar>
            <w:top w:w="0" w:type="dxa"/>
            <w:left w:w="0" w:type="dxa"/>
            <w:bottom w:w="0" w:type="dxa"/>
            <w:right w:w="0" w:type="dxa"/>
          </w:tblCellMar>
        </w:tblPrEx>
        <w:trPr>
          <w:trHeight w:val="546"/>
        </w:trPr>
        <w:tc>
          <w:tcPr>
            <w:tcW w:w="1114" w:type="dxa"/>
            <w:vMerge/>
            <w:tcBorders>
              <w:top w:val="nil"/>
              <w:right w:val="single" w:sz="4" w:space="0" w:color="000000"/>
            </w:tcBorders>
          </w:tcPr>
          <w:p>
            <w:pPr>
              <w:rPr>
                <w:sz w:val="2"/>
                <w:szCs w:val="2"/>
              </w:rPr>
            </w:pPr>
          </w:p>
        </w:tc>
        <w:tc>
          <w:tcPr>
            <w:tcW w:w="113" w:type="dxa"/>
            <w:vMerge w:val="restart"/>
            <w:tcBorders>
              <w:top w:val="nil"/>
              <w:left w:val="single" w:sz="4" w:space="0" w:color="000000"/>
              <w:right w:val="single" w:sz="4" w:space="0" w:color="000000"/>
            </w:tcBorders>
          </w:tcPr>
          <w:p>
            <w:pPr>
              <w:pStyle w:val="TableParagraph"/>
              <w:rPr>
                <w:rFonts w:ascii="Times New Roman"/>
                <w:sz w:val="18"/>
              </w:rPr>
            </w:pPr>
          </w:p>
        </w:tc>
        <w:tc>
          <w:tcPr>
            <w:tcW w:w="758"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5" w:line="230" w:lineRule="atLeast"/>
              <w:ind w:left="344" w:right="39" w:hanging="180"/>
              <w:rPr>
                <w:b/>
                <w:sz w:val="18"/>
              </w:rPr>
            </w:pPr>
            <w:r>
              <w:rPr>
                <w:b/>
                <w:sz w:val="18"/>
              </w:rPr>
              <w:t>管控类别</w:t>
            </w:r>
          </w:p>
        </w:tc>
        <w:tc>
          <w:tcPr>
            <w:tcW w:w="4959" w:type="dxa"/>
            <w:tcBorders>
              <w:top w:val="single" w:sz="4" w:space="0" w:color="000000"/>
              <w:left w:val="single" w:sz="4" w:space="0" w:color="000000"/>
              <w:bottom w:val="single" w:sz="4" w:space="0" w:color="000000"/>
              <w:right w:val="single" w:sz="4" w:space="0" w:color="000000"/>
            </w:tcBorders>
          </w:tcPr>
          <w:p>
            <w:pPr>
              <w:pStyle w:val="TableParagraph"/>
              <w:spacing w:before="8"/>
              <w:rPr>
                <w:b/>
                <w:sz w:val="15"/>
              </w:rPr>
            </w:pPr>
          </w:p>
          <w:p>
            <w:pPr>
              <w:pStyle w:val="TableParagraph"/>
              <w:ind w:left="1973" w:right="1851"/>
              <w:jc w:val="center"/>
              <w:rPr>
                <w:b/>
                <w:sz w:val="18"/>
              </w:rPr>
            </w:pPr>
            <w:r>
              <w:rPr>
                <w:b/>
                <w:sz w:val="18"/>
              </w:rPr>
              <w:t>重点管控要求</w:t>
            </w:r>
          </w:p>
        </w:tc>
        <w:tc>
          <w:tcPr>
            <w:tcW w:w="2316"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
              <w:rPr>
                <w:b/>
                <w:sz w:val="15"/>
              </w:rPr>
            </w:pPr>
          </w:p>
          <w:p>
            <w:pPr>
              <w:pStyle w:val="TableParagraph"/>
              <w:ind w:left="763"/>
              <w:rPr>
                <w:b/>
                <w:sz w:val="18"/>
              </w:rPr>
            </w:pPr>
            <w:r>
              <w:rPr>
                <w:b/>
                <w:sz w:val="18"/>
              </w:rPr>
              <w:t>本项目情况</w:t>
            </w:r>
          </w:p>
        </w:tc>
        <w:tc>
          <w:tcPr>
            <w:tcW w:w="110"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1016"/>
        </w:trPr>
        <w:tc>
          <w:tcPr>
            <w:tcW w:w="111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58" w:type="dxa"/>
            <w:gridSpan w:val="2"/>
            <w:tcBorders>
              <w:top w:val="single" w:sz="4" w:space="0" w:color="000000"/>
              <w:left w:val="single" w:sz="4" w:space="0" w:color="000000"/>
              <w:bottom w:val="single" w:sz="4" w:space="0" w:color="000000"/>
              <w:right w:val="single" w:sz="4" w:space="0" w:color="000000"/>
            </w:tcBorders>
          </w:tcPr>
          <w:p>
            <w:pPr>
              <w:pStyle w:val="TableParagraph"/>
              <w:rPr>
                <w:b/>
                <w:sz w:val="25"/>
              </w:rPr>
            </w:pPr>
          </w:p>
          <w:p>
            <w:pPr>
              <w:pStyle w:val="TableParagraph"/>
              <w:spacing w:before="1" w:line="242" w:lineRule="auto"/>
              <w:ind w:left="164" w:right="41"/>
              <w:rPr>
                <w:sz w:val="18"/>
              </w:rPr>
            </w:pPr>
            <w:r>
              <w:rPr>
                <w:sz w:val="18"/>
              </w:rPr>
              <w:t>空间布局约束</w:t>
            </w:r>
          </w:p>
        </w:tc>
        <w:tc>
          <w:tcPr>
            <w:tcW w:w="4959" w:type="dxa"/>
            <w:tcBorders>
              <w:top w:val="single" w:sz="4" w:space="0" w:color="000000"/>
              <w:left w:val="single" w:sz="4" w:space="0" w:color="000000"/>
              <w:bottom w:val="single" w:sz="4" w:space="0" w:color="000000"/>
              <w:right w:val="single" w:sz="4" w:space="0" w:color="000000"/>
            </w:tcBorders>
          </w:tcPr>
          <w:p>
            <w:pPr>
              <w:pStyle w:val="TableParagraph"/>
              <w:spacing w:before="88" w:line="242" w:lineRule="auto"/>
              <w:ind w:left="193" w:right="73" w:firstLine="91"/>
              <w:rPr>
                <w:sz w:val="18"/>
              </w:rPr>
            </w:pPr>
            <w:r>
              <w:rPr>
                <w:sz w:val="18"/>
              </w:rPr>
              <w:t>各类开发建设活动应符合盐城市总体规划、控制性详细规</w:t>
            </w:r>
            <w:r>
              <w:rPr>
                <w:spacing w:val="-1"/>
                <w:sz w:val="18"/>
              </w:rPr>
              <w:t>划、土地利用规划等相关要求。优化产业布局和结构，实施分区差别化的产业准入要求。合理规划居住区与园区，在居</w:t>
            </w:r>
          </w:p>
          <w:p>
            <w:pPr>
              <w:pStyle w:val="TableParagraph"/>
              <w:spacing w:before="2" w:line="208" w:lineRule="exact"/>
              <w:ind w:left="193"/>
              <w:rPr>
                <w:sz w:val="18"/>
              </w:rPr>
            </w:pPr>
            <w:r>
              <w:rPr>
                <w:sz w:val="18"/>
              </w:rPr>
              <w:t>住区和园区、企业之间设置防护绿地、生态绿地等隔离带。</w:t>
            </w:r>
          </w:p>
        </w:tc>
        <w:tc>
          <w:tcPr>
            <w:tcW w:w="2316"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8" w:line="242" w:lineRule="auto"/>
              <w:ind w:left="134" w:right="9"/>
              <w:jc w:val="both"/>
              <w:rPr>
                <w:sz w:val="18"/>
              </w:rPr>
            </w:pPr>
            <w:r>
              <w:rPr>
                <w:sz w:val="18"/>
              </w:rPr>
              <w:t xml:space="preserve">项目位于滨海县东坎高新技术产业园盘洋大道 </w:t>
            </w:r>
            <w:r>
              <w:rPr>
                <w:rFonts w:ascii="Times New Roman" w:eastAsia="Times New Roman"/>
                <w:sz w:val="18"/>
              </w:rPr>
              <w:t xml:space="preserve">11 </w:t>
            </w:r>
            <w:r>
              <w:rPr>
                <w:sz w:val="18"/>
              </w:rPr>
              <w:t>号， 符合盐城市总体规划等相关</w:t>
            </w:r>
          </w:p>
          <w:p>
            <w:pPr>
              <w:pStyle w:val="TableParagraph"/>
              <w:spacing w:before="2" w:line="208" w:lineRule="exact"/>
              <w:ind w:left="130" w:right="9"/>
              <w:jc w:val="center"/>
              <w:rPr>
                <w:sz w:val="18"/>
              </w:rPr>
            </w:pPr>
            <w:r>
              <w:rPr>
                <w:sz w:val="18"/>
              </w:rPr>
              <w:t>要求。</w:t>
            </w:r>
          </w:p>
        </w:tc>
        <w:tc>
          <w:tcPr>
            <w:tcW w:w="110"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781"/>
        </w:trPr>
        <w:tc>
          <w:tcPr>
            <w:tcW w:w="111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58"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6"/>
              <w:ind w:left="164"/>
              <w:rPr>
                <w:sz w:val="18"/>
              </w:rPr>
            </w:pPr>
            <w:r>
              <w:rPr>
                <w:sz w:val="18"/>
              </w:rPr>
              <w:t>污染物</w:t>
            </w:r>
          </w:p>
          <w:p>
            <w:pPr>
              <w:pStyle w:val="TableParagraph"/>
              <w:spacing w:before="4" w:line="230" w:lineRule="atLeast"/>
              <w:ind w:left="344" w:right="41" w:hanging="180"/>
              <w:rPr>
                <w:sz w:val="18"/>
              </w:rPr>
            </w:pPr>
            <w:r>
              <w:rPr>
                <w:sz w:val="18"/>
              </w:rPr>
              <w:t>排放管控</w:t>
            </w:r>
          </w:p>
        </w:tc>
        <w:tc>
          <w:tcPr>
            <w:tcW w:w="4959" w:type="dxa"/>
            <w:tcBorders>
              <w:top w:val="single" w:sz="4" w:space="0" w:color="000000"/>
              <w:left w:val="single" w:sz="4" w:space="0" w:color="000000"/>
              <w:bottom w:val="single" w:sz="4" w:space="0" w:color="000000"/>
              <w:right w:val="single" w:sz="4" w:space="0" w:color="000000"/>
            </w:tcBorders>
          </w:tcPr>
          <w:p>
            <w:pPr>
              <w:pStyle w:val="TableParagraph"/>
              <w:spacing w:before="86"/>
              <w:ind w:left="193" w:firstLine="91"/>
              <w:rPr>
                <w:sz w:val="18"/>
              </w:rPr>
            </w:pPr>
            <w:r>
              <w:rPr>
                <w:sz w:val="18"/>
              </w:rPr>
              <w:t>严格实施污染物总量控制制度，根据区域环境质量改善目</w:t>
            </w:r>
          </w:p>
          <w:p>
            <w:pPr>
              <w:pStyle w:val="TableParagraph"/>
              <w:spacing w:before="4" w:line="230" w:lineRule="atLeast"/>
              <w:ind w:left="1994" w:right="73" w:hanging="1801"/>
              <w:rPr>
                <w:sz w:val="18"/>
              </w:rPr>
            </w:pPr>
            <w:r>
              <w:rPr>
                <w:sz w:val="18"/>
              </w:rPr>
              <w:t>标，采取有效措施减少主要污染物排放总量，确保区域环境质量持续改善</w:t>
            </w:r>
          </w:p>
        </w:tc>
        <w:tc>
          <w:tcPr>
            <w:tcW w:w="2316"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6"/>
              <w:ind w:left="134"/>
              <w:rPr>
                <w:sz w:val="18"/>
              </w:rPr>
            </w:pPr>
            <w:r>
              <w:rPr>
                <w:sz w:val="18"/>
              </w:rPr>
              <w:t>本项目废气排放量较少，不</w:t>
            </w:r>
          </w:p>
          <w:p>
            <w:pPr>
              <w:pStyle w:val="TableParagraph"/>
              <w:spacing w:before="4" w:line="230" w:lineRule="atLeast"/>
              <w:ind w:left="763" w:right="9" w:hanging="630"/>
              <w:rPr>
                <w:sz w:val="18"/>
              </w:rPr>
            </w:pPr>
            <w:r>
              <w:rPr>
                <w:sz w:val="18"/>
              </w:rPr>
              <w:t>会突破环境质量底线，符合文件要求。</w:t>
            </w:r>
          </w:p>
        </w:tc>
        <w:tc>
          <w:tcPr>
            <w:tcW w:w="110"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1016"/>
        </w:trPr>
        <w:tc>
          <w:tcPr>
            <w:tcW w:w="111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58" w:type="dxa"/>
            <w:gridSpan w:val="2"/>
            <w:tcBorders>
              <w:top w:val="single" w:sz="4" w:space="0" w:color="000000"/>
              <w:left w:val="single" w:sz="4" w:space="0" w:color="000000"/>
              <w:bottom w:val="single" w:sz="4" w:space="0" w:color="000000"/>
              <w:right w:val="single" w:sz="4" w:space="0" w:color="000000"/>
            </w:tcBorders>
          </w:tcPr>
          <w:p>
            <w:pPr>
              <w:pStyle w:val="TableParagraph"/>
              <w:rPr>
                <w:b/>
                <w:sz w:val="25"/>
              </w:rPr>
            </w:pPr>
          </w:p>
          <w:p>
            <w:pPr>
              <w:pStyle w:val="TableParagraph"/>
              <w:spacing w:line="242" w:lineRule="auto"/>
              <w:ind w:left="164" w:right="41"/>
              <w:rPr>
                <w:sz w:val="18"/>
              </w:rPr>
            </w:pPr>
            <w:r>
              <w:rPr>
                <w:sz w:val="18"/>
              </w:rPr>
              <w:t>环境风险防控</w:t>
            </w:r>
          </w:p>
        </w:tc>
        <w:tc>
          <w:tcPr>
            <w:tcW w:w="4959" w:type="dxa"/>
            <w:tcBorders>
              <w:top w:val="single" w:sz="4" w:space="0" w:color="000000"/>
              <w:left w:val="single" w:sz="4" w:space="0" w:color="000000"/>
              <w:bottom w:val="single" w:sz="4" w:space="0" w:color="000000"/>
              <w:right w:val="single" w:sz="4" w:space="0" w:color="000000"/>
            </w:tcBorders>
          </w:tcPr>
          <w:p>
            <w:pPr>
              <w:pStyle w:val="TableParagraph"/>
              <w:rPr>
                <w:b/>
                <w:sz w:val="25"/>
              </w:rPr>
            </w:pPr>
          </w:p>
          <w:p>
            <w:pPr>
              <w:pStyle w:val="TableParagraph"/>
              <w:spacing w:line="242" w:lineRule="auto"/>
              <w:ind w:left="2354" w:right="73" w:hanging="2161"/>
              <w:rPr>
                <w:sz w:val="18"/>
              </w:rPr>
            </w:pPr>
            <w:r>
              <w:rPr>
                <w:sz w:val="18"/>
              </w:rPr>
              <w:t>应建立环境风险防范体系，制定园区应急预案，开展应急演练。</w:t>
            </w:r>
          </w:p>
        </w:tc>
        <w:tc>
          <w:tcPr>
            <w:tcW w:w="2316"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8" w:line="230" w:lineRule="atLeast"/>
              <w:ind w:left="134" w:right="9" w:hanging="1"/>
              <w:jc w:val="center"/>
              <w:rPr>
                <w:sz w:val="18"/>
              </w:rPr>
            </w:pPr>
            <w:r>
              <w:rPr>
                <w:spacing w:val="-2"/>
                <w:sz w:val="18"/>
              </w:rPr>
              <w:t>本项目所在园区尚未建立环境风险防范体系。企业已编制突发环境事件应急预案并</w:t>
            </w:r>
            <w:hyperlink w:anchor="_bookmark68" w:history="1">
              <w:r>
                <w:rPr>
                  <w:sz w:val="18"/>
                </w:rPr>
                <w:t>备案（附件七</w:t>
              </w:r>
            </w:hyperlink>
            <w:r>
              <w:rPr>
                <w:spacing w:val="-92"/>
                <w:sz w:val="18"/>
              </w:rPr>
              <w:t>）</w:t>
            </w:r>
            <w:r>
              <w:rPr>
                <w:sz w:val="18"/>
              </w:rPr>
              <w:t>。</w:t>
            </w:r>
          </w:p>
        </w:tc>
        <w:tc>
          <w:tcPr>
            <w:tcW w:w="110"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786"/>
        </w:trPr>
        <w:tc>
          <w:tcPr>
            <w:tcW w:w="111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758" w:type="dxa"/>
            <w:gridSpan w:val="2"/>
            <w:tcBorders>
              <w:top w:val="single" w:sz="4" w:space="0" w:color="000000"/>
              <w:left w:val="single" w:sz="4" w:space="0" w:color="000000"/>
              <w:bottom w:val="single" w:sz="12" w:space="0" w:color="000000"/>
              <w:right w:val="single" w:sz="4" w:space="0" w:color="000000"/>
            </w:tcBorders>
          </w:tcPr>
          <w:p>
            <w:pPr>
              <w:pStyle w:val="TableParagraph"/>
              <w:spacing w:before="86" w:line="242" w:lineRule="auto"/>
              <w:ind w:left="164" w:right="41"/>
              <w:rPr>
                <w:sz w:val="18"/>
              </w:rPr>
            </w:pPr>
            <w:r>
              <w:rPr>
                <w:spacing w:val="-6"/>
                <w:sz w:val="18"/>
              </w:rPr>
              <w:t>资源开发效率</w:t>
            </w:r>
          </w:p>
          <w:p>
            <w:pPr>
              <w:pStyle w:val="TableParagraph"/>
              <w:spacing w:before="2" w:line="212" w:lineRule="exact"/>
              <w:ind w:left="255"/>
              <w:rPr>
                <w:sz w:val="18"/>
              </w:rPr>
            </w:pPr>
            <w:r>
              <w:rPr>
                <w:sz w:val="18"/>
              </w:rPr>
              <w:t>要求</w:t>
            </w:r>
          </w:p>
        </w:tc>
        <w:tc>
          <w:tcPr>
            <w:tcW w:w="4959" w:type="dxa"/>
            <w:tcBorders>
              <w:top w:val="single" w:sz="4" w:space="0" w:color="000000"/>
              <w:left w:val="single" w:sz="4" w:space="0" w:color="000000"/>
              <w:bottom w:val="single" w:sz="12" w:space="0" w:color="000000"/>
              <w:right w:val="single" w:sz="4" w:space="0" w:color="000000"/>
            </w:tcBorders>
          </w:tcPr>
          <w:p>
            <w:pPr>
              <w:pStyle w:val="TableParagraph"/>
              <w:spacing w:before="86" w:line="242" w:lineRule="auto"/>
              <w:ind w:left="109" w:right="-29"/>
              <w:rPr>
                <w:sz w:val="18"/>
              </w:rPr>
            </w:pPr>
            <w:r>
              <w:rPr>
                <w:spacing w:val="4"/>
                <w:sz w:val="18"/>
              </w:rPr>
              <w:t>引进项目的生产工艺、设备、能耗、污染物排放、资源利用</w:t>
            </w:r>
            <w:r>
              <w:rPr>
                <w:sz w:val="18"/>
              </w:rPr>
              <w:t>等均须达到同行业先进水平。</w:t>
            </w:r>
          </w:p>
          <w:p>
            <w:pPr>
              <w:pStyle w:val="TableParagraph"/>
              <w:spacing w:before="2" w:line="212" w:lineRule="exact"/>
              <w:ind w:left="109"/>
              <w:rPr>
                <w:sz w:val="18"/>
              </w:rPr>
            </w:pPr>
            <w:r>
              <w:rPr>
                <w:sz w:val="18"/>
              </w:rPr>
              <w:t>按照国家和省能耗及水耗限额标准执行。</w:t>
            </w:r>
          </w:p>
        </w:tc>
        <w:tc>
          <w:tcPr>
            <w:tcW w:w="2316" w:type="dxa"/>
            <w:gridSpan w:val="2"/>
            <w:tcBorders>
              <w:top w:val="single" w:sz="4" w:space="0" w:color="000000"/>
              <w:left w:val="single" w:sz="4" w:space="0" w:color="000000"/>
              <w:bottom w:val="single" w:sz="12" w:space="0" w:color="000000"/>
              <w:right w:val="single" w:sz="4" w:space="0" w:color="000000"/>
            </w:tcBorders>
          </w:tcPr>
          <w:p>
            <w:pPr>
              <w:pStyle w:val="TableParagraph"/>
              <w:spacing w:before="86" w:line="242" w:lineRule="auto"/>
              <w:ind w:left="134" w:right="9"/>
              <w:jc w:val="center"/>
              <w:rPr>
                <w:sz w:val="18"/>
              </w:rPr>
            </w:pPr>
            <w:r>
              <w:rPr>
                <w:sz w:val="18"/>
              </w:rPr>
              <w:t>本项目选用先进生产设备及生产工艺，不使用高污染燃</w:t>
            </w:r>
          </w:p>
          <w:p>
            <w:pPr>
              <w:pStyle w:val="TableParagraph"/>
              <w:spacing w:before="2" w:line="212" w:lineRule="exact"/>
              <w:ind w:left="130" w:right="9"/>
              <w:jc w:val="center"/>
              <w:rPr>
                <w:sz w:val="18"/>
              </w:rPr>
            </w:pPr>
            <w:r>
              <w:rPr>
                <w:sz w:val="18"/>
              </w:rPr>
              <w:t>料，符合文件要求。</w:t>
            </w:r>
          </w:p>
        </w:tc>
        <w:tc>
          <w:tcPr>
            <w:tcW w:w="110" w:type="dxa"/>
            <w:tcBorders>
              <w:top w:val="nil"/>
              <w:left w:val="single" w:sz="4" w:space="0" w:color="000000"/>
            </w:tcBorders>
          </w:tcPr>
          <w:p>
            <w:pPr>
              <w:pStyle w:val="TableParagraph"/>
              <w:rPr>
                <w:rFonts w:ascii="Times New Roman"/>
                <w:sz w:val="18"/>
              </w:rPr>
            </w:pPr>
          </w:p>
        </w:tc>
      </w:tr>
    </w:tbl>
    <w:p>
      <w:pPr>
        <w:rPr>
          <w:sz w:val="2"/>
          <w:szCs w:val="2"/>
        </w:rPr>
      </w:pPr>
      <w:r>
        <w:pict>
          <v:group id="_x0000_s1051" o:spid="_x0000_s1050" style="width:402.2pt;height:270.65pt;margin-top:232.45pt;margin-left:124.45pt;mso-height-relative:page;mso-position-horizontal-relative:page;mso-position-vertical-relative:page;mso-width-relative:page;position:absolute;z-index:-251656192" coordorigin="2489,4649" coordsize="8044,5413">
            <v:rect id="_x0000_s1052" o:spid="_x0000_s1051" style="width:10;height:10;left:2489;position:absolute;top:4649" coordsize="21600,21600" filled="t" fillcolor="black" stroked="f"/>
            <v:line id="_x0000_s1053" o:spid="_x0000_s1052" style="position:absolute" from="2499,4654" to="3245,4654" coordsize="21600,21600" stroked="t" strokecolor="black"/>
            <v:rect id="_x0000_s1054" o:spid="_x0000_s1053" style="width:10;height:10;left:3245;position:absolute;top:4649" coordsize="21600,21600" filled="t" fillcolor="black" stroked="f"/>
            <v:line id="_x0000_s1055" o:spid="_x0000_s1054" style="position:absolute" from="3255,4654" to="8774,4654" coordsize="21600,21600" stroked="t" strokecolor="black"/>
            <v:rect id="_x0000_s1056" o:spid="_x0000_s1055" style="width:10;height:10;left:8774;position:absolute;top:4649" coordsize="21600,21600" filled="t" fillcolor="black" stroked="f"/>
            <v:line id="_x0000_s1057" o:spid="_x0000_s1056" style="position:absolute" from="8784,4654" to="10524,4654" coordsize="21600,21600" stroked="t" strokecolor="black"/>
            <v:rect id="_x0000_s1058" o:spid="_x0000_s1057" style="width:10;height:10;left:10523;position:absolute;top:4649" coordsize="21600,21600" filled="t" fillcolor="black" stroked="f"/>
            <v:line id="_x0000_s1059" o:spid="_x0000_s1058" style="position:absolute" from="2499,5223" to="3245,5223" coordsize="21600,21600" stroked="t" strokecolor="black"/>
            <v:line id="_x0000_s1060" o:spid="_x0000_s1059" style="position:absolute" from="3255,5223" to="8774,5223" coordsize="21600,21600" stroked="t" strokecolor="black"/>
            <v:line id="_x0000_s1061" o:spid="_x0000_s1060" style="position:absolute" from="8784,5223" to="10524,5223" coordsize="21600,21600" stroked="t" strokecolor="black"/>
            <v:line id="_x0000_s1062" o:spid="_x0000_s1061" style="position:absolute" from="2499,7657" to="3245,7657" coordsize="21600,21600" stroked="t" strokecolor="black"/>
            <v:line id="_x0000_s1063" o:spid="_x0000_s1062" style="position:absolute" from="3255,7657" to="8774,7657" coordsize="21600,21600" stroked="t" strokecolor="black"/>
            <v:line id="_x0000_s1064" o:spid="_x0000_s1063" style="position:absolute" from="8784,7657" to="10524,7657" coordsize="21600,21600" stroked="t" strokecolor="black"/>
            <v:line id="_x0000_s1065" o:spid="_x0000_s1064" style="position:absolute" from="2499,8457" to="3245,8457" coordsize="21600,21600" stroked="t" strokecolor="black"/>
            <v:line id="_x0000_s1066" o:spid="_x0000_s1065" style="position:absolute" from="3255,8457" to="8774,8457" coordsize="21600,21600" stroked="t" strokecolor="black"/>
            <v:line id="_x0000_s1067" o:spid="_x0000_s1066" style="position:absolute" from="8784,8457" to="10524,8457" coordsize="21600,21600" stroked="t" strokecolor="black"/>
            <v:line id="_x0000_s1068" o:spid="_x0000_s1067" style="position:absolute" from="2499,9258" to="3245,9258" coordsize="21600,21600" stroked="t" strokecolor="black"/>
            <v:line id="_x0000_s1069" o:spid="_x0000_s1068" style="position:absolute" from="3255,9258" to="8774,9258" coordsize="21600,21600" stroked="t" strokecolor="black"/>
            <v:line id="_x0000_s1070" o:spid="_x0000_s1069" style="position:absolute" from="8784,9258" to="10524,9258" coordsize="21600,21600" stroked="t" strokecolor="black"/>
            <v:line id="_x0000_s1071" o:spid="_x0000_s1070" style="position:absolute" from="2494,4649" to="2494,10062" coordsize="21600,21600" stroked="t" strokecolor="black"/>
            <v:line id="_x0000_s1072" o:spid="_x0000_s1071" style="position:absolute" from="2499,10057" to="3245,10057" coordsize="21600,21600" stroked="t" strokecolor="black"/>
            <v:line id="_x0000_s1073" o:spid="_x0000_s1072" style="position:absolute" from="3250,4659" to="3250,10062" coordsize="21600,21600" stroked="t" strokecolor="black"/>
            <v:line id="_x0000_s1074" o:spid="_x0000_s1073" style="position:absolute" from="3255,10057" to="8774,10057" coordsize="21600,21600" stroked="t" strokecolor="black"/>
            <v:line id="_x0000_s1075" o:spid="_x0000_s1074" style="position:absolute" from="8779,4659" to="8779,10062" coordsize="21600,21600" stroked="t" strokecolor="black"/>
            <v:line id="_x0000_s1076" o:spid="_x0000_s1075" style="position:absolute" from="8784,10057" to="10524,10057" coordsize="21600,21600" stroked="t" strokecolor="black"/>
            <v:line id="_x0000_s1077" o:spid="_x0000_s1076" style="position:absolute" from="10528,4649" to="10528,10062" coordsize="21600,21600" stroked="t" strokecolor="black"/>
          </v:group>
        </w:pict>
      </w:r>
      <w:r>
        <w:pict>
          <v:shape id="_x0000_s1078" o:spid="_x0000_s1077" type="#_x0000_t202" style="width:401.75pt;height:270.2pt;margin-top:232.65pt;margin-left:124.65pt;mso-height-relative:page;mso-position-horizontal-relative:page;mso-position-vertical-relative:page;mso-width-relative:page;position:absolute;z-index:251661312" coordsize="21600,21600" filled="f" stroked="f">
            <v:stroke joinstyle="miter"/>
            <v:textbox inset="0,0,0,0">
              <w:txbxContent>
                <w:tbl>
                  <w:tblPr>
                    <w:tblStyle w:val="TableNormal"/>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756"/>
                    <w:gridCol w:w="5529"/>
                    <w:gridCol w:w="1750"/>
                  </w:tblGrid>
                  <w:tr>
                    <w:tblPrEx>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569"/>
                    </w:trPr>
                    <w:tc>
                      <w:tcPr>
                        <w:tcW w:w="756" w:type="dxa"/>
                      </w:tcPr>
                      <w:p>
                        <w:pPr>
                          <w:pStyle w:val="TableParagraph"/>
                          <w:rPr>
                            <w:rFonts w:ascii="Times New Roman"/>
                            <w:sz w:val="18"/>
                          </w:rPr>
                        </w:pPr>
                      </w:p>
                    </w:tc>
                    <w:tc>
                      <w:tcPr>
                        <w:tcW w:w="5529" w:type="dxa"/>
                      </w:tcPr>
                      <w:p>
                        <w:pPr>
                          <w:pStyle w:val="TableParagraph"/>
                          <w:rPr>
                            <w:rFonts w:ascii="Times New Roman"/>
                            <w:sz w:val="18"/>
                          </w:rPr>
                        </w:pPr>
                      </w:p>
                    </w:tc>
                    <w:tc>
                      <w:tcPr>
                        <w:tcW w:w="1750"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433"/>
                    </w:trPr>
                    <w:tc>
                      <w:tcPr>
                        <w:tcW w:w="756" w:type="dxa"/>
                      </w:tcPr>
                      <w:p>
                        <w:pPr>
                          <w:pStyle w:val="TableParagraph"/>
                          <w:rPr>
                            <w:rFonts w:ascii="Times New Roman"/>
                            <w:sz w:val="18"/>
                          </w:rPr>
                        </w:pPr>
                      </w:p>
                    </w:tc>
                    <w:tc>
                      <w:tcPr>
                        <w:tcW w:w="5529" w:type="dxa"/>
                      </w:tcPr>
                      <w:p>
                        <w:pPr>
                          <w:pStyle w:val="TableParagraph"/>
                          <w:rPr>
                            <w:rFonts w:ascii="Times New Roman"/>
                            <w:sz w:val="18"/>
                          </w:rPr>
                        </w:pPr>
                      </w:p>
                    </w:tc>
                    <w:tc>
                      <w:tcPr>
                        <w:tcW w:w="1750"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799"/>
                    </w:trPr>
                    <w:tc>
                      <w:tcPr>
                        <w:tcW w:w="756" w:type="dxa"/>
                      </w:tcPr>
                      <w:p>
                        <w:pPr>
                          <w:pStyle w:val="TableParagraph"/>
                          <w:rPr>
                            <w:rFonts w:ascii="Times New Roman"/>
                            <w:sz w:val="18"/>
                          </w:rPr>
                        </w:pPr>
                      </w:p>
                    </w:tc>
                    <w:tc>
                      <w:tcPr>
                        <w:tcW w:w="5529" w:type="dxa"/>
                      </w:tcPr>
                      <w:p>
                        <w:pPr>
                          <w:pStyle w:val="TableParagraph"/>
                          <w:rPr>
                            <w:rFonts w:ascii="Times New Roman"/>
                            <w:sz w:val="18"/>
                          </w:rPr>
                        </w:pPr>
                      </w:p>
                    </w:tc>
                    <w:tc>
                      <w:tcPr>
                        <w:tcW w:w="1750"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801"/>
                    </w:trPr>
                    <w:tc>
                      <w:tcPr>
                        <w:tcW w:w="756" w:type="dxa"/>
                      </w:tcPr>
                      <w:p>
                        <w:pPr>
                          <w:pStyle w:val="TableParagraph"/>
                          <w:rPr>
                            <w:rFonts w:ascii="Times New Roman"/>
                            <w:sz w:val="18"/>
                          </w:rPr>
                        </w:pPr>
                      </w:p>
                    </w:tc>
                    <w:tc>
                      <w:tcPr>
                        <w:tcW w:w="5529" w:type="dxa"/>
                      </w:tcPr>
                      <w:p>
                        <w:pPr>
                          <w:pStyle w:val="TableParagraph"/>
                          <w:rPr>
                            <w:rFonts w:ascii="Times New Roman"/>
                            <w:sz w:val="18"/>
                          </w:rPr>
                        </w:pPr>
                      </w:p>
                    </w:tc>
                    <w:tc>
                      <w:tcPr>
                        <w:tcW w:w="1750"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799"/>
                    </w:trPr>
                    <w:tc>
                      <w:tcPr>
                        <w:tcW w:w="756" w:type="dxa"/>
                      </w:tcPr>
                      <w:p>
                        <w:pPr>
                          <w:pStyle w:val="TableParagraph"/>
                          <w:rPr>
                            <w:rFonts w:ascii="Times New Roman"/>
                            <w:sz w:val="18"/>
                          </w:rPr>
                        </w:pPr>
                      </w:p>
                    </w:tc>
                    <w:tc>
                      <w:tcPr>
                        <w:tcW w:w="5529" w:type="dxa"/>
                      </w:tcPr>
                      <w:p>
                        <w:pPr>
                          <w:pStyle w:val="TableParagraph"/>
                          <w:rPr>
                            <w:rFonts w:ascii="Times New Roman"/>
                            <w:sz w:val="18"/>
                          </w:rPr>
                        </w:pPr>
                      </w:p>
                    </w:tc>
                    <w:tc>
                      <w:tcPr>
                        <w:tcW w:w="1750" w:type="dxa"/>
                      </w:tcPr>
                      <w:p>
                        <w:pPr>
                          <w:pStyle w:val="TableParagraph"/>
                          <w:rPr>
                            <w:rFonts w:ascii="Times New Roman"/>
                            <w:sz w:val="18"/>
                          </w:rPr>
                        </w:pPr>
                      </w:p>
                    </w:tc>
                  </w:tr>
                </w:tbl>
                <w:p>
                  <w:pPr>
                    <w:pStyle w:val="BodyText"/>
                  </w:pPr>
                </w:p>
              </w:txbxContent>
            </v:textbox>
          </v:shape>
        </w:pict>
      </w:r>
    </w:p>
    <w:p>
      <w:pPr>
        <w:spacing w:after="0"/>
        <w:rPr>
          <w:sz w:val="2"/>
          <w:szCs w:val="2"/>
        </w:rPr>
        <w:sectPr>
          <w:footerReference w:type="default" r:id="rId8"/>
          <w:pgSz w:w="11910" w:h="16840"/>
          <w:pgMar w:top="1400" w:right="1140" w:bottom="1180" w:left="1140" w:header="0" w:footer="994" w:gutter="0"/>
          <w:pgNumType w:start="4"/>
          <w:cols w:num="1" w:space="720"/>
        </w:sectPr>
      </w:pPr>
    </w:p>
    <w:tbl>
      <w:tblPr>
        <w:tblStyle w:val="TableNormal"/>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14"/>
        <w:gridCol w:w="117"/>
        <w:gridCol w:w="676"/>
        <w:gridCol w:w="80"/>
        <w:gridCol w:w="4960"/>
        <w:gridCol w:w="680"/>
        <w:gridCol w:w="1637"/>
        <w:gridCol w:w="111"/>
      </w:tblGrid>
      <w:tr>
        <w:tblPrEx>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722"/>
        </w:trPr>
        <w:tc>
          <w:tcPr>
            <w:tcW w:w="1114" w:type="dxa"/>
            <w:vMerge w:val="restart"/>
            <w:tcBorders>
              <w:right w:val="single" w:sz="4" w:space="0" w:color="000000"/>
            </w:tcBorders>
          </w:tcPr>
          <w:p>
            <w:pPr>
              <w:pStyle w:val="TableParagraph"/>
              <w:rPr>
                <w:rFonts w:ascii="Times New Roman"/>
                <w:sz w:val="18"/>
              </w:rPr>
            </w:pPr>
          </w:p>
        </w:tc>
        <w:tc>
          <w:tcPr>
            <w:tcW w:w="117" w:type="dxa"/>
            <w:tcBorders>
              <w:left w:val="single" w:sz="4" w:space="0" w:color="000000"/>
              <w:bottom w:val="nil"/>
              <w:right w:val="single" w:sz="4" w:space="0" w:color="000000"/>
            </w:tcBorders>
          </w:tcPr>
          <w:p>
            <w:pPr>
              <w:pStyle w:val="TableParagraph"/>
              <w:rPr>
                <w:rFonts w:ascii="Times New Roman"/>
                <w:sz w:val="18"/>
              </w:rPr>
            </w:pPr>
          </w:p>
        </w:tc>
        <w:tc>
          <w:tcPr>
            <w:tcW w:w="756" w:type="dxa"/>
            <w:gridSpan w:val="2"/>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4960" w:type="dxa"/>
            <w:tcBorders>
              <w:top w:val="single" w:sz="12" w:space="0" w:color="000000"/>
              <w:left w:val="single" w:sz="4" w:space="0" w:color="000000"/>
              <w:bottom w:val="single" w:sz="4" w:space="0" w:color="000000"/>
              <w:right w:val="single" w:sz="4" w:space="0" w:color="000000"/>
            </w:tcBorders>
          </w:tcPr>
          <w:p>
            <w:pPr>
              <w:pStyle w:val="TableParagraph"/>
              <w:spacing w:before="93" w:line="242" w:lineRule="auto"/>
              <w:ind w:left="107" w:right="-15"/>
              <w:rPr>
                <w:sz w:val="18"/>
              </w:rPr>
            </w:pPr>
            <w:r>
              <w:rPr>
                <w:spacing w:val="13"/>
                <w:sz w:val="18"/>
              </w:rPr>
              <w:t>强化企业清洁生产改造，推进节水型企业、节水型园区建设，提高资源能源利用效率。</w:t>
            </w:r>
          </w:p>
          <w:p>
            <w:pPr>
              <w:pStyle w:val="TableParagraph"/>
              <w:spacing w:line="242" w:lineRule="auto"/>
              <w:ind w:left="107" w:right="-29"/>
              <w:jc w:val="both"/>
              <w:rPr>
                <w:sz w:val="18"/>
              </w:rPr>
            </w:pPr>
            <w:r>
              <w:rPr>
                <w:sz w:val="18"/>
              </w:rPr>
              <w:t>禁止销售使用燃料为</w:t>
            </w:r>
            <w:r>
              <w:rPr>
                <w:rFonts w:ascii="Times New Roman" w:eastAsia="Times New Roman" w:hAnsi="Times New Roman"/>
                <w:spacing w:val="-1"/>
                <w:sz w:val="18"/>
              </w:rPr>
              <w:t>“Ⅲ</w:t>
            </w:r>
            <w:r>
              <w:rPr>
                <w:spacing w:val="2"/>
                <w:sz w:val="18"/>
              </w:rPr>
              <w:t>类</w:t>
            </w:r>
            <w:r>
              <w:rPr>
                <w:rFonts w:ascii="Times New Roman" w:eastAsia="Times New Roman" w:hAnsi="Times New Roman"/>
                <w:spacing w:val="-1"/>
                <w:sz w:val="18"/>
              </w:rPr>
              <w:t>”</w:t>
            </w:r>
            <w:r>
              <w:rPr>
                <w:spacing w:val="2"/>
                <w:sz w:val="18"/>
              </w:rPr>
              <w:t>（</w:t>
            </w:r>
            <w:r>
              <w:rPr>
                <w:sz w:val="18"/>
              </w:rPr>
              <w:t>严格</w:t>
            </w:r>
            <w:r>
              <w:rPr>
                <w:spacing w:val="-89"/>
                <w:sz w:val="18"/>
              </w:rPr>
              <w:t>）</w:t>
            </w:r>
            <w:r>
              <w:rPr>
                <w:sz w:val="18"/>
              </w:rPr>
              <w:t>，具体包括：</w:t>
            </w:r>
            <w:r>
              <w:rPr>
                <w:rFonts w:ascii="Times New Roman" w:eastAsia="Times New Roman" w:hAnsi="Times New Roman"/>
                <w:spacing w:val="1"/>
                <w:sz w:val="18"/>
              </w:rPr>
              <w:t>1</w:t>
            </w:r>
            <w:r>
              <w:rPr>
                <w:sz w:val="18"/>
              </w:rPr>
              <w:t>、煤炭及其</w:t>
            </w:r>
            <w:r>
              <w:rPr>
                <w:spacing w:val="7"/>
                <w:sz w:val="18"/>
              </w:rPr>
              <w:t>制品（</w:t>
            </w:r>
            <w:r>
              <w:rPr>
                <w:spacing w:val="4"/>
                <w:sz w:val="18"/>
              </w:rPr>
              <w:t>包括原煤、散煤、煤矸石、煤泥、煤粉、水煤浆、型煤、焦炭、兰炭等</w:t>
            </w:r>
            <w:r>
              <w:rPr>
                <w:spacing w:val="-85"/>
                <w:sz w:val="18"/>
              </w:rPr>
              <w:t>）</w:t>
            </w:r>
            <w:r>
              <w:rPr>
                <w:spacing w:val="6"/>
                <w:sz w:val="18"/>
              </w:rPr>
              <w:t>；</w:t>
            </w:r>
            <w:r>
              <w:rPr>
                <w:rFonts w:ascii="Times New Roman" w:eastAsia="Times New Roman" w:hAnsi="Times New Roman"/>
                <w:spacing w:val="8"/>
                <w:sz w:val="18"/>
              </w:rPr>
              <w:t>2</w:t>
            </w:r>
            <w:r>
              <w:rPr>
                <w:spacing w:val="3"/>
                <w:sz w:val="18"/>
              </w:rPr>
              <w:t>、石油焦、油页岩、原油、重油、渣</w:t>
            </w:r>
          </w:p>
          <w:p>
            <w:pPr>
              <w:pStyle w:val="TableParagraph"/>
              <w:spacing w:before="2" w:line="230" w:lineRule="atLeast"/>
              <w:ind w:left="107" w:right="-15"/>
              <w:rPr>
                <w:sz w:val="18"/>
              </w:rPr>
            </w:pPr>
            <w:r>
              <w:rPr>
                <w:sz w:val="18"/>
              </w:rPr>
              <w:t>油、煤焦油；</w:t>
            </w:r>
            <w:r>
              <w:rPr>
                <w:rFonts w:ascii="Times New Roman" w:eastAsia="Times New Roman"/>
                <w:spacing w:val="3"/>
                <w:sz w:val="18"/>
              </w:rPr>
              <w:t>3</w:t>
            </w:r>
            <w:r>
              <w:rPr>
                <w:sz w:val="18"/>
              </w:rPr>
              <w:t>、非专用锅炉或未配备高效除尘设施的专用锅炉燃用的生物质成型燃料；</w:t>
            </w:r>
            <w:r>
              <w:rPr>
                <w:rFonts w:ascii="Times New Roman" w:eastAsia="Times New Roman"/>
                <w:sz w:val="18"/>
              </w:rPr>
              <w:t>4</w:t>
            </w:r>
            <w:r>
              <w:rPr>
                <w:sz w:val="18"/>
              </w:rPr>
              <w:t>、国家规定的其它高污染燃料。</w:t>
            </w:r>
          </w:p>
        </w:tc>
        <w:tc>
          <w:tcPr>
            <w:tcW w:w="2317" w:type="dxa"/>
            <w:gridSpan w:val="2"/>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111" w:type="dxa"/>
            <w:tcBorders>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2951"/>
        </w:trPr>
        <w:tc>
          <w:tcPr>
            <w:tcW w:w="1114" w:type="dxa"/>
            <w:vMerge/>
            <w:tcBorders>
              <w:top w:val="nil"/>
              <w:right w:val="single" w:sz="4" w:space="0" w:color="000000"/>
            </w:tcBorders>
          </w:tcPr>
          <w:p>
            <w:pPr>
              <w:rPr>
                <w:sz w:val="2"/>
                <w:szCs w:val="2"/>
              </w:rPr>
            </w:pPr>
          </w:p>
        </w:tc>
        <w:tc>
          <w:tcPr>
            <w:tcW w:w="8261" w:type="dxa"/>
            <w:gridSpan w:val="7"/>
            <w:tcBorders>
              <w:top w:val="single" w:sz="4" w:space="0" w:color="000000"/>
              <w:left w:val="single" w:sz="4" w:space="0" w:color="000000"/>
              <w:bottom w:val="single" w:sz="4" w:space="0" w:color="000000"/>
            </w:tcBorders>
          </w:tcPr>
          <w:p>
            <w:pPr>
              <w:pStyle w:val="TableParagraph"/>
              <w:spacing w:before="5"/>
              <w:rPr>
                <w:b/>
                <w:sz w:val="18"/>
              </w:rPr>
            </w:pPr>
          </w:p>
          <w:p>
            <w:pPr>
              <w:pStyle w:val="TableParagraph"/>
              <w:spacing w:line="364" w:lineRule="auto"/>
              <w:ind w:left="112" w:right="83" w:firstLine="420"/>
              <w:jc w:val="both"/>
              <w:rPr>
                <w:sz w:val="21"/>
              </w:rPr>
            </w:pPr>
            <w:r>
              <w:rPr>
                <w:spacing w:val="-1"/>
                <w:sz w:val="21"/>
              </w:rPr>
              <w:t>综上，项目符合《省政府关于印发江苏省“三线一单”生态环境分区管控方案的通</w:t>
            </w:r>
            <w:r>
              <w:rPr>
                <w:spacing w:val="-53"/>
                <w:sz w:val="21"/>
              </w:rPr>
              <w:t>知》</w:t>
            </w:r>
            <w:r>
              <w:rPr>
                <w:spacing w:val="-3"/>
                <w:sz w:val="21"/>
              </w:rPr>
              <w:t>（</w:t>
            </w:r>
            <w:r>
              <w:rPr>
                <w:spacing w:val="-2"/>
                <w:sz w:val="21"/>
              </w:rPr>
              <w:t>苏政发〔</w:t>
            </w:r>
            <w:r>
              <w:rPr>
                <w:rFonts w:ascii="Times New Roman" w:eastAsia="Times New Roman" w:hAnsi="Times New Roman"/>
                <w:sz w:val="21"/>
              </w:rPr>
              <w:t>2020</w:t>
            </w:r>
            <w:r>
              <w:rPr>
                <w:sz w:val="21"/>
              </w:rPr>
              <w:t>〕</w:t>
            </w:r>
            <w:r>
              <w:rPr>
                <w:rFonts w:ascii="Times New Roman" w:eastAsia="Times New Roman" w:hAnsi="Times New Roman"/>
                <w:sz w:val="21"/>
              </w:rPr>
              <w:t xml:space="preserve">49 </w:t>
            </w:r>
            <w:r>
              <w:rPr>
                <w:sz w:val="21"/>
              </w:rPr>
              <w:t>号</w:t>
            </w:r>
            <w:r>
              <w:rPr>
                <w:spacing w:val="-106"/>
                <w:sz w:val="21"/>
              </w:rPr>
              <w:t>）</w:t>
            </w:r>
            <w:r>
              <w:rPr>
                <w:spacing w:val="-17"/>
                <w:sz w:val="21"/>
              </w:rPr>
              <w:t>、《盐城市“三线一单”生态环境分区管控实施方案》</w:t>
            </w:r>
            <w:r>
              <w:rPr>
                <w:sz w:val="21"/>
              </w:rPr>
              <w:t>（</w:t>
            </w:r>
            <w:r>
              <w:rPr>
                <w:spacing w:val="-2"/>
                <w:sz w:val="21"/>
              </w:rPr>
              <w:t>盐环发</w:t>
            </w:r>
            <w:r>
              <w:rPr>
                <w:rFonts w:ascii="Times New Roman" w:eastAsia="Times New Roman" w:hAnsi="Times New Roman"/>
                <w:spacing w:val="-2"/>
                <w:sz w:val="21"/>
              </w:rPr>
              <w:t xml:space="preserve">[2020]200 </w:t>
            </w:r>
            <w:r>
              <w:rPr>
                <w:sz w:val="21"/>
              </w:rPr>
              <w:t>号</w:t>
            </w:r>
            <w:r>
              <w:rPr>
                <w:spacing w:val="-3"/>
                <w:sz w:val="21"/>
              </w:rPr>
              <w:t>）相符，详见</w:t>
            </w:r>
            <w:hyperlink w:anchor="_bookmark78" w:history="1">
              <w:r>
                <w:rPr>
                  <w:spacing w:val="-2"/>
                  <w:sz w:val="21"/>
                </w:rPr>
                <w:t>附图六</w:t>
              </w:r>
            </w:hyperlink>
            <w:r>
              <w:rPr>
                <w:spacing w:val="-3"/>
                <w:sz w:val="21"/>
              </w:rPr>
              <w:t>、</w:t>
            </w:r>
            <w:hyperlink w:anchor="_bookmark80" w:history="1">
              <w:r>
                <w:rPr>
                  <w:spacing w:val="-2"/>
                  <w:sz w:val="21"/>
                </w:rPr>
                <w:t>附图七</w:t>
              </w:r>
            </w:hyperlink>
            <w:r>
              <w:rPr>
                <w:sz w:val="21"/>
              </w:rPr>
              <w:t>。</w:t>
            </w:r>
          </w:p>
          <w:p>
            <w:pPr>
              <w:pStyle w:val="TableParagraph"/>
              <w:spacing w:line="266" w:lineRule="exact"/>
              <w:ind w:left="534"/>
              <w:rPr>
                <w:b/>
                <w:sz w:val="21"/>
              </w:rPr>
            </w:pPr>
            <w:r>
              <w:rPr>
                <w:rFonts w:ascii="Times New Roman" w:eastAsia="Times New Roman"/>
                <w:b/>
                <w:sz w:val="21"/>
              </w:rPr>
              <w:t>4.</w:t>
            </w:r>
            <w:r>
              <w:rPr>
                <w:b/>
                <w:sz w:val="21"/>
              </w:rPr>
              <w:t>与长江保护相关要求的符合性分析</w:t>
            </w:r>
          </w:p>
          <w:p>
            <w:pPr>
              <w:pStyle w:val="TableParagraph"/>
              <w:spacing w:before="142"/>
              <w:ind w:left="534"/>
              <w:rPr>
                <w:b/>
                <w:sz w:val="21"/>
              </w:rPr>
            </w:pPr>
            <w:r>
              <w:rPr>
                <w:b/>
                <w:sz w:val="21"/>
              </w:rPr>
              <w:t>（</w:t>
            </w:r>
            <w:r>
              <w:rPr>
                <w:rFonts w:ascii="Times New Roman" w:eastAsia="Times New Roman"/>
                <w:b/>
                <w:sz w:val="21"/>
              </w:rPr>
              <w:t>1</w:t>
            </w:r>
            <w:r>
              <w:rPr>
                <w:b/>
                <w:sz w:val="21"/>
              </w:rPr>
              <w:t>）</w:t>
            </w:r>
            <w:r>
              <w:rPr>
                <w:rFonts w:ascii="Times New Roman" w:eastAsia="Times New Roman"/>
                <w:b/>
                <w:sz w:val="21"/>
              </w:rPr>
              <w:t>&lt;</w:t>
            </w:r>
            <w:r>
              <w:rPr>
                <w:b/>
                <w:spacing w:val="21"/>
                <w:sz w:val="21"/>
              </w:rPr>
              <w:t>关于印发《长江经济带发展负面清单指南</w:t>
            </w:r>
            <w:r>
              <w:rPr>
                <w:b/>
                <w:sz w:val="21"/>
              </w:rPr>
              <w:t>（</w:t>
            </w:r>
            <w:r>
              <w:rPr>
                <w:b/>
                <w:spacing w:val="-15"/>
                <w:sz w:val="21"/>
              </w:rPr>
              <w:t xml:space="preserve"> 试行</w:t>
            </w:r>
            <w:r>
              <w:rPr>
                <w:b/>
                <w:spacing w:val="-82"/>
                <w:sz w:val="21"/>
              </w:rPr>
              <w:t>）</w:t>
            </w:r>
            <w:r>
              <w:rPr>
                <w:b/>
                <w:spacing w:val="18"/>
                <w:sz w:val="21"/>
              </w:rPr>
              <w:t>》的通知</w:t>
            </w:r>
            <w:r>
              <w:rPr>
                <w:rFonts w:ascii="Times New Roman" w:eastAsia="Times New Roman"/>
                <w:b/>
                <w:sz w:val="21"/>
              </w:rPr>
              <w:t>&gt;</w:t>
            </w:r>
            <w:r>
              <w:rPr>
                <w:b/>
                <w:sz w:val="21"/>
              </w:rPr>
              <w:t>（</w:t>
            </w:r>
            <w:r>
              <w:rPr>
                <w:b/>
                <w:spacing w:val="-11"/>
                <w:sz w:val="21"/>
              </w:rPr>
              <w:t xml:space="preserve"> 长江办</w:t>
            </w:r>
          </w:p>
          <w:p>
            <w:pPr>
              <w:pStyle w:val="TableParagraph"/>
              <w:spacing w:before="139"/>
              <w:ind w:left="112"/>
              <w:rPr>
                <w:b/>
                <w:sz w:val="21"/>
              </w:rPr>
            </w:pPr>
            <w:r>
              <w:rPr>
                <w:rFonts w:ascii="Times New Roman" w:eastAsia="Times New Roman"/>
                <w:b/>
                <w:sz w:val="21"/>
              </w:rPr>
              <w:t xml:space="preserve">[2022]7 </w:t>
            </w:r>
            <w:r>
              <w:rPr>
                <w:b/>
                <w:sz w:val="21"/>
              </w:rPr>
              <w:t>号）</w:t>
            </w:r>
          </w:p>
          <w:p>
            <w:pPr>
              <w:pStyle w:val="TableParagraph"/>
              <w:spacing w:before="139" w:line="245" w:lineRule="exact"/>
              <w:ind w:left="1249" w:right="1225"/>
              <w:jc w:val="center"/>
              <w:rPr>
                <w:b/>
                <w:sz w:val="21"/>
              </w:rPr>
            </w:pPr>
            <w:r>
              <w:rPr>
                <w:b/>
                <w:spacing w:val="-26"/>
                <w:sz w:val="21"/>
              </w:rPr>
              <w:t xml:space="preserve">表 </w:t>
            </w:r>
            <w:r>
              <w:rPr>
                <w:rFonts w:ascii="Times New Roman" w:eastAsia="Times New Roman"/>
                <w:b/>
                <w:sz w:val="21"/>
              </w:rPr>
              <w:t xml:space="preserve">1-6 </w:t>
            </w:r>
            <w:r>
              <w:rPr>
                <w:b/>
                <w:spacing w:val="-1"/>
                <w:sz w:val="21"/>
              </w:rPr>
              <w:t>与《长江经济带发展负面清单指南</w:t>
            </w:r>
            <w:r>
              <w:rPr>
                <w:b/>
                <w:sz w:val="21"/>
              </w:rPr>
              <w:t>（</w:t>
            </w:r>
            <w:r>
              <w:rPr>
                <w:b/>
                <w:spacing w:val="-2"/>
                <w:sz w:val="21"/>
              </w:rPr>
              <w:t>试行</w:t>
            </w:r>
            <w:r>
              <w:rPr>
                <w:b/>
                <w:spacing w:val="-106"/>
                <w:sz w:val="21"/>
              </w:rPr>
              <w:t>）</w:t>
            </w:r>
            <w:r>
              <w:rPr>
                <w:b/>
                <w:spacing w:val="-2"/>
                <w:sz w:val="21"/>
              </w:rPr>
              <w:t>》相符性分析</w:t>
            </w:r>
          </w:p>
        </w:tc>
      </w:tr>
      <w:tr>
        <w:tblPrEx>
          <w:tblW w:w="0" w:type="auto"/>
          <w:tblInd w:w="138" w:type="dxa"/>
          <w:tblLayout w:type="fixed"/>
          <w:tblCellMar>
            <w:top w:w="0" w:type="dxa"/>
            <w:left w:w="0" w:type="dxa"/>
            <w:bottom w:w="0" w:type="dxa"/>
            <w:right w:w="0" w:type="dxa"/>
          </w:tblCellMar>
        </w:tblPrEx>
        <w:trPr>
          <w:trHeight w:val="224"/>
        </w:trPr>
        <w:tc>
          <w:tcPr>
            <w:tcW w:w="1114" w:type="dxa"/>
            <w:vMerge/>
            <w:tcBorders>
              <w:top w:val="nil"/>
              <w:right w:val="single" w:sz="4" w:space="0" w:color="000000"/>
            </w:tcBorders>
          </w:tcPr>
          <w:p>
            <w:pPr>
              <w:rPr>
                <w:sz w:val="2"/>
                <w:szCs w:val="2"/>
              </w:rPr>
            </w:pPr>
          </w:p>
        </w:tc>
        <w:tc>
          <w:tcPr>
            <w:tcW w:w="117" w:type="dxa"/>
            <w:vMerge w:val="restart"/>
            <w:tcBorders>
              <w:top w:val="nil"/>
              <w:left w:val="single" w:sz="4" w:space="0" w:color="000000"/>
              <w:right w:val="single" w:sz="4" w:space="0" w:color="000000"/>
            </w:tcBorders>
          </w:tcPr>
          <w:p>
            <w:pPr>
              <w:pStyle w:val="TableParagraph"/>
              <w:rPr>
                <w:rFonts w:ascii="Times New Roman"/>
                <w:sz w:val="18"/>
              </w:rPr>
            </w:pPr>
          </w:p>
        </w:tc>
        <w:tc>
          <w:tcPr>
            <w:tcW w:w="676" w:type="dxa"/>
            <w:tcBorders>
              <w:top w:val="single" w:sz="4" w:space="0" w:color="000000"/>
              <w:left w:val="single" w:sz="4" w:space="0" w:color="000000"/>
              <w:bottom w:val="single" w:sz="4" w:space="0" w:color="000000"/>
              <w:right w:val="single" w:sz="4" w:space="0" w:color="000000"/>
            </w:tcBorders>
          </w:tcPr>
          <w:p>
            <w:pPr>
              <w:pStyle w:val="TableParagraph"/>
              <w:spacing w:line="205" w:lineRule="exact"/>
              <w:ind w:left="155"/>
              <w:rPr>
                <w:b/>
                <w:sz w:val="18"/>
              </w:rPr>
            </w:pPr>
            <w:r>
              <w:rPr>
                <w:b/>
                <w:sz w:val="18"/>
              </w:rPr>
              <w:t>类别</w:t>
            </w:r>
          </w:p>
        </w:tc>
        <w:tc>
          <w:tcPr>
            <w:tcW w:w="5720" w:type="dxa"/>
            <w:gridSpan w:val="3"/>
            <w:tcBorders>
              <w:top w:val="single" w:sz="4" w:space="0" w:color="000000"/>
              <w:left w:val="single" w:sz="4" w:space="0" w:color="000000"/>
              <w:bottom w:val="single" w:sz="4" w:space="0" w:color="000000"/>
              <w:right w:val="single" w:sz="4" w:space="0" w:color="000000"/>
            </w:tcBorders>
          </w:tcPr>
          <w:p>
            <w:pPr>
              <w:pStyle w:val="TableParagraph"/>
              <w:spacing w:line="205" w:lineRule="exact"/>
              <w:ind w:left="2661" w:right="2647"/>
              <w:jc w:val="center"/>
              <w:rPr>
                <w:b/>
                <w:sz w:val="18"/>
              </w:rPr>
            </w:pPr>
            <w:r>
              <w:rPr>
                <w:b/>
                <w:sz w:val="18"/>
              </w:rPr>
              <w:t>目录</w:t>
            </w:r>
          </w:p>
        </w:tc>
        <w:tc>
          <w:tcPr>
            <w:tcW w:w="1637" w:type="dxa"/>
            <w:tcBorders>
              <w:top w:val="single" w:sz="4" w:space="0" w:color="000000"/>
              <w:left w:val="single" w:sz="4" w:space="0" w:color="000000"/>
              <w:bottom w:val="single" w:sz="4" w:space="0" w:color="000000"/>
              <w:right w:val="single" w:sz="4" w:space="0" w:color="000000"/>
            </w:tcBorders>
          </w:tcPr>
          <w:p>
            <w:pPr>
              <w:pStyle w:val="TableParagraph"/>
              <w:spacing w:line="205" w:lineRule="exact"/>
              <w:ind w:left="551"/>
              <w:rPr>
                <w:b/>
                <w:sz w:val="18"/>
              </w:rPr>
            </w:pPr>
            <w:r>
              <w:rPr>
                <w:b/>
                <w:sz w:val="18"/>
              </w:rPr>
              <w:t>相符性</w:t>
            </w:r>
          </w:p>
        </w:tc>
        <w:tc>
          <w:tcPr>
            <w:tcW w:w="111" w:type="dxa"/>
            <w:tcBorders>
              <w:top w:val="nil"/>
              <w:left w:val="single" w:sz="4" w:space="0" w:color="000000"/>
              <w:bottom w:val="nil"/>
            </w:tcBorders>
          </w:tcPr>
          <w:p>
            <w:pPr>
              <w:pStyle w:val="TableParagraph"/>
              <w:rPr>
                <w:rFonts w:ascii="Times New Roman"/>
                <w:sz w:val="16"/>
              </w:rPr>
            </w:pPr>
          </w:p>
        </w:tc>
      </w:tr>
      <w:tr>
        <w:tblPrEx>
          <w:tblW w:w="0" w:type="auto"/>
          <w:tblInd w:w="138" w:type="dxa"/>
          <w:tblLayout w:type="fixed"/>
          <w:tblCellMar>
            <w:top w:w="0" w:type="dxa"/>
            <w:left w:w="0" w:type="dxa"/>
            <w:bottom w:w="0" w:type="dxa"/>
            <w:right w:w="0" w:type="dxa"/>
          </w:tblCellMar>
        </w:tblPrEx>
        <w:trPr>
          <w:trHeight w:val="923"/>
        </w:trPr>
        <w:tc>
          <w:tcPr>
            <w:tcW w:w="1114" w:type="dxa"/>
            <w:vMerge/>
            <w:tcBorders>
              <w:top w:val="nil"/>
              <w:right w:val="single" w:sz="4" w:space="0" w:color="000000"/>
            </w:tcBorders>
          </w:tcPr>
          <w:p>
            <w:pPr>
              <w:rPr>
                <w:sz w:val="2"/>
                <w:szCs w:val="2"/>
              </w:rPr>
            </w:pPr>
          </w:p>
        </w:tc>
        <w:tc>
          <w:tcPr>
            <w:tcW w:w="117" w:type="dxa"/>
            <w:vMerge/>
            <w:tcBorders>
              <w:top w:val="nil"/>
              <w:left w:val="single" w:sz="4" w:space="0" w:color="000000"/>
              <w:right w:val="single" w:sz="4" w:space="0" w:color="000000"/>
            </w:tcBorders>
          </w:tcPr>
          <w:p>
            <w:pPr>
              <w:rPr>
                <w:sz w:val="2"/>
                <w:szCs w:val="2"/>
              </w:rPr>
            </w:pPr>
          </w:p>
        </w:tc>
        <w:tc>
          <w:tcPr>
            <w:tcW w:w="676"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8"/>
              <w:rPr>
                <w:b/>
                <w:sz w:val="22"/>
              </w:rPr>
            </w:pPr>
          </w:p>
          <w:p>
            <w:pPr>
              <w:pStyle w:val="TableParagraph"/>
              <w:spacing w:line="242" w:lineRule="auto"/>
              <w:ind w:left="107" w:right="1"/>
              <w:jc w:val="both"/>
              <w:rPr>
                <w:sz w:val="18"/>
              </w:rPr>
            </w:pPr>
            <w:r>
              <w:rPr>
                <w:sz w:val="18"/>
              </w:rPr>
              <w:t>河 段利 用与 岸线 开发</w:t>
            </w:r>
          </w:p>
        </w:tc>
        <w:tc>
          <w:tcPr>
            <w:tcW w:w="5720" w:type="dxa"/>
            <w:gridSpan w:val="3"/>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06" w:right="83"/>
              <w:rPr>
                <w:sz w:val="18"/>
              </w:rPr>
            </w:pPr>
            <w:r>
              <w:rPr>
                <w:rFonts w:ascii="Times New Roman" w:eastAsia="Times New Roman"/>
                <w:sz w:val="18"/>
              </w:rPr>
              <w:t>1.</w:t>
            </w:r>
            <w:r>
              <w:rPr>
                <w:sz w:val="18"/>
              </w:rPr>
              <w:t>禁止建设不符合国家港口布局规划和《江苏省沿江沿海港口布局规划</w:t>
            </w:r>
            <w:r>
              <w:rPr>
                <w:rFonts w:ascii="Times New Roman" w:eastAsia="Times New Roman"/>
                <w:sz w:val="18"/>
              </w:rPr>
              <w:t xml:space="preserve">(2015-2030 </w:t>
            </w:r>
            <w:r>
              <w:rPr>
                <w:sz w:val="18"/>
              </w:rPr>
              <w:t>年</w:t>
            </w:r>
            <w:r>
              <w:rPr>
                <w:rFonts w:ascii="Times New Roman" w:eastAsia="Times New Roman"/>
                <w:sz w:val="18"/>
              </w:rPr>
              <w:t>)</w:t>
            </w:r>
            <w:r>
              <w:rPr>
                <w:sz w:val="18"/>
              </w:rPr>
              <w:t>》《江苏省内河港口布局规划</w:t>
            </w:r>
            <w:r>
              <w:rPr>
                <w:rFonts w:ascii="Times New Roman" w:eastAsia="Times New Roman"/>
                <w:sz w:val="18"/>
              </w:rPr>
              <w:t xml:space="preserve">(2017-2035 </w:t>
            </w:r>
            <w:r>
              <w:rPr>
                <w:sz w:val="18"/>
              </w:rPr>
              <w:t>年</w:t>
            </w:r>
            <w:r>
              <w:rPr>
                <w:rFonts w:ascii="Times New Roman" w:eastAsia="Times New Roman"/>
                <w:sz w:val="18"/>
              </w:rPr>
              <w:t>)</w:t>
            </w:r>
            <w:r>
              <w:rPr>
                <w:sz w:val="18"/>
              </w:rPr>
              <w:t>》以及我</w:t>
            </w:r>
          </w:p>
          <w:p>
            <w:pPr>
              <w:pStyle w:val="TableParagraph"/>
              <w:spacing w:line="230" w:lineRule="atLeast"/>
              <w:ind w:left="106" w:right="91"/>
              <w:rPr>
                <w:sz w:val="18"/>
              </w:rPr>
            </w:pPr>
            <w:r>
              <w:rPr>
                <w:sz w:val="18"/>
              </w:rPr>
              <w:t>省有关港口总体规划的码头项目，禁止建设未纳入《长江干线过江通道布局规划》的过长江通道项目。</w:t>
            </w:r>
          </w:p>
        </w:tc>
        <w:tc>
          <w:tcPr>
            <w:tcW w:w="1637"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1"/>
              <w:rPr>
                <w:b/>
                <w:sz w:val="25"/>
              </w:rPr>
            </w:pPr>
          </w:p>
          <w:p>
            <w:pPr>
              <w:pStyle w:val="TableParagraph"/>
              <w:spacing w:line="242" w:lineRule="auto"/>
              <w:ind w:left="191" w:right="172"/>
              <w:jc w:val="both"/>
              <w:rPr>
                <w:sz w:val="18"/>
              </w:rPr>
            </w:pPr>
            <w:r>
              <w:rPr>
                <w:sz w:val="18"/>
              </w:rPr>
              <w:t xml:space="preserve">扩建项目在建设单位现有厂区内建设，不涉及新增用地，不涉及河段、码头、港口及厂界岸线的利用与开发。 </w:t>
            </w:r>
          </w:p>
        </w:tc>
        <w:tc>
          <w:tcPr>
            <w:tcW w:w="111" w:type="dxa"/>
            <w:vMerge w:val="restart"/>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1154"/>
        </w:trPr>
        <w:tc>
          <w:tcPr>
            <w:tcW w:w="1114" w:type="dxa"/>
            <w:vMerge/>
            <w:tcBorders>
              <w:top w:val="nil"/>
              <w:right w:val="single" w:sz="4" w:space="0" w:color="000000"/>
            </w:tcBorders>
          </w:tcPr>
          <w:p>
            <w:pPr>
              <w:rPr>
                <w:sz w:val="2"/>
                <w:szCs w:val="2"/>
              </w:rPr>
            </w:pPr>
          </w:p>
        </w:tc>
        <w:tc>
          <w:tcPr>
            <w:tcW w:w="117" w:type="dxa"/>
            <w:vMerge/>
            <w:tcBorders>
              <w:top w:val="nil"/>
              <w:left w:val="single" w:sz="4" w:space="0" w:color="000000"/>
              <w:right w:val="single" w:sz="4" w:space="0" w:color="000000"/>
            </w:tcBorders>
          </w:tcPr>
          <w:p>
            <w:pPr>
              <w:rPr>
                <w:sz w:val="2"/>
                <w:szCs w:val="2"/>
              </w:rPr>
            </w:pPr>
          </w:p>
        </w:tc>
        <w:tc>
          <w:tcPr>
            <w:tcW w:w="676" w:type="dxa"/>
            <w:vMerge/>
            <w:tcBorders>
              <w:top w:val="nil"/>
              <w:left w:val="single" w:sz="4" w:space="0" w:color="000000"/>
              <w:bottom w:val="single" w:sz="4" w:space="0" w:color="000000"/>
              <w:right w:val="single" w:sz="4" w:space="0" w:color="000000"/>
            </w:tcBorders>
          </w:tcPr>
          <w:p>
            <w:pPr>
              <w:rPr>
                <w:sz w:val="2"/>
                <w:szCs w:val="2"/>
              </w:rPr>
            </w:pPr>
          </w:p>
        </w:tc>
        <w:tc>
          <w:tcPr>
            <w:tcW w:w="5720" w:type="dxa"/>
            <w:gridSpan w:val="3"/>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06" w:right="88"/>
              <w:jc w:val="both"/>
              <w:rPr>
                <w:sz w:val="18"/>
              </w:rPr>
            </w:pPr>
            <w:r>
              <w:rPr>
                <w:rFonts w:ascii="Times New Roman" w:eastAsia="Times New Roman"/>
                <w:sz w:val="18"/>
              </w:rPr>
              <w:t>2.</w:t>
            </w:r>
            <w:r>
              <w:rPr>
                <w:spacing w:val="-5"/>
                <w:sz w:val="18"/>
              </w:rPr>
              <w:t>严格执行《中华人民共和国自然保护区条例》，禁止在自然保护区核</w:t>
            </w:r>
            <w:r>
              <w:rPr>
                <w:sz w:val="18"/>
              </w:rPr>
              <w:t>心区、缓冲区的岸线和河段范围内投资建设旅游和生产经营项目。严</w:t>
            </w:r>
            <w:r>
              <w:rPr>
                <w:spacing w:val="-12"/>
                <w:sz w:val="18"/>
              </w:rPr>
              <w:t>格执行《风景名胜区条例》《江苏省风景名胜区管理条例》，禁止在国</w:t>
            </w:r>
          </w:p>
          <w:p>
            <w:pPr>
              <w:pStyle w:val="TableParagraph"/>
              <w:spacing w:line="230" w:lineRule="atLeast"/>
              <w:ind w:left="106" w:right="91"/>
              <w:rPr>
                <w:sz w:val="18"/>
              </w:rPr>
            </w:pPr>
            <w:r>
              <w:rPr>
                <w:sz w:val="18"/>
              </w:rPr>
              <w:t>家级和省级风景名胜区核心景区的岸线和河段范围内投资建设与风景名胜资源保护无关的项目。</w:t>
            </w:r>
          </w:p>
        </w:tc>
        <w:tc>
          <w:tcPr>
            <w:tcW w:w="1637" w:type="dxa"/>
            <w:vMerge/>
            <w:tcBorders>
              <w:top w:val="nil"/>
              <w:left w:val="single" w:sz="4" w:space="0" w:color="000000"/>
              <w:bottom w:val="single" w:sz="4" w:space="0" w:color="000000"/>
              <w:right w:val="single" w:sz="4" w:space="0" w:color="000000"/>
            </w:tcBorders>
          </w:tcPr>
          <w:p>
            <w:pPr>
              <w:rPr>
                <w:sz w:val="2"/>
                <w:szCs w:val="2"/>
              </w:rPr>
            </w:pPr>
          </w:p>
        </w:tc>
        <w:tc>
          <w:tcPr>
            <w:tcW w:w="111"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1856"/>
        </w:trPr>
        <w:tc>
          <w:tcPr>
            <w:tcW w:w="1114" w:type="dxa"/>
            <w:vMerge/>
            <w:tcBorders>
              <w:top w:val="nil"/>
              <w:right w:val="single" w:sz="4" w:space="0" w:color="000000"/>
            </w:tcBorders>
          </w:tcPr>
          <w:p>
            <w:pPr>
              <w:rPr>
                <w:sz w:val="2"/>
                <w:szCs w:val="2"/>
              </w:rPr>
            </w:pPr>
          </w:p>
        </w:tc>
        <w:tc>
          <w:tcPr>
            <w:tcW w:w="117" w:type="dxa"/>
            <w:vMerge/>
            <w:tcBorders>
              <w:top w:val="nil"/>
              <w:left w:val="single" w:sz="4" w:space="0" w:color="000000"/>
              <w:right w:val="single" w:sz="4" w:space="0" w:color="000000"/>
            </w:tcBorders>
          </w:tcPr>
          <w:p>
            <w:pPr>
              <w:rPr>
                <w:sz w:val="2"/>
                <w:szCs w:val="2"/>
              </w:rPr>
            </w:pPr>
          </w:p>
        </w:tc>
        <w:tc>
          <w:tcPr>
            <w:tcW w:w="676" w:type="dxa"/>
            <w:vMerge/>
            <w:tcBorders>
              <w:top w:val="nil"/>
              <w:left w:val="single" w:sz="4" w:space="0" w:color="000000"/>
              <w:bottom w:val="single" w:sz="4" w:space="0" w:color="000000"/>
              <w:right w:val="single" w:sz="4" w:space="0" w:color="000000"/>
            </w:tcBorders>
          </w:tcPr>
          <w:p>
            <w:pPr>
              <w:rPr>
                <w:sz w:val="2"/>
                <w:szCs w:val="2"/>
              </w:rPr>
            </w:pPr>
          </w:p>
        </w:tc>
        <w:tc>
          <w:tcPr>
            <w:tcW w:w="5720" w:type="dxa"/>
            <w:gridSpan w:val="3"/>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06" w:right="88"/>
              <w:jc w:val="both"/>
              <w:rPr>
                <w:sz w:val="18"/>
              </w:rPr>
            </w:pPr>
            <w:r>
              <w:rPr>
                <w:rFonts w:ascii="Times New Roman" w:eastAsia="Times New Roman"/>
                <w:sz w:val="18"/>
              </w:rPr>
              <w:t>3.</w:t>
            </w:r>
            <w:r>
              <w:rPr>
                <w:spacing w:val="-5"/>
                <w:sz w:val="18"/>
              </w:rPr>
              <w:t>严格执行《中华人民共和国水污染防治法》《江苏省人民代表大会常</w:t>
            </w:r>
            <w:r>
              <w:rPr>
                <w:spacing w:val="5"/>
                <w:sz w:val="18"/>
              </w:rPr>
              <w:t>务委员会关于加强饮用水源地保护的决定》《江苏省水污染防治条</w:t>
            </w:r>
            <w:r>
              <w:rPr>
                <w:spacing w:val="-10"/>
                <w:sz w:val="18"/>
              </w:rPr>
              <w:t>例》，禁止在饮用水水源一级保护区的岸线和河段范围内新建、改建、</w:t>
            </w:r>
            <w:r>
              <w:rPr>
                <w:sz w:val="18"/>
              </w:rPr>
              <w:t>扩建与供水设施和保护水源无关的项目，以及网箱养殖、畜禽养殖、旅游等可能污染饮用水水体的投资建设项目；禁止在饮用水水源二级保护区的岸线和河段范围内新建、改建、扩建排放污染物的投资建设项目；禁止在饮用水水源准保护区的岸线和河段范围内新建、扩建对</w:t>
            </w:r>
          </w:p>
          <w:p>
            <w:pPr>
              <w:pStyle w:val="TableParagraph"/>
              <w:spacing w:line="210" w:lineRule="exact"/>
              <w:ind w:left="106"/>
              <w:rPr>
                <w:sz w:val="18"/>
              </w:rPr>
            </w:pPr>
            <w:r>
              <w:rPr>
                <w:sz w:val="18"/>
              </w:rPr>
              <w:t>水体污染严重的投资建设项目，改建项目应当消减排污量。</w:t>
            </w:r>
          </w:p>
        </w:tc>
        <w:tc>
          <w:tcPr>
            <w:tcW w:w="1637" w:type="dxa"/>
            <w:vMerge/>
            <w:tcBorders>
              <w:top w:val="nil"/>
              <w:left w:val="single" w:sz="4" w:space="0" w:color="000000"/>
              <w:bottom w:val="single" w:sz="4" w:space="0" w:color="000000"/>
              <w:right w:val="single" w:sz="4" w:space="0" w:color="000000"/>
            </w:tcBorders>
          </w:tcPr>
          <w:p>
            <w:pPr>
              <w:rPr>
                <w:sz w:val="2"/>
                <w:szCs w:val="2"/>
              </w:rPr>
            </w:pPr>
          </w:p>
        </w:tc>
        <w:tc>
          <w:tcPr>
            <w:tcW w:w="111"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1156"/>
        </w:trPr>
        <w:tc>
          <w:tcPr>
            <w:tcW w:w="1114" w:type="dxa"/>
            <w:vMerge/>
            <w:tcBorders>
              <w:top w:val="nil"/>
              <w:right w:val="single" w:sz="4" w:space="0" w:color="000000"/>
            </w:tcBorders>
          </w:tcPr>
          <w:p>
            <w:pPr>
              <w:rPr>
                <w:sz w:val="2"/>
                <w:szCs w:val="2"/>
              </w:rPr>
            </w:pPr>
          </w:p>
        </w:tc>
        <w:tc>
          <w:tcPr>
            <w:tcW w:w="117" w:type="dxa"/>
            <w:vMerge/>
            <w:tcBorders>
              <w:top w:val="nil"/>
              <w:left w:val="single" w:sz="4" w:space="0" w:color="000000"/>
              <w:right w:val="single" w:sz="4" w:space="0" w:color="000000"/>
            </w:tcBorders>
          </w:tcPr>
          <w:p>
            <w:pPr>
              <w:rPr>
                <w:sz w:val="2"/>
                <w:szCs w:val="2"/>
              </w:rPr>
            </w:pPr>
          </w:p>
        </w:tc>
        <w:tc>
          <w:tcPr>
            <w:tcW w:w="676" w:type="dxa"/>
            <w:vMerge/>
            <w:tcBorders>
              <w:top w:val="nil"/>
              <w:left w:val="single" w:sz="4" w:space="0" w:color="000000"/>
              <w:bottom w:val="single" w:sz="4" w:space="0" w:color="000000"/>
              <w:right w:val="single" w:sz="4" w:space="0" w:color="000000"/>
            </w:tcBorders>
          </w:tcPr>
          <w:p>
            <w:pPr>
              <w:rPr>
                <w:sz w:val="2"/>
                <w:szCs w:val="2"/>
              </w:rPr>
            </w:pPr>
          </w:p>
        </w:tc>
        <w:tc>
          <w:tcPr>
            <w:tcW w:w="5720" w:type="dxa"/>
            <w:gridSpan w:val="3"/>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06" w:right="88"/>
              <w:jc w:val="both"/>
              <w:rPr>
                <w:sz w:val="18"/>
              </w:rPr>
            </w:pPr>
            <w:r>
              <w:rPr>
                <w:rFonts w:ascii="Times New Roman" w:eastAsia="Times New Roman"/>
                <w:sz w:val="18"/>
              </w:rPr>
              <w:t>4.</w:t>
            </w:r>
            <w:r>
              <w:rPr>
                <w:spacing w:val="-5"/>
                <w:sz w:val="18"/>
              </w:rPr>
              <w:t>严格执行《水产种质资源保护区管理暂行办法》，禁止在国家级和省</w:t>
            </w:r>
            <w:r>
              <w:rPr>
                <w:sz w:val="18"/>
              </w:rPr>
              <w:t>级水产种质资源保护区的岸线和河段范围内新建围湖造田、围海造地或围填海等投资建设项目。严格执行《中华人民共和国湿地保护法》</w:t>
            </w:r>
          </w:p>
          <w:p>
            <w:pPr>
              <w:pStyle w:val="TableParagraph"/>
              <w:ind w:left="106"/>
              <w:rPr>
                <w:sz w:val="18"/>
              </w:rPr>
            </w:pPr>
            <w:r>
              <w:rPr>
                <w:spacing w:val="-9"/>
                <w:sz w:val="18"/>
              </w:rPr>
              <w:t>《江苏省湿地保护条例》，禁止在国家湿地公园的岸线和河段范围内挖</w:t>
            </w:r>
          </w:p>
          <w:p>
            <w:pPr>
              <w:pStyle w:val="TableParagraph"/>
              <w:spacing w:line="208" w:lineRule="exact"/>
              <w:ind w:left="106"/>
              <w:rPr>
                <w:sz w:val="18"/>
              </w:rPr>
            </w:pPr>
            <w:r>
              <w:rPr>
                <w:sz w:val="18"/>
              </w:rPr>
              <w:t>沙、采矿，以及任何不符合主体功能定位的投资建设项目。</w:t>
            </w:r>
          </w:p>
        </w:tc>
        <w:tc>
          <w:tcPr>
            <w:tcW w:w="1637" w:type="dxa"/>
            <w:vMerge/>
            <w:tcBorders>
              <w:top w:val="nil"/>
              <w:left w:val="single" w:sz="4" w:space="0" w:color="000000"/>
              <w:bottom w:val="single" w:sz="4" w:space="0" w:color="000000"/>
              <w:right w:val="single" w:sz="4" w:space="0" w:color="000000"/>
            </w:tcBorders>
          </w:tcPr>
          <w:p>
            <w:pPr>
              <w:rPr>
                <w:sz w:val="2"/>
                <w:szCs w:val="2"/>
              </w:rPr>
            </w:pPr>
          </w:p>
        </w:tc>
        <w:tc>
          <w:tcPr>
            <w:tcW w:w="111"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1859"/>
        </w:trPr>
        <w:tc>
          <w:tcPr>
            <w:tcW w:w="1114" w:type="dxa"/>
            <w:vMerge/>
            <w:tcBorders>
              <w:top w:val="nil"/>
              <w:right w:val="single" w:sz="4" w:space="0" w:color="000000"/>
            </w:tcBorders>
          </w:tcPr>
          <w:p>
            <w:pPr>
              <w:rPr>
                <w:sz w:val="2"/>
                <w:szCs w:val="2"/>
              </w:rPr>
            </w:pPr>
          </w:p>
        </w:tc>
        <w:tc>
          <w:tcPr>
            <w:tcW w:w="117" w:type="dxa"/>
            <w:vMerge/>
            <w:tcBorders>
              <w:top w:val="nil"/>
              <w:left w:val="single" w:sz="4" w:space="0" w:color="000000"/>
              <w:right w:val="single" w:sz="4" w:space="0" w:color="000000"/>
            </w:tcBorders>
          </w:tcPr>
          <w:p>
            <w:pPr>
              <w:rPr>
                <w:sz w:val="2"/>
                <w:szCs w:val="2"/>
              </w:rPr>
            </w:pPr>
          </w:p>
        </w:tc>
        <w:tc>
          <w:tcPr>
            <w:tcW w:w="676" w:type="dxa"/>
            <w:vMerge/>
            <w:tcBorders>
              <w:top w:val="nil"/>
              <w:left w:val="single" w:sz="4" w:space="0" w:color="000000"/>
              <w:bottom w:val="single" w:sz="4" w:space="0" w:color="000000"/>
              <w:right w:val="single" w:sz="4" w:space="0" w:color="000000"/>
            </w:tcBorders>
          </w:tcPr>
          <w:p>
            <w:pPr>
              <w:rPr>
                <w:sz w:val="2"/>
                <w:szCs w:val="2"/>
              </w:rPr>
            </w:pPr>
          </w:p>
        </w:tc>
        <w:tc>
          <w:tcPr>
            <w:tcW w:w="5720" w:type="dxa"/>
            <w:gridSpan w:val="3"/>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06" w:right="87"/>
              <w:jc w:val="both"/>
              <w:rPr>
                <w:sz w:val="18"/>
              </w:rPr>
            </w:pPr>
            <w:r>
              <w:rPr>
                <w:rFonts w:ascii="Times New Roman" w:eastAsia="Times New Roman"/>
                <w:sz w:val="18"/>
              </w:rPr>
              <w:t>5.</w:t>
            </w:r>
            <w:r>
              <w:rPr>
                <w:sz w:val="18"/>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长江干支流基础设施项目应按照《长江岸线保护和开发利用总体规划》和生态环境保护、岸线保护等要求，按规定开展项目前期论证并办理相关手续。禁止在《全国重要江河湖泊水功能区划》划定的河段及湖泊保护区、保留区内投资</w:t>
            </w:r>
          </w:p>
          <w:p>
            <w:pPr>
              <w:pStyle w:val="TableParagraph"/>
              <w:spacing w:before="1" w:line="208" w:lineRule="exact"/>
              <w:ind w:left="106"/>
              <w:rPr>
                <w:sz w:val="18"/>
              </w:rPr>
            </w:pPr>
            <w:r>
              <w:rPr>
                <w:sz w:val="18"/>
              </w:rPr>
              <w:t>建设不利于水资源及自然生态保护的项目。</w:t>
            </w:r>
          </w:p>
        </w:tc>
        <w:tc>
          <w:tcPr>
            <w:tcW w:w="1637" w:type="dxa"/>
            <w:vMerge/>
            <w:tcBorders>
              <w:top w:val="nil"/>
              <w:left w:val="single" w:sz="4" w:space="0" w:color="000000"/>
              <w:bottom w:val="single" w:sz="4" w:space="0" w:color="000000"/>
              <w:right w:val="single" w:sz="4" w:space="0" w:color="000000"/>
            </w:tcBorders>
          </w:tcPr>
          <w:p>
            <w:pPr>
              <w:rPr>
                <w:sz w:val="2"/>
                <w:szCs w:val="2"/>
              </w:rPr>
            </w:pPr>
          </w:p>
        </w:tc>
        <w:tc>
          <w:tcPr>
            <w:tcW w:w="111"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289"/>
        </w:trPr>
        <w:tc>
          <w:tcPr>
            <w:tcW w:w="1114" w:type="dxa"/>
            <w:vMerge/>
            <w:tcBorders>
              <w:top w:val="nil"/>
              <w:right w:val="single" w:sz="4" w:space="0" w:color="000000"/>
            </w:tcBorders>
          </w:tcPr>
          <w:p>
            <w:pPr>
              <w:rPr>
                <w:sz w:val="2"/>
                <w:szCs w:val="2"/>
              </w:rPr>
            </w:pPr>
          </w:p>
        </w:tc>
        <w:tc>
          <w:tcPr>
            <w:tcW w:w="117" w:type="dxa"/>
            <w:vMerge/>
            <w:tcBorders>
              <w:top w:val="nil"/>
              <w:left w:val="single" w:sz="4" w:space="0" w:color="000000"/>
              <w:right w:val="single" w:sz="4" w:space="0" w:color="000000"/>
            </w:tcBorders>
          </w:tcPr>
          <w:p>
            <w:pPr>
              <w:rPr>
                <w:sz w:val="2"/>
                <w:szCs w:val="2"/>
              </w:rPr>
            </w:pPr>
          </w:p>
        </w:tc>
        <w:tc>
          <w:tcPr>
            <w:tcW w:w="676" w:type="dxa"/>
            <w:vMerge/>
            <w:tcBorders>
              <w:top w:val="nil"/>
              <w:left w:val="single" w:sz="4" w:space="0" w:color="000000"/>
              <w:bottom w:val="single" w:sz="4" w:space="0" w:color="000000"/>
              <w:right w:val="single" w:sz="4" w:space="0" w:color="000000"/>
            </w:tcBorders>
          </w:tcPr>
          <w:p>
            <w:pPr>
              <w:rPr>
                <w:sz w:val="2"/>
                <w:szCs w:val="2"/>
              </w:rPr>
            </w:pPr>
          </w:p>
        </w:tc>
        <w:tc>
          <w:tcPr>
            <w:tcW w:w="5720" w:type="dxa"/>
            <w:gridSpan w:val="3"/>
            <w:tcBorders>
              <w:top w:val="single" w:sz="4" w:space="0" w:color="000000"/>
              <w:left w:val="single" w:sz="4" w:space="0" w:color="000000"/>
              <w:bottom w:val="single" w:sz="4" w:space="0" w:color="000000"/>
              <w:right w:val="single" w:sz="4" w:space="0" w:color="000000"/>
            </w:tcBorders>
          </w:tcPr>
          <w:p>
            <w:pPr>
              <w:pStyle w:val="TableParagraph"/>
              <w:spacing w:line="228" w:lineRule="exact"/>
              <w:ind w:left="106"/>
              <w:rPr>
                <w:sz w:val="18"/>
              </w:rPr>
            </w:pPr>
            <w:r>
              <w:rPr>
                <w:rFonts w:ascii="Times New Roman" w:eastAsia="Times New Roman"/>
                <w:sz w:val="18"/>
              </w:rPr>
              <w:t>6.</w:t>
            </w:r>
            <w:r>
              <w:rPr>
                <w:sz w:val="18"/>
              </w:rPr>
              <w:t>禁止未经许可在长江干支流及湖泊新设、改设或扩大排污口。</w:t>
            </w:r>
          </w:p>
        </w:tc>
        <w:tc>
          <w:tcPr>
            <w:tcW w:w="1637" w:type="dxa"/>
            <w:vMerge/>
            <w:tcBorders>
              <w:top w:val="nil"/>
              <w:left w:val="single" w:sz="4" w:space="0" w:color="000000"/>
              <w:bottom w:val="single" w:sz="4" w:space="0" w:color="000000"/>
              <w:right w:val="single" w:sz="4" w:space="0" w:color="000000"/>
            </w:tcBorders>
          </w:tcPr>
          <w:p>
            <w:pPr>
              <w:rPr>
                <w:sz w:val="2"/>
                <w:szCs w:val="2"/>
              </w:rPr>
            </w:pPr>
          </w:p>
        </w:tc>
        <w:tc>
          <w:tcPr>
            <w:tcW w:w="111"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771"/>
        </w:trPr>
        <w:tc>
          <w:tcPr>
            <w:tcW w:w="1114" w:type="dxa"/>
            <w:vMerge/>
            <w:tcBorders>
              <w:top w:val="nil"/>
              <w:right w:val="single" w:sz="4" w:space="0" w:color="000000"/>
            </w:tcBorders>
          </w:tcPr>
          <w:p>
            <w:pPr>
              <w:rPr>
                <w:sz w:val="2"/>
                <w:szCs w:val="2"/>
              </w:rPr>
            </w:pPr>
          </w:p>
        </w:tc>
        <w:tc>
          <w:tcPr>
            <w:tcW w:w="117" w:type="dxa"/>
            <w:vMerge/>
            <w:tcBorders>
              <w:top w:val="nil"/>
              <w:left w:val="single" w:sz="4" w:space="0" w:color="000000"/>
              <w:right w:val="single" w:sz="4" w:space="0" w:color="000000"/>
            </w:tcBorders>
          </w:tcPr>
          <w:p>
            <w:pPr>
              <w:rPr>
                <w:sz w:val="2"/>
                <w:szCs w:val="2"/>
              </w:rPr>
            </w:pPr>
          </w:p>
        </w:tc>
        <w:tc>
          <w:tcPr>
            <w:tcW w:w="676" w:type="dxa"/>
            <w:vMerge w:val="restart"/>
            <w:tcBorders>
              <w:top w:val="single" w:sz="4" w:space="0" w:color="000000"/>
              <w:left w:val="single" w:sz="4" w:space="0" w:color="000000"/>
              <w:bottom w:val="single" w:sz="12" w:space="0" w:color="000000"/>
              <w:right w:val="single" w:sz="4" w:space="0" w:color="000000"/>
            </w:tcBorders>
          </w:tcPr>
          <w:p>
            <w:pPr>
              <w:pStyle w:val="TableParagraph"/>
              <w:rPr>
                <w:b/>
                <w:sz w:val="18"/>
              </w:rPr>
            </w:pPr>
          </w:p>
          <w:p>
            <w:pPr>
              <w:pStyle w:val="TableParagraph"/>
              <w:spacing w:before="3"/>
              <w:rPr>
                <w:b/>
                <w:sz w:val="25"/>
              </w:rPr>
            </w:pPr>
          </w:p>
          <w:p>
            <w:pPr>
              <w:pStyle w:val="TableParagraph"/>
              <w:spacing w:line="242" w:lineRule="auto"/>
              <w:ind w:left="155" w:right="148"/>
              <w:rPr>
                <w:sz w:val="18"/>
              </w:rPr>
            </w:pPr>
            <w:r>
              <w:rPr>
                <w:sz w:val="18"/>
              </w:rPr>
              <w:t>区域活动</w:t>
            </w:r>
          </w:p>
        </w:tc>
        <w:tc>
          <w:tcPr>
            <w:tcW w:w="5720" w:type="dxa"/>
            <w:gridSpan w:val="3"/>
            <w:tcBorders>
              <w:top w:val="single" w:sz="4" w:space="0" w:color="000000"/>
              <w:left w:val="single" w:sz="4" w:space="0" w:color="000000"/>
              <w:bottom w:val="single" w:sz="4" w:space="0" w:color="000000"/>
              <w:right w:val="single" w:sz="4" w:space="0" w:color="000000"/>
            </w:tcBorders>
          </w:tcPr>
          <w:p>
            <w:pPr>
              <w:pStyle w:val="TableParagraph"/>
              <w:spacing w:line="244" w:lineRule="auto"/>
              <w:ind w:left="106" w:right="91"/>
              <w:jc w:val="both"/>
              <w:rPr>
                <w:sz w:val="18"/>
              </w:rPr>
            </w:pPr>
            <w:r>
              <w:rPr>
                <w:rFonts w:ascii="Times New Roman" w:eastAsia="Times New Roman"/>
                <w:sz w:val="18"/>
              </w:rPr>
              <w:t>7.</w:t>
            </w:r>
            <w:r>
              <w:rPr>
                <w:sz w:val="18"/>
              </w:rPr>
              <w:t>禁止长江干流、长江口、</w:t>
            </w:r>
            <w:r>
              <w:rPr>
                <w:rFonts w:ascii="Times New Roman" w:eastAsia="Times New Roman"/>
                <w:sz w:val="18"/>
              </w:rPr>
              <w:t xml:space="preserve">34 </w:t>
            </w:r>
            <w:r>
              <w:rPr>
                <w:sz w:val="18"/>
              </w:rPr>
              <w:t>个列入《率先全面禁捕的长江流域水生生物保护区名录》的水生生物保护区以及省规定的其它禁渔水域开展生产性捕捞。</w:t>
            </w:r>
          </w:p>
        </w:tc>
        <w:tc>
          <w:tcPr>
            <w:tcW w:w="1637" w:type="dxa"/>
            <w:vMerge w:val="restart"/>
            <w:tcBorders>
              <w:top w:val="single" w:sz="4" w:space="0" w:color="000000"/>
              <w:left w:val="single" w:sz="4" w:space="0" w:color="000000"/>
              <w:bottom w:val="single" w:sz="12" w:space="0" w:color="000000"/>
              <w:right w:val="single" w:sz="4" w:space="0" w:color="000000"/>
            </w:tcBorders>
          </w:tcPr>
          <w:p>
            <w:pPr>
              <w:pStyle w:val="TableParagraph"/>
              <w:spacing w:before="88" w:line="242" w:lineRule="auto"/>
              <w:ind w:left="191" w:right="173"/>
              <w:jc w:val="center"/>
              <w:rPr>
                <w:sz w:val="18"/>
              </w:rPr>
            </w:pPr>
            <w:r>
              <w:rPr>
                <w:spacing w:val="-3"/>
                <w:sz w:val="18"/>
              </w:rPr>
              <w:t>扩建项目位于东坎高新技术产业</w:t>
            </w:r>
            <w:r>
              <w:rPr>
                <w:sz w:val="18"/>
              </w:rPr>
              <w:t>园盘洋大道</w:t>
            </w:r>
            <w:r>
              <w:rPr>
                <w:rFonts w:ascii="Times New Roman" w:eastAsia="Times New Roman"/>
                <w:spacing w:val="-6"/>
                <w:sz w:val="18"/>
              </w:rPr>
              <w:t xml:space="preserve">11 </w:t>
            </w:r>
            <w:r>
              <w:rPr>
                <w:sz w:val="18"/>
              </w:rPr>
              <w:t xml:space="preserve">号，现有厂区 </w:t>
            </w:r>
            <w:r>
              <w:rPr>
                <w:spacing w:val="-3"/>
                <w:sz w:val="18"/>
              </w:rPr>
              <w:t>内，不在长江干支流岸线一公里</w:t>
            </w:r>
          </w:p>
        </w:tc>
        <w:tc>
          <w:tcPr>
            <w:tcW w:w="111" w:type="dxa"/>
            <w:vMerge w:val="restart"/>
            <w:tcBorders>
              <w:top w:val="nil"/>
              <w:left w:val="single" w:sz="4" w:space="0" w:color="000000"/>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779"/>
        </w:trPr>
        <w:tc>
          <w:tcPr>
            <w:tcW w:w="1114" w:type="dxa"/>
            <w:vMerge/>
            <w:tcBorders>
              <w:top w:val="nil"/>
              <w:right w:val="single" w:sz="4" w:space="0" w:color="000000"/>
            </w:tcBorders>
          </w:tcPr>
          <w:p>
            <w:pPr>
              <w:rPr>
                <w:sz w:val="2"/>
                <w:szCs w:val="2"/>
              </w:rPr>
            </w:pPr>
          </w:p>
        </w:tc>
        <w:tc>
          <w:tcPr>
            <w:tcW w:w="117" w:type="dxa"/>
            <w:vMerge/>
            <w:tcBorders>
              <w:top w:val="nil"/>
              <w:left w:val="single" w:sz="4" w:space="0" w:color="000000"/>
              <w:right w:val="single" w:sz="4" w:space="0" w:color="000000"/>
            </w:tcBorders>
          </w:tcPr>
          <w:p>
            <w:pPr>
              <w:rPr>
                <w:sz w:val="2"/>
                <w:szCs w:val="2"/>
              </w:rPr>
            </w:pPr>
          </w:p>
        </w:tc>
        <w:tc>
          <w:tcPr>
            <w:tcW w:w="676" w:type="dxa"/>
            <w:vMerge/>
            <w:tcBorders>
              <w:top w:val="nil"/>
              <w:left w:val="single" w:sz="4" w:space="0" w:color="000000"/>
              <w:bottom w:val="single" w:sz="12" w:space="0" w:color="000000"/>
              <w:right w:val="single" w:sz="4" w:space="0" w:color="000000"/>
            </w:tcBorders>
          </w:tcPr>
          <w:p>
            <w:pPr>
              <w:rPr>
                <w:sz w:val="2"/>
                <w:szCs w:val="2"/>
              </w:rPr>
            </w:pPr>
          </w:p>
        </w:tc>
        <w:tc>
          <w:tcPr>
            <w:tcW w:w="5720" w:type="dxa"/>
            <w:gridSpan w:val="3"/>
            <w:tcBorders>
              <w:top w:val="single" w:sz="4" w:space="0" w:color="000000"/>
              <w:left w:val="single" w:sz="4" w:space="0" w:color="000000"/>
              <w:bottom w:val="single" w:sz="12" w:space="0" w:color="000000"/>
              <w:right w:val="single" w:sz="4" w:space="0" w:color="000000"/>
            </w:tcBorders>
          </w:tcPr>
          <w:p>
            <w:pPr>
              <w:pStyle w:val="TableParagraph"/>
              <w:spacing w:line="244" w:lineRule="auto"/>
              <w:ind w:left="106" w:right="89"/>
              <w:jc w:val="both"/>
              <w:rPr>
                <w:sz w:val="18"/>
              </w:rPr>
            </w:pPr>
            <w:r>
              <w:rPr>
                <w:rFonts w:ascii="Times New Roman" w:eastAsia="Times New Roman"/>
                <w:sz w:val="18"/>
              </w:rPr>
              <w:t>8.</w:t>
            </w:r>
            <w:r>
              <w:rPr>
                <w:sz w:val="18"/>
              </w:rPr>
              <w:t>禁止在距离长江干支流岸线一公里范围内新建、扩建化工园区和化工项目。长江干支流一公里按照长江干支流岸线边界</w:t>
            </w:r>
            <w:r>
              <w:rPr>
                <w:rFonts w:ascii="Times New Roman" w:eastAsia="Times New Roman"/>
                <w:sz w:val="18"/>
              </w:rPr>
              <w:t>(</w:t>
            </w:r>
            <w:r>
              <w:rPr>
                <w:sz w:val="18"/>
              </w:rPr>
              <w:t>即水利部门河道管理范围边界</w:t>
            </w:r>
            <w:r>
              <w:rPr>
                <w:rFonts w:ascii="Times New Roman" w:eastAsia="Times New Roman"/>
                <w:sz w:val="18"/>
              </w:rPr>
              <w:t>)</w:t>
            </w:r>
            <w:r>
              <w:rPr>
                <w:sz w:val="18"/>
              </w:rPr>
              <w:t>向陆域纵深一公里执行。</w:t>
            </w:r>
          </w:p>
        </w:tc>
        <w:tc>
          <w:tcPr>
            <w:tcW w:w="1637" w:type="dxa"/>
            <w:vMerge/>
            <w:tcBorders>
              <w:top w:val="nil"/>
              <w:left w:val="single" w:sz="4" w:space="0" w:color="000000"/>
              <w:bottom w:val="single" w:sz="12" w:space="0" w:color="000000"/>
              <w:right w:val="single" w:sz="4" w:space="0" w:color="000000"/>
            </w:tcBorders>
          </w:tcPr>
          <w:p>
            <w:pPr>
              <w:rPr>
                <w:sz w:val="2"/>
                <w:szCs w:val="2"/>
              </w:rPr>
            </w:pPr>
          </w:p>
        </w:tc>
        <w:tc>
          <w:tcPr>
            <w:tcW w:w="111" w:type="dxa"/>
            <w:vMerge/>
            <w:tcBorders>
              <w:top w:val="nil"/>
              <w:left w:val="single" w:sz="4" w:space="0" w:color="000000"/>
            </w:tcBorders>
          </w:tcPr>
          <w:p>
            <w:pPr>
              <w:rPr>
                <w:sz w:val="2"/>
                <w:szCs w:val="2"/>
              </w:rPr>
            </w:pPr>
          </w:p>
        </w:tc>
      </w:tr>
    </w:tbl>
    <w:p>
      <w:pPr>
        <w:spacing w:after="0"/>
        <w:rPr>
          <w:sz w:val="2"/>
          <w:szCs w:val="2"/>
        </w:rPr>
        <w:sectPr>
          <w:footerReference w:type="default" r:id="rId9"/>
          <w:pgSz w:w="11910" w:h="16840"/>
          <w:pgMar w:top="1400" w:right="1140" w:bottom="1180" w:left="1140" w:header="0" w:footer="994" w:gutter="0"/>
          <w:pgNumType w:start="5"/>
          <w:cols w:num="1" w:space="720"/>
        </w:sectPr>
      </w:pPr>
    </w:p>
    <w:tbl>
      <w:tblPr>
        <w:tblStyle w:val="TableNormal"/>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14"/>
        <w:gridCol w:w="116"/>
        <w:gridCol w:w="570"/>
        <w:gridCol w:w="104"/>
        <w:gridCol w:w="4581"/>
        <w:gridCol w:w="1149"/>
        <w:gridCol w:w="1632"/>
        <w:gridCol w:w="113"/>
      </w:tblGrid>
      <w:tr>
        <w:tblPrEx>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781"/>
        </w:trPr>
        <w:tc>
          <w:tcPr>
            <w:tcW w:w="1114" w:type="dxa"/>
            <w:vMerge w:val="restart"/>
            <w:tcBorders>
              <w:right w:val="single" w:sz="4" w:space="0" w:color="000000"/>
            </w:tcBorders>
          </w:tcPr>
          <w:p>
            <w:pPr>
              <w:pStyle w:val="TableParagraph"/>
              <w:rPr>
                <w:rFonts w:ascii="Times New Roman"/>
                <w:sz w:val="18"/>
              </w:rPr>
            </w:pPr>
          </w:p>
        </w:tc>
        <w:tc>
          <w:tcPr>
            <w:tcW w:w="116" w:type="dxa"/>
            <w:vMerge w:val="restart"/>
            <w:tcBorders>
              <w:left w:val="single" w:sz="4" w:space="0" w:color="000000"/>
              <w:bottom w:val="nil"/>
              <w:right w:val="single" w:sz="4" w:space="0" w:color="000000"/>
            </w:tcBorders>
          </w:tcPr>
          <w:p>
            <w:pPr>
              <w:pStyle w:val="TableParagraph"/>
              <w:rPr>
                <w:rFonts w:ascii="Times New Roman"/>
                <w:sz w:val="18"/>
              </w:rPr>
            </w:pPr>
          </w:p>
        </w:tc>
        <w:tc>
          <w:tcPr>
            <w:tcW w:w="674" w:type="dxa"/>
            <w:gridSpan w:val="2"/>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5730" w:type="dxa"/>
            <w:gridSpan w:val="2"/>
            <w:tcBorders>
              <w:top w:val="single" w:sz="12" w:space="0" w:color="000000"/>
              <w:left w:val="single" w:sz="4" w:space="0" w:color="000000"/>
              <w:bottom w:val="single" w:sz="4" w:space="0" w:color="000000"/>
              <w:right w:val="single" w:sz="4" w:space="0" w:color="000000"/>
            </w:tcBorders>
          </w:tcPr>
          <w:p>
            <w:pPr>
              <w:pStyle w:val="TableParagraph"/>
              <w:spacing w:line="244" w:lineRule="auto"/>
              <w:ind w:left="109" w:right="104"/>
              <w:jc w:val="both"/>
              <w:rPr>
                <w:sz w:val="18"/>
              </w:rPr>
            </w:pPr>
            <w:r>
              <w:rPr>
                <w:rFonts w:ascii="Times New Roman" w:eastAsia="Times New Roman"/>
                <w:sz w:val="18"/>
              </w:rPr>
              <w:t>9.</w:t>
            </w:r>
            <w:r>
              <w:rPr>
                <w:sz w:val="18"/>
              </w:rPr>
              <w:t>禁止在长江干流岸线三公里范围内新建、改建、扩建尾矿库、冶炼渣库和磷石膏库，以提升安全、生态环境保护水平为目的的改建除外。</w:t>
            </w:r>
          </w:p>
        </w:tc>
        <w:tc>
          <w:tcPr>
            <w:tcW w:w="1632" w:type="dxa"/>
            <w:vMerge w:val="restart"/>
            <w:tcBorders>
              <w:top w:val="single" w:sz="12" w:space="0" w:color="000000"/>
              <w:left w:val="single" w:sz="4" w:space="0" w:color="000000"/>
              <w:bottom w:val="single" w:sz="4" w:space="0" w:color="000000"/>
              <w:right w:val="single" w:sz="4" w:space="0" w:color="000000"/>
            </w:tcBorders>
          </w:tcPr>
          <w:p>
            <w:pPr>
              <w:pStyle w:val="TableParagraph"/>
              <w:ind w:left="455"/>
              <w:rPr>
                <w:sz w:val="18"/>
              </w:rPr>
            </w:pPr>
            <w:r>
              <w:rPr>
                <w:sz w:val="18"/>
              </w:rPr>
              <w:t xml:space="preserve">范围内。 </w:t>
            </w:r>
          </w:p>
        </w:tc>
        <w:tc>
          <w:tcPr>
            <w:tcW w:w="113" w:type="dxa"/>
            <w:vMerge w:val="restart"/>
            <w:tcBorders>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544"/>
        </w:trPr>
        <w:tc>
          <w:tcPr>
            <w:tcW w:w="1114" w:type="dxa"/>
            <w:vMerge/>
            <w:tcBorders>
              <w:top w:val="nil"/>
              <w:right w:val="single" w:sz="4" w:space="0" w:color="000000"/>
            </w:tcBorders>
          </w:tcPr>
          <w:p>
            <w:pPr>
              <w:rPr>
                <w:sz w:val="2"/>
                <w:szCs w:val="2"/>
              </w:rPr>
            </w:pPr>
          </w:p>
        </w:tc>
        <w:tc>
          <w:tcPr>
            <w:tcW w:w="116" w:type="dxa"/>
            <w:vMerge/>
            <w:tcBorders>
              <w:top w:val="nil"/>
              <w:left w:val="single" w:sz="4" w:space="0" w:color="000000"/>
              <w:bottom w:val="nil"/>
              <w:right w:val="single" w:sz="4" w:space="0" w:color="000000"/>
            </w:tcBorders>
          </w:tcPr>
          <w:p>
            <w:pPr>
              <w:rPr>
                <w:sz w:val="2"/>
                <w:szCs w:val="2"/>
              </w:rPr>
            </w:pPr>
          </w:p>
        </w:tc>
        <w:tc>
          <w:tcPr>
            <w:tcW w:w="674" w:type="dxa"/>
            <w:gridSpan w:val="2"/>
            <w:vMerge/>
            <w:tcBorders>
              <w:top w:val="nil"/>
              <w:left w:val="single" w:sz="4" w:space="0" w:color="000000"/>
              <w:bottom w:val="single" w:sz="4" w:space="0" w:color="000000"/>
              <w:right w:val="single" w:sz="4" w:space="0" w:color="000000"/>
            </w:tcBorders>
          </w:tcPr>
          <w:p>
            <w:pPr>
              <w:rPr>
                <w:sz w:val="2"/>
                <w:szCs w:val="2"/>
              </w:rPr>
            </w:pPr>
          </w:p>
        </w:tc>
        <w:tc>
          <w:tcPr>
            <w:tcW w:w="5730" w:type="dxa"/>
            <w:gridSpan w:val="2"/>
            <w:tcBorders>
              <w:top w:val="single" w:sz="4" w:space="0" w:color="000000"/>
              <w:left w:val="single" w:sz="4" w:space="0" w:color="000000"/>
              <w:bottom w:val="single" w:sz="4" w:space="0" w:color="000000"/>
              <w:right w:val="single" w:sz="4" w:space="0" w:color="000000"/>
            </w:tcBorders>
          </w:tcPr>
          <w:p>
            <w:pPr>
              <w:pStyle w:val="TableParagraph"/>
              <w:spacing w:line="244" w:lineRule="auto"/>
              <w:ind w:left="109" w:right="93"/>
              <w:rPr>
                <w:sz w:val="18"/>
              </w:rPr>
            </w:pPr>
            <w:r>
              <w:rPr>
                <w:rFonts w:ascii="Times New Roman" w:eastAsia="Times New Roman"/>
                <w:sz w:val="18"/>
              </w:rPr>
              <w:t>10.</w:t>
            </w:r>
            <w:r>
              <w:rPr>
                <w:sz w:val="18"/>
              </w:rPr>
              <w:t>禁止在太湖流域一、二、三级保护区内开展《江苏省太湖水污染防治条例》禁止的投资建设活动。</w:t>
            </w:r>
          </w:p>
        </w:tc>
        <w:tc>
          <w:tcPr>
            <w:tcW w:w="163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543"/>
        </w:trPr>
        <w:tc>
          <w:tcPr>
            <w:tcW w:w="1114" w:type="dxa"/>
            <w:vMerge/>
            <w:tcBorders>
              <w:top w:val="nil"/>
              <w:right w:val="single" w:sz="4" w:space="0" w:color="000000"/>
            </w:tcBorders>
          </w:tcPr>
          <w:p>
            <w:pPr>
              <w:rPr>
                <w:sz w:val="2"/>
                <w:szCs w:val="2"/>
              </w:rPr>
            </w:pPr>
          </w:p>
        </w:tc>
        <w:tc>
          <w:tcPr>
            <w:tcW w:w="116" w:type="dxa"/>
            <w:vMerge/>
            <w:tcBorders>
              <w:top w:val="nil"/>
              <w:left w:val="single" w:sz="4" w:space="0" w:color="000000"/>
              <w:bottom w:val="nil"/>
              <w:right w:val="single" w:sz="4" w:space="0" w:color="000000"/>
            </w:tcBorders>
          </w:tcPr>
          <w:p>
            <w:pPr>
              <w:rPr>
                <w:sz w:val="2"/>
                <w:szCs w:val="2"/>
              </w:rPr>
            </w:pPr>
          </w:p>
        </w:tc>
        <w:tc>
          <w:tcPr>
            <w:tcW w:w="674" w:type="dxa"/>
            <w:gridSpan w:val="2"/>
            <w:vMerge/>
            <w:tcBorders>
              <w:top w:val="nil"/>
              <w:left w:val="single" w:sz="4" w:space="0" w:color="000000"/>
              <w:bottom w:val="single" w:sz="4" w:space="0" w:color="000000"/>
              <w:right w:val="single" w:sz="4" w:space="0" w:color="000000"/>
            </w:tcBorders>
          </w:tcPr>
          <w:p>
            <w:pPr>
              <w:rPr>
                <w:sz w:val="2"/>
                <w:szCs w:val="2"/>
              </w:rPr>
            </w:pPr>
          </w:p>
        </w:tc>
        <w:tc>
          <w:tcPr>
            <w:tcW w:w="5730" w:type="dxa"/>
            <w:gridSpan w:val="2"/>
            <w:tcBorders>
              <w:top w:val="single" w:sz="4" w:space="0" w:color="000000"/>
              <w:left w:val="single" w:sz="4" w:space="0" w:color="000000"/>
              <w:bottom w:val="single" w:sz="4" w:space="0" w:color="000000"/>
              <w:right w:val="single" w:sz="4" w:space="0" w:color="000000"/>
            </w:tcBorders>
          </w:tcPr>
          <w:p>
            <w:pPr>
              <w:pStyle w:val="TableParagraph"/>
              <w:spacing w:line="247" w:lineRule="auto"/>
              <w:ind w:left="109" w:right="93"/>
              <w:rPr>
                <w:sz w:val="18"/>
              </w:rPr>
            </w:pPr>
            <w:r>
              <w:rPr>
                <w:rFonts w:ascii="Times New Roman" w:eastAsia="Times New Roman"/>
                <w:sz w:val="18"/>
              </w:rPr>
              <w:t>11.</w:t>
            </w:r>
            <w:r>
              <w:rPr>
                <w:sz w:val="18"/>
              </w:rPr>
              <w:t>禁止在沿江地区新建、扩建未纳入国家和省布局规划的燃煤发电项目。</w:t>
            </w:r>
          </w:p>
        </w:tc>
        <w:tc>
          <w:tcPr>
            <w:tcW w:w="163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1012"/>
        </w:trPr>
        <w:tc>
          <w:tcPr>
            <w:tcW w:w="1114" w:type="dxa"/>
            <w:vMerge/>
            <w:tcBorders>
              <w:top w:val="nil"/>
              <w:right w:val="single" w:sz="4" w:space="0" w:color="000000"/>
            </w:tcBorders>
          </w:tcPr>
          <w:p>
            <w:pPr>
              <w:rPr>
                <w:sz w:val="2"/>
                <w:szCs w:val="2"/>
              </w:rPr>
            </w:pPr>
          </w:p>
        </w:tc>
        <w:tc>
          <w:tcPr>
            <w:tcW w:w="116" w:type="dxa"/>
            <w:vMerge/>
            <w:tcBorders>
              <w:top w:val="nil"/>
              <w:left w:val="single" w:sz="4" w:space="0" w:color="000000"/>
              <w:bottom w:val="nil"/>
              <w:right w:val="single" w:sz="4" w:space="0" w:color="000000"/>
            </w:tcBorders>
          </w:tcPr>
          <w:p>
            <w:pPr>
              <w:rPr>
                <w:sz w:val="2"/>
                <w:szCs w:val="2"/>
              </w:rPr>
            </w:pPr>
          </w:p>
        </w:tc>
        <w:tc>
          <w:tcPr>
            <w:tcW w:w="674" w:type="dxa"/>
            <w:gridSpan w:val="2"/>
            <w:vMerge/>
            <w:tcBorders>
              <w:top w:val="nil"/>
              <w:left w:val="single" w:sz="4" w:space="0" w:color="000000"/>
              <w:bottom w:val="single" w:sz="4" w:space="0" w:color="000000"/>
              <w:right w:val="single" w:sz="4" w:space="0" w:color="000000"/>
            </w:tcBorders>
          </w:tcPr>
          <w:p>
            <w:pPr>
              <w:rPr>
                <w:sz w:val="2"/>
                <w:szCs w:val="2"/>
              </w:rPr>
            </w:pPr>
          </w:p>
        </w:tc>
        <w:tc>
          <w:tcPr>
            <w:tcW w:w="5730" w:type="dxa"/>
            <w:gridSpan w:val="2"/>
            <w:tcBorders>
              <w:top w:val="single" w:sz="4" w:space="0" w:color="000000"/>
              <w:left w:val="single" w:sz="4" w:space="0" w:color="000000"/>
              <w:bottom w:val="single" w:sz="4" w:space="0" w:color="000000"/>
              <w:right w:val="single" w:sz="4" w:space="0" w:color="000000"/>
            </w:tcBorders>
          </w:tcPr>
          <w:p>
            <w:pPr>
              <w:pStyle w:val="TableParagraph"/>
              <w:spacing w:line="244" w:lineRule="auto"/>
              <w:ind w:left="109" w:right="85"/>
              <w:jc w:val="both"/>
              <w:rPr>
                <w:sz w:val="18"/>
              </w:rPr>
            </w:pPr>
            <w:r>
              <w:rPr>
                <w:rFonts w:ascii="Times New Roman" w:eastAsia="Times New Roman"/>
                <w:sz w:val="18"/>
              </w:rPr>
              <w:t>12.</w:t>
            </w:r>
            <w:r>
              <w:rPr>
                <w:sz w:val="18"/>
              </w:rPr>
              <w:t>禁止在合规园区外新建、扩建钢铁、石化、化工、焦化、建材、有</w:t>
            </w:r>
            <w:r>
              <w:rPr>
                <w:spacing w:val="-5"/>
                <w:sz w:val="18"/>
              </w:rPr>
              <w:t>色、制浆造纸等高污染项目。合规园区名录按照《〈长江经济带发展负</w:t>
            </w:r>
            <w:r>
              <w:rPr>
                <w:spacing w:val="9"/>
                <w:sz w:val="18"/>
              </w:rPr>
              <w:t>面清单指南</w:t>
            </w:r>
            <w:r>
              <w:rPr>
                <w:rFonts w:ascii="Times New Roman" w:eastAsia="Times New Roman"/>
                <w:sz w:val="18"/>
              </w:rPr>
              <w:t>(</w:t>
            </w:r>
            <w:r>
              <w:rPr>
                <w:spacing w:val="8"/>
                <w:sz w:val="18"/>
              </w:rPr>
              <w:t>试行，</w:t>
            </w:r>
            <w:r>
              <w:rPr>
                <w:rFonts w:ascii="Times New Roman" w:eastAsia="Times New Roman"/>
                <w:sz w:val="18"/>
              </w:rPr>
              <w:t xml:space="preserve">2022 </w:t>
            </w:r>
            <w:r>
              <w:rPr>
                <w:spacing w:val="6"/>
                <w:sz w:val="18"/>
              </w:rPr>
              <w:t>年版</w:t>
            </w:r>
            <w:r>
              <w:rPr>
                <w:rFonts w:ascii="Times New Roman" w:eastAsia="Times New Roman"/>
                <w:spacing w:val="-3"/>
                <w:sz w:val="18"/>
              </w:rPr>
              <w:t>)</w:t>
            </w:r>
            <w:r>
              <w:rPr>
                <w:spacing w:val="11"/>
                <w:sz w:val="18"/>
              </w:rPr>
              <w:t>〉江苏省实施细则合规园区名录》执行。</w:t>
            </w:r>
          </w:p>
        </w:tc>
        <w:tc>
          <w:tcPr>
            <w:tcW w:w="163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308"/>
        </w:trPr>
        <w:tc>
          <w:tcPr>
            <w:tcW w:w="1114" w:type="dxa"/>
            <w:vMerge/>
            <w:tcBorders>
              <w:top w:val="nil"/>
              <w:right w:val="single" w:sz="4" w:space="0" w:color="000000"/>
            </w:tcBorders>
          </w:tcPr>
          <w:p>
            <w:pPr>
              <w:rPr>
                <w:sz w:val="2"/>
                <w:szCs w:val="2"/>
              </w:rPr>
            </w:pPr>
          </w:p>
        </w:tc>
        <w:tc>
          <w:tcPr>
            <w:tcW w:w="116" w:type="dxa"/>
            <w:vMerge/>
            <w:tcBorders>
              <w:top w:val="nil"/>
              <w:left w:val="single" w:sz="4" w:space="0" w:color="000000"/>
              <w:bottom w:val="nil"/>
              <w:right w:val="single" w:sz="4" w:space="0" w:color="000000"/>
            </w:tcBorders>
          </w:tcPr>
          <w:p>
            <w:pPr>
              <w:rPr>
                <w:sz w:val="2"/>
                <w:szCs w:val="2"/>
              </w:rPr>
            </w:pPr>
          </w:p>
        </w:tc>
        <w:tc>
          <w:tcPr>
            <w:tcW w:w="674" w:type="dxa"/>
            <w:gridSpan w:val="2"/>
            <w:vMerge/>
            <w:tcBorders>
              <w:top w:val="nil"/>
              <w:left w:val="single" w:sz="4" w:space="0" w:color="000000"/>
              <w:bottom w:val="single" w:sz="4" w:space="0" w:color="000000"/>
              <w:right w:val="single" w:sz="4" w:space="0" w:color="000000"/>
            </w:tcBorders>
          </w:tcPr>
          <w:p>
            <w:pPr>
              <w:rPr>
                <w:sz w:val="2"/>
                <w:szCs w:val="2"/>
              </w:rPr>
            </w:pPr>
          </w:p>
        </w:tc>
        <w:tc>
          <w:tcPr>
            <w:tcW w:w="5730" w:type="dxa"/>
            <w:gridSpan w:val="2"/>
            <w:tcBorders>
              <w:top w:val="single" w:sz="4" w:space="0" w:color="000000"/>
              <w:left w:val="single" w:sz="4" w:space="0" w:color="000000"/>
              <w:bottom w:val="single" w:sz="4" w:space="0" w:color="000000"/>
              <w:right w:val="single" w:sz="4" w:space="0" w:color="000000"/>
            </w:tcBorders>
          </w:tcPr>
          <w:p>
            <w:pPr>
              <w:pStyle w:val="TableParagraph"/>
              <w:spacing w:line="228" w:lineRule="exact"/>
              <w:ind w:left="109"/>
              <w:rPr>
                <w:sz w:val="18"/>
              </w:rPr>
            </w:pPr>
            <w:r>
              <w:rPr>
                <w:rFonts w:ascii="Times New Roman" w:eastAsia="Times New Roman"/>
                <w:sz w:val="18"/>
              </w:rPr>
              <w:t>13.</w:t>
            </w:r>
            <w:r>
              <w:rPr>
                <w:sz w:val="18"/>
              </w:rPr>
              <w:t>禁止在取消化工定位的园区</w:t>
            </w:r>
            <w:r>
              <w:rPr>
                <w:rFonts w:ascii="Times New Roman" w:eastAsia="Times New Roman"/>
                <w:sz w:val="18"/>
              </w:rPr>
              <w:t>(</w:t>
            </w:r>
            <w:r>
              <w:rPr>
                <w:sz w:val="18"/>
              </w:rPr>
              <w:t>集中区</w:t>
            </w:r>
            <w:r>
              <w:rPr>
                <w:rFonts w:ascii="Times New Roman" w:eastAsia="Times New Roman"/>
                <w:sz w:val="18"/>
              </w:rPr>
              <w:t>)</w:t>
            </w:r>
            <w:r>
              <w:rPr>
                <w:sz w:val="18"/>
              </w:rPr>
              <w:t>内新建化工项目。</w:t>
            </w:r>
          </w:p>
        </w:tc>
        <w:tc>
          <w:tcPr>
            <w:tcW w:w="163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544"/>
        </w:trPr>
        <w:tc>
          <w:tcPr>
            <w:tcW w:w="1114" w:type="dxa"/>
            <w:vMerge/>
            <w:tcBorders>
              <w:top w:val="nil"/>
              <w:right w:val="single" w:sz="4" w:space="0" w:color="000000"/>
            </w:tcBorders>
          </w:tcPr>
          <w:p>
            <w:pPr>
              <w:rPr>
                <w:sz w:val="2"/>
                <w:szCs w:val="2"/>
              </w:rPr>
            </w:pPr>
          </w:p>
        </w:tc>
        <w:tc>
          <w:tcPr>
            <w:tcW w:w="116" w:type="dxa"/>
            <w:vMerge/>
            <w:tcBorders>
              <w:top w:val="nil"/>
              <w:left w:val="single" w:sz="4" w:space="0" w:color="000000"/>
              <w:bottom w:val="nil"/>
              <w:right w:val="single" w:sz="4" w:space="0" w:color="000000"/>
            </w:tcBorders>
          </w:tcPr>
          <w:p>
            <w:pPr>
              <w:rPr>
                <w:sz w:val="2"/>
                <w:szCs w:val="2"/>
              </w:rPr>
            </w:pPr>
          </w:p>
        </w:tc>
        <w:tc>
          <w:tcPr>
            <w:tcW w:w="674" w:type="dxa"/>
            <w:gridSpan w:val="2"/>
            <w:vMerge/>
            <w:tcBorders>
              <w:top w:val="nil"/>
              <w:left w:val="single" w:sz="4" w:space="0" w:color="000000"/>
              <w:bottom w:val="single" w:sz="4" w:space="0" w:color="000000"/>
              <w:right w:val="single" w:sz="4" w:space="0" w:color="000000"/>
            </w:tcBorders>
          </w:tcPr>
          <w:p>
            <w:pPr>
              <w:rPr>
                <w:sz w:val="2"/>
                <w:szCs w:val="2"/>
              </w:rPr>
            </w:pPr>
          </w:p>
        </w:tc>
        <w:tc>
          <w:tcPr>
            <w:tcW w:w="5730" w:type="dxa"/>
            <w:gridSpan w:val="2"/>
            <w:tcBorders>
              <w:top w:val="single" w:sz="4" w:space="0" w:color="000000"/>
              <w:left w:val="single" w:sz="4" w:space="0" w:color="000000"/>
              <w:bottom w:val="single" w:sz="4" w:space="0" w:color="000000"/>
              <w:right w:val="single" w:sz="4" w:space="0" w:color="000000"/>
            </w:tcBorders>
          </w:tcPr>
          <w:p>
            <w:pPr>
              <w:pStyle w:val="TableParagraph"/>
              <w:spacing w:line="244" w:lineRule="auto"/>
              <w:ind w:left="109" w:right="93"/>
              <w:rPr>
                <w:sz w:val="18"/>
              </w:rPr>
            </w:pPr>
            <w:r>
              <w:rPr>
                <w:rFonts w:ascii="Times New Roman" w:eastAsia="Times New Roman"/>
                <w:sz w:val="18"/>
              </w:rPr>
              <w:t>14.</w:t>
            </w:r>
            <w:r>
              <w:rPr>
                <w:sz w:val="18"/>
              </w:rPr>
              <w:t>禁止在化工企业周边建设不符合安全距离规定的劳动密集型的非化工项目和其他人员密集的公共设施项目。</w:t>
            </w:r>
          </w:p>
        </w:tc>
        <w:tc>
          <w:tcPr>
            <w:tcW w:w="163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457"/>
        </w:trPr>
        <w:tc>
          <w:tcPr>
            <w:tcW w:w="1114" w:type="dxa"/>
            <w:vMerge/>
            <w:tcBorders>
              <w:top w:val="nil"/>
              <w:right w:val="single" w:sz="4" w:space="0" w:color="000000"/>
            </w:tcBorders>
          </w:tcPr>
          <w:p>
            <w:pPr>
              <w:rPr>
                <w:sz w:val="2"/>
                <w:szCs w:val="2"/>
              </w:rPr>
            </w:pPr>
          </w:p>
        </w:tc>
        <w:tc>
          <w:tcPr>
            <w:tcW w:w="116" w:type="dxa"/>
            <w:vMerge/>
            <w:tcBorders>
              <w:top w:val="nil"/>
              <w:left w:val="single" w:sz="4" w:space="0" w:color="000000"/>
              <w:bottom w:val="nil"/>
              <w:right w:val="single" w:sz="4" w:space="0" w:color="000000"/>
            </w:tcBorders>
          </w:tcPr>
          <w:p>
            <w:pPr>
              <w:rPr>
                <w:sz w:val="2"/>
                <w:szCs w:val="2"/>
              </w:rPr>
            </w:pPr>
          </w:p>
        </w:tc>
        <w:tc>
          <w:tcPr>
            <w:tcW w:w="674"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21"/>
              </w:rPr>
            </w:pPr>
          </w:p>
          <w:p>
            <w:pPr>
              <w:pStyle w:val="TableParagraph"/>
              <w:spacing w:line="242" w:lineRule="auto"/>
              <w:ind w:left="156" w:right="145"/>
              <w:rPr>
                <w:sz w:val="18"/>
              </w:rPr>
            </w:pPr>
            <w:r>
              <w:rPr>
                <w:sz w:val="18"/>
              </w:rPr>
              <w:t>产业发展</w:t>
            </w:r>
          </w:p>
        </w:tc>
        <w:tc>
          <w:tcPr>
            <w:tcW w:w="5730" w:type="dxa"/>
            <w:gridSpan w:val="2"/>
            <w:tcBorders>
              <w:top w:val="single" w:sz="4" w:space="0" w:color="000000"/>
              <w:left w:val="single" w:sz="4" w:space="0" w:color="000000"/>
              <w:bottom w:val="single" w:sz="4" w:space="0" w:color="000000"/>
              <w:right w:val="single" w:sz="4" w:space="0" w:color="000000"/>
            </w:tcBorders>
          </w:tcPr>
          <w:p>
            <w:pPr>
              <w:pStyle w:val="TableParagraph"/>
              <w:spacing w:line="228" w:lineRule="exact"/>
              <w:ind w:left="109"/>
              <w:rPr>
                <w:sz w:val="18"/>
              </w:rPr>
            </w:pPr>
            <w:r>
              <w:rPr>
                <w:rFonts w:ascii="Times New Roman" w:eastAsia="Times New Roman"/>
                <w:sz w:val="18"/>
              </w:rPr>
              <w:t>15.</w:t>
            </w:r>
            <w:r>
              <w:rPr>
                <w:sz w:val="18"/>
              </w:rPr>
              <w:t>禁止新建、扩建不符合国家和省产业政策的尿素、磷铵、电石、烧</w:t>
            </w:r>
          </w:p>
          <w:p>
            <w:pPr>
              <w:pStyle w:val="TableParagraph"/>
              <w:spacing w:before="2" w:line="208" w:lineRule="exact"/>
              <w:ind w:left="109"/>
              <w:rPr>
                <w:sz w:val="18"/>
              </w:rPr>
            </w:pPr>
            <w:r>
              <w:rPr>
                <w:sz w:val="18"/>
              </w:rPr>
              <w:t>碱、聚氯乙烯、纯碱等行业新增产能项目。</w:t>
            </w:r>
          </w:p>
        </w:tc>
        <w:tc>
          <w:tcPr>
            <w:tcW w:w="1632"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spacing w:before="145" w:line="242" w:lineRule="auto"/>
              <w:ind w:left="184" w:right="175"/>
              <w:jc w:val="center"/>
              <w:rPr>
                <w:sz w:val="18"/>
              </w:rPr>
            </w:pPr>
            <w:r>
              <w:rPr>
                <w:spacing w:val="-3"/>
                <w:sz w:val="18"/>
              </w:rPr>
              <w:t>扩建项目不属于</w:t>
            </w:r>
            <w:r>
              <w:rPr>
                <w:sz w:val="18"/>
              </w:rPr>
              <w:t xml:space="preserve">前述禁止的产 </w:t>
            </w:r>
            <w:r>
              <w:rPr>
                <w:spacing w:val="-3"/>
                <w:sz w:val="18"/>
              </w:rPr>
              <w:t>业，符合《长江经济带发展负面</w:t>
            </w:r>
            <w:r>
              <w:rPr>
                <w:sz w:val="18"/>
              </w:rPr>
              <w:t>清单指南（试</w:t>
            </w:r>
          </w:p>
          <w:p>
            <w:pPr>
              <w:pStyle w:val="TableParagraph"/>
              <w:spacing w:before="4" w:line="242" w:lineRule="auto"/>
              <w:ind w:left="138" w:right="130"/>
              <w:jc w:val="center"/>
              <w:rPr>
                <w:sz w:val="18"/>
              </w:rPr>
            </w:pPr>
            <w:r>
              <w:rPr>
                <w:sz w:val="18"/>
              </w:rPr>
              <w:t>行，</w:t>
            </w:r>
            <w:r>
              <w:rPr>
                <w:rFonts w:ascii="Times New Roman" w:eastAsia="Times New Roman"/>
                <w:sz w:val="18"/>
              </w:rPr>
              <w:t>2022</w:t>
            </w:r>
            <w:r>
              <w:rPr>
                <w:sz w:val="18"/>
              </w:rPr>
              <w:t>年</w:t>
            </w:r>
            <w:r>
              <w:rPr>
                <w:spacing w:val="-92"/>
                <w:sz w:val="18"/>
              </w:rPr>
              <w:t>）</w:t>
            </w:r>
            <w:r>
              <w:rPr>
                <w:spacing w:val="-8"/>
                <w:sz w:val="18"/>
              </w:rPr>
              <w:t>》产</w:t>
            </w:r>
            <w:r>
              <w:rPr>
                <w:sz w:val="18"/>
              </w:rPr>
              <w:t xml:space="preserve">业发展要求。 </w:t>
            </w:r>
          </w:p>
        </w:tc>
        <w:tc>
          <w:tcPr>
            <w:tcW w:w="113" w:type="dxa"/>
            <w:vMerge w:val="restart"/>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690"/>
        </w:trPr>
        <w:tc>
          <w:tcPr>
            <w:tcW w:w="1114" w:type="dxa"/>
            <w:vMerge/>
            <w:tcBorders>
              <w:top w:val="nil"/>
              <w:right w:val="single" w:sz="4" w:space="0" w:color="000000"/>
            </w:tcBorders>
          </w:tcPr>
          <w:p>
            <w:pPr>
              <w:rPr>
                <w:sz w:val="2"/>
                <w:szCs w:val="2"/>
              </w:rPr>
            </w:pPr>
          </w:p>
        </w:tc>
        <w:tc>
          <w:tcPr>
            <w:tcW w:w="116" w:type="dxa"/>
            <w:vMerge/>
            <w:tcBorders>
              <w:top w:val="nil"/>
              <w:left w:val="single" w:sz="4" w:space="0" w:color="000000"/>
              <w:bottom w:val="nil"/>
              <w:right w:val="single" w:sz="4" w:space="0" w:color="000000"/>
            </w:tcBorders>
          </w:tcPr>
          <w:p>
            <w:pPr>
              <w:rPr>
                <w:sz w:val="2"/>
                <w:szCs w:val="2"/>
              </w:rPr>
            </w:pPr>
          </w:p>
        </w:tc>
        <w:tc>
          <w:tcPr>
            <w:tcW w:w="674" w:type="dxa"/>
            <w:gridSpan w:val="2"/>
            <w:vMerge/>
            <w:tcBorders>
              <w:top w:val="nil"/>
              <w:left w:val="single" w:sz="4" w:space="0" w:color="000000"/>
              <w:bottom w:val="single" w:sz="4" w:space="0" w:color="000000"/>
              <w:right w:val="single" w:sz="4" w:space="0" w:color="000000"/>
            </w:tcBorders>
          </w:tcPr>
          <w:p>
            <w:pPr>
              <w:rPr>
                <w:sz w:val="2"/>
                <w:szCs w:val="2"/>
              </w:rPr>
            </w:pPr>
          </w:p>
        </w:tc>
        <w:tc>
          <w:tcPr>
            <w:tcW w:w="5730" w:type="dxa"/>
            <w:gridSpan w:val="2"/>
            <w:tcBorders>
              <w:top w:val="single" w:sz="4" w:space="0" w:color="000000"/>
              <w:left w:val="single" w:sz="4" w:space="0" w:color="000000"/>
              <w:bottom w:val="single" w:sz="4" w:space="0" w:color="000000"/>
              <w:right w:val="single" w:sz="4" w:space="0" w:color="000000"/>
            </w:tcBorders>
          </w:tcPr>
          <w:p>
            <w:pPr>
              <w:pStyle w:val="TableParagraph"/>
              <w:spacing w:line="225" w:lineRule="exact"/>
              <w:ind w:left="109"/>
              <w:rPr>
                <w:sz w:val="18"/>
              </w:rPr>
            </w:pPr>
            <w:r>
              <w:rPr>
                <w:rFonts w:ascii="Times New Roman" w:eastAsia="Times New Roman"/>
                <w:sz w:val="18"/>
              </w:rPr>
              <w:t>16.</w:t>
            </w:r>
            <w:r>
              <w:rPr>
                <w:sz w:val="18"/>
              </w:rPr>
              <w:t>禁止新建、改建、扩建高毒、高残留以及对环境影响大的农药原药</w:t>
            </w:r>
          </w:p>
          <w:p>
            <w:pPr>
              <w:pStyle w:val="TableParagraph"/>
              <w:spacing w:before="4" w:line="230" w:lineRule="atLeast"/>
              <w:ind w:left="109" w:right="96"/>
              <w:rPr>
                <w:sz w:val="18"/>
              </w:rPr>
            </w:pPr>
            <w:r>
              <w:rPr>
                <w:rFonts w:ascii="Times New Roman" w:eastAsia="Times New Roman"/>
                <w:sz w:val="18"/>
              </w:rPr>
              <w:t>(</w:t>
            </w:r>
            <w:r>
              <w:rPr>
                <w:sz w:val="18"/>
              </w:rPr>
              <w:t>化学合成类</w:t>
            </w:r>
            <w:r>
              <w:rPr>
                <w:rFonts w:ascii="Times New Roman" w:eastAsia="Times New Roman"/>
                <w:sz w:val="18"/>
              </w:rPr>
              <w:t>)</w:t>
            </w:r>
            <w:r>
              <w:rPr>
                <w:sz w:val="18"/>
              </w:rPr>
              <w:t>项目，禁止新建、扩建不符合国家和省产业政策的农药、医药和染料中间体化工项目。</w:t>
            </w:r>
          </w:p>
        </w:tc>
        <w:tc>
          <w:tcPr>
            <w:tcW w:w="163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457"/>
        </w:trPr>
        <w:tc>
          <w:tcPr>
            <w:tcW w:w="1114" w:type="dxa"/>
            <w:vMerge/>
            <w:tcBorders>
              <w:top w:val="nil"/>
              <w:right w:val="single" w:sz="4" w:space="0" w:color="000000"/>
            </w:tcBorders>
          </w:tcPr>
          <w:p>
            <w:pPr>
              <w:rPr>
                <w:sz w:val="2"/>
                <w:szCs w:val="2"/>
              </w:rPr>
            </w:pPr>
          </w:p>
        </w:tc>
        <w:tc>
          <w:tcPr>
            <w:tcW w:w="116" w:type="dxa"/>
            <w:vMerge/>
            <w:tcBorders>
              <w:top w:val="nil"/>
              <w:left w:val="single" w:sz="4" w:space="0" w:color="000000"/>
              <w:bottom w:val="nil"/>
              <w:right w:val="single" w:sz="4" w:space="0" w:color="000000"/>
            </w:tcBorders>
          </w:tcPr>
          <w:p>
            <w:pPr>
              <w:rPr>
                <w:sz w:val="2"/>
                <w:szCs w:val="2"/>
              </w:rPr>
            </w:pPr>
          </w:p>
        </w:tc>
        <w:tc>
          <w:tcPr>
            <w:tcW w:w="674" w:type="dxa"/>
            <w:gridSpan w:val="2"/>
            <w:vMerge/>
            <w:tcBorders>
              <w:top w:val="nil"/>
              <w:left w:val="single" w:sz="4" w:space="0" w:color="000000"/>
              <w:bottom w:val="single" w:sz="4" w:space="0" w:color="000000"/>
              <w:right w:val="single" w:sz="4" w:space="0" w:color="000000"/>
            </w:tcBorders>
          </w:tcPr>
          <w:p>
            <w:pPr>
              <w:rPr>
                <w:sz w:val="2"/>
                <w:szCs w:val="2"/>
              </w:rPr>
            </w:pPr>
          </w:p>
        </w:tc>
        <w:tc>
          <w:tcPr>
            <w:tcW w:w="5730" w:type="dxa"/>
            <w:gridSpan w:val="2"/>
            <w:tcBorders>
              <w:top w:val="single" w:sz="4" w:space="0" w:color="000000"/>
              <w:left w:val="single" w:sz="4" w:space="0" w:color="000000"/>
              <w:bottom w:val="single" w:sz="4" w:space="0" w:color="000000"/>
              <w:right w:val="single" w:sz="4" w:space="0" w:color="000000"/>
            </w:tcBorders>
          </w:tcPr>
          <w:p>
            <w:pPr>
              <w:pStyle w:val="TableParagraph"/>
              <w:spacing w:line="225" w:lineRule="exact"/>
              <w:ind w:left="109"/>
              <w:rPr>
                <w:sz w:val="18"/>
              </w:rPr>
            </w:pPr>
            <w:r>
              <w:rPr>
                <w:rFonts w:ascii="Times New Roman" w:eastAsia="Times New Roman"/>
                <w:sz w:val="18"/>
              </w:rPr>
              <w:t>17.</w:t>
            </w:r>
            <w:r>
              <w:rPr>
                <w:sz w:val="18"/>
              </w:rPr>
              <w:t>禁止新建、扩建不符合国家石化、现代煤化工等产业布局规划的项</w:t>
            </w:r>
          </w:p>
          <w:p>
            <w:pPr>
              <w:pStyle w:val="TableParagraph"/>
              <w:spacing w:before="2" w:line="210" w:lineRule="exact"/>
              <w:ind w:left="109"/>
              <w:rPr>
                <w:sz w:val="18"/>
              </w:rPr>
            </w:pPr>
            <w:r>
              <w:rPr>
                <w:sz w:val="18"/>
              </w:rPr>
              <w:t>目，禁止新建独立焦化项目。</w:t>
            </w:r>
          </w:p>
        </w:tc>
        <w:tc>
          <w:tcPr>
            <w:tcW w:w="163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923"/>
        </w:trPr>
        <w:tc>
          <w:tcPr>
            <w:tcW w:w="1114" w:type="dxa"/>
            <w:vMerge/>
            <w:tcBorders>
              <w:top w:val="nil"/>
              <w:right w:val="single" w:sz="4" w:space="0" w:color="000000"/>
            </w:tcBorders>
          </w:tcPr>
          <w:p>
            <w:pPr>
              <w:rPr>
                <w:sz w:val="2"/>
                <w:szCs w:val="2"/>
              </w:rPr>
            </w:pPr>
          </w:p>
        </w:tc>
        <w:tc>
          <w:tcPr>
            <w:tcW w:w="116" w:type="dxa"/>
            <w:vMerge/>
            <w:tcBorders>
              <w:top w:val="nil"/>
              <w:left w:val="single" w:sz="4" w:space="0" w:color="000000"/>
              <w:bottom w:val="nil"/>
              <w:right w:val="single" w:sz="4" w:space="0" w:color="000000"/>
            </w:tcBorders>
          </w:tcPr>
          <w:p>
            <w:pPr>
              <w:rPr>
                <w:sz w:val="2"/>
                <w:szCs w:val="2"/>
              </w:rPr>
            </w:pPr>
          </w:p>
        </w:tc>
        <w:tc>
          <w:tcPr>
            <w:tcW w:w="674" w:type="dxa"/>
            <w:gridSpan w:val="2"/>
            <w:vMerge/>
            <w:tcBorders>
              <w:top w:val="nil"/>
              <w:left w:val="single" w:sz="4" w:space="0" w:color="000000"/>
              <w:bottom w:val="single" w:sz="4" w:space="0" w:color="000000"/>
              <w:right w:val="single" w:sz="4" w:space="0" w:color="000000"/>
            </w:tcBorders>
          </w:tcPr>
          <w:p>
            <w:pPr>
              <w:rPr>
                <w:sz w:val="2"/>
                <w:szCs w:val="2"/>
              </w:rPr>
            </w:pPr>
          </w:p>
        </w:tc>
        <w:tc>
          <w:tcPr>
            <w:tcW w:w="5730" w:type="dxa"/>
            <w:gridSpan w:val="2"/>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09" w:right="98"/>
              <w:jc w:val="both"/>
              <w:rPr>
                <w:sz w:val="18"/>
              </w:rPr>
            </w:pPr>
            <w:r>
              <w:rPr>
                <w:rFonts w:ascii="Times New Roman" w:eastAsia="Times New Roman"/>
                <w:sz w:val="18"/>
              </w:rPr>
              <w:t>18.</w:t>
            </w:r>
            <w:r>
              <w:rPr>
                <w:sz w:val="18"/>
              </w:rPr>
              <w:t>禁止新建、扩建国家《产业结构调整指导目录》《江苏省产业结构调整限制、淘汰和禁止目录》明确的限制类、淘汰类、禁止类项目， 法律法规和相关政策明令禁止的落后产能项目，以及明令淘汰的安全</w:t>
            </w:r>
          </w:p>
          <w:p>
            <w:pPr>
              <w:pStyle w:val="TableParagraph"/>
              <w:spacing w:line="208" w:lineRule="exact"/>
              <w:ind w:left="109"/>
              <w:rPr>
                <w:sz w:val="18"/>
              </w:rPr>
            </w:pPr>
            <w:r>
              <w:rPr>
                <w:sz w:val="18"/>
              </w:rPr>
              <w:t>生产落后工艺及装备项目。</w:t>
            </w:r>
          </w:p>
        </w:tc>
        <w:tc>
          <w:tcPr>
            <w:tcW w:w="163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458"/>
        </w:trPr>
        <w:tc>
          <w:tcPr>
            <w:tcW w:w="1114" w:type="dxa"/>
            <w:vMerge/>
            <w:tcBorders>
              <w:top w:val="nil"/>
              <w:right w:val="single" w:sz="4" w:space="0" w:color="000000"/>
            </w:tcBorders>
          </w:tcPr>
          <w:p>
            <w:pPr>
              <w:rPr>
                <w:sz w:val="2"/>
                <w:szCs w:val="2"/>
              </w:rPr>
            </w:pPr>
          </w:p>
        </w:tc>
        <w:tc>
          <w:tcPr>
            <w:tcW w:w="116" w:type="dxa"/>
            <w:vMerge/>
            <w:tcBorders>
              <w:top w:val="nil"/>
              <w:left w:val="single" w:sz="4" w:space="0" w:color="000000"/>
              <w:bottom w:val="nil"/>
              <w:right w:val="single" w:sz="4" w:space="0" w:color="000000"/>
            </w:tcBorders>
          </w:tcPr>
          <w:p>
            <w:pPr>
              <w:rPr>
                <w:sz w:val="2"/>
                <w:szCs w:val="2"/>
              </w:rPr>
            </w:pPr>
          </w:p>
        </w:tc>
        <w:tc>
          <w:tcPr>
            <w:tcW w:w="674" w:type="dxa"/>
            <w:gridSpan w:val="2"/>
            <w:vMerge/>
            <w:tcBorders>
              <w:top w:val="nil"/>
              <w:left w:val="single" w:sz="4" w:space="0" w:color="000000"/>
              <w:bottom w:val="single" w:sz="4" w:space="0" w:color="000000"/>
              <w:right w:val="single" w:sz="4" w:space="0" w:color="000000"/>
            </w:tcBorders>
          </w:tcPr>
          <w:p>
            <w:pPr>
              <w:rPr>
                <w:sz w:val="2"/>
                <w:szCs w:val="2"/>
              </w:rPr>
            </w:pPr>
          </w:p>
        </w:tc>
        <w:tc>
          <w:tcPr>
            <w:tcW w:w="5730" w:type="dxa"/>
            <w:gridSpan w:val="2"/>
            <w:tcBorders>
              <w:top w:val="single" w:sz="4" w:space="0" w:color="000000"/>
              <w:left w:val="single" w:sz="4" w:space="0" w:color="000000"/>
              <w:bottom w:val="single" w:sz="4" w:space="0" w:color="000000"/>
              <w:right w:val="single" w:sz="4" w:space="0" w:color="000000"/>
            </w:tcBorders>
          </w:tcPr>
          <w:p>
            <w:pPr>
              <w:pStyle w:val="TableParagraph"/>
              <w:spacing w:line="225" w:lineRule="exact"/>
              <w:ind w:left="109"/>
              <w:rPr>
                <w:sz w:val="18"/>
              </w:rPr>
            </w:pPr>
            <w:r>
              <w:rPr>
                <w:rFonts w:ascii="Times New Roman" w:eastAsia="Times New Roman"/>
                <w:sz w:val="18"/>
              </w:rPr>
              <w:t>19.</w:t>
            </w:r>
            <w:r>
              <w:rPr>
                <w:sz w:val="18"/>
              </w:rPr>
              <w:t>禁止新建、扩建不符合国家产能置换要求的严重过剩产能行业的项</w:t>
            </w:r>
          </w:p>
          <w:p>
            <w:pPr>
              <w:pStyle w:val="TableParagraph"/>
              <w:spacing w:before="2" w:line="210" w:lineRule="exact"/>
              <w:ind w:left="109"/>
              <w:rPr>
                <w:sz w:val="18"/>
              </w:rPr>
            </w:pPr>
            <w:r>
              <w:rPr>
                <w:sz w:val="18"/>
              </w:rPr>
              <w:t>目。禁止新建、扩建不符合要求的高耗能高排放项目。</w:t>
            </w:r>
          </w:p>
        </w:tc>
        <w:tc>
          <w:tcPr>
            <w:tcW w:w="163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222"/>
        </w:trPr>
        <w:tc>
          <w:tcPr>
            <w:tcW w:w="1114" w:type="dxa"/>
            <w:vMerge/>
            <w:tcBorders>
              <w:top w:val="nil"/>
              <w:right w:val="single" w:sz="4" w:space="0" w:color="000000"/>
            </w:tcBorders>
          </w:tcPr>
          <w:p>
            <w:pPr>
              <w:rPr>
                <w:sz w:val="2"/>
                <w:szCs w:val="2"/>
              </w:rPr>
            </w:pPr>
          </w:p>
        </w:tc>
        <w:tc>
          <w:tcPr>
            <w:tcW w:w="116" w:type="dxa"/>
            <w:vMerge/>
            <w:tcBorders>
              <w:top w:val="nil"/>
              <w:left w:val="single" w:sz="4" w:space="0" w:color="000000"/>
              <w:bottom w:val="nil"/>
              <w:right w:val="single" w:sz="4" w:space="0" w:color="000000"/>
            </w:tcBorders>
          </w:tcPr>
          <w:p>
            <w:pPr>
              <w:rPr>
                <w:sz w:val="2"/>
                <w:szCs w:val="2"/>
              </w:rPr>
            </w:pPr>
          </w:p>
        </w:tc>
        <w:tc>
          <w:tcPr>
            <w:tcW w:w="674" w:type="dxa"/>
            <w:gridSpan w:val="2"/>
            <w:vMerge/>
            <w:tcBorders>
              <w:top w:val="nil"/>
              <w:left w:val="single" w:sz="4" w:space="0" w:color="000000"/>
              <w:bottom w:val="single" w:sz="4" w:space="0" w:color="000000"/>
              <w:right w:val="single" w:sz="4" w:space="0" w:color="000000"/>
            </w:tcBorders>
          </w:tcPr>
          <w:p>
            <w:pPr>
              <w:rPr>
                <w:sz w:val="2"/>
                <w:szCs w:val="2"/>
              </w:rPr>
            </w:pPr>
          </w:p>
        </w:tc>
        <w:tc>
          <w:tcPr>
            <w:tcW w:w="5730" w:type="dxa"/>
            <w:gridSpan w:val="2"/>
            <w:tcBorders>
              <w:top w:val="single" w:sz="4" w:space="0" w:color="000000"/>
              <w:left w:val="single" w:sz="4" w:space="0" w:color="000000"/>
              <w:bottom w:val="single" w:sz="4" w:space="0" w:color="000000"/>
              <w:right w:val="single" w:sz="4" w:space="0" w:color="000000"/>
            </w:tcBorders>
          </w:tcPr>
          <w:p>
            <w:pPr>
              <w:pStyle w:val="TableParagraph"/>
              <w:spacing w:line="202" w:lineRule="exact"/>
              <w:ind w:left="109"/>
              <w:rPr>
                <w:sz w:val="18"/>
              </w:rPr>
            </w:pPr>
            <w:r>
              <w:rPr>
                <w:rFonts w:ascii="Times New Roman" w:eastAsia="Times New Roman"/>
                <w:sz w:val="18"/>
              </w:rPr>
              <w:t>20.</w:t>
            </w:r>
            <w:r>
              <w:rPr>
                <w:sz w:val="18"/>
              </w:rPr>
              <w:t>法律法规及相关政策文件有更加严格规定的从其规定。</w:t>
            </w:r>
          </w:p>
        </w:tc>
        <w:tc>
          <w:tcPr>
            <w:tcW w:w="1632"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1319"/>
        </w:trPr>
        <w:tc>
          <w:tcPr>
            <w:tcW w:w="1114" w:type="dxa"/>
            <w:vMerge/>
            <w:tcBorders>
              <w:top w:val="nil"/>
              <w:right w:val="single" w:sz="4" w:space="0" w:color="000000"/>
            </w:tcBorders>
          </w:tcPr>
          <w:p>
            <w:pPr>
              <w:rPr>
                <w:sz w:val="2"/>
                <w:szCs w:val="2"/>
              </w:rPr>
            </w:pPr>
          </w:p>
        </w:tc>
        <w:tc>
          <w:tcPr>
            <w:tcW w:w="8265" w:type="dxa"/>
            <w:gridSpan w:val="7"/>
            <w:tcBorders>
              <w:top w:val="single" w:sz="4" w:space="0" w:color="000000"/>
              <w:left w:val="single" w:sz="4" w:space="0" w:color="000000"/>
              <w:bottom w:val="single" w:sz="4" w:space="0" w:color="000000"/>
            </w:tcBorders>
          </w:tcPr>
          <w:p>
            <w:pPr>
              <w:pStyle w:val="TableParagraph"/>
              <w:spacing w:before="5"/>
              <w:rPr>
                <w:b/>
                <w:sz w:val="18"/>
              </w:rPr>
            </w:pPr>
          </w:p>
          <w:p>
            <w:pPr>
              <w:pStyle w:val="TableParagraph"/>
              <w:spacing w:line="364" w:lineRule="auto"/>
              <w:ind w:left="112" w:right="90" w:firstLine="422"/>
              <w:rPr>
                <w:b/>
                <w:sz w:val="21"/>
              </w:rPr>
            </w:pPr>
            <w:r>
              <w:rPr>
                <w:b/>
                <w:sz w:val="21"/>
              </w:rPr>
              <w:t>（</w:t>
            </w:r>
            <w:r>
              <w:rPr>
                <w:rFonts w:ascii="Times New Roman" w:eastAsia="Times New Roman"/>
                <w:b/>
                <w:sz w:val="21"/>
              </w:rPr>
              <w:t>2</w:t>
            </w:r>
            <w:r>
              <w:rPr>
                <w:b/>
                <w:sz w:val="21"/>
              </w:rPr>
              <w:t>）</w:t>
            </w:r>
            <w:r>
              <w:rPr>
                <w:rFonts w:ascii="Times New Roman" w:eastAsia="Times New Roman"/>
                <w:b/>
                <w:sz w:val="21"/>
              </w:rPr>
              <w:t>&lt;</w:t>
            </w:r>
            <w:r>
              <w:rPr>
                <w:b/>
                <w:sz w:val="21"/>
              </w:rPr>
              <w:t>关于印发《长江经济带发展负面清单指南（试行，</w:t>
            </w:r>
            <w:r>
              <w:rPr>
                <w:rFonts w:ascii="Times New Roman" w:eastAsia="Times New Roman"/>
                <w:b/>
                <w:sz w:val="21"/>
              </w:rPr>
              <w:t xml:space="preserve">2022 </w:t>
            </w:r>
            <w:r>
              <w:rPr>
                <w:b/>
                <w:sz w:val="21"/>
              </w:rPr>
              <w:t>年版</w:t>
            </w:r>
            <w:r>
              <w:rPr>
                <w:b/>
                <w:spacing w:val="-104"/>
                <w:sz w:val="21"/>
              </w:rPr>
              <w:t>）</w:t>
            </w:r>
            <w:r>
              <w:rPr>
                <w:b/>
                <w:spacing w:val="-3"/>
                <w:sz w:val="21"/>
              </w:rPr>
              <w:t>》江苏省实施</w:t>
            </w:r>
            <w:r>
              <w:rPr>
                <w:b/>
                <w:sz w:val="21"/>
              </w:rPr>
              <w:t>细则的通知</w:t>
            </w:r>
            <w:r>
              <w:rPr>
                <w:rFonts w:ascii="Times New Roman" w:eastAsia="Times New Roman"/>
                <w:b/>
                <w:sz w:val="21"/>
              </w:rPr>
              <w:t>&gt;</w:t>
            </w:r>
            <w:r>
              <w:rPr>
                <w:b/>
                <w:sz w:val="21"/>
              </w:rPr>
              <w:t>（</w:t>
            </w:r>
            <w:r>
              <w:rPr>
                <w:b/>
                <w:spacing w:val="-1"/>
                <w:sz w:val="21"/>
              </w:rPr>
              <w:t>苏长江办发</w:t>
            </w:r>
            <w:r>
              <w:rPr>
                <w:b/>
                <w:sz w:val="21"/>
              </w:rPr>
              <w:t>﹝</w:t>
            </w:r>
            <w:r>
              <w:rPr>
                <w:rFonts w:ascii="Times New Roman" w:eastAsia="Times New Roman"/>
                <w:b/>
                <w:sz w:val="21"/>
              </w:rPr>
              <w:t>2022</w:t>
            </w:r>
            <w:r>
              <w:rPr>
                <w:b/>
                <w:sz w:val="21"/>
              </w:rPr>
              <w:t>﹞</w:t>
            </w:r>
            <w:r>
              <w:rPr>
                <w:rFonts w:ascii="Times New Roman" w:eastAsia="Times New Roman"/>
                <w:b/>
                <w:sz w:val="21"/>
              </w:rPr>
              <w:t xml:space="preserve">55 </w:t>
            </w:r>
            <w:r>
              <w:rPr>
                <w:b/>
                <w:sz w:val="21"/>
              </w:rPr>
              <w:t>号）</w:t>
            </w:r>
          </w:p>
          <w:p>
            <w:pPr>
              <w:pStyle w:val="TableParagraph"/>
              <w:spacing w:before="1" w:line="245" w:lineRule="exact"/>
              <w:ind w:left="1624"/>
              <w:rPr>
                <w:b/>
                <w:sz w:val="21"/>
              </w:rPr>
            </w:pPr>
            <w:r>
              <w:rPr>
                <w:b/>
                <w:sz w:val="21"/>
              </w:rPr>
              <w:t xml:space="preserve">表 </w:t>
            </w:r>
            <w:r>
              <w:rPr>
                <w:rFonts w:ascii="Times New Roman" w:eastAsia="Times New Roman"/>
                <w:b/>
                <w:sz w:val="21"/>
              </w:rPr>
              <w:t xml:space="preserve">1-7 </w:t>
            </w:r>
            <w:r>
              <w:rPr>
                <w:b/>
                <w:sz w:val="21"/>
              </w:rPr>
              <w:t>与长江经济带发展负面清单实施细则相符性分析</w:t>
            </w:r>
          </w:p>
        </w:tc>
      </w:tr>
      <w:tr>
        <w:tblPrEx>
          <w:tblW w:w="0" w:type="auto"/>
          <w:tblInd w:w="138" w:type="dxa"/>
          <w:tblLayout w:type="fixed"/>
          <w:tblCellMar>
            <w:top w:w="0" w:type="dxa"/>
            <w:left w:w="0" w:type="dxa"/>
            <w:bottom w:w="0" w:type="dxa"/>
            <w:right w:w="0" w:type="dxa"/>
          </w:tblCellMar>
        </w:tblPrEx>
        <w:trPr>
          <w:trHeight w:val="258"/>
        </w:trPr>
        <w:tc>
          <w:tcPr>
            <w:tcW w:w="1114" w:type="dxa"/>
            <w:vMerge/>
            <w:tcBorders>
              <w:top w:val="nil"/>
              <w:right w:val="single" w:sz="4" w:space="0" w:color="000000"/>
            </w:tcBorders>
          </w:tcPr>
          <w:p>
            <w:pPr>
              <w:rPr>
                <w:sz w:val="2"/>
                <w:szCs w:val="2"/>
              </w:rPr>
            </w:pPr>
          </w:p>
        </w:tc>
        <w:tc>
          <w:tcPr>
            <w:tcW w:w="116" w:type="dxa"/>
            <w:vMerge w:val="restart"/>
            <w:tcBorders>
              <w:top w:val="nil"/>
              <w:left w:val="single" w:sz="4" w:space="0" w:color="000000"/>
              <w:right w:val="single" w:sz="4" w:space="0" w:color="000000"/>
            </w:tcBorders>
          </w:tcPr>
          <w:p>
            <w:pPr>
              <w:pStyle w:val="TableParagraph"/>
              <w:rPr>
                <w:rFonts w:ascii="Times New Roman"/>
                <w:sz w:val="18"/>
              </w:rPr>
            </w:pPr>
          </w:p>
        </w:tc>
        <w:tc>
          <w:tcPr>
            <w:tcW w:w="570" w:type="dxa"/>
            <w:tcBorders>
              <w:top w:val="single" w:sz="4" w:space="0" w:color="000000"/>
              <w:left w:val="single" w:sz="4" w:space="0" w:color="000000"/>
              <w:bottom w:val="single" w:sz="4" w:space="0" w:color="000000"/>
              <w:right w:val="single" w:sz="4" w:space="0" w:color="000000"/>
            </w:tcBorders>
          </w:tcPr>
          <w:p>
            <w:pPr>
              <w:pStyle w:val="TableParagraph"/>
              <w:spacing w:before="31" w:line="208" w:lineRule="exact"/>
              <w:ind w:left="87" w:right="70"/>
              <w:jc w:val="center"/>
              <w:rPr>
                <w:b/>
                <w:sz w:val="18"/>
              </w:rPr>
            </w:pPr>
            <w:r>
              <w:rPr>
                <w:b/>
                <w:sz w:val="18"/>
              </w:rPr>
              <w:t>序号</w:t>
            </w:r>
          </w:p>
        </w:tc>
        <w:tc>
          <w:tcPr>
            <w:tcW w:w="4685"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1" w:line="208" w:lineRule="exact"/>
              <w:ind w:left="90" w:right="81"/>
              <w:jc w:val="center"/>
              <w:rPr>
                <w:b/>
                <w:sz w:val="18"/>
              </w:rPr>
            </w:pPr>
            <w:r>
              <w:rPr>
                <w:b/>
                <w:sz w:val="18"/>
              </w:rPr>
              <w:t>文件相关要求</w:t>
            </w:r>
          </w:p>
        </w:tc>
        <w:tc>
          <w:tcPr>
            <w:tcW w:w="278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1" w:line="208" w:lineRule="exact"/>
              <w:ind w:left="1007" w:right="1000"/>
              <w:jc w:val="center"/>
              <w:rPr>
                <w:b/>
                <w:sz w:val="18"/>
              </w:rPr>
            </w:pPr>
            <w:r>
              <w:rPr>
                <w:b/>
                <w:sz w:val="18"/>
              </w:rPr>
              <w:t>是否相符</w:t>
            </w:r>
          </w:p>
        </w:tc>
        <w:tc>
          <w:tcPr>
            <w:tcW w:w="113"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723"/>
        </w:trPr>
        <w:tc>
          <w:tcPr>
            <w:tcW w:w="1114" w:type="dxa"/>
            <w:vMerge/>
            <w:tcBorders>
              <w:top w:val="nil"/>
              <w:right w:val="single" w:sz="4" w:space="0" w:color="000000"/>
            </w:tcBorders>
          </w:tcPr>
          <w:p>
            <w:pPr>
              <w:rPr>
                <w:sz w:val="2"/>
                <w:szCs w:val="2"/>
              </w:rPr>
            </w:pPr>
          </w:p>
        </w:tc>
        <w:tc>
          <w:tcPr>
            <w:tcW w:w="116" w:type="dxa"/>
            <w:vMerge/>
            <w:tcBorders>
              <w:top w:val="nil"/>
              <w:left w:val="single" w:sz="4" w:space="0" w:color="000000"/>
              <w:right w:val="single" w:sz="4" w:space="0" w:color="000000"/>
            </w:tcBorders>
          </w:tcPr>
          <w:p>
            <w:pPr>
              <w:rPr>
                <w:sz w:val="2"/>
                <w:szCs w:val="2"/>
              </w:rPr>
            </w:pPr>
          </w:p>
        </w:tc>
        <w:tc>
          <w:tcPr>
            <w:tcW w:w="570" w:type="dxa"/>
            <w:tcBorders>
              <w:top w:val="single" w:sz="4" w:space="0" w:color="000000"/>
              <w:left w:val="single" w:sz="4" w:space="0" w:color="000000"/>
              <w:bottom w:val="single" w:sz="4" w:space="0" w:color="000000"/>
              <w:right w:val="single" w:sz="4" w:space="0" w:color="000000"/>
            </w:tcBorders>
          </w:tcPr>
          <w:p>
            <w:pPr>
              <w:pStyle w:val="TableParagraph"/>
              <w:spacing w:before="5"/>
              <w:rPr>
                <w:b/>
                <w:sz w:val="20"/>
              </w:rPr>
            </w:pPr>
          </w:p>
          <w:p>
            <w:pPr>
              <w:pStyle w:val="TableParagraph"/>
              <w:ind w:left="17"/>
              <w:jc w:val="center"/>
              <w:rPr>
                <w:rFonts w:ascii="Times New Roman"/>
                <w:sz w:val="21"/>
              </w:rPr>
            </w:pPr>
            <w:r>
              <w:rPr>
                <w:rFonts w:ascii="Times New Roman"/>
                <w:w w:val="100"/>
                <w:sz w:val="21"/>
              </w:rPr>
              <w:t>1</w:t>
            </w:r>
          </w:p>
        </w:tc>
        <w:tc>
          <w:tcPr>
            <w:tcW w:w="4685"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8" w:line="242" w:lineRule="auto"/>
              <w:ind w:left="90" w:right="81"/>
              <w:jc w:val="center"/>
              <w:rPr>
                <w:sz w:val="18"/>
              </w:rPr>
            </w:pPr>
            <w:r>
              <w:rPr>
                <w:sz w:val="18"/>
              </w:rPr>
              <w:t>禁止建设不符合全国和省级港口布局规划以及港口总体规划的码头项目，禁止建设不符合《长江干线过江通道布局</w:t>
            </w:r>
          </w:p>
          <w:p>
            <w:pPr>
              <w:pStyle w:val="TableParagraph"/>
              <w:spacing w:before="2" w:line="208" w:lineRule="exact"/>
              <w:ind w:left="90" w:right="80"/>
              <w:jc w:val="center"/>
              <w:rPr>
                <w:sz w:val="18"/>
              </w:rPr>
            </w:pPr>
            <w:r>
              <w:rPr>
                <w:sz w:val="18"/>
              </w:rPr>
              <w:t>规划》的过长江通道项目。</w:t>
            </w:r>
          </w:p>
        </w:tc>
        <w:tc>
          <w:tcPr>
            <w:tcW w:w="278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46" w:line="242" w:lineRule="auto"/>
              <w:ind w:left="307" w:right="29" w:hanging="269"/>
              <w:rPr>
                <w:sz w:val="18"/>
              </w:rPr>
            </w:pPr>
            <w:r>
              <w:rPr>
                <w:sz w:val="18"/>
              </w:rPr>
              <w:t>本项目为食品包装制造项目，不属于港口建设，符合文件要求</w:t>
            </w:r>
          </w:p>
        </w:tc>
        <w:tc>
          <w:tcPr>
            <w:tcW w:w="113"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957"/>
        </w:trPr>
        <w:tc>
          <w:tcPr>
            <w:tcW w:w="1114" w:type="dxa"/>
            <w:vMerge/>
            <w:tcBorders>
              <w:top w:val="nil"/>
              <w:right w:val="single" w:sz="4" w:space="0" w:color="000000"/>
            </w:tcBorders>
          </w:tcPr>
          <w:p>
            <w:pPr>
              <w:rPr>
                <w:sz w:val="2"/>
                <w:szCs w:val="2"/>
              </w:rPr>
            </w:pPr>
          </w:p>
        </w:tc>
        <w:tc>
          <w:tcPr>
            <w:tcW w:w="116" w:type="dxa"/>
            <w:vMerge/>
            <w:tcBorders>
              <w:top w:val="nil"/>
              <w:left w:val="single" w:sz="4" w:space="0" w:color="000000"/>
              <w:right w:val="single" w:sz="4" w:space="0" w:color="000000"/>
            </w:tcBorders>
          </w:tcPr>
          <w:p>
            <w:pPr>
              <w:rPr>
                <w:sz w:val="2"/>
                <w:szCs w:val="2"/>
              </w:rPr>
            </w:pPr>
          </w:p>
        </w:tc>
        <w:tc>
          <w:tcPr>
            <w:tcW w:w="570" w:type="dxa"/>
            <w:tcBorders>
              <w:top w:val="single" w:sz="4" w:space="0" w:color="000000"/>
              <w:left w:val="single" w:sz="4" w:space="0" w:color="000000"/>
              <w:bottom w:val="single" w:sz="4" w:space="0" w:color="000000"/>
              <w:right w:val="single" w:sz="4" w:space="0" w:color="000000"/>
            </w:tcBorders>
          </w:tcPr>
          <w:p>
            <w:pPr>
              <w:pStyle w:val="TableParagraph"/>
              <w:spacing w:before="8"/>
              <w:rPr>
                <w:b/>
                <w:sz w:val="29"/>
              </w:rPr>
            </w:pPr>
          </w:p>
          <w:p>
            <w:pPr>
              <w:pStyle w:val="TableParagraph"/>
              <w:ind w:left="17"/>
              <w:jc w:val="center"/>
              <w:rPr>
                <w:rFonts w:ascii="Times New Roman"/>
                <w:sz w:val="21"/>
              </w:rPr>
            </w:pPr>
            <w:r>
              <w:rPr>
                <w:rFonts w:ascii="Times New Roman"/>
                <w:w w:val="100"/>
                <w:sz w:val="21"/>
              </w:rPr>
              <w:t>2</w:t>
            </w:r>
          </w:p>
        </w:tc>
        <w:tc>
          <w:tcPr>
            <w:tcW w:w="4685"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8" w:line="244" w:lineRule="auto"/>
              <w:ind w:left="90" w:right="82"/>
              <w:jc w:val="both"/>
              <w:rPr>
                <w:sz w:val="18"/>
              </w:rPr>
            </w:pPr>
            <w:r>
              <w:rPr>
                <w:sz w:val="18"/>
              </w:rPr>
              <w:t>禁止在自然保护区核心区、缓冲区的岸线和河段范围内投资建设旅游和生产经营项目。禁止在国家级和省级风景名胜区核心景区的岸线和河段范围内投资建设与风景名胜资</w:t>
            </w:r>
          </w:p>
          <w:p>
            <w:pPr>
              <w:pStyle w:val="TableParagraph"/>
              <w:spacing w:line="203" w:lineRule="exact"/>
              <w:ind w:left="1531"/>
              <w:rPr>
                <w:sz w:val="18"/>
              </w:rPr>
            </w:pPr>
            <w:r>
              <w:rPr>
                <w:sz w:val="18"/>
              </w:rPr>
              <w:t>源保护无关的项目。</w:t>
            </w:r>
          </w:p>
        </w:tc>
        <w:tc>
          <w:tcPr>
            <w:tcW w:w="278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7"/>
              <w:rPr>
                <w:b/>
                <w:sz w:val="20"/>
              </w:rPr>
            </w:pPr>
          </w:p>
          <w:p>
            <w:pPr>
              <w:pStyle w:val="TableParagraph"/>
              <w:spacing w:line="242" w:lineRule="auto"/>
              <w:ind w:left="848" w:right="30" w:hanging="810"/>
              <w:rPr>
                <w:sz w:val="18"/>
              </w:rPr>
            </w:pPr>
            <w:r>
              <w:rPr>
                <w:sz w:val="18"/>
              </w:rPr>
              <w:t>本项目不在生态红线保护范围内， 符合文件要求</w:t>
            </w:r>
          </w:p>
        </w:tc>
        <w:tc>
          <w:tcPr>
            <w:tcW w:w="113"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1192"/>
        </w:trPr>
        <w:tc>
          <w:tcPr>
            <w:tcW w:w="1114" w:type="dxa"/>
            <w:vMerge/>
            <w:tcBorders>
              <w:top w:val="nil"/>
              <w:right w:val="single" w:sz="4" w:space="0" w:color="000000"/>
            </w:tcBorders>
          </w:tcPr>
          <w:p>
            <w:pPr>
              <w:rPr>
                <w:sz w:val="2"/>
                <w:szCs w:val="2"/>
              </w:rPr>
            </w:pPr>
          </w:p>
        </w:tc>
        <w:tc>
          <w:tcPr>
            <w:tcW w:w="116" w:type="dxa"/>
            <w:vMerge/>
            <w:tcBorders>
              <w:top w:val="nil"/>
              <w:left w:val="single" w:sz="4" w:space="0" w:color="000000"/>
              <w:right w:val="single" w:sz="4" w:space="0" w:color="000000"/>
            </w:tcBorders>
          </w:tcPr>
          <w:p>
            <w:pPr>
              <w:rPr>
                <w:sz w:val="2"/>
                <w:szCs w:val="2"/>
              </w:rPr>
            </w:pPr>
          </w:p>
        </w:tc>
        <w:tc>
          <w:tcPr>
            <w:tcW w:w="570" w:type="dxa"/>
            <w:tcBorders>
              <w:top w:val="single" w:sz="4" w:space="0" w:color="000000"/>
              <w:left w:val="single" w:sz="4" w:space="0" w:color="000000"/>
              <w:bottom w:val="single" w:sz="4" w:space="0" w:color="000000"/>
              <w:right w:val="single" w:sz="4" w:space="0" w:color="000000"/>
            </w:tcBorders>
          </w:tcPr>
          <w:p>
            <w:pPr>
              <w:pStyle w:val="TableParagraph"/>
              <w:rPr>
                <w:b/>
                <w:sz w:val="22"/>
              </w:rPr>
            </w:pPr>
          </w:p>
          <w:p>
            <w:pPr>
              <w:pStyle w:val="TableParagraph"/>
              <w:spacing w:before="10"/>
              <w:rPr>
                <w:b/>
                <w:sz w:val="16"/>
              </w:rPr>
            </w:pPr>
          </w:p>
          <w:p>
            <w:pPr>
              <w:pStyle w:val="TableParagraph"/>
              <w:ind w:left="17"/>
              <w:jc w:val="center"/>
              <w:rPr>
                <w:rFonts w:ascii="Times New Roman"/>
                <w:sz w:val="21"/>
              </w:rPr>
            </w:pPr>
            <w:r>
              <w:rPr>
                <w:rFonts w:ascii="Times New Roman"/>
                <w:w w:val="100"/>
                <w:sz w:val="21"/>
              </w:rPr>
              <w:t>3</w:t>
            </w:r>
          </w:p>
        </w:tc>
        <w:tc>
          <w:tcPr>
            <w:tcW w:w="4685"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1" w:line="242" w:lineRule="auto"/>
              <w:ind w:left="90" w:right="82"/>
              <w:jc w:val="both"/>
              <w:rPr>
                <w:sz w:val="18"/>
              </w:rPr>
            </w:pPr>
            <w:r>
              <w:rPr>
                <w:sz w:val="18"/>
              </w:rPr>
              <w:t>禁止在饮用水水源一级保护区的岸线和河段范围内新建、改建、扩建与供水设施和保护水源无关的项目，以及网箱养殖、旅游等可能污染饮用水水体的投资建设项目。禁止在饮用水水源二级保护区的岸线和河段范围内新建、改</w:t>
            </w:r>
          </w:p>
          <w:p>
            <w:pPr>
              <w:pStyle w:val="TableParagraph"/>
              <w:spacing w:before="1" w:line="208" w:lineRule="exact"/>
              <w:ind w:left="811"/>
              <w:rPr>
                <w:sz w:val="18"/>
              </w:rPr>
            </w:pPr>
            <w:r>
              <w:rPr>
                <w:sz w:val="18"/>
              </w:rPr>
              <w:t>建、扩建排放污染物的投资建设项目。</w:t>
            </w:r>
          </w:p>
        </w:tc>
        <w:tc>
          <w:tcPr>
            <w:tcW w:w="2781" w:type="dxa"/>
            <w:gridSpan w:val="2"/>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spacing w:before="150" w:line="242" w:lineRule="auto"/>
              <w:ind w:left="848" w:right="30" w:hanging="810"/>
              <w:rPr>
                <w:sz w:val="18"/>
              </w:rPr>
            </w:pPr>
            <w:r>
              <w:rPr>
                <w:sz w:val="18"/>
              </w:rPr>
              <w:t>本项目不在饮用水水源保护区内， 符合文件要求</w:t>
            </w:r>
          </w:p>
        </w:tc>
        <w:tc>
          <w:tcPr>
            <w:tcW w:w="113"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956"/>
        </w:trPr>
        <w:tc>
          <w:tcPr>
            <w:tcW w:w="1114" w:type="dxa"/>
            <w:vMerge/>
            <w:tcBorders>
              <w:top w:val="nil"/>
              <w:right w:val="single" w:sz="4" w:space="0" w:color="000000"/>
            </w:tcBorders>
          </w:tcPr>
          <w:p>
            <w:pPr>
              <w:rPr>
                <w:sz w:val="2"/>
                <w:szCs w:val="2"/>
              </w:rPr>
            </w:pPr>
          </w:p>
        </w:tc>
        <w:tc>
          <w:tcPr>
            <w:tcW w:w="116" w:type="dxa"/>
            <w:vMerge/>
            <w:tcBorders>
              <w:top w:val="nil"/>
              <w:left w:val="single" w:sz="4" w:space="0" w:color="000000"/>
              <w:right w:val="single" w:sz="4" w:space="0" w:color="000000"/>
            </w:tcBorders>
          </w:tcPr>
          <w:p>
            <w:pPr>
              <w:rPr>
                <w:sz w:val="2"/>
                <w:szCs w:val="2"/>
              </w:rPr>
            </w:pPr>
          </w:p>
        </w:tc>
        <w:tc>
          <w:tcPr>
            <w:tcW w:w="570" w:type="dxa"/>
            <w:tcBorders>
              <w:top w:val="single" w:sz="4" w:space="0" w:color="000000"/>
              <w:left w:val="single" w:sz="4" w:space="0" w:color="000000"/>
              <w:bottom w:val="single" w:sz="4" w:space="0" w:color="000000"/>
              <w:right w:val="single" w:sz="4" w:space="0" w:color="000000"/>
            </w:tcBorders>
          </w:tcPr>
          <w:p>
            <w:pPr>
              <w:pStyle w:val="TableParagraph"/>
              <w:spacing w:before="7"/>
              <w:rPr>
                <w:b/>
                <w:sz w:val="29"/>
              </w:rPr>
            </w:pPr>
          </w:p>
          <w:p>
            <w:pPr>
              <w:pStyle w:val="TableParagraph"/>
              <w:spacing w:before="1"/>
              <w:ind w:left="17"/>
              <w:jc w:val="center"/>
              <w:rPr>
                <w:rFonts w:ascii="Times New Roman"/>
                <w:sz w:val="21"/>
              </w:rPr>
            </w:pPr>
            <w:r>
              <w:rPr>
                <w:rFonts w:ascii="Times New Roman"/>
                <w:w w:val="100"/>
                <w:sz w:val="21"/>
              </w:rPr>
              <w:t>4</w:t>
            </w:r>
          </w:p>
        </w:tc>
        <w:tc>
          <w:tcPr>
            <w:tcW w:w="4685"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8" w:line="242" w:lineRule="auto"/>
              <w:ind w:left="90" w:right="82"/>
              <w:jc w:val="both"/>
              <w:rPr>
                <w:sz w:val="18"/>
              </w:rPr>
            </w:pPr>
            <w:r>
              <w:rPr>
                <w:sz w:val="18"/>
              </w:rPr>
              <w:t>禁止在国家级和省级水产种质资源保护区的岸线和河段范围内新建围湖造田、海造地或围填等投资建设项目。禁止在国家湿地公园的岸线和河段范围内挖沙、采矿，以及任</w:t>
            </w:r>
          </w:p>
          <w:p>
            <w:pPr>
              <w:pStyle w:val="TableParagraph"/>
              <w:spacing w:before="2" w:line="208" w:lineRule="exact"/>
              <w:ind w:left="811"/>
              <w:rPr>
                <w:sz w:val="18"/>
              </w:rPr>
            </w:pPr>
            <w:r>
              <w:rPr>
                <w:sz w:val="18"/>
              </w:rPr>
              <w:t>何不符主体功能定位的投资建设项目。</w:t>
            </w:r>
          </w:p>
        </w:tc>
        <w:tc>
          <w:tcPr>
            <w:tcW w:w="278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8" w:line="242" w:lineRule="auto"/>
              <w:ind w:left="38" w:right="29"/>
              <w:jc w:val="both"/>
              <w:rPr>
                <w:sz w:val="18"/>
              </w:rPr>
            </w:pPr>
            <w:r>
              <w:rPr>
                <w:sz w:val="18"/>
              </w:rPr>
              <w:t>扩建项目不新增废水，建成后，全厂无生产废水，生活污水接管滨海县城北污水处理厂，且不在相关保</w:t>
            </w:r>
          </w:p>
          <w:p>
            <w:pPr>
              <w:pStyle w:val="TableParagraph"/>
              <w:spacing w:before="2" w:line="208" w:lineRule="exact"/>
              <w:ind w:left="487"/>
              <w:rPr>
                <w:sz w:val="18"/>
              </w:rPr>
            </w:pPr>
            <w:r>
              <w:rPr>
                <w:sz w:val="18"/>
              </w:rPr>
              <w:t>护区内，符合文件要求</w:t>
            </w:r>
          </w:p>
        </w:tc>
        <w:tc>
          <w:tcPr>
            <w:tcW w:w="113"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1198"/>
        </w:trPr>
        <w:tc>
          <w:tcPr>
            <w:tcW w:w="1114" w:type="dxa"/>
            <w:vMerge/>
            <w:tcBorders>
              <w:top w:val="nil"/>
              <w:right w:val="single" w:sz="4" w:space="0" w:color="000000"/>
            </w:tcBorders>
          </w:tcPr>
          <w:p>
            <w:pPr>
              <w:rPr>
                <w:sz w:val="2"/>
                <w:szCs w:val="2"/>
              </w:rPr>
            </w:pPr>
          </w:p>
        </w:tc>
        <w:tc>
          <w:tcPr>
            <w:tcW w:w="116" w:type="dxa"/>
            <w:vMerge/>
            <w:tcBorders>
              <w:top w:val="nil"/>
              <w:left w:val="single" w:sz="4" w:space="0" w:color="000000"/>
              <w:right w:val="single" w:sz="4" w:space="0" w:color="000000"/>
            </w:tcBorders>
          </w:tcPr>
          <w:p>
            <w:pPr>
              <w:rPr>
                <w:sz w:val="2"/>
                <w:szCs w:val="2"/>
              </w:rPr>
            </w:pPr>
          </w:p>
        </w:tc>
        <w:tc>
          <w:tcPr>
            <w:tcW w:w="570" w:type="dxa"/>
            <w:tcBorders>
              <w:top w:val="single" w:sz="4" w:space="0" w:color="000000"/>
              <w:left w:val="single" w:sz="4" w:space="0" w:color="000000"/>
              <w:bottom w:val="thickThinMediumGap" w:sz="4" w:space="0" w:color="000000"/>
              <w:right w:val="single" w:sz="4" w:space="0" w:color="000000"/>
            </w:tcBorders>
          </w:tcPr>
          <w:p>
            <w:pPr>
              <w:pStyle w:val="TableParagraph"/>
              <w:rPr>
                <w:b/>
                <w:sz w:val="22"/>
              </w:rPr>
            </w:pPr>
          </w:p>
          <w:p>
            <w:pPr>
              <w:pStyle w:val="TableParagraph"/>
              <w:spacing w:before="10"/>
              <w:rPr>
                <w:b/>
                <w:sz w:val="16"/>
              </w:rPr>
            </w:pPr>
          </w:p>
          <w:p>
            <w:pPr>
              <w:pStyle w:val="TableParagraph"/>
              <w:ind w:left="17"/>
              <w:jc w:val="center"/>
              <w:rPr>
                <w:rFonts w:ascii="Times New Roman"/>
                <w:sz w:val="21"/>
              </w:rPr>
            </w:pPr>
            <w:r>
              <w:rPr>
                <w:rFonts w:ascii="Times New Roman"/>
                <w:w w:val="100"/>
                <w:sz w:val="21"/>
              </w:rPr>
              <w:t>5</w:t>
            </w:r>
          </w:p>
        </w:tc>
        <w:tc>
          <w:tcPr>
            <w:tcW w:w="4685"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before="31" w:line="242" w:lineRule="auto"/>
              <w:ind w:left="90" w:right="82"/>
              <w:jc w:val="center"/>
              <w:rPr>
                <w:sz w:val="18"/>
              </w:rPr>
            </w:pPr>
            <w:r>
              <w:rPr>
                <w:spacing w:val="-1"/>
                <w:sz w:val="18"/>
              </w:rPr>
              <w:t>禁止在《长江岸线保护和开发利用总体规划》划定的岸线保护区内和保留区内投资建设除事关公共安全及公众利益</w:t>
            </w:r>
            <w:r>
              <w:rPr>
                <w:sz w:val="18"/>
              </w:rPr>
              <w:t xml:space="preserve">的防洪护岸、河道治理、供水、生态环境保护、航道整 </w:t>
            </w:r>
            <w:r>
              <w:rPr>
                <w:spacing w:val="-1"/>
                <w:sz w:val="18"/>
              </w:rPr>
              <w:t>治、国家重要基础设施以外的项目。禁止在《全国重要江</w:t>
            </w:r>
          </w:p>
          <w:p>
            <w:pPr>
              <w:pStyle w:val="TableParagraph"/>
              <w:spacing w:before="2" w:line="213" w:lineRule="exact"/>
              <w:ind w:left="70" w:right="64"/>
              <w:jc w:val="center"/>
              <w:rPr>
                <w:sz w:val="18"/>
              </w:rPr>
            </w:pPr>
            <w:r>
              <w:rPr>
                <w:sz w:val="18"/>
              </w:rPr>
              <w:t>河湖泊水功能区划》划定的河段及湖泊保护区、保留区内</w:t>
            </w:r>
          </w:p>
        </w:tc>
        <w:tc>
          <w:tcPr>
            <w:tcW w:w="2781" w:type="dxa"/>
            <w:gridSpan w:val="2"/>
            <w:tcBorders>
              <w:top w:val="single" w:sz="4" w:space="0" w:color="000000"/>
              <w:left w:val="single" w:sz="4" w:space="0" w:color="000000"/>
              <w:bottom w:val="thickThinMediumGap" w:sz="4" w:space="0" w:color="000000"/>
              <w:right w:val="single" w:sz="4" w:space="0" w:color="000000"/>
            </w:tcBorders>
          </w:tcPr>
          <w:p>
            <w:pPr>
              <w:pStyle w:val="TableParagraph"/>
              <w:rPr>
                <w:b/>
                <w:sz w:val="18"/>
              </w:rPr>
            </w:pPr>
          </w:p>
          <w:p>
            <w:pPr>
              <w:pStyle w:val="TableParagraph"/>
              <w:spacing w:before="150" w:line="242" w:lineRule="auto"/>
              <w:ind w:left="1119" w:right="29" w:hanging="1081"/>
              <w:rPr>
                <w:sz w:val="18"/>
              </w:rPr>
            </w:pPr>
            <w:r>
              <w:rPr>
                <w:sz w:val="18"/>
              </w:rPr>
              <w:t>本项目不在划定的保护区内，符文件要求</w:t>
            </w:r>
          </w:p>
        </w:tc>
        <w:tc>
          <w:tcPr>
            <w:tcW w:w="113" w:type="dxa"/>
            <w:tcBorders>
              <w:top w:val="nil"/>
              <w:left w:val="single" w:sz="4" w:space="0" w:color="000000"/>
            </w:tcBorders>
          </w:tcPr>
          <w:p>
            <w:pPr>
              <w:pStyle w:val="TableParagraph"/>
              <w:rPr>
                <w:rFonts w:ascii="Times New Roman"/>
                <w:sz w:val="18"/>
              </w:rPr>
            </w:pPr>
          </w:p>
        </w:tc>
      </w:tr>
    </w:tbl>
    <w:p>
      <w:pPr>
        <w:spacing w:after="0"/>
        <w:rPr>
          <w:rFonts w:ascii="Times New Roman"/>
          <w:sz w:val="18"/>
        </w:rPr>
        <w:sectPr>
          <w:footerReference w:type="default" r:id="rId10"/>
          <w:pgSz w:w="11910" w:h="16840"/>
          <w:pgMar w:top="1400" w:right="1140" w:bottom="1180" w:left="1140" w:header="0" w:footer="994" w:gutter="0"/>
          <w:pgNumType w:start="6"/>
          <w:cols w:num="1" w:space="720"/>
        </w:sectPr>
      </w:pPr>
    </w:p>
    <w:tbl>
      <w:tblPr>
        <w:tblStyle w:val="TableNormal"/>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14"/>
        <w:gridCol w:w="118"/>
        <w:gridCol w:w="567"/>
        <w:gridCol w:w="4684"/>
        <w:gridCol w:w="2778"/>
        <w:gridCol w:w="113"/>
      </w:tblGrid>
      <w:tr>
        <w:tblPrEx>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3"/>
        </w:trPr>
        <w:tc>
          <w:tcPr>
            <w:tcW w:w="1114" w:type="dxa"/>
            <w:vMerge w:val="restart"/>
            <w:tcBorders>
              <w:right w:val="single" w:sz="4" w:space="0" w:color="000000"/>
            </w:tcBorders>
          </w:tcPr>
          <w:p>
            <w:pPr>
              <w:pStyle w:val="TableParagraph"/>
              <w:rPr>
                <w:rFonts w:ascii="Times New Roman"/>
                <w:sz w:val="18"/>
              </w:rPr>
            </w:pPr>
          </w:p>
        </w:tc>
        <w:tc>
          <w:tcPr>
            <w:tcW w:w="118" w:type="dxa"/>
            <w:vMerge w:val="restart"/>
            <w:tcBorders>
              <w:left w:val="single" w:sz="4" w:space="0" w:color="000000"/>
              <w:bottom w:val="nil"/>
              <w:right w:val="single" w:sz="4" w:space="0" w:color="000000"/>
            </w:tcBorders>
          </w:tcPr>
          <w:p>
            <w:pPr>
              <w:pStyle w:val="TableParagraph"/>
              <w:rPr>
                <w:rFonts w:ascii="Times New Roman"/>
                <w:sz w:val="18"/>
              </w:rPr>
            </w:pPr>
          </w:p>
        </w:tc>
        <w:tc>
          <w:tcPr>
            <w:tcW w:w="567"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4684" w:type="dxa"/>
            <w:tcBorders>
              <w:top w:val="single" w:sz="12" w:space="0" w:color="000000"/>
              <w:left w:val="single" w:sz="4" w:space="0" w:color="000000"/>
              <w:bottom w:val="single" w:sz="4" w:space="0" w:color="000000"/>
              <w:right w:val="single" w:sz="4" w:space="0" w:color="000000"/>
            </w:tcBorders>
          </w:tcPr>
          <w:p>
            <w:pPr>
              <w:pStyle w:val="TableParagraph"/>
              <w:spacing w:before="33" w:line="210" w:lineRule="exact"/>
              <w:ind w:left="45" w:right="36"/>
              <w:jc w:val="center"/>
              <w:rPr>
                <w:sz w:val="18"/>
              </w:rPr>
            </w:pPr>
            <w:r>
              <w:rPr>
                <w:sz w:val="18"/>
              </w:rPr>
              <w:t>投资建设不利于水资源及自然生态保护的项目。</w:t>
            </w:r>
          </w:p>
        </w:tc>
        <w:tc>
          <w:tcPr>
            <w:tcW w:w="2778"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113" w:type="dxa"/>
            <w:tcBorders>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256"/>
        </w:trPr>
        <w:tc>
          <w:tcPr>
            <w:tcW w:w="1114" w:type="dxa"/>
            <w:vMerge/>
            <w:tcBorders>
              <w:top w:val="nil"/>
              <w:right w:val="single" w:sz="4" w:space="0" w:color="000000"/>
            </w:tcBorders>
          </w:tcPr>
          <w:p>
            <w:pPr>
              <w:rPr>
                <w:sz w:val="2"/>
                <w:szCs w:val="2"/>
              </w:rPr>
            </w:pPr>
          </w:p>
        </w:tc>
        <w:tc>
          <w:tcPr>
            <w:tcW w:w="118" w:type="dxa"/>
            <w:vMerge/>
            <w:tcBorders>
              <w:top w:val="nil"/>
              <w:left w:val="single" w:sz="4" w:space="0" w:color="000000"/>
              <w:bottom w:val="nil"/>
              <w:right w:val="single" w:sz="4" w:space="0" w:color="000000"/>
            </w:tcBorders>
          </w:tcPr>
          <w:p>
            <w:pPr>
              <w:rPr>
                <w:sz w:val="2"/>
                <w:szCs w:val="2"/>
              </w:rPr>
            </w:pPr>
          </w:p>
        </w:tc>
        <w:tc>
          <w:tcPr>
            <w:tcW w:w="567"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4684" w:type="dxa"/>
            <w:tcBorders>
              <w:top w:val="single" w:sz="4" w:space="0" w:color="000000"/>
              <w:left w:val="single" w:sz="4" w:space="0" w:color="000000"/>
              <w:bottom w:val="nil"/>
              <w:right w:val="single" w:sz="4" w:space="0" w:color="000000"/>
            </w:tcBorders>
          </w:tcPr>
          <w:p>
            <w:pPr>
              <w:pStyle w:val="TableParagraph"/>
              <w:spacing w:before="28" w:line="209" w:lineRule="exact"/>
              <w:ind w:left="45" w:right="35"/>
              <w:jc w:val="center"/>
              <w:rPr>
                <w:sz w:val="18"/>
              </w:rPr>
            </w:pPr>
            <w:r>
              <w:rPr>
                <w:sz w:val="18"/>
              </w:rPr>
              <w:t xml:space="preserve">禁止在长江干支流岸线 </w:t>
            </w:r>
            <w:r>
              <w:rPr>
                <w:rFonts w:ascii="Times New Roman" w:eastAsia="Times New Roman"/>
                <w:sz w:val="18"/>
              </w:rPr>
              <w:t xml:space="preserve">1 </w:t>
            </w:r>
            <w:r>
              <w:rPr>
                <w:sz w:val="18"/>
              </w:rPr>
              <w:t>公里范围内新建、扩建化工园区</w:t>
            </w:r>
          </w:p>
        </w:tc>
        <w:tc>
          <w:tcPr>
            <w:tcW w:w="2778"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13" w:type="dxa"/>
            <w:vMerge w:val="restart"/>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441"/>
        </w:trPr>
        <w:tc>
          <w:tcPr>
            <w:tcW w:w="1114" w:type="dxa"/>
            <w:vMerge/>
            <w:tcBorders>
              <w:top w:val="nil"/>
              <w:right w:val="single" w:sz="4" w:space="0" w:color="000000"/>
            </w:tcBorders>
          </w:tcPr>
          <w:p>
            <w:pPr>
              <w:rPr>
                <w:sz w:val="2"/>
                <w:szCs w:val="2"/>
              </w:rPr>
            </w:pPr>
          </w:p>
        </w:tc>
        <w:tc>
          <w:tcPr>
            <w:tcW w:w="118" w:type="dxa"/>
            <w:vMerge/>
            <w:tcBorders>
              <w:top w:val="nil"/>
              <w:left w:val="single" w:sz="4" w:space="0" w:color="000000"/>
              <w:bottom w:val="nil"/>
              <w:right w:val="single" w:sz="4" w:space="0" w:color="000000"/>
            </w:tcBorders>
          </w:tcPr>
          <w:p>
            <w:pPr>
              <w:rPr>
                <w:sz w:val="2"/>
                <w:szCs w:val="2"/>
              </w:rPr>
            </w:pPr>
          </w:p>
        </w:tc>
        <w:tc>
          <w:tcPr>
            <w:tcW w:w="567" w:type="dxa"/>
            <w:tcBorders>
              <w:top w:val="nil"/>
              <w:left w:val="single" w:sz="4" w:space="0" w:color="000000"/>
              <w:bottom w:val="nil"/>
              <w:right w:val="single" w:sz="4" w:space="0" w:color="000000"/>
            </w:tcBorders>
          </w:tcPr>
          <w:p>
            <w:pPr>
              <w:pStyle w:val="TableParagraph"/>
              <w:spacing w:before="102"/>
              <w:ind w:left="16"/>
              <w:jc w:val="center"/>
              <w:rPr>
                <w:rFonts w:ascii="Times New Roman"/>
                <w:sz w:val="21"/>
              </w:rPr>
            </w:pPr>
            <w:r>
              <w:rPr>
                <w:rFonts w:ascii="Times New Roman"/>
                <w:w w:val="100"/>
                <w:sz w:val="21"/>
              </w:rPr>
              <w:t>6</w:t>
            </w:r>
          </w:p>
        </w:tc>
        <w:tc>
          <w:tcPr>
            <w:tcW w:w="4684" w:type="dxa"/>
            <w:tcBorders>
              <w:top w:val="nil"/>
              <w:left w:val="single" w:sz="4" w:space="0" w:color="000000"/>
              <w:bottom w:val="nil"/>
              <w:right w:val="single" w:sz="4" w:space="0" w:color="000000"/>
            </w:tcBorders>
          </w:tcPr>
          <w:p>
            <w:pPr>
              <w:pStyle w:val="TableParagraph"/>
              <w:spacing w:line="215" w:lineRule="exact"/>
              <w:ind w:left="91"/>
              <w:rPr>
                <w:sz w:val="18"/>
              </w:rPr>
            </w:pPr>
            <w:r>
              <w:rPr>
                <w:sz w:val="18"/>
              </w:rPr>
              <w:t>和化工项目。禁止在长江干流岸线三公里范围内新建、改</w:t>
            </w:r>
          </w:p>
          <w:p>
            <w:pPr>
              <w:pStyle w:val="TableParagraph"/>
              <w:spacing w:before="4" w:line="202" w:lineRule="exact"/>
              <w:ind w:left="91"/>
              <w:rPr>
                <w:sz w:val="18"/>
              </w:rPr>
            </w:pPr>
            <w:r>
              <w:rPr>
                <w:sz w:val="18"/>
              </w:rPr>
              <w:t>建、扩建尾矿库、冶炼渣库和磷石膏库，以提升安全、生</w:t>
            </w:r>
          </w:p>
        </w:tc>
        <w:tc>
          <w:tcPr>
            <w:tcW w:w="2778" w:type="dxa"/>
            <w:tcBorders>
              <w:top w:val="nil"/>
              <w:left w:val="single" w:sz="4" w:space="0" w:color="000000"/>
              <w:bottom w:val="nil"/>
              <w:right w:val="single" w:sz="4" w:space="0" w:color="000000"/>
            </w:tcBorders>
          </w:tcPr>
          <w:p>
            <w:pPr>
              <w:pStyle w:val="TableParagraph"/>
              <w:spacing w:line="215" w:lineRule="exact"/>
              <w:ind w:left="20" w:right="7"/>
              <w:jc w:val="center"/>
              <w:rPr>
                <w:sz w:val="18"/>
              </w:rPr>
            </w:pPr>
            <w:r>
              <w:rPr>
                <w:sz w:val="18"/>
              </w:rPr>
              <w:t>本项目不在长江干支流三公里范围</w:t>
            </w:r>
          </w:p>
          <w:p>
            <w:pPr>
              <w:pStyle w:val="TableParagraph"/>
              <w:spacing w:before="4" w:line="202" w:lineRule="exact"/>
              <w:ind w:left="19" w:right="7"/>
              <w:jc w:val="center"/>
              <w:rPr>
                <w:sz w:val="18"/>
              </w:rPr>
            </w:pPr>
            <w:r>
              <w:rPr>
                <w:sz w:val="18"/>
              </w:rPr>
              <w:t>内，符合文件要求</w:t>
            </w:r>
          </w:p>
        </w:tc>
        <w:tc>
          <w:tcPr>
            <w:tcW w:w="113"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218"/>
        </w:trPr>
        <w:tc>
          <w:tcPr>
            <w:tcW w:w="1114" w:type="dxa"/>
            <w:vMerge/>
            <w:tcBorders>
              <w:top w:val="nil"/>
              <w:right w:val="single" w:sz="4" w:space="0" w:color="000000"/>
            </w:tcBorders>
          </w:tcPr>
          <w:p>
            <w:pPr>
              <w:rPr>
                <w:sz w:val="2"/>
                <w:szCs w:val="2"/>
              </w:rPr>
            </w:pPr>
          </w:p>
        </w:tc>
        <w:tc>
          <w:tcPr>
            <w:tcW w:w="118" w:type="dxa"/>
            <w:vMerge/>
            <w:tcBorders>
              <w:top w:val="nil"/>
              <w:left w:val="single" w:sz="4" w:space="0" w:color="000000"/>
              <w:bottom w:val="nil"/>
              <w:right w:val="single" w:sz="4" w:space="0" w:color="000000"/>
            </w:tcBorders>
          </w:tcPr>
          <w:p>
            <w:pPr>
              <w:rPr>
                <w:sz w:val="2"/>
                <w:szCs w:val="2"/>
              </w:rPr>
            </w:pPr>
          </w:p>
        </w:tc>
        <w:tc>
          <w:tcPr>
            <w:tcW w:w="567" w:type="dxa"/>
            <w:tcBorders>
              <w:top w:val="nil"/>
              <w:left w:val="single" w:sz="4" w:space="0" w:color="000000"/>
              <w:bottom w:val="single" w:sz="4" w:space="0" w:color="000000"/>
              <w:right w:val="single" w:sz="4" w:space="0" w:color="000000"/>
            </w:tcBorders>
          </w:tcPr>
          <w:p>
            <w:pPr>
              <w:pStyle w:val="TableParagraph"/>
              <w:rPr>
                <w:rFonts w:ascii="Times New Roman"/>
                <w:sz w:val="14"/>
              </w:rPr>
            </w:pPr>
          </w:p>
        </w:tc>
        <w:tc>
          <w:tcPr>
            <w:tcW w:w="4684" w:type="dxa"/>
            <w:tcBorders>
              <w:top w:val="nil"/>
              <w:left w:val="single" w:sz="4" w:space="0" w:color="000000"/>
              <w:bottom w:val="single" w:sz="4" w:space="0" w:color="000000"/>
              <w:right w:val="single" w:sz="4" w:space="0" w:color="000000"/>
            </w:tcBorders>
          </w:tcPr>
          <w:p>
            <w:pPr>
              <w:pStyle w:val="TableParagraph"/>
              <w:spacing w:line="199" w:lineRule="exact"/>
              <w:ind w:left="45" w:right="32"/>
              <w:jc w:val="center"/>
              <w:rPr>
                <w:sz w:val="18"/>
              </w:rPr>
            </w:pPr>
            <w:r>
              <w:rPr>
                <w:sz w:val="18"/>
              </w:rPr>
              <w:t>态环境保护水平为目的的改建除外。</w:t>
            </w:r>
          </w:p>
        </w:tc>
        <w:tc>
          <w:tcPr>
            <w:tcW w:w="2778" w:type="dxa"/>
            <w:tcBorders>
              <w:top w:val="nil"/>
              <w:left w:val="single" w:sz="4" w:space="0" w:color="000000"/>
              <w:bottom w:val="single" w:sz="4" w:space="0" w:color="000000"/>
              <w:right w:val="single" w:sz="4" w:space="0" w:color="000000"/>
            </w:tcBorders>
          </w:tcPr>
          <w:p>
            <w:pPr>
              <w:pStyle w:val="TableParagraph"/>
              <w:rPr>
                <w:rFonts w:ascii="Times New Roman"/>
                <w:sz w:val="14"/>
              </w:rPr>
            </w:pPr>
          </w:p>
        </w:tc>
        <w:tc>
          <w:tcPr>
            <w:tcW w:w="113"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251"/>
        </w:trPr>
        <w:tc>
          <w:tcPr>
            <w:tcW w:w="1114" w:type="dxa"/>
            <w:vMerge/>
            <w:tcBorders>
              <w:top w:val="nil"/>
              <w:right w:val="single" w:sz="4" w:space="0" w:color="000000"/>
            </w:tcBorders>
          </w:tcPr>
          <w:p>
            <w:pPr>
              <w:rPr>
                <w:sz w:val="2"/>
                <w:szCs w:val="2"/>
              </w:rPr>
            </w:pPr>
          </w:p>
        </w:tc>
        <w:tc>
          <w:tcPr>
            <w:tcW w:w="118" w:type="dxa"/>
            <w:vMerge/>
            <w:tcBorders>
              <w:top w:val="nil"/>
              <w:left w:val="single" w:sz="4" w:space="0" w:color="000000"/>
              <w:bottom w:val="nil"/>
              <w:right w:val="single" w:sz="4" w:space="0" w:color="000000"/>
            </w:tcBorders>
          </w:tcPr>
          <w:p>
            <w:pPr>
              <w:rPr>
                <w:sz w:val="2"/>
                <w:szCs w:val="2"/>
              </w:rPr>
            </w:pPr>
          </w:p>
        </w:tc>
        <w:tc>
          <w:tcPr>
            <w:tcW w:w="567"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46"/>
              <w:ind w:left="16"/>
              <w:jc w:val="center"/>
              <w:rPr>
                <w:rFonts w:ascii="Times New Roman"/>
                <w:sz w:val="21"/>
              </w:rPr>
            </w:pPr>
            <w:r>
              <w:rPr>
                <w:rFonts w:ascii="Times New Roman"/>
                <w:w w:val="100"/>
                <w:sz w:val="21"/>
              </w:rPr>
              <w:t>7</w:t>
            </w:r>
          </w:p>
        </w:tc>
        <w:tc>
          <w:tcPr>
            <w:tcW w:w="4684" w:type="dxa"/>
            <w:tcBorders>
              <w:top w:val="single" w:sz="4" w:space="0" w:color="000000"/>
              <w:left w:val="single" w:sz="4" w:space="0" w:color="000000"/>
              <w:bottom w:val="nil"/>
              <w:right w:val="single" w:sz="4" w:space="0" w:color="000000"/>
            </w:tcBorders>
          </w:tcPr>
          <w:p>
            <w:pPr>
              <w:pStyle w:val="TableParagraph"/>
              <w:spacing w:before="28" w:line="203" w:lineRule="exact"/>
              <w:ind w:left="45" w:right="36"/>
              <w:jc w:val="center"/>
              <w:rPr>
                <w:sz w:val="18"/>
              </w:rPr>
            </w:pPr>
            <w:r>
              <w:rPr>
                <w:sz w:val="18"/>
              </w:rPr>
              <w:t>禁止在合规园区新建、扩建钢铁、石化、化工、焦化、建</w:t>
            </w:r>
          </w:p>
        </w:tc>
        <w:tc>
          <w:tcPr>
            <w:tcW w:w="2778" w:type="dxa"/>
            <w:tcBorders>
              <w:top w:val="single" w:sz="4" w:space="0" w:color="000000"/>
              <w:left w:val="single" w:sz="4" w:space="0" w:color="000000"/>
              <w:bottom w:val="nil"/>
              <w:right w:val="single" w:sz="4" w:space="0" w:color="000000"/>
            </w:tcBorders>
          </w:tcPr>
          <w:p>
            <w:pPr>
              <w:pStyle w:val="TableParagraph"/>
              <w:spacing w:before="28" w:line="203" w:lineRule="exact"/>
              <w:ind w:left="20" w:right="6"/>
              <w:jc w:val="center"/>
              <w:rPr>
                <w:sz w:val="18"/>
              </w:rPr>
            </w:pPr>
            <w:r>
              <w:rPr>
                <w:sz w:val="18"/>
              </w:rPr>
              <w:t>本项目为食品包装制造，不属于高</w:t>
            </w:r>
          </w:p>
        </w:tc>
        <w:tc>
          <w:tcPr>
            <w:tcW w:w="113" w:type="dxa"/>
            <w:vMerge w:val="restart"/>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219"/>
        </w:trPr>
        <w:tc>
          <w:tcPr>
            <w:tcW w:w="1114" w:type="dxa"/>
            <w:vMerge/>
            <w:tcBorders>
              <w:top w:val="nil"/>
              <w:right w:val="single" w:sz="4" w:space="0" w:color="000000"/>
            </w:tcBorders>
          </w:tcPr>
          <w:p>
            <w:pPr>
              <w:rPr>
                <w:sz w:val="2"/>
                <w:szCs w:val="2"/>
              </w:rPr>
            </w:pPr>
          </w:p>
        </w:tc>
        <w:tc>
          <w:tcPr>
            <w:tcW w:w="118" w:type="dxa"/>
            <w:vMerge/>
            <w:tcBorders>
              <w:top w:val="nil"/>
              <w:left w:val="single" w:sz="4" w:space="0" w:color="000000"/>
              <w:bottom w:val="nil"/>
              <w:right w:val="single" w:sz="4" w:space="0" w:color="000000"/>
            </w:tcBorders>
          </w:tcPr>
          <w:p>
            <w:pPr>
              <w:rPr>
                <w:sz w:val="2"/>
                <w:szCs w:val="2"/>
              </w:rPr>
            </w:pPr>
          </w:p>
        </w:tc>
        <w:tc>
          <w:tcPr>
            <w:tcW w:w="567" w:type="dxa"/>
            <w:vMerge/>
            <w:tcBorders>
              <w:top w:val="nil"/>
              <w:left w:val="single" w:sz="4" w:space="0" w:color="000000"/>
              <w:bottom w:val="single" w:sz="4" w:space="0" w:color="000000"/>
              <w:right w:val="single" w:sz="4" w:space="0" w:color="000000"/>
            </w:tcBorders>
          </w:tcPr>
          <w:p>
            <w:pPr>
              <w:rPr>
                <w:sz w:val="2"/>
                <w:szCs w:val="2"/>
              </w:rPr>
            </w:pPr>
          </w:p>
        </w:tc>
        <w:tc>
          <w:tcPr>
            <w:tcW w:w="4684" w:type="dxa"/>
            <w:tcBorders>
              <w:top w:val="nil"/>
              <w:left w:val="single" w:sz="4" w:space="0" w:color="000000"/>
              <w:bottom w:val="single" w:sz="4" w:space="0" w:color="000000"/>
              <w:right w:val="single" w:sz="4" w:space="0" w:color="000000"/>
            </w:tcBorders>
          </w:tcPr>
          <w:p>
            <w:pPr>
              <w:pStyle w:val="TableParagraph"/>
              <w:spacing w:line="200" w:lineRule="exact"/>
              <w:ind w:left="45" w:right="32"/>
              <w:jc w:val="center"/>
              <w:rPr>
                <w:sz w:val="18"/>
              </w:rPr>
            </w:pPr>
            <w:r>
              <w:rPr>
                <w:sz w:val="18"/>
              </w:rPr>
              <w:t>材、有色、制浆造纸等高污染项目。</w:t>
            </w:r>
          </w:p>
        </w:tc>
        <w:tc>
          <w:tcPr>
            <w:tcW w:w="2778" w:type="dxa"/>
            <w:tcBorders>
              <w:top w:val="nil"/>
              <w:left w:val="single" w:sz="4" w:space="0" w:color="000000"/>
              <w:bottom w:val="single" w:sz="4" w:space="0" w:color="000000"/>
              <w:right w:val="single" w:sz="4" w:space="0" w:color="000000"/>
            </w:tcBorders>
          </w:tcPr>
          <w:p>
            <w:pPr>
              <w:pStyle w:val="TableParagraph"/>
              <w:spacing w:line="200" w:lineRule="exact"/>
              <w:ind w:left="18" w:right="7"/>
              <w:jc w:val="center"/>
              <w:rPr>
                <w:sz w:val="18"/>
              </w:rPr>
            </w:pPr>
            <w:r>
              <w:rPr>
                <w:sz w:val="18"/>
              </w:rPr>
              <w:t>污染项目，符合文件要求。</w:t>
            </w:r>
          </w:p>
        </w:tc>
        <w:tc>
          <w:tcPr>
            <w:tcW w:w="113"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251"/>
        </w:trPr>
        <w:tc>
          <w:tcPr>
            <w:tcW w:w="1114" w:type="dxa"/>
            <w:vMerge/>
            <w:tcBorders>
              <w:top w:val="nil"/>
              <w:right w:val="single" w:sz="4" w:space="0" w:color="000000"/>
            </w:tcBorders>
          </w:tcPr>
          <w:p>
            <w:pPr>
              <w:rPr>
                <w:sz w:val="2"/>
                <w:szCs w:val="2"/>
              </w:rPr>
            </w:pPr>
          </w:p>
        </w:tc>
        <w:tc>
          <w:tcPr>
            <w:tcW w:w="118" w:type="dxa"/>
            <w:vMerge/>
            <w:tcBorders>
              <w:top w:val="nil"/>
              <w:left w:val="single" w:sz="4" w:space="0" w:color="000000"/>
              <w:bottom w:val="nil"/>
              <w:right w:val="single" w:sz="4" w:space="0" w:color="000000"/>
            </w:tcBorders>
          </w:tcPr>
          <w:p>
            <w:pPr>
              <w:rPr>
                <w:sz w:val="2"/>
                <w:szCs w:val="2"/>
              </w:rPr>
            </w:pPr>
          </w:p>
        </w:tc>
        <w:tc>
          <w:tcPr>
            <w:tcW w:w="567"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4684" w:type="dxa"/>
            <w:tcBorders>
              <w:top w:val="single" w:sz="4" w:space="0" w:color="000000"/>
              <w:left w:val="single" w:sz="4" w:space="0" w:color="000000"/>
              <w:bottom w:val="nil"/>
              <w:right w:val="single" w:sz="4" w:space="0" w:color="000000"/>
            </w:tcBorders>
          </w:tcPr>
          <w:p>
            <w:pPr>
              <w:pStyle w:val="TableParagraph"/>
              <w:spacing w:before="28" w:line="203" w:lineRule="exact"/>
              <w:ind w:left="45" w:right="36"/>
              <w:jc w:val="center"/>
              <w:rPr>
                <w:sz w:val="18"/>
              </w:rPr>
            </w:pPr>
            <w:r>
              <w:rPr>
                <w:sz w:val="18"/>
              </w:rPr>
              <w:t>禁止新建、扩建不符合国家和省产业政策的尿素、磷铵、</w:t>
            </w:r>
          </w:p>
        </w:tc>
        <w:tc>
          <w:tcPr>
            <w:tcW w:w="2778"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13" w:type="dxa"/>
            <w:vMerge w:val="restart"/>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213"/>
        </w:trPr>
        <w:tc>
          <w:tcPr>
            <w:tcW w:w="1114" w:type="dxa"/>
            <w:vMerge/>
            <w:tcBorders>
              <w:top w:val="nil"/>
              <w:right w:val="single" w:sz="4" w:space="0" w:color="000000"/>
            </w:tcBorders>
          </w:tcPr>
          <w:p>
            <w:pPr>
              <w:rPr>
                <w:sz w:val="2"/>
                <w:szCs w:val="2"/>
              </w:rPr>
            </w:pPr>
          </w:p>
        </w:tc>
        <w:tc>
          <w:tcPr>
            <w:tcW w:w="118" w:type="dxa"/>
            <w:vMerge/>
            <w:tcBorders>
              <w:top w:val="nil"/>
              <w:left w:val="single" w:sz="4" w:space="0" w:color="000000"/>
              <w:bottom w:val="nil"/>
              <w:right w:val="single" w:sz="4" w:space="0" w:color="000000"/>
            </w:tcBorders>
          </w:tcPr>
          <w:p>
            <w:pPr>
              <w:rPr>
                <w:sz w:val="2"/>
                <w:szCs w:val="2"/>
              </w:rPr>
            </w:pPr>
          </w:p>
        </w:tc>
        <w:tc>
          <w:tcPr>
            <w:tcW w:w="567" w:type="dxa"/>
            <w:tcBorders>
              <w:top w:val="nil"/>
              <w:left w:val="single" w:sz="4" w:space="0" w:color="000000"/>
              <w:bottom w:val="nil"/>
              <w:right w:val="single" w:sz="4" w:space="0" w:color="000000"/>
            </w:tcBorders>
          </w:tcPr>
          <w:p>
            <w:pPr>
              <w:pStyle w:val="TableParagraph"/>
              <w:rPr>
                <w:rFonts w:ascii="Times New Roman"/>
                <w:sz w:val="14"/>
              </w:rPr>
            </w:pPr>
          </w:p>
        </w:tc>
        <w:tc>
          <w:tcPr>
            <w:tcW w:w="4684" w:type="dxa"/>
            <w:tcBorders>
              <w:top w:val="nil"/>
              <w:left w:val="single" w:sz="4" w:space="0" w:color="000000"/>
              <w:bottom w:val="nil"/>
              <w:right w:val="single" w:sz="4" w:space="0" w:color="000000"/>
            </w:tcBorders>
          </w:tcPr>
          <w:p>
            <w:pPr>
              <w:pStyle w:val="TableParagraph"/>
              <w:spacing w:line="194" w:lineRule="exact"/>
              <w:ind w:left="45" w:right="36"/>
              <w:jc w:val="center"/>
              <w:rPr>
                <w:sz w:val="18"/>
              </w:rPr>
            </w:pPr>
            <w:r>
              <w:rPr>
                <w:sz w:val="18"/>
              </w:rPr>
              <w:t>电石、烧碱、聚氯乙烯、纯碱等行业新增产能项目；禁止</w:t>
            </w:r>
          </w:p>
        </w:tc>
        <w:tc>
          <w:tcPr>
            <w:tcW w:w="2778" w:type="dxa"/>
            <w:tcBorders>
              <w:top w:val="nil"/>
              <w:left w:val="single" w:sz="4" w:space="0" w:color="000000"/>
              <w:bottom w:val="nil"/>
              <w:right w:val="single" w:sz="4" w:space="0" w:color="000000"/>
            </w:tcBorders>
          </w:tcPr>
          <w:p>
            <w:pPr>
              <w:pStyle w:val="TableParagraph"/>
              <w:rPr>
                <w:rFonts w:ascii="Times New Roman"/>
                <w:sz w:val="14"/>
              </w:rPr>
            </w:pPr>
          </w:p>
        </w:tc>
        <w:tc>
          <w:tcPr>
            <w:tcW w:w="113"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445"/>
        </w:trPr>
        <w:tc>
          <w:tcPr>
            <w:tcW w:w="1114" w:type="dxa"/>
            <w:vMerge/>
            <w:tcBorders>
              <w:top w:val="nil"/>
              <w:right w:val="single" w:sz="4" w:space="0" w:color="000000"/>
            </w:tcBorders>
          </w:tcPr>
          <w:p>
            <w:pPr>
              <w:rPr>
                <w:sz w:val="2"/>
                <w:szCs w:val="2"/>
              </w:rPr>
            </w:pPr>
          </w:p>
        </w:tc>
        <w:tc>
          <w:tcPr>
            <w:tcW w:w="118" w:type="dxa"/>
            <w:vMerge/>
            <w:tcBorders>
              <w:top w:val="nil"/>
              <w:left w:val="single" w:sz="4" w:space="0" w:color="000000"/>
              <w:bottom w:val="nil"/>
              <w:right w:val="single" w:sz="4" w:space="0" w:color="000000"/>
            </w:tcBorders>
          </w:tcPr>
          <w:p>
            <w:pPr>
              <w:rPr>
                <w:sz w:val="2"/>
                <w:szCs w:val="2"/>
              </w:rPr>
            </w:pPr>
          </w:p>
        </w:tc>
        <w:tc>
          <w:tcPr>
            <w:tcW w:w="567" w:type="dxa"/>
            <w:tcBorders>
              <w:top w:val="nil"/>
              <w:left w:val="single" w:sz="4" w:space="0" w:color="000000"/>
              <w:bottom w:val="nil"/>
              <w:right w:val="single" w:sz="4" w:space="0" w:color="000000"/>
            </w:tcBorders>
          </w:tcPr>
          <w:p>
            <w:pPr>
              <w:pStyle w:val="TableParagraph"/>
              <w:spacing w:before="107"/>
              <w:ind w:left="16"/>
              <w:jc w:val="center"/>
              <w:rPr>
                <w:rFonts w:ascii="Times New Roman"/>
                <w:sz w:val="21"/>
              </w:rPr>
            </w:pPr>
            <w:r>
              <w:rPr>
                <w:rFonts w:ascii="Times New Roman"/>
                <w:w w:val="100"/>
                <w:sz w:val="21"/>
              </w:rPr>
              <w:t>8</w:t>
            </w:r>
          </w:p>
        </w:tc>
        <w:tc>
          <w:tcPr>
            <w:tcW w:w="4684" w:type="dxa"/>
            <w:tcBorders>
              <w:top w:val="nil"/>
              <w:left w:val="single" w:sz="4" w:space="0" w:color="000000"/>
              <w:bottom w:val="nil"/>
              <w:right w:val="single" w:sz="4" w:space="0" w:color="000000"/>
            </w:tcBorders>
          </w:tcPr>
          <w:p>
            <w:pPr>
              <w:pStyle w:val="TableParagraph"/>
              <w:spacing w:line="222" w:lineRule="exact"/>
              <w:ind w:left="45" w:right="36"/>
              <w:jc w:val="center"/>
              <w:rPr>
                <w:sz w:val="18"/>
              </w:rPr>
            </w:pPr>
            <w:r>
              <w:rPr>
                <w:sz w:val="18"/>
              </w:rPr>
              <w:t>新建、改建、扩建高毒、高残留以及对环境影响大的农药</w:t>
            </w:r>
          </w:p>
          <w:p>
            <w:pPr>
              <w:pStyle w:val="TableParagraph"/>
              <w:spacing w:before="2" w:line="202" w:lineRule="exact"/>
              <w:ind w:left="45" w:right="34"/>
              <w:jc w:val="center"/>
              <w:rPr>
                <w:sz w:val="18"/>
              </w:rPr>
            </w:pPr>
            <w:r>
              <w:rPr>
                <w:sz w:val="18"/>
              </w:rPr>
              <w:t>原药（化学合成类）项目，禁</w:t>
            </w:r>
          </w:p>
        </w:tc>
        <w:tc>
          <w:tcPr>
            <w:tcW w:w="2778" w:type="dxa"/>
            <w:tcBorders>
              <w:top w:val="nil"/>
              <w:left w:val="single" w:sz="4" w:space="0" w:color="000000"/>
              <w:bottom w:val="nil"/>
              <w:right w:val="single" w:sz="4" w:space="0" w:color="000000"/>
            </w:tcBorders>
          </w:tcPr>
          <w:p>
            <w:pPr>
              <w:pStyle w:val="TableParagraph"/>
              <w:spacing w:line="222" w:lineRule="exact"/>
              <w:ind w:left="20" w:right="7"/>
              <w:jc w:val="center"/>
              <w:rPr>
                <w:sz w:val="18"/>
              </w:rPr>
            </w:pPr>
            <w:r>
              <w:rPr>
                <w:sz w:val="18"/>
              </w:rPr>
              <w:t>本项目为食品包装制造项目，不属</w:t>
            </w:r>
          </w:p>
          <w:p>
            <w:pPr>
              <w:pStyle w:val="TableParagraph"/>
              <w:spacing w:before="2" w:line="202" w:lineRule="exact"/>
              <w:ind w:left="18" w:right="7"/>
              <w:jc w:val="center"/>
              <w:rPr>
                <w:sz w:val="18"/>
              </w:rPr>
            </w:pPr>
            <w:r>
              <w:rPr>
                <w:sz w:val="18"/>
              </w:rPr>
              <w:t>于所列项目，符合文件要求</w:t>
            </w:r>
          </w:p>
        </w:tc>
        <w:tc>
          <w:tcPr>
            <w:tcW w:w="113"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214"/>
        </w:trPr>
        <w:tc>
          <w:tcPr>
            <w:tcW w:w="1114" w:type="dxa"/>
            <w:vMerge/>
            <w:tcBorders>
              <w:top w:val="nil"/>
              <w:right w:val="single" w:sz="4" w:space="0" w:color="000000"/>
            </w:tcBorders>
          </w:tcPr>
          <w:p>
            <w:pPr>
              <w:rPr>
                <w:sz w:val="2"/>
                <w:szCs w:val="2"/>
              </w:rPr>
            </w:pPr>
          </w:p>
        </w:tc>
        <w:tc>
          <w:tcPr>
            <w:tcW w:w="118" w:type="dxa"/>
            <w:vMerge/>
            <w:tcBorders>
              <w:top w:val="nil"/>
              <w:left w:val="single" w:sz="4" w:space="0" w:color="000000"/>
              <w:bottom w:val="nil"/>
              <w:right w:val="single" w:sz="4" w:space="0" w:color="000000"/>
            </w:tcBorders>
          </w:tcPr>
          <w:p>
            <w:pPr>
              <w:rPr>
                <w:sz w:val="2"/>
                <w:szCs w:val="2"/>
              </w:rPr>
            </w:pPr>
          </w:p>
        </w:tc>
        <w:tc>
          <w:tcPr>
            <w:tcW w:w="567" w:type="dxa"/>
            <w:tcBorders>
              <w:top w:val="nil"/>
              <w:left w:val="single" w:sz="4" w:space="0" w:color="000000"/>
              <w:bottom w:val="nil"/>
              <w:right w:val="single" w:sz="4" w:space="0" w:color="000000"/>
            </w:tcBorders>
          </w:tcPr>
          <w:p>
            <w:pPr>
              <w:pStyle w:val="TableParagraph"/>
              <w:rPr>
                <w:rFonts w:ascii="Times New Roman"/>
                <w:sz w:val="14"/>
              </w:rPr>
            </w:pPr>
          </w:p>
        </w:tc>
        <w:tc>
          <w:tcPr>
            <w:tcW w:w="4684" w:type="dxa"/>
            <w:tcBorders>
              <w:top w:val="nil"/>
              <w:left w:val="single" w:sz="4" w:space="0" w:color="000000"/>
              <w:bottom w:val="nil"/>
              <w:right w:val="single" w:sz="4" w:space="0" w:color="000000"/>
            </w:tcBorders>
          </w:tcPr>
          <w:p>
            <w:pPr>
              <w:pStyle w:val="TableParagraph"/>
              <w:spacing w:line="194" w:lineRule="exact"/>
              <w:ind w:left="45" w:right="35"/>
              <w:jc w:val="center"/>
              <w:rPr>
                <w:sz w:val="18"/>
              </w:rPr>
            </w:pPr>
            <w:r>
              <w:rPr>
                <w:sz w:val="18"/>
              </w:rPr>
              <w:t>止新建、扩建不符合国家和省产业政策的农药、医药和染</w:t>
            </w:r>
          </w:p>
        </w:tc>
        <w:tc>
          <w:tcPr>
            <w:tcW w:w="2778" w:type="dxa"/>
            <w:tcBorders>
              <w:top w:val="nil"/>
              <w:left w:val="single" w:sz="4" w:space="0" w:color="000000"/>
              <w:bottom w:val="nil"/>
              <w:right w:val="single" w:sz="4" w:space="0" w:color="000000"/>
            </w:tcBorders>
          </w:tcPr>
          <w:p>
            <w:pPr>
              <w:pStyle w:val="TableParagraph"/>
              <w:rPr>
                <w:rFonts w:ascii="Times New Roman"/>
                <w:sz w:val="14"/>
              </w:rPr>
            </w:pPr>
          </w:p>
        </w:tc>
        <w:tc>
          <w:tcPr>
            <w:tcW w:w="113"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219"/>
        </w:trPr>
        <w:tc>
          <w:tcPr>
            <w:tcW w:w="1114" w:type="dxa"/>
            <w:vMerge/>
            <w:tcBorders>
              <w:top w:val="nil"/>
              <w:right w:val="single" w:sz="4" w:space="0" w:color="000000"/>
            </w:tcBorders>
          </w:tcPr>
          <w:p>
            <w:pPr>
              <w:rPr>
                <w:sz w:val="2"/>
                <w:szCs w:val="2"/>
              </w:rPr>
            </w:pPr>
          </w:p>
        </w:tc>
        <w:tc>
          <w:tcPr>
            <w:tcW w:w="118" w:type="dxa"/>
            <w:vMerge/>
            <w:tcBorders>
              <w:top w:val="nil"/>
              <w:left w:val="single" w:sz="4" w:space="0" w:color="000000"/>
              <w:bottom w:val="nil"/>
              <w:right w:val="single" w:sz="4" w:space="0" w:color="000000"/>
            </w:tcBorders>
          </w:tcPr>
          <w:p>
            <w:pPr>
              <w:rPr>
                <w:sz w:val="2"/>
                <w:szCs w:val="2"/>
              </w:rPr>
            </w:pPr>
          </w:p>
        </w:tc>
        <w:tc>
          <w:tcPr>
            <w:tcW w:w="567" w:type="dxa"/>
            <w:tcBorders>
              <w:top w:val="nil"/>
              <w:left w:val="single" w:sz="4" w:space="0" w:color="000000"/>
              <w:bottom w:val="single" w:sz="4" w:space="0" w:color="000000"/>
              <w:right w:val="single" w:sz="4" w:space="0" w:color="000000"/>
            </w:tcBorders>
          </w:tcPr>
          <w:p>
            <w:pPr>
              <w:pStyle w:val="TableParagraph"/>
              <w:rPr>
                <w:rFonts w:ascii="Times New Roman"/>
                <w:sz w:val="14"/>
              </w:rPr>
            </w:pPr>
          </w:p>
        </w:tc>
        <w:tc>
          <w:tcPr>
            <w:tcW w:w="4684" w:type="dxa"/>
            <w:tcBorders>
              <w:top w:val="nil"/>
              <w:left w:val="single" w:sz="4" w:space="0" w:color="000000"/>
              <w:bottom w:val="single" w:sz="4" w:space="0" w:color="000000"/>
              <w:right w:val="single" w:sz="4" w:space="0" w:color="000000"/>
            </w:tcBorders>
          </w:tcPr>
          <w:p>
            <w:pPr>
              <w:pStyle w:val="TableParagraph"/>
              <w:spacing w:line="200" w:lineRule="exact"/>
              <w:ind w:left="45" w:right="34"/>
              <w:jc w:val="center"/>
              <w:rPr>
                <w:sz w:val="18"/>
              </w:rPr>
            </w:pPr>
            <w:r>
              <w:rPr>
                <w:sz w:val="18"/>
              </w:rPr>
              <w:t>料中间体化工项目。</w:t>
            </w:r>
          </w:p>
        </w:tc>
        <w:tc>
          <w:tcPr>
            <w:tcW w:w="2778" w:type="dxa"/>
            <w:tcBorders>
              <w:top w:val="nil"/>
              <w:left w:val="single" w:sz="4" w:space="0" w:color="000000"/>
              <w:bottom w:val="single" w:sz="4" w:space="0" w:color="000000"/>
              <w:right w:val="single" w:sz="4" w:space="0" w:color="000000"/>
            </w:tcBorders>
          </w:tcPr>
          <w:p>
            <w:pPr>
              <w:pStyle w:val="TableParagraph"/>
              <w:rPr>
                <w:rFonts w:ascii="Times New Roman"/>
                <w:sz w:val="14"/>
              </w:rPr>
            </w:pPr>
          </w:p>
        </w:tc>
        <w:tc>
          <w:tcPr>
            <w:tcW w:w="113"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251"/>
        </w:trPr>
        <w:tc>
          <w:tcPr>
            <w:tcW w:w="1114" w:type="dxa"/>
            <w:vMerge/>
            <w:tcBorders>
              <w:top w:val="nil"/>
              <w:right w:val="single" w:sz="4" w:space="0" w:color="000000"/>
            </w:tcBorders>
          </w:tcPr>
          <w:p>
            <w:pPr>
              <w:rPr>
                <w:sz w:val="2"/>
                <w:szCs w:val="2"/>
              </w:rPr>
            </w:pPr>
          </w:p>
        </w:tc>
        <w:tc>
          <w:tcPr>
            <w:tcW w:w="118" w:type="dxa"/>
            <w:vMerge/>
            <w:tcBorders>
              <w:top w:val="nil"/>
              <w:left w:val="single" w:sz="4" w:space="0" w:color="000000"/>
              <w:bottom w:val="nil"/>
              <w:right w:val="single" w:sz="4" w:space="0" w:color="000000"/>
            </w:tcBorders>
          </w:tcPr>
          <w:p>
            <w:pPr>
              <w:rPr>
                <w:sz w:val="2"/>
                <w:szCs w:val="2"/>
              </w:rPr>
            </w:pPr>
          </w:p>
        </w:tc>
        <w:tc>
          <w:tcPr>
            <w:tcW w:w="567"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42"/>
              <w:ind w:left="16"/>
              <w:jc w:val="center"/>
              <w:rPr>
                <w:rFonts w:ascii="Times New Roman"/>
                <w:sz w:val="21"/>
              </w:rPr>
            </w:pPr>
            <w:r>
              <w:rPr>
                <w:rFonts w:ascii="Times New Roman"/>
                <w:w w:val="100"/>
                <w:sz w:val="21"/>
              </w:rPr>
              <w:t>9</w:t>
            </w:r>
          </w:p>
        </w:tc>
        <w:tc>
          <w:tcPr>
            <w:tcW w:w="4684" w:type="dxa"/>
            <w:tcBorders>
              <w:top w:val="single" w:sz="4" w:space="0" w:color="000000"/>
              <w:left w:val="single" w:sz="4" w:space="0" w:color="000000"/>
              <w:bottom w:val="nil"/>
              <w:right w:val="single" w:sz="4" w:space="0" w:color="000000"/>
            </w:tcBorders>
          </w:tcPr>
          <w:p>
            <w:pPr>
              <w:pStyle w:val="TableParagraph"/>
              <w:spacing w:before="29" w:line="203" w:lineRule="exact"/>
              <w:ind w:left="45" w:right="36"/>
              <w:jc w:val="center"/>
              <w:rPr>
                <w:sz w:val="18"/>
              </w:rPr>
            </w:pPr>
            <w:r>
              <w:rPr>
                <w:sz w:val="18"/>
              </w:rPr>
              <w:t>禁止新建、扩建不符合国家石化、现代煤化工等产业布局</w:t>
            </w:r>
          </w:p>
        </w:tc>
        <w:tc>
          <w:tcPr>
            <w:tcW w:w="2778" w:type="dxa"/>
            <w:tcBorders>
              <w:top w:val="single" w:sz="4" w:space="0" w:color="000000"/>
              <w:left w:val="single" w:sz="4" w:space="0" w:color="000000"/>
              <w:bottom w:val="nil"/>
              <w:right w:val="single" w:sz="4" w:space="0" w:color="000000"/>
            </w:tcBorders>
          </w:tcPr>
          <w:p>
            <w:pPr>
              <w:pStyle w:val="TableParagraph"/>
              <w:spacing w:before="29" w:line="203" w:lineRule="exact"/>
              <w:ind w:left="20" w:right="7"/>
              <w:jc w:val="center"/>
              <w:rPr>
                <w:sz w:val="18"/>
              </w:rPr>
            </w:pPr>
            <w:r>
              <w:rPr>
                <w:sz w:val="18"/>
              </w:rPr>
              <w:t>本项目为食品包装制造项目，不属</w:t>
            </w:r>
          </w:p>
        </w:tc>
        <w:tc>
          <w:tcPr>
            <w:tcW w:w="113" w:type="dxa"/>
            <w:vMerge w:val="restart"/>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219"/>
        </w:trPr>
        <w:tc>
          <w:tcPr>
            <w:tcW w:w="1114" w:type="dxa"/>
            <w:vMerge/>
            <w:tcBorders>
              <w:top w:val="nil"/>
              <w:right w:val="single" w:sz="4" w:space="0" w:color="000000"/>
            </w:tcBorders>
          </w:tcPr>
          <w:p>
            <w:pPr>
              <w:rPr>
                <w:sz w:val="2"/>
                <w:szCs w:val="2"/>
              </w:rPr>
            </w:pPr>
          </w:p>
        </w:tc>
        <w:tc>
          <w:tcPr>
            <w:tcW w:w="118" w:type="dxa"/>
            <w:vMerge/>
            <w:tcBorders>
              <w:top w:val="nil"/>
              <w:left w:val="single" w:sz="4" w:space="0" w:color="000000"/>
              <w:bottom w:val="nil"/>
              <w:right w:val="single" w:sz="4" w:space="0" w:color="000000"/>
            </w:tcBorders>
          </w:tcPr>
          <w:p>
            <w:pPr>
              <w:rPr>
                <w:sz w:val="2"/>
                <w:szCs w:val="2"/>
              </w:rPr>
            </w:pPr>
          </w:p>
        </w:tc>
        <w:tc>
          <w:tcPr>
            <w:tcW w:w="567" w:type="dxa"/>
            <w:vMerge/>
            <w:tcBorders>
              <w:top w:val="nil"/>
              <w:left w:val="single" w:sz="4" w:space="0" w:color="000000"/>
              <w:bottom w:val="single" w:sz="4" w:space="0" w:color="000000"/>
              <w:right w:val="single" w:sz="4" w:space="0" w:color="000000"/>
            </w:tcBorders>
          </w:tcPr>
          <w:p>
            <w:pPr>
              <w:rPr>
                <w:sz w:val="2"/>
                <w:szCs w:val="2"/>
              </w:rPr>
            </w:pPr>
          </w:p>
        </w:tc>
        <w:tc>
          <w:tcPr>
            <w:tcW w:w="4684" w:type="dxa"/>
            <w:tcBorders>
              <w:top w:val="nil"/>
              <w:left w:val="single" w:sz="4" w:space="0" w:color="000000"/>
              <w:bottom w:val="single" w:sz="4" w:space="0" w:color="000000"/>
              <w:right w:val="single" w:sz="4" w:space="0" w:color="000000"/>
            </w:tcBorders>
          </w:tcPr>
          <w:p>
            <w:pPr>
              <w:pStyle w:val="TableParagraph"/>
              <w:spacing w:line="200" w:lineRule="exact"/>
              <w:ind w:left="45" w:right="32"/>
              <w:jc w:val="center"/>
              <w:rPr>
                <w:sz w:val="18"/>
              </w:rPr>
            </w:pPr>
            <w:r>
              <w:rPr>
                <w:sz w:val="18"/>
              </w:rPr>
              <w:t>规划的项目，禁止新建焦化项目</w:t>
            </w:r>
          </w:p>
        </w:tc>
        <w:tc>
          <w:tcPr>
            <w:tcW w:w="2778" w:type="dxa"/>
            <w:tcBorders>
              <w:top w:val="nil"/>
              <w:left w:val="single" w:sz="4" w:space="0" w:color="000000"/>
              <w:bottom w:val="single" w:sz="4" w:space="0" w:color="000000"/>
              <w:right w:val="single" w:sz="4" w:space="0" w:color="000000"/>
            </w:tcBorders>
          </w:tcPr>
          <w:p>
            <w:pPr>
              <w:pStyle w:val="TableParagraph"/>
              <w:spacing w:line="200" w:lineRule="exact"/>
              <w:ind w:left="20" w:right="7"/>
              <w:jc w:val="center"/>
              <w:rPr>
                <w:sz w:val="18"/>
              </w:rPr>
            </w:pPr>
            <w:r>
              <w:rPr>
                <w:sz w:val="18"/>
              </w:rPr>
              <w:t>于石化和现代煤化工项目</w:t>
            </w:r>
          </w:p>
        </w:tc>
        <w:tc>
          <w:tcPr>
            <w:tcW w:w="113"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250"/>
        </w:trPr>
        <w:tc>
          <w:tcPr>
            <w:tcW w:w="1114" w:type="dxa"/>
            <w:vMerge/>
            <w:tcBorders>
              <w:top w:val="nil"/>
              <w:right w:val="single" w:sz="4" w:space="0" w:color="000000"/>
            </w:tcBorders>
          </w:tcPr>
          <w:p>
            <w:pPr>
              <w:rPr>
                <w:sz w:val="2"/>
                <w:szCs w:val="2"/>
              </w:rPr>
            </w:pPr>
          </w:p>
        </w:tc>
        <w:tc>
          <w:tcPr>
            <w:tcW w:w="118" w:type="dxa"/>
            <w:vMerge/>
            <w:tcBorders>
              <w:top w:val="nil"/>
              <w:left w:val="single" w:sz="4" w:space="0" w:color="000000"/>
              <w:bottom w:val="nil"/>
              <w:right w:val="single" w:sz="4" w:space="0" w:color="000000"/>
            </w:tcBorders>
          </w:tcPr>
          <w:p>
            <w:pPr>
              <w:rPr>
                <w:sz w:val="2"/>
                <w:szCs w:val="2"/>
              </w:rPr>
            </w:pPr>
          </w:p>
        </w:tc>
        <w:tc>
          <w:tcPr>
            <w:tcW w:w="567"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4684" w:type="dxa"/>
            <w:tcBorders>
              <w:top w:val="single" w:sz="4" w:space="0" w:color="000000"/>
              <w:left w:val="single" w:sz="4" w:space="0" w:color="000000"/>
              <w:bottom w:val="nil"/>
              <w:right w:val="single" w:sz="4" w:space="0" w:color="000000"/>
            </w:tcBorders>
          </w:tcPr>
          <w:p>
            <w:pPr>
              <w:pStyle w:val="TableParagraph"/>
              <w:spacing w:before="28" w:line="202" w:lineRule="exact"/>
              <w:ind w:left="45" w:right="38"/>
              <w:jc w:val="center"/>
              <w:rPr>
                <w:sz w:val="18"/>
              </w:rPr>
            </w:pPr>
            <w:r>
              <w:rPr>
                <w:spacing w:val="-5"/>
                <w:sz w:val="18"/>
              </w:rPr>
              <w:t>禁止新建、扩建国家《产业结构调整指导目录》《江苏省产</w:t>
            </w:r>
          </w:p>
        </w:tc>
        <w:tc>
          <w:tcPr>
            <w:tcW w:w="2778"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13" w:type="dxa"/>
            <w:vMerge w:val="restart"/>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448"/>
        </w:trPr>
        <w:tc>
          <w:tcPr>
            <w:tcW w:w="1114" w:type="dxa"/>
            <w:vMerge/>
            <w:tcBorders>
              <w:top w:val="nil"/>
              <w:right w:val="single" w:sz="4" w:space="0" w:color="000000"/>
            </w:tcBorders>
          </w:tcPr>
          <w:p>
            <w:pPr>
              <w:rPr>
                <w:sz w:val="2"/>
                <w:szCs w:val="2"/>
              </w:rPr>
            </w:pPr>
          </w:p>
        </w:tc>
        <w:tc>
          <w:tcPr>
            <w:tcW w:w="118" w:type="dxa"/>
            <w:vMerge/>
            <w:tcBorders>
              <w:top w:val="nil"/>
              <w:left w:val="single" w:sz="4" w:space="0" w:color="000000"/>
              <w:bottom w:val="nil"/>
              <w:right w:val="single" w:sz="4" w:space="0" w:color="000000"/>
            </w:tcBorders>
          </w:tcPr>
          <w:p>
            <w:pPr>
              <w:rPr>
                <w:sz w:val="2"/>
                <w:szCs w:val="2"/>
              </w:rPr>
            </w:pPr>
          </w:p>
        </w:tc>
        <w:tc>
          <w:tcPr>
            <w:tcW w:w="567" w:type="dxa"/>
            <w:tcBorders>
              <w:top w:val="nil"/>
              <w:left w:val="single" w:sz="4" w:space="0" w:color="000000"/>
              <w:bottom w:val="nil"/>
              <w:right w:val="single" w:sz="4" w:space="0" w:color="000000"/>
            </w:tcBorders>
          </w:tcPr>
          <w:p>
            <w:pPr>
              <w:pStyle w:val="TableParagraph"/>
              <w:spacing w:before="109"/>
              <w:ind w:left="161" w:right="145"/>
              <w:jc w:val="center"/>
              <w:rPr>
                <w:rFonts w:ascii="Times New Roman"/>
                <w:sz w:val="21"/>
              </w:rPr>
            </w:pPr>
            <w:r>
              <w:rPr>
                <w:rFonts w:ascii="Times New Roman"/>
                <w:sz w:val="21"/>
              </w:rPr>
              <w:t>10</w:t>
            </w:r>
          </w:p>
        </w:tc>
        <w:tc>
          <w:tcPr>
            <w:tcW w:w="4684" w:type="dxa"/>
            <w:tcBorders>
              <w:top w:val="nil"/>
              <w:left w:val="single" w:sz="4" w:space="0" w:color="000000"/>
              <w:bottom w:val="nil"/>
              <w:right w:val="single" w:sz="4" w:space="0" w:color="000000"/>
            </w:tcBorders>
          </w:tcPr>
          <w:p>
            <w:pPr>
              <w:pStyle w:val="TableParagraph"/>
              <w:spacing w:line="222" w:lineRule="exact"/>
              <w:ind w:left="91"/>
              <w:rPr>
                <w:sz w:val="18"/>
              </w:rPr>
            </w:pPr>
            <w:r>
              <w:rPr>
                <w:sz w:val="18"/>
              </w:rPr>
              <w:t>业结构调整限制、淘汰和禁止目录》明确的限制类、淘汰</w:t>
            </w:r>
          </w:p>
          <w:p>
            <w:pPr>
              <w:pStyle w:val="TableParagraph"/>
              <w:spacing w:before="4" w:line="202" w:lineRule="exact"/>
              <w:ind w:left="91"/>
              <w:rPr>
                <w:sz w:val="18"/>
              </w:rPr>
            </w:pPr>
            <w:r>
              <w:rPr>
                <w:sz w:val="18"/>
              </w:rPr>
              <w:t>类、禁止类项目，法律法规和相关政策明令禁止的落后产</w:t>
            </w:r>
          </w:p>
        </w:tc>
        <w:tc>
          <w:tcPr>
            <w:tcW w:w="2778" w:type="dxa"/>
            <w:tcBorders>
              <w:top w:val="nil"/>
              <w:left w:val="single" w:sz="4" w:space="0" w:color="000000"/>
              <w:bottom w:val="nil"/>
              <w:right w:val="single" w:sz="4" w:space="0" w:color="000000"/>
            </w:tcBorders>
          </w:tcPr>
          <w:p>
            <w:pPr>
              <w:pStyle w:val="TableParagraph"/>
              <w:spacing w:line="222" w:lineRule="exact"/>
              <w:ind w:left="20" w:right="7"/>
              <w:jc w:val="center"/>
              <w:rPr>
                <w:sz w:val="18"/>
              </w:rPr>
            </w:pPr>
            <w:r>
              <w:rPr>
                <w:sz w:val="18"/>
              </w:rPr>
              <w:t>本项目不属于落后产能项目，符合</w:t>
            </w:r>
          </w:p>
          <w:p>
            <w:pPr>
              <w:pStyle w:val="TableParagraph"/>
              <w:spacing w:before="4" w:line="202" w:lineRule="exact"/>
              <w:ind w:left="19" w:right="7"/>
              <w:jc w:val="center"/>
              <w:rPr>
                <w:sz w:val="18"/>
              </w:rPr>
            </w:pPr>
            <w:r>
              <w:rPr>
                <w:sz w:val="18"/>
              </w:rPr>
              <w:t>文件要求</w:t>
            </w:r>
          </w:p>
        </w:tc>
        <w:tc>
          <w:tcPr>
            <w:tcW w:w="113"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218"/>
        </w:trPr>
        <w:tc>
          <w:tcPr>
            <w:tcW w:w="1114" w:type="dxa"/>
            <w:vMerge/>
            <w:tcBorders>
              <w:top w:val="nil"/>
              <w:right w:val="single" w:sz="4" w:space="0" w:color="000000"/>
            </w:tcBorders>
          </w:tcPr>
          <w:p>
            <w:pPr>
              <w:rPr>
                <w:sz w:val="2"/>
                <w:szCs w:val="2"/>
              </w:rPr>
            </w:pPr>
          </w:p>
        </w:tc>
        <w:tc>
          <w:tcPr>
            <w:tcW w:w="118" w:type="dxa"/>
            <w:vMerge/>
            <w:tcBorders>
              <w:top w:val="nil"/>
              <w:left w:val="single" w:sz="4" w:space="0" w:color="000000"/>
              <w:bottom w:val="nil"/>
              <w:right w:val="single" w:sz="4" w:space="0" w:color="000000"/>
            </w:tcBorders>
          </w:tcPr>
          <w:p>
            <w:pPr>
              <w:rPr>
                <w:sz w:val="2"/>
                <w:szCs w:val="2"/>
              </w:rPr>
            </w:pPr>
          </w:p>
        </w:tc>
        <w:tc>
          <w:tcPr>
            <w:tcW w:w="567" w:type="dxa"/>
            <w:tcBorders>
              <w:top w:val="nil"/>
              <w:left w:val="single" w:sz="4" w:space="0" w:color="000000"/>
              <w:bottom w:val="single" w:sz="4" w:space="0" w:color="000000"/>
              <w:right w:val="single" w:sz="4" w:space="0" w:color="000000"/>
            </w:tcBorders>
          </w:tcPr>
          <w:p>
            <w:pPr>
              <w:pStyle w:val="TableParagraph"/>
              <w:rPr>
                <w:rFonts w:ascii="Times New Roman"/>
                <w:sz w:val="14"/>
              </w:rPr>
            </w:pPr>
          </w:p>
        </w:tc>
        <w:tc>
          <w:tcPr>
            <w:tcW w:w="4684" w:type="dxa"/>
            <w:tcBorders>
              <w:top w:val="nil"/>
              <w:left w:val="single" w:sz="4" w:space="0" w:color="000000"/>
              <w:bottom w:val="single" w:sz="4" w:space="0" w:color="000000"/>
              <w:right w:val="single" w:sz="4" w:space="0" w:color="000000"/>
            </w:tcBorders>
          </w:tcPr>
          <w:p>
            <w:pPr>
              <w:pStyle w:val="TableParagraph"/>
              <w:spacing w:line="199" w:lineRule="exact"/>
              <w:ind w:left="45" w:right="36"/>
              <w:jc w:val="center"/>
              <w:rPr>
                <w:sz w:val="18"/>
              </w:rPr>
            </w:pPr>
            <w:r>
              <w:rPr>
                <w:sz w:val="18"/>
              </w:rPr>
              <w:t>能项目，以及明令淘汰的安全生产落后工艺及装备项目。</w:t>
            </w:r>
          </w:p>
        </w:tc>
        <w:tc>
          <w:tcPr>
            <w:tcW w:w="2778" w:type="dxa"/>
            <w:tcBorders>
              <w:top w:val="nil"/>
              <w:left w:val="single" w:sz="4" w:space="0" w:color="000000"/>
              <w:bottom w:val="single" w:sz="4" w:space="0" w:color="000000"/>
              <w:right w:val="single" w:sz="4" w:space="0" w:color="000000"/>
            </w:tcBorders>
          </w:tcPr>
          <w:p>
            <w:pPr>
              <w:pStyle w:val="TableParagraph"/>
              <w:rPr>
                <w:rFonts w:ascii="Times New Roman"/>
                <w:sz w:val="14"/>
              </w:rPr>
            </w:pPr>
          </w:p>
        </w:tc>
        <w:tc>
          <w:tcPr>
            <w:tcW w:w="113"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726"/>
        </w:trPr>
        <w:tc>
          <w:tcPr>
            <w:tcW w:w="1114" w:type="dxa"/>
            <w:vMerge/>
            <w:tcBorders>
              <w:top w:val="nil"/>
              <w:right w:val="single" w:sz="4" w:space="0" w:color="000000"/>
            </w:tcBorders>
          </w:tcPr>
          <w:p>
            <w:pPr>
              <w:rPr>
                <w:sz w:val="2"/>
                <w:szCs w:val="2"/>
              </w:rPr>
            </w:pPr>
          </w:p>
        </w:tc>
        <w:tc>
          <w:tcPr>
            <w:tcW w:w="118" w:type="dxa"/>
            <w:vMerge/>
            <w:tcBorders>
              <w:top w:val="nil"/>
              <w:left w:val="single" w:sz="4" w:space="0" w:color="000000"/>
              <w:bottom w:val="nil"/>
              <w:right w:val="single" w:sz="4" w:space="0" w:color="000000"/>
            </w:tcBorders>
          </w:tcPr>
          <w:p>
            <w:pPr>
              <w:rPr>
                <w:sz w:val="2"/>
                <w:szCs w:val="2"/>
              </w:rPr>
            </w:pPr>
          </w:p>
        </w:tc>
        <w:tc>
          <w:tcPr>
            <w:tcW w:w="567" w:type="dxa"/>
            <w:tcBorders>
              <w:top w:val="single" w:sz="4" w:space="0" w:color="000000"/>
              <w:left w:val="single" w:sz="4" w:space="0" w:color="000000"/>
              <w:bottom w:val="single" w:sz="4" w:space="0" w:color="000000"/>
              <w:right w:val="single" w:sz="4" w:space="0" w:color="000000"/>
            </w:tcBorders>
          </w:tcPr>
          <w:p>
            <w:pPr>
              <w:pStyle w:val="TableParagraph"/>
              <w:spacing w:before="5"/>
              <w:rPr>
                <w:b/>
                <w:sz w:val="20"/>
              </w:rPr>
            </w:pPr>
          </w:p>
          <w:p>
            <w:pPr>
              <w:pStyle w:val="TableParagraph"/>
              <w:ind w:left="161" w:right="145"/>
              <w:jc w:val="center"/>
              <w:rPr>
                <w:rFonts w:ascii="Times New Roman"/>
                <w:sz w:val="21"/>
              </w:rPr>
            </w:pPr>
            <w:r>
              <w:rPr>
                <w:rFonts w:ascii="Times New Roman"/>
                <w:sz w:val="21"/>
              </w:rPr>
              <w:t>11</w:t>
            </w:r>
          </w:p>
        </w:tc>
        <w:tc>
          <w:tcPr>
            <w:tcW w:w="4684" w:type="dxa"/>
            <w:tcBorders>
              <w:top w:val="single" w:sz="4" w:space="0" w:color="000000"/>
              <w:left w:val="single" w:sz="4" w:space="0" w:color="000000"/>
              <w:bottom w:val="single" w:sz="4" w:space="0" w:color="000000"/>
              <w:right w:val="single" w:sz="4" w:space="0" w:color="000000"/>
            </w:tcBorders>
          </w:tcPr>
          <w:p>
            <w:pPr>
              <w:pStyle w:val="TableParagraph"/>
              <w:spacing w:before="31" w:line="230" w:lineRule="atLeast"/>
              <w:ind w:left="91" w:right="80"/>
              <w:jc w:val="center"/>
              <w:rPr>
                <w:sz w:val="18"/>
              </w:rPr>
            </w:pPr>
            <w:r>
              <w:rPr>
                <w:sz w:val="18"/>
              </w:rPr>
              <w:t>禁止新建、扩建不符合国家产能置换要求的严重过剩产能行业的项目；禁止新建、扩建不符合要求的高耗能排放项目。</w:t>
            </w:r>
          </w:p>
        </w:tc>
        <w:tc>
          <w:tcPr>
            <w:tcW w:w="2778" w:type="dxa"/>
            <w:tcBorders>
              <w:top w:val="single" w:sz="4" w:space="0" w:color="000000"/>
              <w:left w:val="single" w:sz="4" w:space="0" w:color="000000"/>
              <w:bottom w:val="single" w:sz="4" w:space="0" w:color="000000"/>
              <w:right w:val="single" w:sz="4" w:space="0" w:color="000000"/>
            </w:tcBorders>
          </w:tcPr>
          <w:p>
            <w:pPr>
              <w:pStyle w:val="TableParagraph"/>
              <w:spacing w:before="146" w:line="242" w:lineRule="auto"/>
              <w:ind w:left="129" w:right="25" w:hanging="89"/>
              <w:rPr>
                <w:sz w:val="18"/>
              </w:rPr>
            </w:pPr>
            <w:r>
              <w:rPr>
                <w:sz w:val="18"/>
              </w:rPr>
              <w:t>本项目不属于产能严重过剩行业、高耗能排放项目，符合文件要求</w:t>
            </w:r>
          </w:p>
        </w:tc>
        <w:tc>
          <w:tcPr>
            <w:tcW w:w="113"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8405"/>
        </w:trPr>
        <w:tc>
          <w:tcPr>
            <w:tcW w:w="1114" w:type="dxa"/>
            <w:vMerge/>
            <w:tcBorders>
              <w:top w:val="nil"/>
              <w:right w:val="single" w:sz="4" w:space="0" w:color="000000"/>
            </w:tcBorders>
          </w:tcPr>
          <w:p>
            <w:pPr>
              <w:rPr>
                <w:sz w:val="2"/>
                <w:szCs w:val="2"/>
              </w:rPr>
            </w:pPr>
          </w:p>
        </w:tc>
        <w:tc>
          <w:tcPr>
            <w:tcW w:w="8260" w:type="dxa"/>
            <w:gridSpan w:val="5"/>
            <w:tcBorders>
              <w:top w:val="single" w:sz="4" w:space="0" w:color="000000"/>
              <w:left w:val="single" w:sz="4" w:space="0" w:color="000000"/>
            </w:tcBorders>
          </w:tcPr>
          <w:p>
            <w:pPr>
              <w:pStyle w:val="TableParagraph"/>
              <w:spacing w:before="5"/>
              <w:rPr>
                <w:b/>
                <w:sz w:val="18"/>
              </w:rPr>
            </w:pPr>
          </w:p>
          <w:p>
            <w:pPr>
              <w:pStyle w:val="TableParagraph"/>
              <w:spacing w:line="364" w:lineRule="auto"/>
              <w:ind w:left="112" w:right="82" w:firstLine="422"/>
              <w:jc w:val="both"/>
              <w:rPr>
                <w:b/>
                <w:sz w:val="21"/>
              </w:rPr>
            </w:pPr>
            <w:r>
              <w:rPr>
                <w:b/>
                <w:spacing w:val="2"/>
                <w:w w:val="100"/>
                <w:sz w:val="21"/>
              </w:rPr>
              <w:t>（</w:t>
            </w:r>
            <w:r>
              <w:rPr>
                <w:rFonts w:ascii="Times New Roman" w:eastAsia="Times New Roman"/>
                <w:b/>
                <w:spacing w:val="-3"/>
                <w:w w:val="100"/>
                <w:sz w:val="21"/>
              </w:rPr>
              <w:t>3</w:t>
            </w:r>
            <w:r>
              <w:rPr>
                <w:b/>
                <w:spacing w:val="2"/>
                <w:w w:val="100"/>
                <w:sz w:val="21"/>
              </w:rPr>
              <w:t>）</w:t>
            </w:r>
            <w:r>
              <w:rPr>
                <w:b/>
                <w:w w:val="100"/>
                <w:sz w:val="21"/>
              </w:rPr>
              <w:t>与《长江经济带生态环境保护规划</w:t>
            </w:r>
            <w:r>
              <w:rPr>
                <w:b/>
                <w:spacing w:val="4"/>
                <w:w w:val="100"/>
                <w:sz w:val="21"/>
              </w:rPr>
              <w:t>（</w:t>
            </w:r>
            <w:r>
              <w:rPr>
                <w:rFonts w:ascii="Times New Roman" w:eastAsia="Times New Roman"/>
                <w:b/>
                <w:spacing w:val="-3"/>
                <w:w w:val="100"/>
                <w:sz w:val="21"/>
              </w:rPr>
              <w:t>2</w:t>
            </w:r>
            <w:r>
              <w:rPr>
                <w:rFonts w:ascii="Times New Roman" w:eastAsia="Times New Roman"/>
                <w:b/>
                <w:w w:val="100"/>
                <w:sz w:val="21"/>
              </w:rPr>
              <w:t>01</w:t>
            </w:r>
            <w:r>
              <w:rPr>
                <w:rFonts w:ascii="Times New Roman" w:eastAsia="Times New Roman"/>
                <w:b/>
                <w:spacing w:val="-1"/>
                <w:w w:val="100"/>
                <w:sz w:val="21"/>
              </w:rPr>
              <w:t>7</w:t>
            </w:r>
            <w:r>
              <w:rPr>
                <w:rFonts w:ascii="Times New Roman" w:eastAsia="Times New Roman"/>
                <w:b/>
                <w:spacing w:val="-4"/>
                <w:w w:val="100"/>
                <w:sz w:val="21"/>
              </w:rPr>
              <w:t>-</w:t>
            </w:r>
            <w:r>
              <w:rPr>
                <w:rFonts w:ascii="Times New Roman" w:eastAsia="Times New Roman"/>
                <w:b/>
                <w:w w:val="100"/>
                <w:sz w:val="21"/>
              </w:rPr>
              <w:t>203</w:t>
            </w:r>
            <w:r>
              <w:rPr>
                <w:rFonts w:ascii="Times New Roman" w:eastAsia="Times New Roman"/>
                <w:b/>
                <w:spacing w:val="-3"/>
                <w:w w:val="100"/>
                <w:sz w:val="21"/>
              </w:rPr>
              <w:t>0</w:t>
            </w:r>
            <w:r>
              <w:rPr>
                <w:b/>
                <w:spacing w:val="-104"/>
                <w:w w:val="100"/>
                <w:sz w:val="21"/>
              </w:rPr>
              <w:t>）》</w:t>
            </w:r>
            <w:r>
              <w:rPr>
                <w:b/>
                <w:spacing w:val="2"/>
                <w:w w:val="100"/>
                <w:sz w:val="21"/>
              </w:rPr>
              <w:t>（</w:t>
            </w:r>
            <w:r>
              <w:rPr>
                <w:b/>
                <w:spacing w:val="1"/>
                <w:w w:val="100"/>
                <w:sz w:val="21"/>
              </w:rPr>
              <w:t>环规财</w:t>
            </w:r>
            <w:r>
              <w:rPr>
                <w:rFonts w:ascii="Times New Roman" w:eastAsia="Times New Roman"/>
                <w:b/>
                <w:spacing w:val="-1"/>
                <w:w w:val="100"/>
                <w:sz w:val="21"/>
              </w:rPr>
              <w:t>[</w:t>
            </w:r>
            <w:r>
              <w:rPr>
                <w:rFonts w:ascii="Times New Roman" w:eastAsia="Times New Roman"/>
                <w:b/>
                <w:w w:val="100"/>
                <w:sz w:val="21"/>
              </w:rPr>
              <w:t>2</w:t>
            </w:r>
            <w:r>
              <w:rPr>
                <w:rFonts w:ascii="Times New Roman" w:eastAsia="Times New Roman"/>
                <w:b/>
                <w:spacing w:val="-3"/>
                <w:w w:val="100"/>
                <w:sz w:val="21"/>
              </w:rPr>
              <w:t>0</w:t>
            </w:r>
            <w:r>
              <w:rPr>
                <w:rFonts w:ascii="Times New Roman" w:eastAsia="Times New Roman"/>
                <w:b/>
                <w:w w:val="100"/>
                <w:sz w:val="21"/>
              </w:rPr>
              <w:t>17</w:t>
            </w:r>
            <w:r>
              <w:rPr>
                <w:rFonts w:ascii="Times New Roman" w:eastAsia="Times New Roman"/>
                <w:b/>
                <w:spacing w:val="-1"/>
                <w:w w:val="100"/>
                <w:sz w:val="21"/>
              </w:rPr>
              <w:t>]</w:t>
            </w:r>
            <w:r>
              <w:rPr>
                <w:rFonts w:ascii="Times New Roman" w:eastAsia="Times New Roman"/>
                <w:b/>
                <w:w w:val="100"/>
                <w:sz w:val="21"/>
              </w:rPr>
              <w:t>88</w:t>
            </w:r>
            <w:r>
              <w:rPr>
                <w:rFonts w:ascii="Times New Roman" w:eastAsia="Times New Roman"/>
                <w:b/>
                <w:spacing w:val="-10"/>
                <w:sz w:val="21"/>
              </w:rPr>
              <w:t xml:space="preserve">  </w:t>
            </w:r>
            <w:r>
              <w:rPr>
                <w:b/>
                <w:spacing w:val="2"/>
                <w:w w:val="100"/>
                <w:sz w:val="21"/>
              </w:rPr>
              <w:t>号）相符</w:t>
            </w:r>
            <w:r>
              <w:rPr>
                <w:b/>
                <w:sz w:val="21"/>
              </w:rPr>
              <w:t>性分析</w:t>
            </w:r>
          </w:p>
          <w:p>
            <w:pPr>
              <w:pStyle w:val="TableParagraph"/>
              <w:spacing w:line="364" w:lineRule="auto"/>
              <w:ind w:left="112" w:right="81" w:firstLine="420"/>
              <w:jc w:val="both"/>
              <w:rPr>
                <w:sz w:val="21"/>
              </w:rPr>
            </w:pPr>
            <w:r>
              <w:rPr>
                <w:spacing w:val="-3"/>
                <w:w w:val="100"/>
                <w:sz w:val="21"/>
              </w:rPr>
              <w:t>《长江经济带生态环境保护规划</w:t>
            </w:r>
            <w:r>
              <w:rPr>
                <w:w w:val="100"/>
                <w:sz w:val="21"/>
              </w:rPr>
              <w:t>（</w:t>
            </w:r>
            <w:r>
              <w:rPr>
                <w:rFonts w:ascii="Times New Roman" w:eastAsia="Times New Roman"/>
                <w:w w:val="100"/>
                <w:sz w:val="21"/>
              </w:rPr>
              <w:t>2</w:t>
            </w:r>
            <w:r>
              <w:rPr>
                <w:rFonts w:ascii="Times New Roman" w:eastAsia="Times New Roman"/>
                <w:spacing w:val="-3"/>
                <w:w w:val="100"/>
                <w:sz w:val="21"/>
              </w:rPr>
              <w:t>0</w:t>
            </w:r>
            <w:r>
              <w:rPr>
                <w:rFonts w:ascii="Times New Roman" w:eastAsia="Times New Roman"/>
                <w:w w:val="100"/>
                <w:sz w:val="21"/>
              </w:rPr>
              <w:t>1</w:t>
            </w:r>
            <w:r>
              <w:rPr>
                <w:rFonts w:ascii="Times New Roman" w:eastAsia="Times New Roman"/>
                <w:spacing w:val="-1"/>
                <w:w w:val="100"/>
                <w:sz w:val="21"/>
              </w:rPr>
              <w:t>7-</w:t>
            </w:r>
            <w:r>
              <w:rPr>
                <w:rFonts w:ascii="Times New Roman" w:eastAsia="Times New Roman"/>
                <w:w w:val="100"/>
                <w:sz w:val="21"/>
              </w:rPr>
              <w:t>2</w:t>
            </w:r>
            <w:r>
              <w:rPr>
                <w:rFonts w:ascii="Times New Roman" w:eastAsia="Times New Roman"/>
                <w:spacing w:val="-3"/>
                <w:w w:val="100"/>
                <w:sz w:val="21"/>
              </w:rPr>
              <w:t>0</w:t>
            </w:r>
            <w:r>
              <w:rPr>
                <w:rFonts w:ascii="Times New Roman" w:eastAsia="Times New Roman"/>
                <w:w w:val="100"/>
                <w:sz w:val="21"/>
              </w:rPr>
              <w:t>3</w:t>
            </w:r>
            <w:r>
              <w:rPr>
                <w:rFonts w:ascii="Times New Roman" w:eastAsia="Times New Roman"/>
                <w:spacing w:val="-1"/>
                <w:w w:val="100"/>
                <w:sz w:val="21"/>
              </w:rPr>
              <w:t>0</w:t>
            </w:r>
            <w:r>
              <w:rPr>
                <w:spacing w:val="-106"/>
                <w:w w:val="100"/>
                <w:sz w:val="21"/>
              </w:rPr>
              <w:t>）</w:t>
            </w:r>
            <w:r>
              <w:rPr>
                <w:spacing w:val="-108"/>
                <w:w w:val="100"/>
                <w:sz w:val="21"/>
              </w:rPr>
              <w:t>》</w:t>
            </w:r>
            <w:r>
              <w:rPr>
                <w:w w:val="100"/>
                <w:sz w:val="21"/>
              </w:rPr>
              <w:t>（</w:t>
            </w:r>
            <w:r>
              <w:rPr>
                <w:spacing w:val="-2"/>
                <w:w w:val="100"/>
                <w:sz w:val="21"/>
              </w:rPr>
              <w:t>环规财</w:t>
            </w:r>
            <w:r>
              <w:rPr>
                <w:rFonts w:ascii="Times New Roman" w:eastAsia="Times New Roman"/>
                <w:spacing w:val="-1"/>
                <w:w w:val="100"/>
                <w:sz w:val="21"/>
              </w:rPr>
              <w:t>[</w:t>
            </w:r>
            <w:r>
              <w:rPr>
                <w:rFonts w:ascii="Times New Roman" w:eastAsia="Times New Roman"/>
                <w:w w:val="100"/>
                <w:sz w:val="21"/>
              </w:rPr>
              <w:t>2</w:t>
            </w:r>
            <w:r>
              <w:rPr>
                <w:rFonts w:ascii="Times New Roman" w:eastAsia="Times New Roman"/>
                <w:spacing w:val="-3"/>
                <w:w w:val="100"/>
                <w:sz w:val="21"/>
              </w:rPr>
              <w:t>0</w:t>
            </w:r>
            <w:r>
              <w:rPr>
                <w:rFonts w:ascii="Times New Roman" w:eastAsia="Times New Roman"/>
                <w:w w:val="100"/>
                <w:sz w:val="21"/>
              </w:rPr>
              <w:t>17</w:t>
            </w:r>
            <w:r>
              <w:rPr>
                <w:rFonts w:ascii="Times New Roman" w:eastAsia="Times New Roman"/>
                <w:spacing w:val="-1"/>
                <w:w w:val="100"/>
                <w:sz w:val="21"/>
              </w:rPr>
              <w:t>]</w:t>
            </w:r>
            <w:r>
              <w:rPr>
                <w:rFonts w:ascii="Times New Roman" w:eastAsia="Times New Roman"/>
                <w:w w:val="100"/>
                <w:sz w:val="21"/>
              </w:rPr>
              <w:t>88</w:t>
            </w:r>
            <w:r>
              <w:rPr>
                <w:rFonts w:ascii="Times New Roman" w:eastAsia="Times New Roman"/>
                <w:sz w:val="21"/>
              </w:rPr>
              <w:t xml:space="preserve"> </w:t>
            </w:r>
            <w:r>
              <w:rPr>
                <w:w w:val="100"/>
                <w:sz w:val="21"/>
              </w:rPr>
              <w:t>号</w:t>
            </w:r>
            <w:r>
              <w:rPr>
                <w:spacing w:val="-3"/>
                <w:w w:val="100"/>
                <w:sz w:val="21"/>
              </w:rPr>
              <w:t>）中要求：严格</w:t>
            </w:r>
            <w:r>
              <w:rPr>
                <w:spacing w:val="-3"/>
                <w:sz w:val="21"/>
              </w:rPr>
              <w:t>控制高耗水行业发展、严格水资源保护、划定并严守生态保护红线，严格管控岸线开发利用，统筹规划长江岸线资源，严格分区管理与用途管制。本项目位于东坎高新技术产业园盘洋大道，不属于高耗水行业，不新增生产废水排放，符合要求。</w:t>
            </w:r>
          </w:p>
          <w:p>
            <w:pPr>
              <w:pStyle w:val="TableParagraph"/>
              <w:spacing w:line="364" w:lineRule="auto"/>
              <w:ind w:left="112" w:right="81" w:firstLine="420"/>
              <w:jc w:val="both"/>
              <w:rPr>
                <w:sz w:val="21"/>
              </w:rPr>
            </w:pPr>
            <w:r>
              <w:rPr>
                <w:spacing w:val="-1"/>
                <w:sz w:val="21"/>
              </w:rPr>
              <w:t>综上所述，项目位于东坎高新技术产业园盘洋大道，不在长江干流及主要支流岸线</w:t>
            </w:r>
            <w:r>
              <w:rPr>
                <w:rFonts w:ascii="Times New Roman" w:eastAsia="Times New Roman"/>
                <w:sz w:val="21"/>
              </w:rPr>
              <w:t>1</w:t>
            </w:r>
            <w:r>
              <w:rPr>
                <w:rFonts w:ascii="Times New Roman" w:eastAsia="Times New Roman"/>
                <w:spacing w:val="26"/>
                <w:sz w:val="21"/>
              </w:rPr>
              <w:t xml:space="preserve"> </w:t>
            </w:r>
            <w:r>
              <w:rPr>
                <w:spacing w:val="-3"/>
                <w:sz w:val="21"/>
              </w:rPr>
              <w:t>公里范围内，不属于高耗水行业，不新增生产废水排放，与</w:t>
            </w:r>
            <w:r>
              <w:rPr>
                <w:rFonts w:ascii="Times New Roman" w:eastAsia="Times New Roman"/>
                <w:sz w:val="21"/>
              </w:rPr>
              <w:t>&lt;</w:t>
            </w:r>
            <w:r>
              <w:rPr>
                <w:spacing w:val="-3"/>
                <w:sz w:val="21"/>
              </w:rPr>
              <w:t>关于印发《长江经济带发展负面清单指南（试行</w:t>
            </w:r>
            <w:r>
              <w:rPr>
                <w:spacing w:val="-104"/>
                <w:sz w:val="21"/>
              </w:rPr>
              <w:t>）</w:t>
            </w:r>
            <w:r>
              <w:rPr>
                <w:spacing w:val="1"/>
                <w:sz w:val="21"/>
              </w:rPr>
              <w:t>》的通知</w:t>
            </w:r>
            <w:r>
              <w:rPr>
                <w:rFonts w:ascii="Times New Roman" w:eastAsia="Times New Roman"/>
                <w:sz w:val="21"/>
              </w:rPr>
              <w:t>&gt;</w:t>
            </w:r>
            <w:r>
              <w:rPr>
                <w:sz w:val="21"/>
              </w:rPr>
              <w:t>（</w:t>
            </w:r>
            <w:r>
              <w:rPr>
                <w:spacing w:val="1"/>
                <w:sz w:val="21"/>
              </w:rPr>
              <w:t>长江办</w:t>
            </w:r>
            <w:r>
              <w:rPr>
                <w:rFonts w:ascii="Times New Roman" w:eastAsia="Times New Roman"/>
                <w:sz w:val="21"/>
              </w:rPr>
              <w:t xml:space="preserve">[2022]7 </w:t>
            </w:r>
            <w:r>
              <w:rPr>
                <w:sz w:val="21"/>
              </w:rPr>
              <w:t>号</w:t>
            </w:r>
            <w:r>
              <w:rPr>
                <w:spacing w:val="-104"/>
                <w:sz w:val="21"/>
              </w:rPr>
              <w:t>）</w:t>
            </w:r>
            <w:r>
              <w:rPr>
                <w:spacing w:val="5"/>
                <w:sz w:val="21"/>
              </w:rPr>
              <w:t>、</w:t>
            </w:r>
            <w:r>
              <w:rPr>
                <w:rFonts w:ascii="Times New Roman" w:eastAsia="Times New Roman"/>
                <w:sz w:val="21"/>
              </w:rPr>
              <w:t>&lt;</w:t>
            </w:r>
            <w:r>
              <w:rPr>
                <w:sz w:val="21"/>
              </w:rPr>
              <w:t>关于印发《长江经济带发展</w:t>
            </w:r>
            <w:r>
              <w:rPr>
                <w:spacing w:val="2"/>
                <w:sz w:val="21"/>
              </w:rPr>
              <w:t>负面清单指南</w:t>
            </w:r>
            <w:r>
              <w:rPr>
                <w:spacing w:val="4"/>
                <w:sz w:val="21"/>
              </w:rPr>
              <w:t>（</w:t>
            </w:r>
            <w:r>
              <w:rPr>
                <w:spacing w:val="1"/>
                <w:sz w:val="21"/>
              </w:rPr>
              <w:t>试行，</w:t>
            </w:r>
            <w:r>
              <w:rPr>
                <w:rFonts w:ascii="Times New Roman" w:eastAsia="Times New Roman"/>
                <w:sz w:val="21"/>
              </w:rPr>
              <w:t xml:space="preserve">2022 </w:t>
            </w:r>
            <w:r>
              <w:rPr>
                <w:spacing w:val="4"/>
                <w:sz w:val="21"/>
              </w:rPr>
              <w:t>年版</w:t>
            </w:r>
            <w:r>
              <w:rPr>
                <w:spacing w:val="-104"/>
                <w:sz w:val="21"/>
              </w:rPr>
              <w:t>）</w:t>
            </w:r>
            <w:r>
              <w:rPr>
                <w:sz w:val="21"/>
              </w:rPr>
              <w:t>》江苏省实施细则的通知</w:t>
            </w:r>
            <w:r>
              <w:rPr>
                <w:rFonts w:ascii="Times New Roman" w:eastAsia="Times New Roman"/>
                <w:spacing w:val="3"/>
                <w:sz w:val="21"/>
              </w:rPr>
              <w:t>&gt;</w:t>
            </w:r>
            <w:r>
              <w:rPr>
                <w:spacing w:val="3"/>
                <w:sz w:val="21"/>
              </w:rPr>
              <w:t>（</w:t>
            </w:r>
            <w:r>
              <w:rPr>
                <w:spacing w:val="1"/>
                <w:sz w:val="21"/>
              </w:rPr>
              <w:t>苏长江办发</w:t>
            </w:r>
            <w:r>
              <w:rPr>
                <w:sz w:val="21"/>
              </w:rPr>
              <w:t>﹝</w:t>
            </w:r>
            <w:r>
              <w:rPr>
                <w:rFonts w:ascii="Times New Roman" w:eastAsia="Times New Roman"/>
                <w:sz w:val="21"/>
              </w:rPr>
              <w:t>2022</w:t>
            </w:r>
            <w:r>
              <w:rPr>
                <w:sz w:val="21"/>
              </w:rPr>
              <w:t>﹞</w:t>
            </w:r>
            <w:r>
              <w:rPr>
                <w:rFonts w:ascii="Times New Roman" w:eastAsia="Times New Roman"/>
                <w:sz w:val="21"/>
              </w:rPr>
              <w:t xml:space="preserve">55 </w:t>
            </w:r>
            <w:r>
              <w:rPr>
                <w:w w:val="100"/>
                <w:sz w:val="21"/>
              </w:rPr>
              <w:t>号</w:t>
            </w:r>
            <w:r>
              <w:rPr>
                <w:spacing w:val="-106"/>
                <w:w w:val="100"/>
                <w:sz w:val="21"/>
              </w:rPr>
              <w:t>）</w:t>
            </w:r>
            <w:r>
              <w:rPr>
                <w:spacing w:val="-13"/>
                <w:w w:val="100"/>
                <w:sz w:val="21"/>
              </w:rPr>
              <w:t>、《长江经济带生态环境保护规划</w:t>
            </w:r>
            <w:r>
              <w:rPr>
                <w:w w:val="100"/>
                <w:sz w:val="21"/>
              </w:rPr>
              <w:t>（</w:t>
            </w:r>
            <w:r>
              <w:rPr>
                <w:rFonts w:ascii="Times New Roman" w:eastAsia="Times New Roman"/>
                <w:w w:val="100"/>
                <w:sz w:val="21"/>
              </w:rPr>
              <w:t>2</w:t>
            </w:r>
            <w:r>
              <w:rPr>
                <w:rFonts w:ascii="Times New Roman" w:eastAsia="Times New Roman"/>
                <w:spacing w:val="-3"/>
                <w:w w:val="100"/>
                <w:sz w:val="21"/>
              </w:rPr>
              <w:t>0</w:t>
            </w:r>
            <w:r>
              <w:rPr>
                <w:rFonts w:ascii="Times New Roman" w:eastAsia="Times New Roman"/>
                <w:w w:val="100"/>
                <w:sz w:val="21"/>
              </w:rPr>
              <w:t>1</w:t>
            </w:r>
            <w:r>
              <w:rPr>
                <w:rFonts w:ascii="Times New Roman" w:eastAsia="Times New Roman"/>
                <w:spacing w:val="-1"/>
                <w:w w:val="100"/>
                <w:sz w:val="21"/>
              </w:rPr>
              <w:t>7-</w:t>
            </w:r>
            <w:r>
              <w:rPr>
                <w:rFonts w:ascii="Times New Roman" w:eastAsia="Times New Roman"/>
                <w:w w:val="100"/>
                <w:sz w:val="21"/>
              </w:rPr>
              <w:t>2</w:t>
            </w:r>
            <w:r>
              <w:rPr>
                <w:rFonts w:ascii="Times New Roman" w:eastAsia="Times New Roman"/>
                <w:spacing w:val="-3"/>
                <w:w w:val="100"/>
                <w:sz w:val="21"/>
              </w:rPr>
              <w:t>0</w:t>
            </w:r>
            <w:r>
              <w:rPr>
                <w:rFonts w:ascii="Times New Roman" w:eastAsia="Times New Roman"/>
                <w:w w:val="100"/>
                <w:sz w:val="21"/>
              </w:rPr>
              <w:t>3</w:t>
            </w:r>
            <w:r>
              <w:rPr>
                <w:rFonts w:ascii="Times New Roman" w:eastAsia="Times New Roman"/>
                <w:spacing w:val="-1"/>
                <w:w w:val="100"/>
                <w:sz w:val="21"/>
              </w:rPr>
              <w:t>0</w:t>
            </w:r>
            <w:r>
              <w:rPr>
                <w:spacing w:val="-106"/>
                <w:w w:val="100"/>
                <w:sz w:val="21"/>
              </w:rPr>
              <w:t>）</w:t>
            </w:r>
            <w:r>
              <w:rPr>
                <w:spacing w:val="-108"/>
                <w:w w:val="100"/>
                <w:sz w:val="21"/>
              </w:rPr>
              <w:t>》</w:t>
            </w:r>
            <w:r>
              <w:rPr>
                <w:w w:val="100"/>
                <w:sz w:val="21"/>
              </w:rPr>
              <w:t>（</w:t>
            </w:r>
            <w:r>
              <w:rPr>
                <w:spacing w:val="-2"/>
                <w:w w:val="100"/>
                <w:sz w:val="21"/>
              </w:rPr>
              <w:t>环规财</w:t>
            </w:r>
            <w:r>
              <w:rPr>
                <w:rFonts w:ascii="Times New Roman" w:eastAsia="Times New Roman"/>
                <w:spacing w:val="-1"/>
                <w:w w:val="100"/>
                <w:sz w:val="21"/>
              </w:rPr>
              <w:t>[</w:t>
            </w:r>
            <w:r>
              <w:rPr>
                <w:rFonts w:ascii="Times New Roman" w:eastAsia="Times New Roman"/>
                <w:w w:val="100"/>
                <w:sz w:val="21"/>
              </w:rPr>
              <w:t>2</w:t>
            </w:r>
            <w:r>
              <w:rPr>
                <w:rFonts w:ascii="Times New Roman" w:eastAsia="Times New Roman"/>
                <w:spacing w:val="-3"/>
                <w:w w:val="100"/>
                <w:sz w:val="21"/>
              </w:rPr>
              <w:t>0</w:t>
            </w:r>
            <w:r>
              <w:rPr>
                <w:rFonts w:ascii="Times New Roman" w:eastAsia="Times New Roman"/>
                <w:w w:val="100"/>
                <w:sz w:val="21"/>
              </w:rPr>
              <w:t>17</w:t>
            </w:r>
            <w:r>
              <w:rPr>
                <w:rFonts w:ascii="Times New Roman" w:eastAsia="Times New Roman"/>
                <w:spacing w:val="-1"/>
                <w:w w:val="100"/>
                <w:sz w:val="21"/>
              </w:rPr>
              <w:t>]</w:t>
            </w:r>
            <w:r>
              <w:rPr>
                <w:rFonts w:ascii="Times New Roman" w:eastAsia="Times New Roman"/>
                <w:w w:val="100"/>
                <w:sz w:val="21"/>
              </w:rPr>
              <w:t>88</w:t>
            </w:r>
            <w:r>
              <w:rPr>
                <w:rFonts w:ascii="Times New Roman" w:eastAsia="Times New Roman"/>
                <w:sz w:val="21"/>
              </w:rPr>
              <w:t xml:space="preserve"> </w:t>
            </w:r>
            <w:r>
              <w:rPr>
                <w:w w:val="100"/>
                <w:sz w:val="21"/>
              </w:rPr>
              <w:t>号</w:t>
            </w:r>
            <w:r>
              <w:rPr>
                <w:spacing w:val="-3"/>
                <w:w w:val="100"/>
                <w:sz w:val="21"/>
              </w:rPr>
              <w:t>）等长江保护相</w:t>
            </w:r>
            <w:r>
              <w:rPr>
                <w:spacing w:val="-3"/>
                <w:sz w:val="21"/>
              </w:rPr>
              <w:t>关要求相符。</w:t>
            </w:r>
          </w:p>
          <w:p>
            <w:pPr>
              <w:pStyle w:val="TableParagraph"/>
              <w:spacing w:line="266" w:lineRule="exact"/>
              <w:ind w:left="534"/>
              <w:jc w:val="both"/>
              <w:rPr>
                <w:b/>
                <w:sz w:val="21"/>
              </w:rPr>
            </w:pPr>
            <w:r>
              <w:rPr>
                <w:rFonts w:ascii="Times New Roman" w:eastAsia="Times New Roman"/>
                <w:b/>
                <w:sz w:val="21"/>
              </w:rPr>
              <w:t>5.</w:t>
            </w:r>
            <w:r>
              <w:rPr>
                <w:b/>
                <w:sz w:val="21"/>
              </w:rPr>
              <w:t xml:space="preserve">与 </w:t>
            </w:r>
            <w:r>
              <w:rPr>
                <w:rFonts w:ascii="Times New Roman" w:eastAsia="Times New Roman"/>
                <w:b/>
                <w:sz w:val="21"/>
              </w:rPr>
              <w:t xml:space="preserve">VOCs </w:t>
            </w:r>
            <w:r>
              <w:rPr>
                <w:b/>
                <w:sz w:val="21"/>
              </w:rPr>
              <w:t>治理措施相关政策的相符性分析</w:t>
            </w:r>
          </w:p>
          <w:p>
            <w:pPr>
              <w:pStyle w:val="TableParagraph"/>
              <w:spacing w:before="136"/>
              <w:ind w:left="534"/>
              <w:jc w:val="both"/>
              <w:rPr>
                <w:rFonts w:ascii="Times New Roman" w:eastAsia="Times New Roman"/>
                <w:b/>
                <w:sz w:val="21"/>
              </w:rPr>
            </w:pPr>
            <w:r>
              <w:rPr>
                <w:b/>
                <w:spacing w:val="12"/>
                <w:w w:val="100"/>
                <w:sz w:val="21"/>
              </w:rPr>
              <w:t>（</w:t>
            </w:r>
            <w:r>
              <w:rPr>
                <w:rFonts w:ascii="Times New Roman" w:eastAsia="Times New Roman"/>
                <w:b/>
                <w:spacing w:val="7"/>
                <w:w w:val="100"/>
                <w:sz w:val="21"/>
              </w:rPr>
              <w:t>1</w:t>
            </w:r>
            <w:r>
              <w:rPr>
                <w:b/>
                <w:spacing w:val="-96"/>
                <w:w w:val="100"/>
                <w:sz w:val="21"/>
              </w:rPr>
              <w:t>）</w:t>
            </w:r>
            <w:r>
              <w:rPr>
                <w:b/>
                <w:spacing w:val="9"/>
                <w:w w:val="100"/>
                <w:sz w:val="21"/>
              </w:rPr>
              <w:t>《关于印发</w:t>
            </w:r>
            <w:r>
              <w:rPr>
                <w:rFonts w:ascii="Times New Roman" w:eastAsia="Times New Roman"/>
                <w:b/>
                <w:spacing w:val="-3"/>
                <w:w w:val="100"/>
                <w:sz w:val="21"/>
              </w:rPr>
              <w:t>&lt;</w:t>
            </w:r>
            <w:r>
              <w:rPr>
                <w:rFonts w:ascii="Times New Roman" w:eastAsia="Times New Roman"/>
                <w:b/>
                <w:w w:val="100"/>
                <w:sz w:val="21"/>
              </w:rPr>
              <w:t>2020</w:t>
            </w:r>
            <w:r>
              <w:rPr>
                <w:rFonts w:ascii="Times New Roman" w:eastAsia="Times New Roman"/>
                <w:b/>
                <w:spacing w:val="-6"/>
                <w:sz w:val="21"/>
              </w:rPr>
              <w:t xml:space="preserve">  </w:t>
            </w:r>
            <w:r>
              <w:rPr>
                <w:b/>
                <w:spacing w:val="9"/>
                <w:w w:val="100"/>
                <w:sz w:val="21"/>
              </w:rPr>
              <w:t>年挥发性有机物治理攻坚方案</w:t>
            </w:r>
            <w:r>
              <w:rPr>
                <w:rFonts w:ascii="Times New Roman" w:eastAsia="Times New Roman"/>
                <w:b/>
                <w:spacing w:val="6"/>
                <w:w w:val="100"/>
                <w:sz w:val="21"/>
              </w:rPr>
              <w:t>&gt;</w:t>
            </w:r>
            <w:r>
              <w:rPr>
                <w:b/>
                <w:spacing w:val="-18"/>
                <w:w w:val="100"/>
                <w:sz w:val="21"/>
              </w:rPr>
              <w:t>的通知》</w:t>
            </w:r>
            <w:r>
              <w:rPr>
                <w:b/>
                <w:spacing w:val="9"/>
                <w:w w:val="100"/>
                <w:sz w:val="21"/>
              </w:rPr>
              <w:t>（</w:t>
            </w:r>
            <w:r>
              <w:rPr>
                <w:b/>
                <w:spacing w:val="10"/>
                <w:w w:val="100"/>
                <w:sz w:val="21"/>
              </w:rPr>
              <w:t>环大气</w:t>
            </w:r>
            <w:r>
              <w:rPr>
                <w:rFonts w:ascii="Times New Roman" w:eastAsia="Times New Roman"/>
                <w:b/>
                <w:spacing w:val="-1"/>
                <w:w w:val="100"/>
                <w:sz w:val="21"/>
              </w:rPr>
              <w:t>[</w:t>
            </w:r>
            <w:r>
              <w:rPr>
                <w:rFonts w:ascii="Times New Roman" w:eastAsia="Times New Roman"/>
                <w:b/>
                <w:spacing w:val="-3"/>
                <w:w w:val="100"/>
                <w:sz w:val="21"/>
              </w:rPr>
              <w:t>2</w:t>
            </w:r>
            <w:r>
              <w:rPr>
                <w:rFonts w:ascii="Times New Roman" w:eastAsia="Times New Roman"/>
                <w:b/>
                <w:w w:val="100"/>
                <w:sz w:val="21"/>
              </w:rPr>
              <w:t>0</w:t>
            </w:r>
            <w:r>
              <w:rPr>
                <w:rFonts w:ascii="Times New Roman" w:eastAsia="Times New Roman"/>
                <w:b/>
                <w:spacing w:val="-3"/>
                <w:w w:val="100"/>
                <w:sz w:val="21"/>
              </w:rPr>
              <w:t>2</w:t>
            </w:r>
            <w:r>
              <w:rPr>
                <w:rFonts w:ascii="Times New Roman" w:eastAsia="Times New Roman"/>
                <w:b/>
                <w:w w:val="100"/>
                <w:sz w:val="21"/>
              </w:rPr>
              <w:t>0</w:t>
            </w:r>
            <w:r>
              <w:rPr>
                <w:rFonts w:ascii="Times New Roman" w:eastAsia="Times New Roman"/>
                <w:b/>
                <w:spacing w:val="-1"/>
                <w:w w:val="100"/>
                <w:sz w:val="21"/>
              </w:rPr>
              <w:t>]</w:t>
            </w:r>
            <w:r>
              <w:rPr>
                <w:rFonts w:ascii="Times New Roman" w:eastAsia="Times New Roman"/>
                <w:b/>
                <w:w w:val="100"/>
                <w:sz w:val="21"/>
              </w:rPr>
              <w:t>33</w:t>
            </w:r>
          </w:p>
          <w:p>
            <w:pPr>
              <w:pStyle w:val="TableParagraph"/>
              <w:spacing w:before="141"/>
              <w:ind w:left="112"/>
              <w:rPr>
                <w:b/>
                <w:sz w:val="21"/>
              </w:rPr>
            </w:pPr>
            <w:r>
              <w:rPr>
                <w:b/>
                <w:sz w:val="21"/>
              </w:rPr>
              <w:t>号）</w:t>
            </w:r>
          </w:p>
          <w:p>
            <w:pPr>
              <w:pStyle w:val="TableParagraph"/>
              <w:spacing w:before="139" w:line="364" w:lineRule="auto"/>
              <w:ind w:left="112" w:right="82" w:firstLine="420"/>
              <w:jc w:val="both"/>
              <w:rPr>
                <w:sz w:val="21"/>
              </w:rPr>
            </w:pPr>
            <w:r>
              <w:rPr>
                <w:sz w:val="21"/>
              </w:rPr>
              <w:t>《关于印发</w:t>
            </w:r>
            <w:r>
              <w:rPr>
                <w:rFonts w:ascii="Times New Roman" w:eastAsia="Times New Roman" w:hAnsi="Times New Roman"/>
                <w:sz w:val="21"/>
              </w:rPr>
              <w:t>&lt;2020</w:t>
            </w:r>
            <w:r>
              <w:rPr>
                <w:rFonts w:ascii="Times New Roman" w:eastAsia="Times New Roman" w:hAnsi="Times New Roman"/>
                <w:spacing w:val="47"/>
                <w:sz w:val="21"/>
              </w:rPr>
              <w:t xml:space="preserve"> </w:t>
            </w:r>
            <w:r>
              <w:rPr>
                <w:sz w:val="21"/>
              </w:rPr>
              <w:t>年挥发性有机物治理攻坚方案</w:t>
            </w:r>
            <w:r>
              <w:rPr>
                <w:rFonts w:ascii="Times New Roman" w:eastAsia="Times New Roman" w:hAnsi="Times New Roman"/>
                <w:sz w:val="21"/>
              </w:rPr>
              <w:t>&gt;</w:t>
            </w:r>
            <w:r>
              <w:rPr>
                <w:spacing w:val="-27"/>
                <w:sz w:val="21"/>
              </w:rPr>
              <w:t>的通知》</w:t>
            </w:r>
            <w:r>
              <w:rPr>
                <w:sz w:val="21"/>
              </w:rPr>
              <w:t>（</w:t>
            </w:r>
            <w:r>
              <w:rPr>
                <w:spacing w:val="1"/>
                <w:sz w:val="21"/>
              </w:rPr>
              <w:t>环大气</w:t>
            </w:r>
            <w:r>
              <w:rPr>
                <w:rFonts w:ascii="Times New Roman" w:eastAsia="Times New Roman" w:hAnsi="Times New Roman"/>
                <w:sz w:val="21"/>
              </w:rPr>
              <w:t>[2020]33</w:t>
            </w:r>
            <w:r>
              <w:rPr>
                <w:rFonts w:ascii="Times New Roman" w:eastAsia="Times New Roman" w:hAnsi="Times New Roman"/>
                <w:spacing w:val="48"/>
                <w:sz w:val="21"/>
              </w:rPr>
              <w:t xml:space="preserve"> </w:t>
            </w:r>
            <w:r>
              <w:rPr>
                <w:sz w:val="21"/>
              </w:rPr>
              <w:t>号）提出</w:t>
            </w:r>
            <w:r>
              <w:rPr>
                <w:rFonts w:ascii="Times New Roman" w:eastAsia="Times New Roman" w:hAnsi="Times New Roman"/>
                <w:sz w:val="21"/>
              </w:rPr>
              <w:t>“</w:t>
            </w:r>
            <w:r>
              <w:rPr>
                <w:spacing w:val="-5"/>
                <w:sz w:val="21"/>
              </w:rPr>
              <w:t xml:space="preserve">严格落实国家和地方产品 </w:t>
            </w:r>
            <w:r>
              <w:rPr>
                <w:rFonts w:ascii="Times New Roman" w:eastAsia="Times New Roman" w:hAnsi="Times New Roman"/>
                <w:sz w:val="21"/>
              </w:rPr>
              <w:t>VOCs</w:t>
            </w:r>
            <w:r>
              <w:rPr>
                <w:rFonts w:ascii="Times New Roman" w:eastAsia="Times New Roman" w:hAnsi="Times New Roman"/>
                <w:spacing w:val="10"/>
                <w:sz w:val="21"/>
              </w:rPr>
              <w:t xml:space="preserve"> </w:t>
            </w:r>
            <w:r>
              <w:rPr>
                <w:spacing w:val="-3"/>
                <w:sz w:val="21"/>
              </w:rPr>
              <w:t>含量限值标准。大力推进低</w:t>
            </w:r>
            <w:r>
              <w:rPr>
                <w:sz w:val="21"/>
              </w:rPr>
              <w:t>（</w:t>
            </w:r>
            <w:r>
              <w:rPr>
                <w:spacing w:val="-3"/>
                <w:sz w:val="21"/>
              </w:rPr>
              <w:t>无</w:t>
            </w:r>
            <w:r>
              <w:rPr>
                <w:sz w:val="21"/>
              </w:rPr>
              <w:t>）</w:t>
            </w:r>
            <w:r>
              <w:rPr>
                <w:rFonts w:ascii="Times New Roman" w:eastAsia="Times New Roman" w:hAnsi="Times New Roman"/>
                <w:sz w:val="21"/>
              </w:rPr>
              <w:t>VOCs</w:t>
            </w:r>
            <w:r>
              <w:rPr>
                <w:rFonts w:ascii="Times New Roman" w:eastAsia="Times New Roman" w:hAnsi="Times New Roman"/>
                <w:spacing w:val="10"/>
                <w:sz w:val="21"/>
              </w:rPr>
              <w:t xml:space="preserve"> </w:t>
            </w:r>
            <w:r>
              <w:rPr>
                <w:spacing w:val="-1"/>
                <w:sz w:val="21"/>
              </w:rPr>
              <w:t>含量原辅材</w:t>
            </w:r>
            <w:r>
              <w:rPr>
                <w:spacing w:val="-3"/>
                <w:sz w:val="21"/>
              </w:rPr>
              <w:t xml:space="preserve">料替代。采用符合国家有关低 </w:t>
            </w:r>
            <w:r>
              <w:rPr>
                <w:rFonts w:ascii="Times New Roman" w:eastAsia="Times New Roman" w:hAnsi="Times New Roman"/>
                <w:sz w:val="21"/>
              </w:rPr>
              <w:t>VOCs</w:t>
            </w:r>
            <w:r>
              <w:rPr>
                <w:rFonts w:ascii="Times New Roman" w:eastAsia="Times New Roman" w:hAnsi="Times New Roman"/>
                <w:spacing w:val="38"/>
                <w:sz w:val="21"/>
              </w:rPr>
              <w:t xml:space="preserve"> </w:t>
            </w:r>
            <w:r>
              <w:rPr>
                <w:spacing w:val="-3"/>
                <w:sz w:val="21"/>
              </w:rPr>
              <w:t>含量产品规定的涂料、油墨、胶粘剂等，排放浓度稳定达标且排放速率满足相关规定的，相应生产工序可不要求建设末端治理设施。使用</w:t>
            </w:r>
          </w:p>
          <w:p>
            <w:pPr>
              <w:pStyle w:val="TableParagraph"/>
              <w:spacing w:line="268" w:lineRule="exact"/>
              <w:ind w:left="112"/>
              <w:jc w:val="both"/>
              <w:rPr>
                <w:sz w:val="21"/>
              </w:rPr>
            </w:pPr>
            <w:r>
              <w:rPr>
                <w:spacing w:val="-5"/>
                <w:sz w:val="21"/>
              </w:rPr>
              <w:t xml:space="preserve">的原辅材料 </w:t>
            </w:r>
            <w:r>
              <w:rPr>
                <w:rFonts w:ascii="Times New Roman" w:eastAsia="Times New Roman"/>
                <w:sz w:val="21"/>
              </w:rPr>
              <w:t>VOCs</w:t>
            </w:r>
            <w:r>
              <w:rPr>
                <w:rFonts w:ascii="Times New Roman" w:eastAsia="Times New Roman"/>
                <w:spacing w:val="14"/>
                <w:sz w:val="21"/>
              </w:rPr>
              <w:t xml:space="preserve"> </w:t>
            </w:r>
            <w:r>
              <w:rPr>
                <w:spacing w:val="-2"/>
                <w:sz w:val="21"/>
              </w:rPr>
              <w:t>含量</w:t>
            </w:r>
            <w:r>
              <w:rPr>
                <w:spacing w:val="-3"/>
                <w:sz w:val="21"/>
              </w:rPr>
              <w:t>（</w:t>
            </w:r>
            <w:r>
              <w:rPr>
                <w:spacing w:val="-1"/>
                <w:sz w:val="21"/>
              </w:rPr>
              <w:t>质量比</w:t>
            </w:r>
            <w:r>
              <w:rPr>
                <w:sz w:val="21"/>
              </w:rPr>
              <w:t>）</w:t>
            </w:r>
            <w:r>
              <w:rPr>
                <w:spacing w:val="-8"/>
                <w:sz w:val="21"/>
              </w:rPr>
              <w:t xml:space="preserve">均低于 </w:t>
            </w:r>
            <w:r>
              <w:rPr>
                <w:rFonts w:ascii="Times New Roman" w:eastAsia="Times New Roman"/>
                <w:sz w:val="21"/>
              </w:rPr>
              <w:t>10%</w:t>
            </w:r>
            <w:r>
              <w:rPr>
                <w:spacing w:val="-3"/>
                <w:sz w:val="21"/>
              </w:rPr>
              <w:t>的工序，可不要求采取无组织排放收集和</w:t>
            </w:r>
          </w:p>
        </w:tc>
      </w:tr>
    </w:tbl>
    <w:p>
      <w:pPr>
        <w:spacing w:after="0" w:line="268" w:lineRule="exact"/>
        <w:jc w:val="both"/>
        <w:rPr>
          <w:sz w:val="21"/>
        </w:rPr>
        <w:sectPr>
          <w:footerReference w:type="default" r:id="rId11"/>
          <w:pgSz w:w="11910" w:h="16840"/>
          <w:pgMar w:top="1400" w:right="1140" w:bottom="1180" w:left="1140" w:header="0" w:footer="994" w:gutter="0"/>
          <w:pgNumType w:start="7"/>
          <w:cols w:num="1" w:space="720"/>
        </w:sectPr>
      </w:pPr>
    </w:p>
    <w:p>
      <w:pPr>
        <w:pStyle w:val="BodyText"/>
        <w:spacing w:before="60"/>
        <w:ind w:left="1349"/>
        <w:jc w:val="both"/>
      </w:pPr>
      <w:r>
        <w:pict>
          <v:group id="_x0000_s1079" o:spid="_x0000_s1078" style="width:469.55pt;height:691.95pt;margin-top:70.9pt;margin-left:62.9pt;mso-height-relative:page;mso-position-horizontal-relative:page;mso-position-vertical-relative:page;mso-width-relative:page;position:absolute;z-index:-251654144" coordorigin="1258,1418" coordsize="9391,13839">
            <v:line id="_x0000_s1080" o:spid="_x0000_s1079" style="position:absolute" from="1277,1428" to="2376,1428" coordsize="21600,21600" stroked="t" strokecolor="black"/>
            <v:rect id="_x0000_s1081" o:spid="_x0000_s1080" style="width:20;height:20;left:2376;position:absolute;top:1418" coordsize="21600,21600" filled="t" fillcolor="black" stroked="f"/>
            <v:line id="_x0000_s1082" o:spid="_x0000_s1081" style="position:absolute" from="2396,1428" to="10629,1428" coordsize="21600,21600" stroked="t" strokecolor="black"/>
            <v:line id="_x0000_s1083" o:spid="_x0000_s1082" style="position:absolute" from="1268,1418" to="1268,15257" coordsize="21600,21600" stroked="t" strokecolor="black"/>
            <v:line id="_x0000_s1084" o:spid="_x0000_s1083" style="position:absolute" from="1277,15247" to="2376,15247" coordsize="21600,21600" stroked="t" strokecolor="black"/>
            <v:line id="_x0000_s1085" o:spid="_x0000_s1084" style="position:absolute" from="2381,1438" to="2381,15238" coordsize="21600,21600" stroked="t" strokecolor="black"/>
            <v:rect id="_x0000_s1086" o:spid="_x0000_s1085" style="width:20;height:20;left:2376;position:absolute;top:15237" coordsize="21600,21600" filled="t" fillcolor="black" stroked="f"/>
            <v:line id="_x0000_s1087" o:spid="_x0000_s1086" style="position:absolute" from="2396,15247" to="10629,15247" coordsize="21600,21600" stroked="t" strokecolor="black"/>
            <v:line id="_x0000_s1088" o:spid="_x0000_s1087" style="position:absolute" from="10639,1418" to="10639,15257" coordsize="21600,21600" stroked="t" strokecolor="black"/>
          </v:group>
        </w:pict>
      </w:r>
      <w:r>
        <w:t>处理措施。全面落实标准要求，强化无组织排放控制。</w:t>
      </w:r>
      <w:r>
        <w:rPr>
          <w:rFonts w:ascii="Times New Roman" w:eastAsia="Times New Roman"/>
        </w:rPr>
        <w:t xml:space="preserve">2020 </w:t>
      </w:r>
      <w:r>
        <w:t xml:space="preserve">年 </w:t>
      </w:r>
      <w:r>
        <w:rPr>
          <w:rFonts w:ascii="Times New Roman" w:eastAsia="Times New Roman"/>
        </w:rPr>
        <w:t xml:space="preserve">7 </w:t>
      </w:r>
      <w:r>
        <w:t xml:space="preserve">月 </w:t>
      </w:r>
      <w:r>
        <w:rPr>
          <w:rFonts w:ascii="Times New Roman" w:eastAsia="Times New Roman"/>
        </w:rPr>
        <w:t xml:space="preserve">1 </w:t>
      </w:r>
      <w:r>
        <w:t>日起，全面执行</w:t>
      </w:r>
    </w:p>
    <w:p>
      <w:pPr>
        <w:pStyle w:val="BodyText"/>
        <w:spacing w:before="139" w:line="364" w:lineRule="auto"/>
        <w:ind w:left="1349" w:right="226"/>
        <w:jc w:val="both"/>
        <w:rPr>
          <w:rFonts w:ascii="Times New Roman" w:eastAsia="Times New Roman" w:hAnsi="Times New Roman"/>
        </w:rPr>
      </w:pPr>
      <w:r>
        <w:rPr>
          <w:spacing w:val="-7"/>
        </w:rPr>
        <w:t>《挥发性有机物无组织排放控制标准》，重点地区应落实无组织排放特别控制要求。加</w:t>
      </w:r>
      <w:r>
        <w:rPr>
          <w:spacing w:val="8"/>
        </w:rPr>
        <w:t xml:space="preserve">强含 </w:t>
      </w:r>
      <w:r>
        <w:rPr>
          <w:rFonts w:ascii="Times New Roman" w:eastAsia="Times New Roman" w:hAnsi="Times New Roman"/>
        </w:rPr>
        <w:t xml:space="preserve">VOCs </w:t>
      </w:r>
      <w:r>
        <w:t>物料全方位、全链条、全环节密闭管理。储存环节应采用密闭容器、包装袋、高效密封储罐、封闭式储库、料仓等。装卸、转移和输送环节应采用密闭管道或密闭容器、罐车等。生产和使用环节应采用密闭设备，或在密闭空间中操作并有效收集废</w:t>
      </w:r>
      <w:r>
        <w:rPr>
          <w:spacing w:val="-3"/>
        </w:rPr>
        <w:t xml:space="preserve">气，或进行局部气体收集；非取用状态时容器应密闭。处置环节应将盛装过 </w:t>
      </w:r>
      <w:r>
        <w:rPr>
          <w:rFonts w:ascii="Times New Roman" w:eastAsia="Times New Roman" w:hAnsi="Times New Roman"/>
        </w:rPr>
        <w:t xml:space="preserve">VOCs </w:t>
      </w:r>
      <w:r>
        <w:t>物料</w:t>
      </w:r>
      <w:r>
        <w:rPr>
          <w:spacing w:val="2"/>
        </w:rPr>
        <w:t>的包装容器、含</w:t>
      </w:r>
      <w:r>
        <w:rPr>
          <w:rFonts w:ascii="Times New Roman" w:eastAsia="Times New Roman" w:hAnsi="Times New Roman"/>
        </w:rPr>
        <w:t xml:space="preserve">VOCs </w:t>
      </w:r>
      <w:r>
        <w:rPr>
          <w:spacing w:val="-2"/>
        </w:rPr>
        <w:t>废料</w:t>
      </w:r>
      <w:r>
        <w:t>（</w:t>
      </w:r>
      <w:r>
        <w:rPr>
          <w:spacing w:val="-3"/>
        </w:rPr>
        <w:t>渣、液</w:t>
      </w:r>
      <w:r>
        <w:rPr>
          <w:spacing w:val="-106"/>
        </w:rPr>
        <w:t>）</w:t>
      </w:r>
      <w:r>
        <w:rPr>
          <w:spacing w:val="-3"/>
        </w:rPr>
        <w:t>、废吸附剂等通过加盖、封装等方式封闭、妥善存放，不得随意丢弃。</w:t>
      </w:r>
      <w:r>
        <w:rPr>
          <w:rFonts w:ascii="Times New Roman" w:eastAsia="Times New Roman" w:hAnsi="Times New Roman"/>
        </w:rPr>
        <w:t>”</w:t>
      </w:r>
    </w:p>
    <w:p>
      <w:pPr>
        <w:pStyle w:val="BodyText"/>
        <w:spacing w:line="268" w:lineRule="exact"/>
        <w:ind w:left="1769"/>
        <w:jc w:val="both"/>
      </w:pPr>
      <w:r>
        <w:rPr>
          <w:spacing w:val="-3"/>
        </w:rPr>
        <w:t xml:space="preserve">扩建项目生产食品包装，使用的油墨 </w:t>
      </w:r>
      <w:r>
        <w:rPr>
          <w:rFonts w:ascii="Times New Roman" w:eastAsia="Times New Roman"/>
        </w:rPr>
        <w:t>VOCs</w:t>
      </w:r>
      <w:r>
        <w:rPr>
          <w:rFonts w:ascii="Times New Roman" w:eastAsia="Times New Roman"/>
          <w:spacing w:val="37"/>
        </w:rPr>
        <w:t xml:space="preserve"> </w:t>
      </w:r>
      <w:r>
        <w:rPr>
          <w:spacing w:val="-3"/>
        </w:rPr>
        <w:t>含量满足《油墨中可挥发性有机化合物</w:t>
      </w:r>
    </w:p>
    <w:p>
      <w:pPr>
        <w:pStyle w:val="BodyText"/>
        <w:spacing w:before="139"/>
        <w:ind w:left="1349"/>
        <w:jc w:val="both"/>
      </w:pPr>
      <w:r>
        <w:t>（</w:t>
      </w:r>
      <w:r>
        <w:rPr>
          <w:rFonts w:ascii="Times New Roman" w:eastAsia="Times New Roman"/>
        </w:rPr>
        <w:t>VOCS</w:t>
      </w:r>
      <w:r>
        <w:t>）</w:t>
      </w:r>
      <w:r>
        <w:rPr>
          <w:spacing w:val="-21"/>
        </w:rPr>
        <w:t>含量的限值》</w:t>
      </w:r>
      <w:r>
        <w:t>（</w:t>
      </w:r>
      <w:r>
        <w:rPr>
          <w:rFonts w:ascii="Times New Roman" w:eastAsia="Times New Roman"/>
        </w:rPr>
        <w:t>GB/T38507-2020</w:t>
      </w:r>
      <w:r>
        <w:t>）</w:t>
      </w:r>
      <w:r>
        <w:rPr>
          <w:spacing w:val="-11"/>
        </w:rPr>
        <w:t xml:space="preserve">中表 </w:t>
      </w:r>
      <w:r>
        <w:rPr>
          <w:rFonts w:ascii="Times New Roman" w:eastAsia="Times New Roman"/>
        </w:rPr>
        <w:t>1</w:t>
      </w:r>
      <w:r>
        <w:rPr>
          <w:rFonts w:ascii="Times New Roman" w:eastAsia="Times New Roman"/>
          <w:spacing w:val="3"/>
        </w:rPr>
        <w:t xml:space="preserve"> </w:t>
      </w:r>
      <w:r>
        <w:rPr>
          <w:spacing w:val="-3"/>
        </w:rPr>
        <w:t>要求，胶粘剂满足《胶粘剂挥发性有</w:t>
      </w:r>
    </w:p>
    <w:p>
      <w:pPr>
        <w:pStyle w:val="BodyText"/>
        <w:spacing w:before="139" w:line="364" w:lineRule="auto"/>
        <w:ind w:left="1349" w:right="224"/>
        <w:jc w:val="both"/>
      </w:pPr>
      <w:r>
        <w:rPr>
          <w:spacing w:val="-18"/>
        </w:rPr>
        <w:t>机化合物限量》</w:t>
      </w:r>
      <w:r>
        <w:t>（</w:t>
      </w:r>
      <w:r>
        <w:rPr>
          <w:rFonts w:ascii="Times New Roman" w:eastAsia="Times New Roman" w:hAnsi="Times New Roman"/>
        </w:rPr>
        <w:t>GB33732-2020</w:t>
      </w:r>
      <w:r>
        <w:t>）</w:t>
      </w:r>
      <w:r>
        <w:rPr>
          <w:spacing w:val="-8"/>
        </w:rPr>
        <w:t xml:space="preserve">中表 </w:t>
      </w:r>
      <w:r>
        <w:rPr>
          <w:rFonts w:ascii="Times New Roman" w:eastAsia="Times New Roman" w:hAnsi="Times New Roman"/>
        </w:rPr>
        <w:t xml:space="preserve">1 </w:t>
      </w:r>
      <w:r>
        <w:rPr>
          <w:spacing w:val="-3"/>
        </w:rPr>
        <w:t>要求；产生的有机废气经“催化燃烧</w:t>
      </w:r>
      <w:r>
        <w:rPr>
          <w:rFonts w:ascii="Times New Roman" w:eastAsia="Times New Roman" w:hAnsi="Times New Roman"/>
          <w:spacing w:val="-3"/>
        </w:rPr>
        <w:t>”</w:t>
      </w:r>
      <w:r>
        <w:rPr>
          <w:spacing w:val="-1"/>
        </w:rPr>
        <w:t>废气处理</w:t>
      </w:r>
      <w:r>
        <w:t>系统处理后达标排放。因此，与《关于印发</w:t>
      </w:r>
      <w:r>
        <w:rPr>
          <w:rFonts w:ascii="Times New Roman" w:eastAsia="Times New Roman" w:hAnsi="Times New Roman"/>
        </w:rPr>
        <w:t xml:space="preserve">&lt;2020 </w:t>
      </w:r>
      <w:r>
        <w:t>年挥发性有机物治理攻坚方案</w:t>
      </w:r>
      <w:r>
        <w:rPr>
          <w:rFonts w:ascii="Times New Roman" w:eastAsia="Times New Roman" w:hAnsi="Times New Roman"/>
          <w:spacing w:val="3"/>
        </w:rPr>
        <w:t>&gt;</w:t>
      </w:r>
      <w:r>
        <w:rPr>
          <w:spacing w:val="4"/>
        </w:rPr>
        <w:t>的通</w:t>
      </w:r>
      <w:r>
        <w:rPr>
          <w:spacing w:val="-53"/>
        </w:rPr>
        <w:t>知》</w:t>
      </w:r>
      <w:r>
        <w:rPr>
          <w:spacing w:val="-3"/>
        </w:rPr>
        <w:t>（</w:t>
      </w:r>
      <w:r>
        <w:rPr>
          <w:spacing w:val="-2"/>
        </w:rPr>
        <w:t>环大气</w:t>
      </w:r>
      <w:r>
        <w:rPr>
          <w:rFonts w:ascii="Times New Roman" w:eastAsia="Times New Roman" w:hAnsi="Times New Roman"/>
        </w:rPr>
        <w:t xml:space="preserve">[2020]33 </w:t>
      </w:r>
      <w:r>
        <w:t>号</w:t>
      </w:r>
      <w:r>
        <w:rPr>
          <w:spacing w:val="-3"/>
        </w:rPr>
        <w:t>）</w:t>
      </w:r>
      <w:r>
        <w:rPr>
          <w:spacing w:val="-2"/>
        </w:rPr>
        <w:t>文件要求相符。</w:t>
      </w:r>
    </w:p>
    <w:p>
      <w:pPr>
        <w:pStyle w:val="Heading3"/>
        <w:numPr>
          <w:ilvl w:val="1"/>
          <w:numId w:val="55"/>
        </w:numPr>
        <w:tabs>
          <w:tab w:val="left" w:pos="2301"/>
        </w:tabs>
        <w:spacing w:before="0" w:after="0" w:line="269" w:lineRule="exact"/>
        <w:ind w:left="2300" w:right="0" w:hanging="530"/>
        <w:jc w:val="both"/>
      </w:pPr>
      <w:r>
        <w:rPr>
          <w:spacing w:val="-8"/>
        </w:rPr>
        <w:t>《江苏省挥发性有机物污染防治管理办法》</w:t>
      </w:r>
      <w:r>
        <w:t>（</w:t>
      </w:r>
      <w:r>
        <w:rPr>
          <w:spacing w:val="-7"/>
        </w:rPr>
        <w:t xml:space="preserve">江苏省人民政府令第 </w:t>
      </w:r>
      <w:r>
        <w:rPr>
          <w:rFonts w:ascii="Times New Roman" w:eastAsia="Times New Roman"/>
          <w:spacing w:val="-5"/>
        </w:rPr>
        <w:t>119</w:t>
      </w:r>
      <w:r>
        <w:rPr>
          <w:rFonts w:ascii="Times New Roman" w:eastAsia="Times New Roman"/>
          <w:spacing w:val="-9"/>
        </w:rPr>
        <w:t xml:space="preserve"> </w:t>
      </w:r>
      <w:r>
        <w:t>号）</w:t>
      </w:r>
    </w:p>
    <w:p>
      <w:pPr>
        <w:pStyle w:val="BodyText"/>
        <w:spacing w:before="139"/>
        <w:ind w:left="1769"/>
        <w:jc w:val="both"/>
        <w:rPr>
          <w:rFonts w:ascii="Times New Roman" w:eastAsia="Times New Roman"/>
        </w:rPr>
      </w:pPr>
      <w:r>
        <w:t xml:space="preserve">《江苏省挥发性有机物污染防治管理办法》（江苏省人民政府令第 </w:t>
      </w:r>
      <w:r>
        <w:rPr>
          <w:rFonts w:ascii="Times New Roman" w:eastAsia="Times New Roman"/>
        </w:rPr>
        <w:t xml:space="preserve">119 </w:t>
      </w:r>
      <w:r>
        <w:t xml:space="preserve">号，自 </w:t>
      </w:r>
      <w:r>
        <w:rPr>
          <w:rFonts w:ascii="Times New Roman" w:eastAsia="Times New Roman"/>
        </w:rPr>
        <w:t>2018</w:t>
      </w:r>
    </w:p>
    <w:p>
      <w:pPr>
        <w:pStyle w:val="BodyText"/>
        <w:spacing w:before="139" w:line="364" w:lineRule="auto"/>
        <w:ind w:left="1349" w:right="226"/>
        <w:jc w:val="both"/>
      </w:pPr>
      <w:r>
        <w:rPr>
          <w:spacing w:val="-10"/>
        </w:rPr>
        <w:t xml:space="preserve">年 </w:t>
      </w:r>
      <w:r>
        <w:rPr>
          <w:rFonts w:ascii="Times New Roman" w:eastAsia="Times New Roman"/>
        </w:rPr>
        <w:t xml:space="preserve">5 </w:t>
      </w:r>
      <w:r>
        <w:rPr>
          <w:spacing w:val="-10"/>
        </w:rPr>
        <w:t xml:space="preserve">月 </w:t>
      </w:r>
      <w:r>
        <w:rPr>
          <w:rFonts w:ascii="Times New Roman" w:eastAsia="Times New Roman"/>
        </w:rPr>
        <w:t xml:space="preserve">1 </w:t>
      </w:r>
      <w:r>
        <w:rPr>
          <w:spacing w:val="-3"/>
        </w:rPr>
        <w:t>日起施行</w:t>
      </w:r>
      <w:r>
        <w:t>）</w:t>
      </w:r>
      <w:r>
        <w:rPr>
          <w:spacing w:val="-3"/>
        </w:rPr>
        <w:t xml:space="preserve">规定：挥发性有机物排放单位应当按照有关规定和监测规范自行或者委托有关监测机构对其排放的挥发性有机物进行监测，记录、保存监测数据，并按照规定向社会公开。监测数据应当真实、可靠，保存时间不得少于 </w:t>
      </w:r>
      <w:r>
        <w:rPr>
          <w:rFonts w:ascii="Times New Roman" w:eastAsia="Times New Roman"/>
        </w:rPr>
        <w:t xml:space="preserve">3 </w:t>
      </w:r>
      <w:r>
        <w:rPr>
          <w:spacing w:val="-3"/>
        </w:rPr>
        <w:t>年。产生挥发性有机物废气的生产经营活动应当在密闭空间或者密闭设备中进行。生产场所、生产设备应当</w:t>
      </w:r>
      <w:r>
        <w:rPr>
          <w:spacing w:val="3"/>
        </w:rPr>
        <w:t>按照环境保护和安全生产等要求设计、安装和有效运行挥发性有机物回收或者净化设施；固体废物、废水、废气处理系统产生的废气应当收集和处理；含有挥发性有机物的物料应当密闭储存、运输、装卸，禁止敞口和露天放置。无法在密闭空间进行的生产经</w:t>
      </w:r>
      <w:r>
        <w:rPr>
          <w:spacing w:val="-3"/>
        </w:rPr>
        <w:t>营活动应当采取有效措施，减少挥发性有机物排放量。</w:t>
      </w:r>
    </w:p>
    <w:p>
      <w:pPr>
        <w:pStyle w:val="BodyText"/>
        <w:spacing w:line="266" w:lineRule="exact"/>
        <w:ind w:left="1769"/>
        <w:jc w:val="both"/>
      </w:pPr>
      <w:r>
        <w:rPr>
          <w:spacing w:val="-3"/>
        </w:rPr>
        <w:t xml:space="preserve">扩建项目生产食品包装，使用的油墨 </w:t>
      </w:r>
      <w:r>
        <w:rPr>
          <w:rFonts w:ascii="Times New Roman" w:eastAsia="Times New Roman"/>
        </w:rPr>
        <w:t>VOCs</w:t>
      </w:r>
      <w:r>
        <w:rPr>
          <w:rFonts w:ascii="Times New Roman" w:eastAsia="Times New Roman"/>
          <w:spacing w:val="37"/>
        </w:rPr>
        <w:t xml:space="preserve"> </w:t>
      </w:r>
      <w:r>
        <w:rPr>
          <w:spacing w:val="-3"/>
        </w:rPr>
        <w:t>含量满足《油墨中可挥发性有机化合物</w:t>
      </w:r>
    </w:p>
    <w:p>
      <w:pPr>
        <w:pStyle w:val="BodyText"/>
        <w:spacing w:before="139"/>
        <w:ind w:left="1349"/>
        <w:jc w:val="both"/>
      </w:pPr>
      <w:r>
        <w:t>（</w:t>
      </w:r>
      <w:r>
        <w:rPr>
          <w:rFonts w:ascii="Times New Roman" w:eastAsia="Times New Roman"/>
        </w:rPr>
        <w:t>VOCs</w:t>
      </w:r>
      <w:r>
        <w:t>）</w:t>
      </w:r>
      <w:r>
        <w:rPr>
          <w:spacing w:val="-21"/>
        </w:rPr>
        <w:t>含量的限值》</w:t>
      </w:r>
      <w:r>
        <w:t>（</w:t>
      </w:r>
      <w:r>
        <w:rPr>
          <w:rFonts w:ascii="Times New Roman" w:eastAsia="Times New Roman"/>
        </w:rPr>
        <w:t>GB/T38507-2020</w:t>
      </w:r>
      <w:r>
        <w:t>）</w:t>
      </w:r>
      <w:r>
        <w:rPr>
          <w:spacing w:val="-6"/>
        </w:rPr>
        <w:t xml:space="preserve">中表 </w:t>
      </w:r>
      <w:r>
        <w:rPr>
          <w:rFonts w:ascii="Times New Roman" w:eastAsia="Times New Roman"/>
        </w:rPr>
        <w:t>1</w:t>
      </w:r>
      <w:r>
        <w:rPr>
          <w:rFonts w:ascii="Times New Roman" w:eastAsia="Times New Roman"/>
          <w:spacing w:val="19"/>
        </w:rPr>
        <w:t xml:space="preserve"> </w:t>
      </w:r>
      <w:r>
        <w:rPr>
          <w:spacing w:val="-3"/>
        </w:rPr>
        <w:t>要求，胶粘剂满足《胶粘剂挥发性有</w:t>
      </w:r>
    </w:p>
    <w:p>
      <w:pPr>
        <w:pStyle w:val="BodyText"/>
        <w:spacing w:before="142" w:line="364" w:lineRule="auto"/>
        <w:ind w:left="1349" w:right="228"/>
        <w:jc w:val="both"/>
      </w:pPr>
      <w:r>
        <w:rPr>
          <w:spacing w:val="-18"/>
        </w:rPr>
        <w:t>机化合物限量》</w:t>
      </w:r>
      <w:r>
        <w:t>（</w:t>
      </w:r>
      <w:r>
        <w:rPr>
          <w:rFonts w:ascii="Times New Roman" w:eastAsia="Times New Roman" w:hAnsi="Times New Roman"/>
        </w:rPr>
        <w:t>GB33732-2020</w:t>
      </w:r>
      <w:r>
        <w:t>）</w:t>
      </w:r>
      <w:r>
        <w:rPr>
          <w:spacing w:val="-7"/>
        </w:rPr>
        <w:t xml:space="preserve">中表 </w:t>
      </w:r>
      <w:r>
        <w:rPr>
          <w:rFonts w:ascii="Times New Roman" w:eastAsia="Times New Roman" w:hAnsi="Times New Roman"/>
        </w:rPr>
        <w:t xml:space="preserve">1 </w:t>
      </w:r>
      <w:r>
        <w:rPr>
          <w:spacing w:val="-3"/>
        </w:rPr>
        <w:t>要求；产生的有机废气经“催化燃烧</w:t>
      </w:r>
      <w:r>
        <w:rPr>
          <w:rFonts w:ascii="Times New Roman" w:eastAsia="Times New Roman" w:hAnsi="Times New Roman"/>
          <w:spacing w:val="-3"/>
        </w:rPr>
        <w:t>”</w:t>
      </w:r>
      <w:r>
        <w:rPr>
          <w:spacing w:val="-1"/>
        </w:rPr>
        <w:t>废气处理</w:t>
      </w:r>
      <w:r>
        <w:rPr>
          <w:spacing w:val="-2"/>
        </w:rPr>
        <w:t>系统处理后达标排放；运营后将根据报告监测要求委托第三方监测机构进行监测并做好</w:t>
      </w:r>
      <w:r>
        <w:rPr>
          <w:spacing w:val="-3"/>
        </w:rPr>
        <w:t>报告的整理保存。综上，扩建项目符合《江苏省挥发性有机物污染防治管理办法》</w:t>
      </w:r>
      <w:r>
        <w:t>（江</w:t>
      </w:r>
      <w:r>
        <w:rPr>
          <w:spacing w:val="-9"/>
        </w:rPr>
        <w:t xml:space="preserve">苏省人民政府令第 </w:t>
      </w:r>
      <w:r>
        <w:rPr>
          <w:rFonts w:ascii="Times New Roman" w:eastAsia="Times New Roman" w:hAnsi="Times New Roman"/>
          <w:spacing w:val="-4"/>
        </w:rPr>
        <w:t xml:space="preserve">119 </w:t>
      </w:r>
      <w:r>
        <w:rPr>
          <w:spacing w:val="-3"/>
        </w:rPr>
        <w:t>号</w:t>
      </w:r>
      <w:r>
        <w:t>）</w:t>
      </w:r>
      <w:r>
        <w:rPr>
          <w:spacing w:val="-3"/>
        </w:rPr>
        <w:t>相关要求。</w:t>
      </w:r>
    </w:p>
    <w:p>
      <w:pPr>
        <w:pStyle w:val="Heading3"/>
        <w:numPr>
          <w:ilvl w:val="1"/>
          <w:numId w:val="55"/>
        </w:numPr>
        <w:tabs>
          <w:tab w:val="left" w:pos="2301"/>
        </w:tabs>
        <w:spacing w:before="0" w:after="0" w:line="265" w:lineRule="exact"/>
        <w:ind w:left="2300" w:right="0" w:hanging="530"/>
        <w:jc w:val="both"/>
      </w:pPr>
      <w:r>
        <w:rPr>
          <w:spacing w:val="-8"/>
        </w:rPr>
        <w:t>《重点行业挥发性有机物综合治理方案》</w:t>
      </w:r>
      <w:r>
        <w:rPr>
          <w:spacing w:val="-3"/>
        </w:rPr>
        <w:t>（</w:t>
      </w:r>
      <w:r>
        <w:rPr>
          <w:spacing w:val="-1"/>
        </w:rPr>
        <w:t>环大气</w:t>
      </w:r>
      <w:r>
        <w:rPr>
          <w:rFonts w:ascii="Times New Roman" w:eastAsia="Times New Roman"/>
        </w:rPr>
        <w:t>[2019]53</w:t>
      </w:r>
      <w:r>
        <w:rPr>
          <w:rFonts w:ascii="Times New Roman" w:eastAsia="Times New Roman"/>
          <w:spacing w:val="-10"/>
        </w:rPr>
        <w:t xml:space="preserve"> </w:t>
      </w:r>
      <w:r>
        <w:t>号）</w:t>
      </w:r>
    </w:p>
    <w:p>
      <w:pPr>
        <w:pStyle w:val="BodyText"/>
        <w:spacing w:before="141" w:line="364" w:lineRule="auto"/>
        <w:ind w:left="1349" w:right="229" w:firstLine="420"/>
        <w:jc w:val="both"/>
      </w:pPr>
      <w:r>
        <w:rPr>
          <w:spacing w:val="-6"/>
          <w:w w:val="100"/>
        </w:rPr>
        <w:t>根据《重点行业挥发性有机物综合治理方案》</w:t>
      </w:r>
      <w:r>
        <w:rPr>
          <w:w w:val="100"/>
        </w:rPr>
        <w:t>（</w:t>
      </w:r>
      <w:r>
        <w:rPr>
          <w:spacing w:val="1"/>
          <w:w w:val="100"/>
        </w:rPr>
        <w:t>环大气</w:t>
      </w:r>
      <w:r>
        <w:rPr>
          <w:rFonts w:ascii="Times New Roman" w:eastAsia="Times New Roman"/>
          <w:spacing w:val="-1"/>
          <w:w w:val="100"/>
        </w:rPr>
        <w:t>[</w:t>
      </w:r>
      <w:r>
        <w:rPr>
          <w:rFonts w:ascii="Times New Roman" w:eastAsia="Times New Roman"/>
          <w:w w:val="100"/>
        </w:rPr>
        <w:t>20</w:t>
      </w:r>
      <w:r>
        <w:rPr>
          <w:rFonts w:ascii="Times New Roman" w:eastAsia="Times New Roman"/>
          <w:spacing w:val="-3"/>
          <w:w w:val="100"/>
        </w:rPr>
        <w:t>1</w:t>
      </w:r>
      <w:r>
        <w:rPr>
          <w:rFonts w:ascii="Times New Roman" w:eastAsia="Times New Roman"/>
          <w:w w:val="100"/>
        </w:rPr>
        <w:t>9</w:t>
      </w:r>
      <w:r>
        <w:rPr>
          <w:rFonts w:ascii="Times New Roman" w:eastAsia="Times New Roman"/>
          <w:spacing w:val="-1"/>
          <w:w w:val="100"/>
        </w:rPr>
        <w:t>]</w:t>
      </w:r>
      <w:r>
        <w:rPr>
          <w:rFonts w:ascii="Times New Roman" w:eastAsia="Times New Roman"/>
          <w:w w:val="100"/>
        </w:rPr>
        <w:t>53</w:t>
      </w:r>
      <w:r>
        <w:rPr>
          <w:rFonts w:ascii="Times New Roman" w:eastAsia="Times New Roman"/>
          <w:spacing w:val="-12"/>
        </w:rPr>
        <w:t xml:space="preserve">  </w:t>
      </w:r>
      <w:r>
        <w:rPr>
          <w:spacing w:val="2"/>
          <w:w w:val="100"/>
        </w:rPr>
        <w:t>号</w:t>
      </w:r>
      <w:r>
        <w:rPr>
          <w:spacing w:val="-106"/>
          <w:w w:val="100"/>
        </w:rPr>
        <w:t>）</w:t>
      </w:r>
      <w:r>
        <w:rPr>
          <w:spacing w:val="-2"/>
          <w:w w:val="100"/>
        </w:rPr>
        <w:t>，江苏省位于长</w:t>
      </w:r>
      <w:r>
        <w:rPr>
          <w:spacing w:val="-3"/>
        </w:rPr>
        <w:t>三角地区，属于文件中重点区域范围，相符性分析</w:t>
      </w:r>
      <w:hyperlink w:anchor="_bookmark5" w:history="1">
        <w:r>
          <w:rPr>
            <w:spacing w:val="-18"/>
          </w:rPr>
          <w:t xml:space="preserve">见表 </w:t>
        </w:r>
        <w:r>
          <w:rPr>
            <w:rFonts w:ascii="Times New Roman" w:eastAsia="Times New Roman"/>
          </w:rPr>
          <w:t>1-8</w:t>
        </w:r>
      </w:hyperlink>
      <w:r>
        <w:t>。</w:t>
      </w:r>
    </w:p>
    <w:p>
      <w:pPr>
        <w:spacing w:after="0" w:line="364" w:lineRule="auto"/>
        <w:jc w:val="both"/>
        <w:sectPr>
          <w:footerReference w:type="default" r:id="rId12"/>
          <w:pgSz w:w="11910" w:h="16840"/>
          <w:pgMar w:top="1360" w:right="1140" w:bottom="1180" w:left="1140" w:header="0" w:footer="994" w:gutter="0"/>
          <w:pgNumType w:start="8"/>
          <w:cols w:num="1" w:space="720"/>
        </w:sectPr>
      </w:pPr>
    </w:p>
    <w:tbl>
      <w:tblPr>
        <w:tblStyle w:val="TableNormal"/>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14"/>
        <w:gridCol w:w="113"/>
        <w:gridCol w:w="619"/>
        <w:gridCol w:w="4534"/>
        <w:gridCol w:w="2880"/>
        <w:gridCol w:w="110"/>
      </w:tblGrid>
      <w:tr>
        <w:tblPrEx>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2668"/>
        </w:trPr>
        <w:tc>
          <w:tcPr>
            <w:tcW w:w="1114" w:type="dxa"/>
            <w:vMerge w:val="restart"/>
            <w:tcBorders>
              <w:right w:val="single" w:sz="4" w:space="0" w:color="000000"/>
            </w:tcBorders>
          </w:tcPr>
          <w:p>
            <w:pPr>
              <w:pStyle w:val="TableParagraph"/>
              <w:rPr>
                <w:rFonts w:ascii="Times New Roman"/>
                <w:sz w:val="18"/>
              </w:rPr>
            </w:pPr>
          </w:p>
        </w:tc>
        <w:tc>
          <w:tcPr>
            <w:tcW w:w="8256" w:type="dxa"/>
            <w:gridSpan w:val="5"/>
            <w:tcBorders>
              <w:left w:val="single" w:sz="4" w:space="0" w:color="000000"/>
              <w:bottom w:val="single" w:sz="4" w:space="0" w:color="000000"/>
            </w:tcBorders>
          </w:tcPr>
          <w:p>
            <w:pPr>
              <w:pStyle w:val="TableParagraph"/>
              <w:spacing w:before="1"/>
              <w:ind w:left="943" w:right="915"/>
              <w:jc w:val="center"/>
              <w:rPr>
                <w:b/>
                <w:sz w:val="21"/>
              </w:rPr>
            </w:pPr>
            <w:bookmarkStart w:id="5" w:name="_bookmark5"/>
            <w:bookmarkEnd w:id="5"/>
            <w:r>
              <w:rPr>
                <w:b/>
                <w:sz w:val="21"/>
              </w:rPr>
              <w:t xml:space="preserve">表 </w:t>
            </w:r>
            <w:r>
              <w:rPr>
                <w:rFonts w:ascii="Times New Roman" w:eastAsia="Times New Roman"/>
                <w:b/>
                <w:sz w:val="21"/>
              </w:rPr>
              <w:t xml:space="preserve">1-8 </w:t>
            </w:r>
            <w:r>
              <w:rPr>
                <w:b/>
                <w:sz w:val="21"/>
              </w:rPr>
              <w:t>项目与《重点行业挥发性有机物综合治理方案》相符性分析表</w:t>
            </w: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rPr>
                <w:sz w:val="22"/>
              </w:rPr>
            </w:pPr>
          </w:p>
          <w:p>
            <w:pPr>
              <w:pStyle w:val="TableParagraph"/>
              <w:spacing w:before="196"/>
              <w:ind w:left="532"/>
              <w:rPr>
                <w:sz w:val="21"/>
              </w:rPr>
            </w:pPr>
            <w:r>
              <w:rPr>
                <w:sz w:val="21"/>
              </w:rPr>
              <w:t>根据上表分析，扩建项目符合《重点行业挥发性有机物综合治理方案》（环大气</w:t>
            </w:r>
          </w:p>
          <w:p>
            <w:pPr>
              <w:pStyle w:val="TableParagraph"/>
              <w:spacing w:before="139"/>
              <w:ind w:left="112"/>
              <w:rPr>
                <w:sz w:val="21"/>
              </w:rPr>
            </w:pPr>
            <w:r>
              <w:rPr>
                <w:rFonts w:ascii="Times New Roman" w:eastAsia="Times New Roman"/>
                <w:sz w:val="21"/>
              </w:rPr>
              <w:t xml:space="preserve">[2019]53 </w:t>
            </w:r>
            <w:r>
              <w:rPr>
                <w:sz w:val="21"/>
              </w:rPr>
              <w:t>号）相关要求。</w:t>
            </w:r>
          </w:p>
          <w:p>
            <w:pPr>
              <w:pStyle w:val="TableParagraph"/>
              <w:spacing w:before="138"/>
              <w:ind w:left="534"/>
              <w:rPr>
                <w:b/>
                <w:sz w:val="21"/>
              </w:rPr>
            </w:pPr>
            <w:r>
              <w:rPr>
                <w:b/>
                <w:spacing w:val="2"/>
                <w:w w:val="100"/>
                <w:sz w:val="21"/>
              </w:rPr>
              <w:t>（</w:t>
            </w:r>
            <w:r>
              <w:rPr>
                <w:rFonts w:ascii="Times New Roman" w:eastAsia="Times New Roman"/>
                <w:b/>
                <w:spacing w:val="-3"/>
                <w:w w:val="100"/>
                <w:sz w:val="21"/>
              </w:rPr>
              <w:t>4</w:t>
            </w:r>
            <w:r>
              <w:rPr>
                <w:b/>
                <w:spacing w:val="-106"/>
                <w:w w:val="100"/>
                <w:sz w:val="21"/>
              </w:rPr>
              <w:t>）</w:t>
            </w:r>
            <w:r>
              <w:rPr>
                <w:b/>
                <w:spacing w:val="-3"/>
                <w:w w:val="100"/>
                <w:sz w:val="21"/>
              </w:rPr>
              <w:t>《盐城市重点行业挥发性有机物综合治理工作方案》</w:t>
            </w:r>
          </w:p>
          <w:p>
            <w:pPr>
              <w:pStyle w:val="TableParagraph"/>
              <w:spacing w:before="139" w:line="247" w:lineRule="exact"/>
              <w:ind w:left="570"/>
              <w:rPr>
                <w:b/>
                <w:sz w:val="21"/>
              </w:rPr>
            </w:pPr>
            <w:r>
              <w:rPr>
                <w:b/>
                <w:sz w:val="21"/>
              </w:rPr>
              <w:t xml:space="preserve">表 </w:t>
            </w:r>
            <w:r>
              <w:rPr>
                <w:rFonts w:ascii="Times New Roman" w:eastAsia="Times New Roman"/>
                <w:b/>
                <w:sz w:val="21"/>
              </w:rPr>
              <w:t xml:space="preserve">1-9 </w:t>
            </w:r>
            <w:r>
              <w:rPr>
                <w:b/>
                <w:sz w:val="21"/>
              </w:rPr>
              <w:t>项目与《盐城市重点行业挥发性有机物综合治理工作方案》相符性分析</w:t>
            </w:r>
          </w:p>
        </w:tc>
      </w:tr>
      <w:tr>
        <w:tblPrEx>
          <w:tblW w:w="0" w:type="auto"/>
          <w:tblInd w:w="138" w:type="dxa"/>
          <w:tblLayout w:type="fixed"/>
          <w:tblCellMar>
            <w:top w:w="0" w:type="dxa"/>
            <w:left w:w="0" w:type="dxa"/>
            <w:bottom w:w="0" w:type="dxa"/>
            <w:right w:w="0" w:type="dxa"/>
          </w:tblCellMar>
        </w:tblPrEx>
        <w:trPr>
          <w:trHeight w:val="282"/>
        </w:trPr>
        <w:tc>
          <w:tcPr>
            <w:tcW w:w="1114" w:type="dxa"/>
            <w:vMerge/>
            <w:tcBorders>
              <w:top w:val="nil"/>
              <w:right w:val="single" w:sz="4" w:space="0" w:color="000000"/>
            </w:tcBorders>
          </w:tcPr>
          <w:p>
            <w:pPr>
              <w:rPr>
                <w:sz w:val="2"/>
                <w:szCs w:val="2"/>
              </w:rPr>
            </w:pPr>
          </w:p>
        </w:tc>
        <w:tc>
          <w:tcPr>
            <w:tcW w:w="113" w:type="dxa"/>
            <w:vMerge w:val="restart"/>
            <w:tcBorders>
              <w:top w:val="nil"/>
              <w:left w:val="single" w:sz="4" w:space="0" w:color="000000"/>
              <w:right w:val="single" w:sz="4" w:space="0" w:color="000000"/>
            </w:tcBorders>
          </w:tcPr>
          <w:p>
            <w:pPr>
              <w:pStyle w:val="TableParagraph"/>
              <w:rPr>
                <w:rFonts w:ascii="Times New Roman"/>
                <w:sz w:val="18"/>
              </w:rPr>
            </w:pPr>
          </w:p>
        </w:tc>
        <w:tc>
          <w:tcPr>
            <w:tcW w:w="619" w:type="dxa"/>
            <w:tcBorders>
              <w:top w:val="single" w:sz="4" w:space="0" w:color="000000"/>
              <w:left w:val="single" w:sz="4" w:space="0" w:color="000000"/>
              <w:bottom w:val="single" w:sz="4" w:space="0" w:color="000000"/>
              <w:right w:val="single" w:sz="4" w:space="0" w:color="000000"/>
            </w:tcBorders>
          </w:tcPr>
          <w:p>
            <w:pPr>
              <w:pStyle w:val="TableParagraph"/>
              <w:spacing w:before="26"/>
              <w:ind w:left="112" w:right="94"/>
              <w:jc w:val="center"/>
              <w:rPr>
                <w:b/>
                <w:sz w:val="18"/>
              </w:rPr>
            </w:pPr>
            <w:r>
              <w:rPr>
                <w:b/>
                <w:sz w:val="18"/>
              </w:rPr>
              <w:t>序号</w:t>
            </w:r>
          </w:p>
        </w:tc>
        <w:tc>
          <w:tcPr>
            <w:tcW w:w="4534" w:type="dxa"/>
            <w:tcBorders>
              <w:top w:val="single" w:sz="4" w:space="0" w:color="000000"/>
              <w:left w:val="single" w:sz="4" w:space="0" w:color="000000"/>
              <w:bottom w:val="single" w:sz="4" w:space="0" w:color="000000"/>
              <w:right w:val="single" w:sz="4" w:space="0" w:color="000000"/>
            </w:tcBorders>
          </w:tcPr>
          <w:p>
            <w:pPr>
              <w:pStyle w:val="TableParagraph"/>
              <w:spacing w:before="26"/>
              <w:ind w:left="14" w:right="3"/>
              <w:jc w:val="center"/>
              <w:rPr>
                <w:b/>
                <w:sz w:val="18"/>
              </w:rPr>
            </w:pPr>
            <w:r>
              <w:rPr>
                <w:b/>
                <w:sz w:val="18"/>
              </w:rPr>
              <w:t>治理工作方案要求</w:t>
            </w:r>
          </w:p>
        </w:tc>
        <w:tc>
          <w:tcPr>
            <w:tcW w:w="2880" w:type="dxa"/>
            <w:tcBorders>
              <w:top w:val="single" w:sz="4" w:space="0" w:color="000000"/>
              <w:left w:val="single" w:sz="4" w:space="0" w:color="000000"/>
              <w:bottom w:val="single" w:sz="4" w:space="0" w:color="000000"/>
              <w:right w:val="single" w:sz="4" w:space="0" w:color="000000"/>
            </w:tcBorders>
          </w:tcPr>
          <w:p>
            <w:pPr>
              <w:pStyle w:val="TableParagraph"/>
              <w:spacing w:before="26"/>
              <w:ind w:left="89" w:right="74"/>
              <w:jc w:val="center"/>
              <w:rPr>
                <w:b/>
                <w:sz w:val="18"/>
              </w:rPr>
            </w:pPr>
            <w:r>
              <w:rPr>
                <w:b/>
                <w:sz w:val="18"/>
              </w:rPr>
              <w:t>相符性分析</w:t>
            </w:r>
          </w:p>
        </w:tc>
        <w:tc>
          <w:tcPr>
            <w:tcW w:w="110"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755"/>
        </w:trPr>
        <w:tc>
          <w:tcPr>
            <w:tcW w:w="111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619" w:type="dxa"/>
            <w:tcBorders>
              <w:top w:val="single" w:sz="4" w:space="0" w:color="000000"/>
              <w:left w:val="single" w:sz="4" w:space="0" w:color="000000"/>
              <w:bottom w:val="single" w:sz="12" w:space="0" w:color="000000"/>
              <w:right w:val="single" w:sz="4" w:space="0" w:color="000000"/>
            </w:tcBorders>
          </w:tcPr>
          <w:p>
            <w:pPr>
              <w:pStyle w:val="TableParagraph"/>
              <w:spacing w:before="4"/>
              <w:rPr>
                <w:sz w:val="21"/>
              </w:rPr>
            </w:pPr>
          </w:p>
          <w:p>
            <w:pPr>
              <w:pStyle w:val="TableParagraph"/>
              <w:ind w:left="12"/>
              <w:jc w:val="center"/>
              <w:rPr>
                <w:rFonts w:ascii="Times New Roman"/>
                <w:sz w:val="18"/>
              </w:rPr>
            </w:pPr>
            <w:r>
              <w:rPr>
                <w:rFonts w:ascii="Times New Roman"/>
                <w:sz w:val="18"/>
              </w:rPr>
              <w:t>1</w:t>
            </w:r>
          </w:p>
        </w:tc>
        <w:tc>
          <w:tcPr>
            <w:tcW w:w="4534" w:type="dxa"/>
            <w:tcBorders>
              <w:top w:val="single" w:sz="4" w:space="0" w:color="000000"/>
              <w:left w:val="single" w:sz="4" w:space="0" w:color="000000"/>
              <w:bottom w:val="single" w:sz="12" w:space="0" w:color="000000"/>
              <w:right w:val="single" w:sz="4" w:space="0" w:color="000000"/>
            </w:tcBorders>
          </w:tcPr>
          <w:p>
            <w:pPr>
              <w:pStyle w:val="TableParagraph"/>
              <w:spacing w:before="26"/>
              <w:ind w:left="17" w:right="3"/>
              <w:jc w:val="center"/>
              <w:rPr>
                <w:sz w:val="18"/>
              </w:rPr>
            </w:pPr>
            <w:r>
              <w:rPr>
                <w:sz w:val="18"/>
              </w:rPr>
              <w:t>加强油墨、稀释剂、胶粘剂、涂布液、清洗</w:t>
            </w:r>
          </w:p>
          <w:p>
            <w:pPr>
              <w:pStyle w:val="TableParagraph"/>
              <w:spacing w:before="5"/>
              <w:ind w:left="14" w:right="3"/>
              <w:jc w:val="center"/>
              <w:rPr>
                <w:sz w:val="18"/>
              </w:rPr>
            </w:pPr>
            <w:r>
              <w:rPr>
                <w:sz w:val="18"/>
              </w:rPr>
              <w:t xml:space="preserve">剂等含 </w:t>
            </w:r>
            <w:r>
              <w:rPr>
                <w:rFonts w:ascii="Times New Roman" w:eastAsia="Times New Roman"/>
                <w:sz w:val="18"/>
              </w:rPr>
              <w:t xml:space="preserve">VOCs </w:t>
            </w:r>
            <w:r>
              <w:rPr>
                <w:sz w:val="18"/>
              </w:rPr>
              <w:t>物料储存、调配、输送、使用等工艺环节</w:t>
            </w:r>
          </w:p>
          <w:p>
            <w:pPr>
              <w:pStyle w:val="TableParagraph"/>
              <w:spacing w:before="2"/>
              <w:ind w:left="14" w:right="3"/>
              <w:jc w:val="center"/>
              <w:rPr>
                <w:sz w:val="18"/>
              </w:rPr>
            </w:pPr>
            <w:r>
              <w:rPr>
                <w:rFonts w:ascii="Times New Roman" w:eastAsia="Times New Roman"/>
                <w:sz w:val="18"/>
              </w:rPr>
              <w:t xml:space="preserve">VOCs </w:t>
            </w:r>
            <w:r>
              <w:rPr>
                <w:sz w:val="18"/>
              </w:rPr>
              <w:t>无组织逸散控制。</w:t>
            </w:r>
          </w:p>
        </w:tc>
        <w:tc>
          <w:tcPr>
            <w:tcW w:w="2880" w:type="dxa"/>
            <w:tcBorders>
              <w:top w:val="single" w:sz="4" w:space="0" w:color="000000"/>
              <w:left w:val="single" w:sz="4" w:space="0" w:color="000000"/>
              <w:bottom w:val="single" w:sz="12" w:space="0" w:color="000000"/>
              <w:right w:val="single" w:sz="4" w:space="0" w:color="000000"/>
            </w:tcBorders>
          </w:tcPr>
          <w:p>
            <w:pPr>
              <w:pStyle w:val="TableParagraph"/>
              <w:spacing w:before="26" w:line="244" w:lineRule="auto"/>
              <w:ind w:left="93" w:right="73"/>
              <w:jc w:val="both"/>
              <w:rPr>
                <w:sz w:val="18"/>
              </w:rPr>
            </w:pPr>
            <w:r>
              <w:rPr>
                <w:sz w:val="18"/>
              </w:rPr>
              <w:t>本项目使用的油墨、胶粘剂及稀释剂均密闭桶装存放于原料仓库、甲类仓库中，生产和使用过程均在密</w:t>
            </w:r>
          </w:p>
        </w:tc>
        <w:tc>
          <w:tcPr>
            <w:tcW w:w="110" w:type="dxa"/>
            <w:tcBorders>
              <w:top w:val="nil"/>
              <w:left w:val="single" w:sz="4" w:space="0" w:color="000000"/>
            </w:tcBorders>
          </w:tcPr>
          <w:p>
            <w:pPr>
              <w:pStyle w:val="TableParagraph"/>
              <w:rPr>
                <w:rFonts w:ascii="Times New Roman"/>
                <w:sz w:val="18"/>
              </w:rPr>
            </w:pPr>
          </w:p>
        </w:tc>
      </w:tr>
    </w:tbl>
    <w:p>
      <w:pPr>
        <w:rPr>
          <w:sz w:val="2"/>
          <w:szCs w:val="2"/>
        </w:rPr>
      </w:pPr>
      <w:r>
        <w:pict>
          <v:shape id="_x0000_s1089" o:spid="_x0000_s1088" type="#_x0000_t202" style="width:402.45pt;height:533.15pt;margin-top:85.55pt;margin-left:124.45pt;mso-height-relative:page;mso-position-horizontal-relative:page;mso-position-vertical-relative:page;mso-width-relative:page;position:absolute;z-index:251663360"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439"/>
                    <w:gridCol w:w="5541"/>
                    <w:gridCol w:w="2055"/>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37"/>
                    </w:trPr>
                    <w:tc>
                      <w:tcPr>
                        <w:tcW w:w="439" w:type="dxa"/>
                      </w:tcPr>
                      <w:p>
                        <w:pPr>
                          <w:pStyle w:val="TableParagraph"/>
                          <w:spacing w:before="52"/>
                          <w:ind w:left="17" w:right="10"/>
                          <w:jc w:val="center"/>
                          <w:rPr>
                            <w:b/>
                            <w:sz w:val="18"/>
                          </w:rPr>
                        </w:pPr>
                        <w:r>
                          <w:rPr>
                            <w:b/>
                            <w:sz w:val="18"/>
                          </w:rPr>
                          <w:t>序号</w:t>
                        </w:r>
                      </w:p>
                    </w:tc>
                    <w:tc>
                      <w:tcPr>
                        <w:tcW w:w="5541" w:type="dxa"/>
                      </w:tcPr>
                      <w:p>
                        <w:pPr>
                          <w:pStyle w:val="TableParagraph"/>
                          <w:spacing w:before="52"/>
                          <w:ind w:left="11"/>
                          <w:jc w:val="center"/>
                          <w:rPr>
                            <w:b/>
                            <w:sz w:val="18"/>
                          </w:rPr>
                        </w:pPr>
                        <w:r>
                          <w:rPr>
                            <w:b/>
                            <w:sz w:val="18"/>
                          </w:rPr>
                          <w:t>文件要求</w:t>
                        </w:r>
                      </w:p>
                    </w:tc>
                    <w:tc>
                      <w:tcPr>
                        <w:tcW w:w="2055" w:type="dxa"/>
                      </w:tcPr>
                      <w:p>
                        <w:pPr>
                          <w:pStyle w:val="TableParagraph"/>
                          <w:spacing w:before="52"/>
                          <w:ind w:left="35" w:right="27"/>
                          <w:jc w:val="center"/>
                          <w:rPr>
                            <w:b/>
                            <w:sz w:val="18"/>
                          </w:rPr>
                        </w:pPr>
                        <w:r>
                          <w:rPr>
                            <w:b/>
                            <w:sz w:val="18"/>
                          </w:rPr>
                          <w:t>相符性</w:t>
                        </w:r>
                      </w:p>
                    </w:tc>
                  </w:tr>
                  <w:tr>
                    <w:tblPrEx>
                      <w:tblW w:w="0" w:type="auto"/>
                      <w:tblInd w:w="5" w:type="dxa"/>
                      <w:tblLayout w:type="fixed"/>
                      <w:tblCellMar>
                        <w:top w:w="0" w:type="dxa"/>
                        <w:left w:w="0" w:type="dxa"/>
                        <w:bottom w:w="0" w:type="dxa"/>
                        <w:right w:w="0" w:type="dxa"/>
                      </w:tblCellMar>
                    </w:tblPrEx>
                    <w:trPr>
                      <w:trHeight w:val="345"/>
                    </w:trPr>
                    <w:tc>
                      <w:tcPr>
                        <w:tcW w:w="439" w:type="dxa"/>
                        <w:tcBorders>
                          <w:bottom w:val="nil"/>
                        </w:tcBorders>
                      </w:tcPr>
                      <w:p>
                        <w:pPr>
                          <w:pStyle w:val="TableParagraph"/>
                          <w:rPr>
                            <w:rFonts w:ascii="Times New Roman"/>
                            <w:sz w:val="18"/>
                          </w:rPr>
                        </w:pPr>
                      </w:p>
                    </w:tc>
                    <w:tc>
                      <w:tcPr>
                        <w:tcW w:w="5541" w:type="dxa"/>
                        <w:tcBorders>
                          <w:bottom w:val="nil"/>
                        </w:tcBorders>
                      </w:tcPr>
                      <w:p>
                        <w:pPr>
                          <w:pStyle w:val="TableParagraph"/>
                          <w:spacing w:before="117" w:line="208" w:lineRule="exact"/>
                          <w:ind w:left="10"/>
                          <w:jc w:val="center"/>
                          <w:rPr>
                            <w:sz w:val="18"/>
                          </w:rPr>
                        </w:pPr>
                        <w:r>
                          <w:rPr>
                            <w:sz w:val="18"/>
                          </w:rPr>
                          <w:t>（一）大力推进源头替代。通过使用水性、粉末、高固体分、无溶</w:t>
                        </w:r>
                      </w:p>
                    </w:tc>
                    <w:tc>
                      <w:tcPr>
                        <w:tcW w:w="2055" w:type="dxa"/>
                        <w:vMerge w:val="restart"/>
                      </w:tcPr>
                      <w:p>
                        <w:pPr>
                          <w:pStyle w:val="TableParagraph"/>
                          <w:spacing w:before="2" w:line="242" w:lineRule="auto"/>
                          <w:ind w:left="35" w:right="27"/>
                          <w:jc w:val="center"/>
                          <w:rPr>
                            <w:sz w:val="18"/>
                          </w:rPr>
                        </w:pPr>
                        <w:r>
                          <w:rPr>
                            <w:spacing w:val="-2"/>
                            <w:sz w:val="18"/>
                          </w:rPr>
                          <w:t>扩建项目属于食品包装制</w:t>
                        </w:r>
                        <w:r>
                          <w:rPr>
                            <w:sz w:val="18"/>
                          </w:rPr>
                          <w:t>造行业，使用的油墨</w:t>
                        </w:r>
                      </w:p>
                      <w:p>
                        <w:pPr>
                          <w:pStyle w:val="TableParagraph"/>
                          <w:spacing w:line="242" w:lineRule="auto"/>
                          <w:ind w:left="43" w:right="29"/>
                          <w:jc w:val="center"/>
                          <w:rPr>
                            <w:sz w:val="18"/>
                          </w:rPr>
                        </w:pPr>
                        <w:r>
                          <w:rPr>
                            <w:sz w:val="18"/>
                          </w:rPr>
                          <w:t>（</w:t>
                        </w:r>
                        <w:r>
                          <w:rPr>
                            <w:rFonts w:ascii="Times New Roman" w:eastAsia="Times New Roman"/>
                            <w:spacing w:val="-1"/>
                            <w:w w:val="99"/>
                            <w:sz w:val="18"/>
                          </w:rPr>
                          <w:t>V</w:t>
                        </w:r>
                        <w:r>
                          <w:rPr>
                            <w:rFonts w:ascii="Times New Roman" w:eastAsia="Times New Roman"/>
                            <w:w w:val="99"/>
                            <w:sz w:val="18"/>
                          </w:rPr>
                          <w:t>OCs</w:t>
                        </w:r>
                        <w:r>
                          <w:rPr>
                            <w:rFonts w:ascii="Times New Roman" w:eastAsia="Times New Roman"/>
                            <w:spacing w:val="-10"/>
                            <w:sz w:val="18"/>
                          </w:rPr>
                          <w:t xml:space="preserve"> </w:t>
                        </w:r>
                        <w:r>
                          <w:rPr>
                            <w:spacing w:val="-15"/>
                            <w:sz w:val="18"/>
                          </w:rPr>
                          <w:t xml:space="preserve">含量 </w:t>
                        </w:r>
                        <w:r>
                          <w:rPr>
                            <w:rFonts w:ascii="Times New Roman" w:eastAsia="Times New Roman"/>
                            <w:spacing w:val="1"/>
                            <w:sz w:val="18"/>
                          </w:rPr>
                          <w:t>72</w:t>
                        </w:r>
                        <w:r>
                          <w:rPr>
                            <w:rFonts w:ascii="Times New Roman" w:eastAsia="Times New Roman"/>
                            <w:sz w:val="18"/>
                          </w:rPr>
                          <w:t>.</w:t>
                        </w:r>
                        <w:r>
                          <w:rPr>
                            <w:rFonts w:ascii="Times New Roman" w:eastAsia="Times New Roman"/>
                            <w:spacing w:val="-2"/>
                            <w:sz w:val="18"/>
                          </w:rPr>
                          <w:t>8</w:t>
                        </w:r>
                        <w:r>
                          <w:rPr>
                            <w:rFonts w:ascii="Times New Roman" w:eastAsia="Times New Roman"/>
                            <w:spacing w:val="1"/>
                            <w:sz w:val="18"/>
                          </w:rPr>
                          <w:t>3%</w:t>
                        </w:r>
                        <w:r>
                          <w:rPr>
                            <w:spacing w:val="-92"/>
                            <w:sz w:val="18"/>
                          </w:rPr>
                          <w:t>）</w:t>
                        </w:r>
                        <w:r>
                          <w:rPr>
                            <w:sz w:val="18"/>
                          </w:rPr>
                          <w:t>、胶粘剂（</w:t>
                        </w:r>
                        <w:r>
                          <w:rPr>
                            <w:rFonts w:ascii="Times New Roman" w:eastAsia="Times New Roman"/>
                            <w:sz w:val="18"/>
                          </w:rPr>
                          <w:t>VOCs</w:t>
                        </w:r>
                        <w:r>
                          <w:rPr>
                            <w:rFonts w:ascii="Times New Roman" w:eastAsia="Times New Roman"/>
                            <w:spacing w:val="-11"/>
                            <w:sz w:val="18"/>
                          </w:rPr>
                          <w:t xml:space="preserve"> </w:t>
                        </w:r>
                        <w:r>
                          <w:rPr>
                            <w:sz w:val="18"/>
                          </w:rPr>
                          <w:t>含量</w:t>
                        </w:r>
                        <w:r>
                          <w:rPr>
                            <w:rFonts w:ascii="Times New Roman" w:eastAsia="Times New Roman"/>
                            <w:sz w:val="18"/>
                          </w:rPr>
                          <w:t>343~356g/L</w:t>
                        </w:r>
                        <w:r>
                          <w:rPr>
                            <w:sz w:val="18"/>
                          </w:rPr>
                          <w:t>）</w:t>
                        </w:r>
                        <w:r>
                          <w:rPr>
                            <w:spacing w:val="-3"/>
                            <w:sz w:val="18"/>
                          </w:rPr>
                          <w:t>符合《油墨</w:t>
                        </w:r>
                        <w:r>
                          <w:rPr>
                            <w:sz w:val="18"/>
                          </w:rPr>
                          <w:t>中可挥发性有机化合物</w:t>
                        </w:r>
                        <w:r>
                          <w:rPr>
                            <w:rFonts w:ascii="Times New Roman" w:eastAsia="Times New Roman"/>
                            <w:sz w:val="18"/>
                          </w:rPr>
                          <w:t>(VOCs)</w:t>
                        </w:r>
                        <w:r>
                          <w:rPr>
                            <w:sz w:val="18"/>
                          </w:rPr>
                          <w:t>含量的限值》</w:t>
                        </w:r>
                      </w:p>
                      <w:p>
                        <w:pPr>
                          <w:pStyle w:val="TableParagraph"/>
                          <w:spacing w:before="4"/>
                          <w:ind w:left="33" w:right="27"/>
                          <w:jc w:val="center"/>
                          <w:rPr>
                            <w:sz w:val="18"/>
                          </w:rPr>
                        </w:pPr>
                        <w:r>
                          <w:rPr>
                            <w:sz w:val="18"/>
                          </w:rPr>
                          <w:t>（</w:t>
                        </w:r>
                        <w:r>
                          <w:rPr>
                            <w:rFonts w:ascii="Times New Roman" w:eastAsia="Times New Roman"/>
                            <w:spacing w:val="-3"/>
                            <w:w w:val="99"/>
                            <w:sz w:val="18"/>
                          </w:rPr>
                          <w:t>G</w:t>
                        </w:r>
                        <w:r>
                          <w:rPr>
                            <w:rFonts w:ascii="Times New Roman" w:eastAsia="Times New Roman"/>
                            <w:sz w:val="18"/>
                          </w:rPr>
                          <w:t>B3</w:t>
                        </w:r>
                        <w:r>
                          <w:rPr>
                            <w:rFonts w:ascii="Times New Roman" w:eastAsia="Times New Roman"/>
                            <w:spacing w:val="1"/>
                            <w:sz w:val="18"/>
                          </w:rPr>
                          <w:t>8507</w:t>
                        </w:r>
                        <w:r>
                          <w:rPr>
                            <w:rFonts w:ascii="Times New Roman" w:eastAsia="Times New Roman"/>
                            <w:spacing w:val="-3"/>
                            <w:sz w:val="18"/>
                          </w:rPr>
                          <w:t>-</w:t>
                        </w:r>
                        <w:r>
                          <w:rPr>
                            <w:rFonts w:ascii="Times New Roman" w:eastAsia="Times New Roman"/>
                            <w:spacing w:val="1"/>
                            <w:sz w:val="18"/>
                          </w:rPr>
                          <w:t>2</w:t>
                        </w:r>
                        <w:r>
                          <w:rPr>
                            <w:rFonts w:ascii="Times New Roman" w:eastAsia="Times New Roman"/>
                            <w:spacing w:val="-2"/>
                            <w:sz w:val="18"/>
                          </w:rPr>
                          <w:t>0</w:t>
                        </w:r>
                        <w:r>
                          <w:rPr>
                            <w:rFonts w:ascii="Times New Roman" w:eastAsia="Times New Roman"/>
                            <w:spacing w:val="1"/>
                            <w:sz w:val="18"/>
                          </w:rPr>
                          <w:t>20</w:t>
                        </w:r>
                        <w:r>
                          <w:rPr>
                            <w:spacing w:val="-92"/>
                            <w:sz w:val="18"/>
                          </w:rPr>
                          <w:t>）</w:t>
                        </w:r>
                        <w:r>
                          <w:rPr>
                            <w:spacing w:val="-31"/>
                            <w:sz w:val="18"/>
                          </w:rPr>
                          <w:t>、《胶</w:t>
                        </w:r>
                      </w:p>
                      <w:p>
                        <w:pPr>
                          <w:pStyle w:val="TableParagraph"/>
                          <w:spacing w:before="2" w:line="242" w:lineRule="auto"/>
                          <w:ind w:left="12" w:right="4"/>
                          <w:jc w:val="center"/>
                          <w:rPr>
                            <w:sz w:val="18"/>
                          </w:rPr>
                        </w:pPr>
                        <w:r>
                          <w:rPr>
                            <w:sz w:val="18"/>
                          </w:rPr>
                          <w:t>粘剂挥发性有机化合物限量》（</w:t>
                        </w:r>
                        <w:r>
                          <w:rPr>
                            <w:rFonts w:ascii="Times New Roman" w:eastAsia="Times New Roman"/>
                            <w:sz w:val="18"/>
                          </w:rPr>
                          <w:t>GB33732-2020</w:t>
                        </w:r>
                        <w:r>
                          <w:rPr>
                            <w:sz w:val="18"/>
                          </w:rPr>
                          <w:t>）等</w:t>
                        </w:r>
                      </w:p>
                      <w:p>
                        <w:pPr>
                          <w:pStyle w:val="TableParagraph"/>
                          <w:spacing w:line="215" w:lineRule="exact"/>
                          <w:ind w:left="35" w:right="26"/>
                          <w:jc w:val="center"/>
                          <w:rPr>
                            <w:sz w:val="18"/>
                          </w:rPr>
                        </w:pPr>
                        <w:r>
                          <w:rPr>
                            <w:sz w:val="18"/>
                          </w:rPr>
                          <w:t>文件要求</w:t>
                        </w:r>
                      </w:p>
                    </w:tc>
                  </w:tr>
                  <w:tr>
                    <w:tblPrEx>
                      <w:tblW w:w="0" w:type="auto"/>
                      <w:tblInd w:w="5" w:type="dxa"/>
                      <w:tblLayout w:type="fixed"/>
                      <w:tblCellMar>
                        <w:top w:w="0" w:type="dxa"/>
                        <w:left w:w="0" w:type="dxa"/>
                        <w:bottom w:w="0" w:type="dxa"/>
                        <w:right w:w="0" w:type="dxa"/>
                      </w:tblCellMar>
                    </w:tblPrEx>
                    <w:trPr>
                      <w:trHeight w:val="224"/>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line="204" w:lineRule="exact"/>
                          <w:ind w:left="8"/>
                          <w:jc w:val="center"/>
                          <w:rPr>
                            <w:sz w:val="18"/>
                          </w:rPr>
                        </w:pPr>
                        <w:r>
                          <w:rPr>
                            <w:sz w:val="18"/>
                          </w:rPr>
                          <w:t>剂、辐射固化等低非甲烷总烃含量的涂料，水性、辐射固化、植物基</w:t>
                        </w:r>
                      </w:p>
                    </w:tc>
                    <w:tc>
                      <w:tcPr>
                        <w:tcW w:w="2055"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222"/>
                    </w:trPr>
                    <w:tc>
                      <w:tcPr>
                        <w:tcW w:w="439" w:type="dxa"/>
                        <w:tcBorders>
                          <w:top w:val="nil"/>
                          <w:bottom w:val="nil"/>
                        </w:tcBorders>
                      </w:tcPr>
                      <w:p>
                        <w:pPr>
                          <w:pStyle w:val="TableParagraph"/>
                          <w:rPr>
                            <w:rFonts w:ascii="Times New Roman"/>
                            <w:sz w:val="14"/>
                          </w:rPr>
                        </w:pPr>
                      </w:p>
                    </w:tc>
                    <w:tc>
                      <w:tcPr>
                        <w:tcW w:w="5541" w:type="dxa"/>
                        <w:tcBorders>
                          <w:top w:val="nil"/>
                          <w:bottom w:val="nil"/>
                        </w:tcBorders>
                      </w:tcPr>
                      <w:p>
                        <w:pPr>
                          <w:pStyle w:val="TableParagraph"/>
                          <w:spacing w:line="203" w:lineRule="exact"/>
                          <w:ind w:left="11"/>
                          <w:jc w:val="center"/>
                          <w:rPr>
                            <w:sz w:val="18"/>
                          </w:rPr>
                        </w:pPr>
                        <w:r>
                          <w:rPr>
                            <w:sz w:val="18"/>
                          </w:rPr>
                          <w:t>等低非甲烷总烃含量的油墨，水基、热熔、无溶剂、辐射固化、改</w:t>
                        </w:r>
                      </w:p>
                    </w:tc>
                    <w:tc>
                      <w:tcPr>
                        <w:tcW w:w="2055"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222"/>
                    </w:trPr>
                    <w:tc>
                      <w:tcPr>
                        <w:tcW w:w="439" w:type="dxa"/>
                        <w:tcBorders>
                          <w:top w:val="nil"/>
                          <w:bottom w:val="nil"/>
                        </w:tcBorders>
                      </w:tcPr>
                      <w:p>
                        <w:pPr>
                          <w:pStyle w:val="TableParagraph"/>
                          <w:rPr>
                            <w:rFonts w:ascii="Times New Roman"/>
                            <w:sz w:val="14"/>
                          </w:rPr>
                        </w:pPr>
                      </w:p>
                    </w:tc>
                    <w:tc>
                      <w:tcPr>
                        <w:tcW w:w="5541" w:type="dxa"/>
                        <w:tcBorders>
                          <w:top w:val="nil"/>
                          <w:bottom w:val="nil"/>
                        </w:tcBorders>
                      </w:tcPr>
                      <w:p>
                        <w:pPr>
                          <w:pStyle w:val="TableParagraph"/>
                          <w:spacing w:line="203" w:lineRule="exact"/>
                          <w:ind w:left="11"/>
                          <w:jc w:val="center"/>
                          <w:rPr>
                            <w:sz w:val="18"/>
                          </w:rPr>
                        </w:pPr>
                        <w:r>
                          <w:rPr>
                            <w:sz w:val="18"/>
                          </w:rPr>
                          <w:t>性、生物降解等低非甲烷总烃含量的胶粘剂，以及低非甲烷总烃含</w:t>
                        </w:r>
                      </w:p>
                    </w:tc>
                    <w:tc>
                      <w:tcPr>
                        <w:tcW w:w="2055"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464"/>
                    </w:trPr>
                    <w:tc>
                      <w:tcPr>
                        <w:tcW w:w="439" w:type="dxa"/>
                        <w:tcBorders>
                          <w:top w:val="nil"/>
                          <w:bottom w:val="nil"/>
                        </w:tcBorders>
                      </w:tcPr>
                      <w:p>
                        <w:pPr>
                          <w:pStyle w:val="TableParagraph"/>
                          <w:spacing w:before="125"/>
                          <w:ind w:left="6"/>
                          <w:jc w:val="center"/>
                          <w:rPr>
                            <w:rFonts w:ascii="Times New Roman"/>
                            <w:sz w:val="18"/>
                          </w:rPr>
                        </w:pPr>
                        <w:r>
                          <w:rPr>
                            <w:rFonts w:ascii="Times New Roman"/>
                            <w:sz w:val="18"/>
                          </w:rPr>
                          <w:t>1</w:t>
                        </w:r>
                      </w:p>
                    </w:tc>
                    <w:tc>
                      <w:tcPr>
                        <w:tcW w:w="5541" w:type="dxa"/>
                        <w:tcBorders>
                          <w:top w:val="nil"/>
                          <w:bottom w:val="nil"/>
                        </w:tcBorders>
                      </w:tcPr>
                      <w:p>
                        <w:pPr>
                          <w:pStyle w:val="TableParagraph"/>
                          <w:spacing w:line="227" w:lineRule="exact"/>
                          <w:ind w:left="69"/>
                          <w:rPr>
                            <w:sz w:val="18"/>
                          </w:rPr>
                        </w:pPr>
                        <w:r>
                          <w:rPr>
                            <w:sz w:val="18"/>
                          </w:rPr>
                          <w:t>量、低反应活性的清洗剂等，替代溶剂型涂料、油墨、胶粘剂、清洗</w:t>
                        </w:r>
                      </w:p>
                      <w:p>
                        <w:pPr>
                          <w:pStyle w:val="TableParagraph"/>
                          <w:spacing w:before="4" w:line="214" w:lineRule="exact"/>
                          <w:ind w:left="69"/>
                          <w:rPr>
                            <w:sz w:val="18"/>
                          </w:rPr>
                        </w:pPr>
                        <w:r>
                          <w:rPr>
                            <w:sz w:val="18"/>
                          </w:rPr>
                          <w:t>剂等，从源头减少非甲烷总烃产生</w:t>
                        </w:r>
                        <w:r>
                          <w:rPr>
                            <w:rFonts w:ascii="Times New Roman" w:eastAsia="Times New Roman" w:hAnsi="Times New Roman"/>
                            <w:sz w:val="18"/>
                          </w:rPr>
                          <w:t>……</w:t>
                        </w:r>
                        <w:r>
                          <w:rPr>
                            <w:sz w:val="18"/>
                          </w:rPr>
                          <w:t>鼓励加快低非甲烷总烃含量涂</w:t>
                        </w:r>
                      </w:p>
                    </w:tc>
                    <w:tc>
                      <w:tcPr>
                        <w:tcW w:w="2055"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215"/>
                    </w:trPr>
                    <w:tc>
                      <w:tcPr>
                        <w:tcW w:w="439" w:type="dxa"/>
                        <w:tcBorders>
                          <w:top w:val="nil"/>
                          <w:bottom w:val="nil"/>
                        </w:tcBorders>
                      </w:tcPr>
                      <w:p>
                        <w:pPr>
                          <w:pStyle w:val="TableParagraph"/>
                          <w:rPr>
                            <w:rFonts w:ascii="Times New Roman"/>
                            <w:sz w:val="14"/>
                          </w:rPr>
                        </w:pPr>
                      </w:p>
                    </w:tc>
                    <w:tc>
                      <w:tcPr>
                        <w:tcW w:w="5541" w:type="dxa"/>
                        <w:tcBorders>
                          <w:top w:val="nil"/>
                          <w:bottom w:val="nil"/>
                        </w:tcBorders>
                      </w:tcPr>
                      <w:p>
                        <w:pPr>
                          <w:pStyle w:val="TableParagraph"/>
                          <w:spacing w:line="196" w:lineRule="exact"/>
                          <w:ind w:left="11"/>
                          <w:jc w:val="center"/>
                          <w:rPr>
                            <w:sz w:val="18"/>
                          </w:rPr>
                        </w:pPr>
                        <w:r>
                          <w:rPr>
                            <w:sz w:val="18"/>
                          </w:rPr>
                          <w:t>料、油墨、胶粘剂等研发和生产。</w:t>
                        </w:r>
                      </w:p>
                    </w:tc>
                    <w:tc>
                      <w:tcPr>
                        <w:tcW w:w="2055"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219"/>
                    </w:trPr>
                    <w:tc>
                      <w:tcPr>
                        <w:tcW w:w="439" w:type="dxa"/>
                        <w:tcBorders>
                          <w:top w:val="nil"/>
                          <w:bottom w:val="nil"/>
                        </w:tcBorders>
                      </w:tcPr>
                      <w:p>
                        <w:pPr>
                          <w:pStyle w:val="TableParagraph"/>
                          <w:rPr>
                            <w:rFonts w:ascii="Times New Roman"/>
                            <w:sz w:val="14"/>
                          </w:rPr>
                        </w:pPr>
                      </w:p>
                    </w:tc>
                    <w:tc>
                      <w:tcPr>
                        <w:tcW w:w="5541" w:type="dxa"/>
                        <w:tcBorders>
                          <w:top w:val="nil"/>
                          <w:bottom w:val="nil"/>
                        </w:tcBorders>
                      </w:tcPr>
                      <w:p>
                        <w:pPr>
                          <w:pStyle w:val="TableParagraph"/>
                          <w:spacing w:line="200" w:lineRule="exact"/>
                          <w:ind w:left="9"/>
                          <w:jc w:val="center"/>
                          <w:rPr>
                            <w:sz w:val="18"/>
                          </w:rPr>
                        </w:pPr>
                        <w:r>
                          <w:rPr>
                            <w:sz w:val="18"/>
                          </w:rPr>
                          <w:t>加强政策引导。企业采用符合国家有关低非甲烷总烃含量产品规定的</w:t>
                        </w:r>
                      </w:p>
                    </w:tc>
                    <w:tc>
                      <w:tcPr>
                        <w:tcW w:w="2055"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230"/>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line="211" w:lineRule="exact"/>
                          <w:ind w:left="11"/>
                          <w:jc w:val="center"/>
                          <w:rPr>
                            <w:sz w:val="18"/>
                          </w:rPr>
                        </w:pPr>
                        <w:r>
                          <w:rPr>
                            <w:sz w:val="18"/>
                          </w:rPr>
                          <w:t>涂料、油墨、胶粘剂等</w:t>
                        </w:r>
                        <w:r>
                          <w:rPr>
                            <w:rFonts w:ascii="Times New Roman" w:eastAsia="Times New Roman" w:hAnsi="Times New Roman"/>
                            <w:sz w:val="18"/>
                          </w:rPr>
                          <w:t>……</w:t>
                        </w:r>
                        <w:r>
                          <w:rPr>
                            <w:sz w:val="18"/>
                          </w:rPr>
                          <w:t>使用的原辅材料非甲烷总烃含量（质量</w:t>
                        </w:r>
                      </w:p>
                    </w:tc>
                    <w:tc>
                      <w:tcPr>
                        <w:tcW w:w="2055"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343"/>
                    </w:trPr>
                    <w:tc>
                      <w:tcPr>
                        <w:tcW w:w="439" w:type="dxa"/>
                        <w:tcBorders>
                          <w:top w:val="nil"/>
                        </w:tcBorders>
                      </w:tcPr>
                      <w:p>
                        <w:pPr>
                          <w:pStyle w:val="TableParagraph"/>
                          <w:rPr>
                            <w:rFonts w:ascii="Times New Roman"/>
                            <w:sz w:val="18"/>
                          </w:rPr>
                        </w:pPr>
                      </w:p>
                    </w:tc>
                    <w:tc>
                      <w:tcPr>
                        <w:tcW w:w="5541" w:type="dxa"/>
                        <w:tcBorders>
                          <w:top w:val="nil"/>
                        </w:tcBorders>
                      </w:tcPr>
                      <w:p>
                        <w:pPr>
                          <w:pStyle w:val="TableParagraph"/>
                          <w:spacing w:line="224" w:lineRule="exact"/>
                          <w:ind w:left="8"/>
                          <w:jc w:val="center"/>
                          <w:rPr>
                            <w:sz w:val="18"/>
                          </w:rPr>
                        </w:pPr>
                        <w:r>
                          <w:rPr>
                            <w:sz w:val="18"/>
                          </w:rPr>
                          <w:t xml:space="preserve">比）低于 </w:t>
                        </w:r>
                        <w:r>
                          <w:rPr>
                            <w:rFonts w:ascii="Times New Roman" w:eastAsia="Times New Roman"/>
                            <w:sz w:val="18"/>
                          </w:rPr>
                          <w:t>10%</w:t>
                        </w:r>
                        <w:r>
                          <w:rPr>
                            <w:sz w:val="18"/>
                          </w:rPr>
                          <w:t>的工序，可不要求采取无组织排放收集措施。</w:t>
                        </w:r>
                      </w:p>
                    </w:tc>
                    <w:tc>
                      <w:tcPr>
                        <w:tcW w:w="2055"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231"/>
                    </w:trPr>
                    <w:tc>
                      <w:tcPr>
                        <w:tcW w:w="439" w:type="dxa"/>
                        <w:tcBorders>
                          <w:bottom w:val="nil"/>
                        </w:tcBorders>
                      </w:tcPr>
                      <w:p>
                        <w:pPr>
                          <w:pStyle w:val="TableParagraph"/>
                          <w:rPr>
                            <w:rFonts w:ascii="Times New Roman"/>
                            <w:sz w:val="16"/>
                          </w:rPr>
                        </w:pPr>
                      </w:p>
                    </w:tc>
                    <w:tc>
                      <w:tcPr>
                        <w:tcW w:w="5541" w:type="dxa"/>
                        <w:tcBorders>
                          <w:bottom w:val="nil"/>
                        </w:tcBorders>
                      </w:tcPr>
                      <w:p>
                        <w:pPr>
                          <w:pStyle w:val="TableParagraph"/>
                          <w:spacing w:line="212" w:lineRule="exact"/>
                          <w:ind w:left="9"/>
                          <w:jc w:val="center"/>
                          <w:rPr>
                            <w:sz w:val="18"/>
                          </w:rPr>
                        </w:pPr>
                        <w:r>
                          <w:rPr>
                            <w:sz w:val="18"/>
                          </w:rPr>
                          <w:t>（二）全面加强无组织排放控制。重点对含非甲烷总烃物料（包括含</w:t>
                        </w:r>
                      </w:p>
                    </w:tc>
                    <w:tc>
                      <w:tcPr>
                        <w:tcW w:w="2055" w:type="dxa"/>
                        <w:tcBorders>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33"/>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before="1" w:line="212" w:lineRule="exact"/>
                          <w:ind w:left="9"/>
                          <w:jc w:val="center"/>
                          <w:rPr>
                            <w:sz w:val="18"/>
                          </w:rPr>
                        </w:pPr>
                        <w:r>
                          <w:rPr>
                            <w:sz w:val="18"/>
                          </w:rPr>
                          <w:t>非甲烷总烃原辅材料、含非甲烷总烃产品、含非甲烷总烃废料以及有</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34"/>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before="1" w:line="213" w:lineRule="exact"/>
                          <w:ind w:left="8"/>
                          <w:jc w:val="center"/>
                          <w:rPr>
                            <w:sz w:val="18"/>
                          </w:rPr>
                        </w:pPr>
                        <w:r>
                          <w:rPr>
                            <w:sz w:val="18"/>
                          </w:rPr>
                          <w:t>机聚合物材料等）储存、转移和输送、设备与管线组件泄漏、敞开液</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34"/>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before="2" w:line="212" w:lineRule="exact"/>
                          <w:ind w:left="8"/>
                          <w:jc w:val="center"/>
                          <w:rPr>
                            <w:sz w:val="18"/>
                          </w:rPr>
                        </w:pPr>
                        <w:r>
                          <w:rPr>
                            <w:sz w:val="18"/>
                          </w:rPr>
                          <w:t>面逸散以及工艺过程等五类排放源实施管控，通过采取设备与场所密</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29"/>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before="1" w:line="209" w:lineRule="exact"/>
                          <w:ind w:left="9"/>
                          <w:jc w:val="center"/>
                          <w:rPr>
                            <w:sz w:val="18"/>
                          </w:rPr>
                        </w:pPr>
                        <w:r>
                          <w:rPr>
                            <w:sz w:val="18"/>
                          </w:rPr>
                          <w:t>闭、工艺改进、废气有效收集等措施，削减非甲烷总烃无组织排放。</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42"/>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before="4" w:line="219" w:lineRule="exact"/>
                          <w:ind w:left="8"/>
                          <w:jc w:val="center"/>
                          <w:rPr>
                            <w:sz w:val="18"/>
                          </w:rPr>
                        </w:pPr>
                        <w:r>
                          <w:rPr>
                            <w:sz w:val="18"/>
                          </w:rPr>
                          <w:t>加强设备与场所密闭管理</w:t>
                        </w:r>
                        <w:r>
                          <w:rPr>
                            <w:rFonts w:ascii="Times New Roman" w:eastAsia="Times New Roman" w:hAnsi="Times New Roman"/>
                            <w:sz w:val="18"/>
                          </w:rPr>
                          <w:t>……</w:t>
                        </w:r>
                        <w:r>
                          <w:rPr>
                            <w:sz w:val="18"/>
                          </w:rPr>
                          <w:t>工业涂装行业重点推进使用紧凑式涂装</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27"/>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line="207" w:lineRule="exact"/>
                          <w:ind w:left="10"/>
                          <w:jc w:val="center"/>
                          <w:rPr>
                            <w:sz w:val="18"/>
                          </w:rPr>
                        </w:pPr>
                        <w:r>
                          <w:rPr>
                            <w:sz w:val="18"/>
                          </w:rPr>
                          <w:t>工艺，推广采用辊涂、静电喷涂、高压无气喷涂、空气辅助无气喷</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31"/>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before="2" w:line="209" w:lineRule="exact"/>
                          <w:ind w:left="8"/>
                          <w:jc w:val="center"/>
                          <w:rPr>
                            <w:sz w:val="18"/>
                          </w:rPr>
                        </w:pPr>
                        <w:r>
                          <w:rPr>
                            <w:sz w:val="18"/>
                          </w:rPr>
                          <w:t>涂、热喷涂等涂装技术，鼓励企业采用自动化、智能化喷涂设备替代</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42"/>
                    </w:trPr>
                    <w:tc>
                      <w:tcPr>
                        <w:tcW w:w="439" w:type="dxa"/>
                        <w:tcBorders>
                          <w:top w:val="nil"/>
                          <w:bottom w:val="nil"/>
                        </w:tcBorders>
                      </w:tcPr>
                      <w:p>
                        <w:pPr>
                          <w:pStyle w:val="TableParagraph"/>
                          <w:spacing w:before="16" w:line="207" w:lineRule="exact"/>
                          <w:ind w:left="6"/>
                          <w:jc w:val="center"/>
                          <w:rPr>
                            <w:rFonts w:ascii="Times New Roman"/>
                            <w:sz w:val="18"/>
                          </w:rPr>
                        </w:pPr>
                        <w:r>
                          <w:rPr>
                            <w:rFonts w:ascii="Times New Roman"/>
                            <w:sz w:val="18"/>
                          </w:rPr>
                          <w:t>2</w:t>
                        </w:r>
                      </w:p>
                    </w:tc>
                    <w:tc>
                      <w:tcPr>
                        <w:tcW w:w="5541" w:type="dxa"/>
                        <w:tcBorders>
                          <w:top w:val="nil"/>
                          <w:bottom w:val="nil"/>
                        </w:tcBorders>
                      </w:tcPr>
                      <w:p>
                        <w:pPr>
                          <w:pStyle w:val="TableParagraph"/>
                          <w:spacing w:before="4" w:line="219" w:lineRule="exact"/>
                          <w:ind w:left="8"/>
                          <w:jc w:val="center"/>
                          <w:rPr>
                            <w:sz w:val="18"/>
                          </w:rPr>
                        </w:pPr>
                        <w:r>
                          <w:rPr>
                            <w:sz w:val="18"/>
                          </w:rPr>
                          <w:t>人工喷涂，减少使用空气喷涂技术。包装印刷行业大力推广使用无溶</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25"/>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line="206" w:lineRule="exact"/>
                          <w:ind w:left="10"/>
                          <w:jc w:val="center"/>
                          <w:rPr>
                            <w:sz w:val="18"/>
                          </w:rPr>
                        </w:pPr>
                        <w:r>
                          <w:rPr>
                            <w:sz w:val="18"/>
                          </w:rPr>
                          <w:t>剂复合、挤出复合、共挤出复合技术，鼓励采用水性凹印、醇水凹</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34"/>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before="1" w:line="213" w:lineRule="exact"/>
                          <w:ind w:left="9"/>
                          <w:jc w:val="center"/>
                          <w:rPr>
                            <w:sz w:val="18"/>
                          </w:rPr>
                        </w:pPr>
                        <w:r>
                          <w:rPr>
                            <w:sz w:val="18"/>
                          </w:rPr>
                          <w:t>印、辐射固化凹印、柔版印刷、无水胶印等印刷工艺。</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33"/>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before="2" w:line="212" w:lineRule="exact"/>
                          <w:ind w:left="9"/>
                          <w:jc w:val="center"/>
                          <w:rPr>
                            <w:sz w:val="18"/>
                          </w:rPr>
                        </w:pPr>
                        <w:r>
                          <w:rPr>
                            <w:sz w:val="18"/>
                          </w:rPr>
                          <w:t>提高废气捕集率。遵循“应收尽收、分质收集”的原则，科学设计废</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32"/>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before="1" w:line="212" w:lineRule="exact"/>
                          <w:ind w:left="8"/>
                          <w:jc w:val="center"/>
                          <w:rPr>
                            <w:sz w:val="18"/>
                          </w:rPr>
                        </w:pPr>
                        <w:r>
                          <w:rPr>
                            <w:sz w:val="18"/>
                          </w:rPr>
                          <w:t>气收集系统，将无组织排放转变为有组织排放进行控制。采用全密闭</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32"/>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before="1" w:line="212" w:lineRule="exact"/>
                          <w:ind w:left="8"/>
                          <w:jc w:val="center"/>
                          <w:rPr>
                            <w:sz w:val="18"/>
                          </w:rPr>
                        </w:pPr>
                        <w:r>
                          <w:rPr>
                            <w:sz w:val="18"/>
                          </w:rPr>
                          <w:t>集气罩或密闭空间的，除行业有特殊要求外，应保持微负压状态，并</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31"/>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before="1" w:line="210" w:lineRule="exact"/>
                          <w:ind w:left="8"/>
                          <w:jc w:val="center"/>
                          <w:rPr>
                            <w:sz w:val="18"/>
                          </w:rPr>
                        </w:pPr>
                        <w:r>
                          <w:rPr>
                            <w:sz w:val="18"/>
                          </w:rPr>
                          <w:t>根据相关规范合理设置通风量。采用局部集气罩的，距集气罩开口面</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43"/>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before="5" w:line="219" w:lineRule="exact"/>
                          <w:ind w:left="11"/>
                          <w:jc w:val="center"/>
                          <w:rPr>
                            <w:sz w:val="18"/>
                          </w:rPr>
                        </w:pPr>
                        <w:r>
                          <w:rPr>
                            <w:sz w:val="18"/>
                          </w:rPr>
                          <w:t xml:space="preserve">最远处的非甲烷总烃无组织排放位置，控制风速应不低于 </w:t>
                        </w:r>
                        <w:r>
                          <w:rPr>
                            <w:rFonts w:ascii="Times New Roman" w:eastAsia="Times New Roman"/>
                            <w:sz w:val="18"/>
                          </w:rPr>
                          <w:t xml:space="preserve">0.3 </w:t>
                        </w:r>
                        <w:r>
                          <w:rPr>
                            <w:sz w:val="18"/>
                          </w:rPr>
                          <w:t>米</w:t>
                        </w:r>
                        <w:r>
                          <w:rPr>
                            <w:rFonts w:ascii="Times New Roman" w:eastAsia="Times New Roman"/>
                            <w:sz w:val="18"/>
                          </w:rPr>
                          <w:t>/</w:t>
                        </w:r>
                        <w:r>
                          <w:rPr>
                            <w:sz w:val="18"/>
                          </w:rPr>
                          <w:t>秒，</w:t>
                        </w:r>
                      </w:p>
                    </w:tc>
                    <w:tc>
                      <w:tcPr>
                        <w:tcW w:w="2055" w:type="dxa"/>
                        <w:tcBorders>
                          <w:top w:val="nil"/>
                          <w:bottom w:val="nil"/>
                        </w:tcBorders>
                      </w:tcPr>
                      <w:p>
                        <w:pPr>
                          <w:pStyle w:val="TableParagraph"/>
                          <w:spacing w:before="10" w:line="214" w:lineRule="exact"/>
                          <w:ind w:left="10" w:right="4"/>
                          <w:jc w:val="center"/>
                          <w:rPr>
                            <w:sz w:val="18"/>
                          </w:rPr>
                        </w:pPr>
                        <w:r>
                          <w:rPr>
                            <w:sz w:val="18"/>
                          </w:rPr>
                          <w:t>扩建项目产生的有机废气</w:t>
                        </w:r>
                      </w:p>
                    </w:tc>
                  </w:tr>
                  <w:tr>
                    <w:tblPrEx>
                      <w:tblW w:w="0" w:type="auto"/>
                      <w:tblInd w:w="5" w:type="dxa"/>
                      <w:tblLayout w:type="fixed"/>
                      <w:tblCellMar>
                        <w:top w:w="0" w:type="dxa"/>
                        <w:left w:w="0" w:type="dxa"/>
                        <w:bottom w:w="0" w:type="dxa"/>
                        <w:right w:w="0" w:type="dxa"/>
                      </w:tblCellMar>
                    </w:tblPrEx>
                    <w:trPr>
                      <w:trHeight w:val="226"/>
                    </w:trPr>
                    <w:tc>
                      <w:tcPr>
                        <w:tcW w:w="439" w:type="dxa"/>
                        <w:tcBorders>
                          <w:top w:val="nil"/>
                        </w:tcBorders>
                      </w:tcPr>
                      <w:p>
                        <w:pPr>
                          <w:pStyle w:val="TableParagraph"/>
                          <w:rPr>
                            <w:rFonts w:ascii="Times New Roman"/>
                            <w:sz w:val="16"/>
                          </w:rPr>
                        </w:pPr>
                      </w:p>
                    </w:tc>
                    <w:tc>
                      <w:tcPr>
                        <w:tcW w:w="5541" w:type="dxa"/>
                        <w:tcBorders>
                          <w:top w:val="nil"/>
                        </w:tcBorders>
                      </w:tcPr>
                      <w:p>
                        <w:pPr>
                          <w:pStyle w:val="TableParagraph"/>
                          <w:spacing w:line="207" w:lineRule="exact"/>
                          <w:ind w:left="9"/>
                          <w:jc w:val="center"/>
                          <w:rPr>
                            <w:sz w:val="18"/>
                          </w:rPr>
                        </w:pPr>
                        <w:r>
                          <w:rPr>
                            <w:sz w:val="18"/>
                          </w:rPr>
                          <w:t>有行业要求的按相关规定执行。</w:t>
                        </w:r>
                      </w:p>
                    </w:tc>
                    <w:tc>
                      <w:tcPr>
                        <w:tcW w:w="2055" w:type="dxa"/>
                        <w:tcBorders>
                          <w:top w:val="nil"/>
                          <w:bottom w:val="nil"/>
                        </w:tcBorders>
                      </w:tcPr>
                      <w:p>
                        <w:pPr>
                          <w:pStyle w:val="TableParagraph"/>
                          <w:spacing w:line="207" w:lineRule="exact"/>
                          <w:ind w:left="10" w:right="4"/>
                          <w:jc w:val="center"/>
                          <w:rPr>
                            <w:sz w:val="18"/>
                          </w:rPr>
                        </w:pPr>
                        <w:r>
                          <w:rPr>
                            <w:sz w:val="18"/>
                          </w:rPr>
                          <w:t>经“催化燃烧”废气处理</w:t>
                        </w:r>
                      </w:p>
                    </w:tc>
                  </w:tr>
                  <w:tr>
                    <w:tblPrEx>
                      <w:tblW w:w="0" w:type="auto"/>
                      <w:tblInd w:w="5" w:type="dxa"/>
                      <w:tblLayout w:type="fixed"/>
                      <w:tblCellMar>
                        <w:top w:w="0" w:type="dxa"/>
                        <w:left w:w="0" w:type="dxa"/>
                        <w:bottom w:w="0" w:type="dxa"/>
                        <w:right w:w="0" w:type="dxa"/>
                      </w:tblCellMar>
                    </w:tblPrEx>
                    <w:trPr>
                      <w:trHeight w:val="239"/>
                    </w:trPr>
                    <w:tc>
                      <w:tcPr>
                        <w:tcW w:w="439" w:type="dxa"/>
                        <w:tcBorders>
                          <w:bottom w:val="nil"/>
                        </w:tcBorders>
                      </w:tcPr>
                      <w:p>
                        <w:pPr>
                          <w:pStyle w:val="TableParagraph"/>
                          <w:rPr>
                            <w:rFonts w:ascii="Times New Roman"/>
                            <w:sz w:val="16"/>
                          </w:rPr>
                        </w:pPr>
                      </w:p>
                    </w:tc>
                    <w:tc>
                      <w:tcPr>
                        <w:tcW w:w="5541" w:type="dxa"/>
                        <w:tcBorders>
                          <w:bottom w:val="nil"/>
                        </w:tcBorders>
                      </w:tcPr>
                      <w:p>
                        <w:pPr>
                          <w:pStyle w:val="TableParagraph"/>
                          <w:spacing w:line="220" w:lineRule="exact"/>
                          <w:ind w:left="9"/>
                          <w:jc w:val="center"/>
                          <w:rPr>
                            <w:sz w:val="18"/>
                          </w:rPr>
                        </w:pPr>
                        <w:r>
                          <w:rPr>
                            <w:sz w:val="18"/>
                          </w:rPr>
                          <w:t>（三）推进建设适宜高效的治污设施</w:t>
                        </w:r>
                        <w:r>
                          <w:rPr>
                            <w:rFonts w:ascii="Times New Roman" w:eastAsia="Times New Roman" w:hAnsi="Times New Roman"/>
                            <w:sz w:val="18"/>
                          </w:rPr>
                          <w:t>……</w:t>
                        </w:r>
                        <w:r>
                          <w:rPr>
                            <w:sz w:val="18"/>
                          </w:rPr>
                          <w:t>鼓励企业采用多种技术的组</w:t>
                        </w:r>
                      </w:p>
                    </w:tc>
                    <w:tc>
                      <w:tcPr>
                        <w:tcW w:w="2055" w:type="dxa"/>
                        <w:tcBorders>
                          <w:top w:val="nil"/>
                          <w:bottom w:val="nil"/>
                        </w:tcBorders>
                      </w:tcPr>
                      <w:p>
                        <w:pPr>
                          <w:pStyle w:val="TableParagraph"/>
                          <w:spacing w:line="220" w:lineRule="exact"/>
                          <w:ind w:left="33" w:right="27"/>
                          <w:jc w:val="center"/>
                          <w:rPr>
                            <w:sz w:val="18"/>
                          </w:rPr>
                        </w:pPr>
                        <w:r>
                          <w:rPr>
                            <w:sz w:val="18"/>
                          </w:rPr>
                          <w:t>系统处理后达标排放</w:t>
                        </w:r>
                      </w:p>
                    </w:tc>
                  </w:tr>
                  <w:tr>
                    <w:tblPrEx>
                      <w:tblW w:w="0" w:type="auto"/>
                      <w:tblInd w:w="5" w:type="dxa"/>
                      <w:tblLayout w:type="fixed"/>
                      <w:tblCellMar>
                        <w:top w:w="0" w:type="dxa"/>
                        <w:left w:w="0" w:type="dxa"/>
                        <w:bottom w:w="0" w:type="dxa"/>
                        <w:right w:w="0" w:type="dxa"/>
                      </w:tblCellMar>
                    </w:tblPrEx>
                    <w:trPr>
                      <w:trHeight w:val="227"/>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line="207" w:lineRule="exact"/>
                          <w:ind w:left="8"/>
                          <w:jc w:val="center"/>
                          <w:rPr>
                            <w:sz w:val="18"/>
                          </w:rPr>
                        </w:pPr>
                        <w:r>
                          <w:rPr>
                            <w:sz w:val="18"/>
                          </w:rPr>
                          <w:t>合工艺，提高非甲烷总烃治理效率。低浓度、大风量废气，宜采用沸</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32"/>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before="1" w:line="212" w:lineRule="exact"/>
                          <w:ind w:left="9"/>
                          <w:jc w:val="center"/>
                          <w:rPr>
                            <w:sz w:val="18"/>
                          </w:rPr>
                        </w:pPr>
                        <w:r>
                          <w:rPr>
                            <w:sz w:val="18"/>
                          </w:rPr>
                          <w:t>石转轮吸附、活性炭吸附、减风增浓等浓缩技术，提高非甲烷总烃浓</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29"/>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before="1" w:line="209" w:lineRule="exact"/>
                          <w:ind w:left="8"/>
                          <w:jc w:val="center"/>
                          <w:rPr>
                            <w:sz w:val="18"/>
                          </w:rPr>
                        </w:pPr>
                        <w:r>
                          <w:rPr>
                            <w:sz w:val="18"/>
                          </w:rPr>
                          <w:t>度后净化处理；高浓度废气，优先进行溶剂回收，难以回收的，宜采</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40"/>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before="4" w:line="217" w:lineRule="exact"/>
                          <w:ind w:left="9"/>
                          <w:jc w:val="center"/>
                          <w:rPr>
                            <w:sz w:val="18"/>
                          </w:rPr>
                        </w:pPr>
                        <w:r>
                          <w:rPr>
                            <w:sz w:val="18"/>
                          </w:rPr>
                          <w:t>用高温焚烧、催化燃烧等技术。油气（溶剂）回收宜采用冷凝</w:t>
                        </w:r>
                        <w:r>
                          <w:rPr>
                            <w:rFonts w:ascii="Times New Roman" w:eastAsia="Times New Roman"/>
                            <w:sz w:val="18"/>
                          </w:rPr>
                          <w:t>+</w:t>
                        </w:r>
                        <w:r>
                          <w:rPr>
                            <w:sz w:val="18"/>
                          </w:rPr>
                          <w:t>吸</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36"/>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line="217" w:lineRule="exact"/>
                          <w:ind w:left="8"/>
                          <w:jc w:val="center"/>
                          <w:rPr>
                            <w:sz w:val="18"/>
                          </w:rPr>
                        </w:pPr>
                        <w:r>
                          <w:rPr>
                            <w:sz w:val="18"/>
                          </w:rPr>
                          <w:t>附、吸附</w:t>
                        </w:r>
                        <w:r>
                          <w:rPr>
                            <w:rFonts w:ascii="Times New Roman" w:eastAsia="Times New Roman"/>
                            <w:sz w:val="18"/>
                          </w:rPr>
                          <w:t>+</w:t>
                        </w:r>
                        <w:r>
                          <w:rPr>
                            <w:sz w:val="18"/>
                          </w:rPr>
                          <w:t>吸收、膜分离</w:t>
                        </w:r>
                        <w:r>
                          <w:rPr>
                            <w:rFonts w:ascii="Times New Roman" w:eastAsia="Times New Roman"/>
                            <w:sz w:val="18"/>
                          </w:rPr>
                          <w:t>+</w:t>
                        </w:r>
                        <w:r>
                          <w:rPr>
                            <w:sz w:val="18"/>
                          </w:rPr>
                          <w:t>吸附等技术。低温等离子、光催化、光氧化</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23"/>
                    </w:trPr>
                    <w:tc>
                      <w:tcPr>
                        <w:tcW w:w="439" w:type="dxa"/>
                        <w:tcBorders>
                          <w:top w:val="nil"/>
                          <w:bottom w:val="nil"/>
                        </w:tcBorders>
                      </w:tcPr>
                      <w:p>
                        <w:pPr>
                          <w:pStyle w:val="TableParagraph"/>
                          <w:rPr>
                            <w:rFonts w:ascii="Times New Roman"/>
                            <w:sz w:val="14"/>
                          </w:rPr>
                        </w:pPr>
                      </w:p>
                    </w:tc>
                    <w:tc>
                      <w:tcPr>
                        <w:tcW w:w="5541" w:type="dxa"/>
                        <w:tcBorders>
                          <w:top w:val="nil"/>
                          <w:bottom w:val="nil"/>
                        </w:tcBorders>
                      </w:tcPr>
                      <w:p>
                        <w:pPr>
                          <w:pStyle w:val="TableParagraph"/>
                          <w:spacing w:line="203" w:lineRule="exact"/>
                          <w:ind w:left="9"/>
                          <w:jc w:val="center"/>
                          <w:rPr>
                            <w:sz w:val="18"/>
                          </w:rPr>
                        </w:pPr>
                        <w:r>
                          <w:rPr>
                            <w:sz w:val="18"/>
                          </w:rPr>
                          <w:t>技术主要适用于恶臭异味等治理；生物法主要适用于低浓度非甲烷总</w:t>
                        </w:r>
                      </w:p>
                    </w:tc>
                    <w:tc>
                      <w:tcPr>
                        <w:tcW w:w="2055" w:type="dxa"/>
                        <w:tcBorders>
                          <w:top w:val="nil"/>
                          <w:bottom w:val="nil"/>
                        </w:tcBorders>
                      </w:tcPr>
                      <w:p>
                        <w:pPr>
                          <w:pStyle w:val="TableParagraph"/>
                          <w:rPr>
                            <w:rFonts w:ascii="Times New Roman"/>
                            <w:sz w:val="14"/>
                          </w:rPr>
                        </w:pPr>
                      </w:p>
                    </w:tc>
                  </w:tr>
                  <w:tr>
                    <w:tblPrEx>
                      <w:tblW w:w="0" w:type="auto"/>
                      <w:tblInd w:w="5" w:type="dxa"/>
                      <w:tblLayout w:type="fixed"/>
                      <w:tblCellMar>
                        <w:top w:w="0" w:type="dxa"/>
                        <w:left w:w="0" w:type="dxa"/>
                        <w:bottom w:w="0" w:type="dxa"/>
                        <w:right w:w="0" w:type="dxa"/>
                      </w:tblCellMar>
                    </w:tblPrEx>
                    <w:trPr>
                      <w:trHeight w:val="470"/>
                    </w:trPr>
                    <w:tc>
                      <w:tcPr>
                        <w:tcW w:w="439" w:type="dxa"/>
                        <w:tcBorders>
                          <w:top w:val="nil"/>
                          <w:bottom w:val="nil"/>
                        </w:tcBorders>
                      </w:tcPr>
                      <w:p>
                        <w:pPr>
                          <w:pStyle w:val="TableParagraph"/>
                          <w:spacing w:before="133"/>
                          <w:ind w:left="6"/>
                          <w:jc w:val="center"/>
                          <w:rPr>
                            <w:rFonts w:ascii="Times New Roman"/>
                            <w:sz w:val="18"/>
                          </w:rPr>
                        </w:pPr>
                        <w:r>
                          <w:rPr>
                            <w:rFonts w:ascii="Times New Roman"/>
                            <w:sz w:val="18"/>
                          </w:rPr>
                          <w:t>3</w:t>
                        </w:r>
                      </w:p>
                    </w:tc>
                    <w:tc>
                      <w:tcPr>
                        <w:tcW w:w="5541" w:type="dxa"/>
                        <w:tcBorders>
                          <w:top w:val="nil"/>
                          <w:bottom w:val="nil"/>
                        </w:tcBorders>
                      </w:tcPr>
                      <w:p>
                        <w:pPr>
                          <w:pStyle w:val="TableParagraph"/>
                          <w:spacing w:before="4"/>
                          <w:ind w:left="69"/>
                          <w:rPr>
                            <w:sz w:val="18"/>
                          </w:rPr>
                        </w:pPr>
                        <w:r>
                          <w:rPr>
                            <w:sz w:val="18"/>
                          </w:rPr>
                          <w:t>烃废气治理和恶臭异味治理</w:t>
                        </w:r>
                        <w:r>
                          <w:rPr>
                            <w:rFonts w:ascii="Times New Roman" w:eastAsia="Times New Roman" w:hAnsi="Times New Roman"/>
                            <w:sz w:val="18"/>
                          </w:rPr>
                          <w:t>……</w:t>
                        </w:r>
                        <w:r>
                          <w:rPr>
                            <w:sz w:val="18"/>
                          </w:rPr>
                          <w:t>有条件的工业园区和产业集群等，推</w:t>
                        </w:r>
                      </w:p>
                      <w:p>
                        <w:pPr>
                          <w:pStyle w:val="TableParagraph"/>
                          <w:spacing w:before="4" w:line="212" w:lineRule="exact"/>
                          <w:ind w:left="69"/>
                          <w:rPr>
                            <w:sz w:val="18"/>
                          </w:rPr>
                        </w:pPr>
                        <w:r>
                          <w:rPr>
                            <w:sz w:val="18"/>
                          </w:rPr>
                          <w:t>广集中喷涂、溶剂集中回收、活性炭集中再生等，加强资源共享，提</w:t>
                        </w:r>
                      </w:p>
                    </w:tc>
                    <w:tc>
                      <w:tcPr>
                        <w:tcW w:w="2055" w:type="dxa"/>
                        <w:tcBorders>
                          <w:top w:val="nil"/>
                          <w:bottom w:val="nil"/>
                        </w:tcBorders>
                      </w:tcPr>
                      <w:p>
                        <w:pPr>
                          <w:pStyle w:val="TableParagraph"/>
                          <w:rPr>
                            <w:rFonts w:ascii="Times New Roman"/>
                            <w:sz w:val="18"/>
                          </w:rPr>
                        </w:pPr>
                      </w:p>
                    </w:tc>
                  </w:tr>
                  <w:tr>
                    <w:tblPrEx>
                      <w:tblW w:w="0" w:type="auto"/>
                      <w:tblInd w:w="5" w:type="dxa"/>
                      <w:tblLayout w:type="fixed"/>
                      <w:tblCellMar>
                        <w:top w:w="0" w:type="dxa"/>
                        <w:left w:w="0" w:type="dxa"/>
                        <w:bottom w:w="0" w:type="dxa"/>
                        <w:right w:w="0" w:type="dxa"/>
                      </w:tblCellMar>
                    </w:tblPrEx>
                    <w:trPr>
                      <w:trHeight w:val="232"/>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before="1" w:line="212" w:lineRule="exact"/>
                          <w:ind w:left="11"/>
                          <w:jc w:val="center"/>
                          <w:rPr>
                            <w:sz w:val="18"/>
                          </w:rPr>
                        </w:pPr>
                        <w:r>
                          <w:rPr>
                            <w:sz w:val="18"/>
                          </w:rPr>
                          <w:t>高非甲烷总烃治理效率。</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29"/>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before="1" w:line="209" w:lineRule="exact"/>
                          <w:ind w:left="8"/>
                          <w:jc w:val="center"/>
                          <w:rPr>
                            <w:sz w:val="18"/>
                          </w:rPr>
                        </w:pPr>
                        <w:r>
                          <w:rPr>
                            <w:sz w:val="18"/>
                          </w:rPr>
                          <w:t>实行重点排放源排放浓度与去除效率双重控制。车间或生产设施收集</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41"/>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before="4" w:line="217" w:lineRule="exact"/>
                          <w:ind w:left="11"/>
                          <w:jc w:val="center"/>
                          <w:rPr>
                            <w:sz w:val="18"/>
                          </w:rPr>
                        </w:pPr>
                        <w:r>
                          <w:rPr>
                            <w:sz w:val="18"/>
                          </w:rPr>
                          <w:t xml:space="preserve">排放的废气，非甲烷总烃初始排放速率大于等于 </w:t>
                        </w:r>
                        <w:r>
                          <w:rPr>
                            <w:rFonts w:ascii="Times New Roman" w:eastAsia="Times New Roman"/>
                            <w:sz w:val="18"/>
                          </w:rPr>
                          <w:t xml:space="preserve">3 </w:t>
                        </w:r>
                        <w:r>
                          <w:rPr>
                            <w:sz w:val="18"/>
                          </w:rPr>
                          <w:t>千克</w:t>
                        </w:r>
                        <w:r>
                          <w:rPr>
                            <w:rFonts w:ascii="Times New Roman" w:eastAsia="Times New Roman"/>
                            <w:sz w:val="18"/>
                          </w:rPr>
                          <w:t>/</w:t>
                        </w:r>
                        <w:r>
                          <w:rPr>
                            <w:sz w:val="18"/>
                          </w:rPr>
                          <w:t>小时、重点区</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34"/>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line="214" w:lineRule="exact"/>
                          <w:ind w:left="11"/>
                          <w:jc w:val="center"/>
                          <w:rPr>
                            <w:sz w:val="18"/>
                          </w:rPr>
                        </w:pPr>
                        <w:r>
                          <w:rPr>
                            <w:sz w:val="18"/>
                          </w:rPr>
                          <w:t xml:space="preserve">域大于等于 </w:t>
                        </w:r>
                        <w:r>
                          <w:rPr>
                            <w:rFonts w:ascii="Times New Roman" w:eastAsia="Times New Roman"/>
                            <w:sz w:val="18"/>
                          </w:rPr>
                          <w:t xml:space="preserve">2 </w:t>
                        </w:r>
                        <w:r>
                          <w:rPr>
                            <w:sz w:val="18"/>
                          </w:rPr>
                          <w:t>千克</w:t>
                        </w:r>
                        <w:r>
                          <w:rPr>
                            <w:rFonts w:ascii="Times New Roman" w:eastAsia="Times New Roman"/>
                            <w:sz w:val="18"/>
                          </w:rPr>
                          <w:t>/</w:t>
                        </w:r>
                        <w:r>
                          <w:rPr>
                            <w:sz w:val="18"/>
                          </w:rPr>
                          <w:t>小时的，应加大控制力度，除确保排放浓度稳定达</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35"/>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line="216" w:lineRule="exact"/>
                          <w:ind w:left="9"/>
                          <w:jc w:val="center"/>
                          <w:rPr>
                            <w:sz w:val="18"/>
                          </w:rPr>
                        </w:pPr>
                        <w:r>
                          <w:rPr>
                            <w:sz w:val="18"/>
                          </w:rPr>
                          <w:t xml:space="preserve">标外，还应实行去除效率控制，去除效率不低于 </w:t>
                        </w:r>
                        <w:r>
                          <w:rPr>
                            <w:rFonts w:ascii="Times New Roman" w:eastAsia="Times New Roman"/>
                            <w:sz w:val="18"/>
                          </w:rPr>
                          <w:t>80%</w:t>
                        </w:r>
                        <w:r>
                          <w:rPr>
                            <w:sz w:val="18"/>
                          </w:rPr>
                          <w:t>；采用的原辅材</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25"/>
                    </w:trPr>
                    <w:tc>
                      <w:tcPr>
                        <w:tcW w:w="439" w:type="dxa"/>
                        <w:tcBorders>
                          <w:top w:val="nil"/>
                          <w:bottom w:val="nil"/>
                        </w:tcBorders>
                      </w:tcPr>
                      <w:p>
                        <w:pPr>
                          <w:pStyle w:val="TableParagraph"/>
                          <w:rPr>
                            <w:rFonts w:ascii="Times New Roman"/>
                            <w:sz w:val="16"/>
                          </w:rPr>
                        </w:pPr>
                      </w:p>
                    </w:tc>
                    <w:tc>
                      <w:tcPr>
                        <w:tcW w:w="5541" w:type="dxa"/>
                        <w:tcBorders>
                          <w:top w:val="nil"/>
                          <w:bottom w:val="nil"/>
                        </w:tcBorders>
                      </w:tcPr>
                      <w:p>
                        <w:pPr>
                          <w:pStyle w:val="TableParagraph"/>
                          <w:spacing w:line="206" w:lineRule="exact"/>
                          <w:ind w:left="8"/>
                          <w:jc w:val="center"/>
                          <w:rPr>
                            <w:sz w:val="18"/>
                          </w:rPr>
                        </w:pPr>
                        <w:r>
                          <w:rPr>
                            <w:sz w:val="18"/>
                          </w:rPr>
                          <w:t>料符合国家有关低非甲烷总烃含量产品规定的除外，有行业排放标准</w:t>
                        </w:r>
                      </w:p>
                    </w:tc>
                    <w:tc>
                      <w:tcPr>
                        <w:tcW w:w="2055" w:type="dxa"/>
                        <w:tcBorders>
                          <w:top w:val="nil"/>
                          <w:bottom w:val="nil"/>
                        </w:tcBorders>
                      </w:tcPr>
                      <w:p>
                        <w:pPr>
                          <w:pStyle w:val="TableParagraph"/>
                          <w:rPr>
                            <w:rFonts w:ascii="Times New Roman"/>
                            <w:sz w:val="16"/>
                          </w:rPr>
                        </w:pPr>
                      </w:p>
                    </w:tc>
                  </w:tr>
                  <w:tr>
                    <w:tblPrEx>
                      <w:tblW w:w="0" w:type="auto"/>
                      <w:tblInd w:w="5" w:type="dxa"/>
                      <w:tblLayout w:type="fixed"/>
                      <w:tblCellMar>
                        <w:top w:w="0" w:type="dxa"/>
                        <w:left w:w="0" w:type="dxa"/>
                        <w:bottom w:w="0" w:type="dxa"/>
                        <w:right w:w="0" w:type="dxa"/>
                      </w:tblCellMar>
                    </w:tblPrEx>
                    <w:trPr>
                      <w:trHeight w:val="236"/>
                    </w:trPr>
                    <w:tc>
                      <w:tcPr>
                        <w:tcW w:w="439" w:type="dxa"/>
                        <w:tcBorders>
                          <w:top w:val="nil"/>
                        </w:tcBorders>
                      </w:tcPr>
                      <w:p>
                        <w:pPr>
                          <w:pStyle w:val="TableParagraph"/>
                          <w:rPr>
                            <w:rFonts w:ascii="Times New Roman"/>
                            <w:sz w:val="16"/>
                          </w:rPr>
                        </w:pPr>
                      </w:p>
                    </w:tc>
                    <w:tc>
                      <w:tcPr>
                        <w:tcW w:w="5541" w:type="dxa"/>
                        <w:tcBorders>
                          <w:top w:val="nil"/>
                        </w:tcBorders>
                      </w:tcPr>
                      <w:p>
                        <w:pPr>
                          <w:pStyle w:val="TableParagraph"/>
                          <w:spacing w:before="1" w:line="215" w:lineRule="exact"/>
                          <w:ind w:left="9"/>
                          <w:jc w:val="center"/>
                          <w:rPr>
                            <w:sz w:val="18"/>
                          </w:rPr>
                        </w:pPr>
                        <w:r>
                          <w:rPr>
                            <w:sz w:val="18"/>
                          </w:rPr>
                          <w:t>的按其相关规定执行。</w:t>
                        </w:r>
                      </w:p>
                    </w:tc>
                    <w:tc>
                      <w:tcPr>
                        <w:tcW w:w="2055" w:type="dxa"/>
                        <w:tcBorders>
                          <w:top w:val="nil"/>
                        </w:tcBorders>
                      </w:tcPr>
                      <w:p>
                        <w:pPr>
                          <w:pStyle w:val="TableParagraph"/>
                          <w:rPr>
                            <w:rFonts w:ascii="Times New Roman"/>
                            <w:sz w:val="16"/>
                          </w:rPr>
                        </w:pPr>
                      </w:p>
                    </w:tc>
                  </w:tr>
                </w:tbl>
                <w:p>
                  <w:pPr>
                    <w:pStyle w:val="BodyText"/>
                  </w:pPr>
                </w:p>
              </w:txbxContent>
            </v:textbox>
          </v:shape>
        </w:pict>
      </w:r>
      <w:r>
        <w:pict>
          <v:shape id="_x0000_s1090" o:spid="_x0000_s1089" type="#_x0000_t202" style="width:401.75pt;height:532.9pt;margin-top:85.65pt;margin-left:124.65pt;mso-height-relative:page;mso-position-horizontal-relative:page;mso-position-vertical-relative:page;mso-width-relative:page;position:absolute;z-index:251664384" coordsize="21600,21600" filled="f" stroked="f">
            <v:stroke joinstyle="miter"/>
            <v:textbox inset="0,0,0,0">
              <w:txbxContent>
                <w:tbl>
                  <w:tblPr>
                    <w:tblStyle w:val="TableNormal"/>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439"/>
                    <w:gridCol w:w="5538"/>
                    <w:gridCol w:w="2057"/>
                  </w:tblGrid>
                  <w:tr>
                    <w:tblPrEx>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350"/>
                    </w:trPr>
                    <w:tc>
                      <w:tcPr>
                        <w:tcW w:w="439" w:type="dxa"/>
                      </w:tcPr>
                      <w:p>
                        <w:pPr>
                          <w:pStyle w:val="TableParagraph"/>
                          <w:rPr>
                            <w:rFonts w:ascii="Times New Roman"/>
                            <w:sz w:val="18"/>
                          </w:rPr>
                        </w:pPr>
                      </w:p>
                    </w:tc>
                    <w:tc>
                      <w:tcPr>
                        <w:tcW w:w="5538" w:type="dxa"/>
                      </w:tcPr>
                      <w:p>
                        <w:pPr>
                          <w:pStyle w:val="TableParagraph"/>
                          <w:rPr>
                            <w:rFonts w:ascii="Times New Roman"/>
                            <w:sz w:val="18"/>
                          </w:rPr>
                        </w:pPr>
                      </w:p>
                    </w:tc>
                    <w:tc>
                      <w:tcPr>
                        <w:tcW w:w="2057"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580"/>
                    </w:trPr>
                    <w:tc>
                      <w:tcPr>
                        <w:tcW w:w="439" w:type="dxa"/>
                      </w:tcPr>
                      <w:p>
                        <w:pPr>
                          <w:pStyle w:val="TableParagraph"/>
                          <w:rPr>
                            <w:rFonts w:ascii="Times New Roman"/>
                            <w:sz w:val="18"/>
                          </w:rPr>
                        </w:pPr>
                      </w:p>
                    </w:tc>
                    <w:tc>
                      <w:tcPr>
                        <w:tcW w:w="5538" w:type="dxa"/>
                      </w:tcPr>
                      <w:p>
                        <w:pPr>
                          <w:pStyle w:val="TableParagraph"/>
                          <w:rPr>
                            <w:rFonts w:ascii="Times New Roman"/>
                            <w:sz w:val="18"/>
                          </w:rPr>
                        </w:pPr>
                      </w:p>
                    </w:tc>
                    <w:tc>
                      <w:tcPr>
                        <w:tcW w:w="2057"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3977"/>
                    </w:trPr>
                    <w:tc>
                      <w:tcPr>
                        <w:tcW w:w="439" w:type="dxa"/>
                      </w:tcPr>
                      <w:p>
                        <w:pPr>
                          <w:pStyle w:val="TableParagraph"/>
                          <w:rPr>
                            <w:rFonts w:ascii="Times New Roman"/>
                            <w:sz w:val="18"/>
                          </w:rPr>
                        </w:pPr>
                      </w:p>
                    </w:tc>
                    <w:tc>
                      <w:tcPr>
                        <w:tcW w:w="5538" w:type="dxa"/>
                      </w:tcPr>
                      <w:p>
                        <w:pPr>
                          <w:pStyle w:val="TableParagraph"/>
                          <w:rPr>
                            <w:rFonts w:ascii="Times New Roman"/>
                            <w:sz w:val="18"/>
                          </w:rPr>
                        </w:pPr>
                      </w:p>
                    </w:tc>
                    <w:tc>
                      <w:tcPr>
                        <w:tcW w:w="2057" w:type="dxa"/>
                        <w:vMerge w:val="restart"/>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3749"/>
                    </w:trPr>
                    <w:tc>
                      <w:tcPr>
                        <w:tcW w:w="439" w:type="dxa"/>
                      </w:tcPr>
                      <w:p>
                        <w:pPr>
                          <w:pStyle w:val="TableParagraph"/>
                          <w:rPr>
                            <w:rFonts w:ascii="Times New Roman"/>
                            <w:sz w:val="18"/>
                          </w:rPr>
                        </w:pPr>
                      </w:p>
                    </w:tc>
                    <w:tc>
                      <w:tcPr>
                        <w:tcW w:w="5538" w:type="dxa"/>
                      </w:tcPr>
                      <w:p>
                        <w:pPr>
                          <w:pStyle w:val="TableParagraph"/>
                          <w:rPr>
                            <w:rFonts w:ascii="Times New Roman"/>
                            <w:sz w:val="18"/>
                          </w:rPr>
                        </w:pPr>
                      </w:p>
                    </w:tc>
                    <w:tc>
                      <w:tcPr>
                        <w:tcW w:w="2057" w:type="dxa"/>
                        <w:vMerge/>
                        <w:tcBorders>
                          <w:top w:val="nil"/>
                        </w:tcBorders>
                      </w:tcPr>
                      <w:p>
                        <w:pPr>
                          <w:rPr>
                            <w:sz w:val="2"/>
                            <w:szCs w:val="2"/>
                          </w:rPr>
                        </w:pPr>
                      </w:p>
                    </w:tc>
                  </w:tr>
                </w:tbl>
                <w:p>
                  <w:pPr>
                    <w:pStyle w:val="BodyText"/>
                  </w:pPr>
                </w:p>
              </w:txbxContent>
            </v:textbox>
          </v:shape>
        </w:pict>
      </w:r>
    </w:p>
    <w:p>
      <w:pPr>
        <w:spacing w:after="0"/>
        <w:rPr>
          <w:sz w:val="2"/>
          <w:szCs w:val="2"/>
        </w:rPr>
        <w:sectPr>
          <w:footerReference w:type="default" r:id="rId13"/>
          <w:pgSz w:w="11910" w:h="16840"/>
          <w:pgMar w:top="1400" w:right="1140" w:bottom="1180" w:left="1140" w:header="0" w:footer="994" w:gutter="0"/>
          <w:pgNumType w:start="9"/>
          <w:cols w:num="1" w:space="720"/>
        </w:sectPr>
      </w:pPr>
    </w:p>
    <w:tbl>
      <w:tblPr>
        <w:tblStyle w:val="TableNormal"/>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14"/>
        <w:gridCol w:w="113"/>
        <w:gridCol w:w="619"/>
        <w:gridCol w:w="4534"/>
        <w:gridCol w:w="2880"/>
        <w:gridCol w:w="110"/>
      </w:tblGrid>
      <w:tr>
        <w:tblPrEx>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755"/>
        </w:trPr>
        <w:tc>
          <w:tcPr>
            <w:tcW w:w="1114" w:type="dxa"/>
            <w:vMerge w:val="restart"/>
            <w:tcBorders>
              <w:right w:val="single" w:sz="4" w:space="0" w:color="000000"/>
            </w:tcBorders>
          </w:tcPr>
          <w:p>
            <w:pPr>
              <w:pStyle w:val="TableParagraph"/>
              <w:rPr>
                <w:rFonts w:ascii="Times New Roman"/>
                <w:sz w:val="18"/>
              </w:rPr>
            </w:pPr>
          </w:p>
        </w:tc>
        <w:tc>
          <w:tcPr>
            <w:tcW w:w="113" w:type="dxa"/>
            <w:vMerge w:val="restart"/>
            <w:tcBorders>
              <w:left w:val="single" w:sz="4" w:space="0" w:color="000000"/>
              <w:bottom w:val="nil"/>
              <w:right w:val="single" w:sz="4" w:space="0" w:color="000000"/>
            </w:tcBorders>
          </w:tcPr>
          <w:p>
            <w:pPr>
              <w:pStyle w:val="TableParagraph"/>
              <w:rPr>
                <w:rFonts w:ascii="Times New Roman"/>
                <w:sz w:val="18"/>
              </w:rPr>
            </w:pPr>
          </w:p>
        </w:tc>
        <w:tc>
          <w:tcPr>
            <w:tcW w:w="619" w:type="dxa"/>
            <w:tcBorders>
              <w:top w:val="single" w:sz="12" w:space="0" w:color="000000"/>
              <w:left w:val="single" w:sz="4" w:space="0" w:color="000000"/>
              <w:bottom w:val="single" w:sz="4" w:space="0" w:color="000000"/>
              <w:right w:val="single" w:sz="4" w:space="0" w:color="000000"/>
            </w:tcBorders>
          </w:tcPr>
          <w:p>
            <w:pPr>
              <w:pStyle w:val="TableParagraph"/>
              <w:spacing w:before="9"/>
              <w:rPr>
                <w:sz w:val="21"/>
              </w:rPr>
            </w:pPr>
          </w:p>
          <w:p>
            <w:pPr>
              <w:pStyle w:val="TableParagraph"/>
              <w:ind w:left="12"/>
              <w:jc w:val="center"/>
              <w:rPr>
                <w:rFonts w:ascii="Times New Roman"/>
                <w:sz w:val="18"/>
              </w:rPr>
            </w:pPr>
            <w:r>
              <w:rPr>
                <w:rFonts w:ascii="Times New Roman"/>
                <w:sz w:val="18"/>
              </w:rPr>
              <w:t>2</w:t>
            </w:r>
          </w:p>
        </w:tc>
        <w:tc>
          <w:tcPr>
            <w:tcW w:w="4534" w:type="dxa"/>
            <w:tcBorders>
              <w:top w:val="single" w:sz="12" w:space="0" w:color="000000"/>
              <w:left w:val="single" w:sz="4" w:space="0" w:color="000000"/>
              <w:bottom w:val="single" w:sz="4" w:space="0" w:color="000000"/>
              <w:right w:val="single" w:sz="4" w:space="0" w:color="000000"/>
            </w:tcBorders>
          </w:tcPr>
          <w:p>
            <w:pPr>
              <w:pStyle w:val="TableParagraph"/>
              <w:spacing w:before="33"/>
              <w:ind w:left="17" w:right="3"/>
              <w:jc w:val="center"/>
              <w:rPr>
                <w:sz w:val="18"/>
              </w:rPr>
            </w:pPr>
            <w:r>
              <w:rPr>
                <w:sz w:val="18"/>
              </w:rPr>
              <w:t xml:space="preserve">含 </w:t>
            </w:r>
            <w:r>
              <w:rPr>
                <w:rFonts w:ascii="Times New Roman" w:eastAsia="Times New Roman"/>
                <w:sz w:val="18"/>
              </w:rPr>
              <w:t xml:space="preserve">VOCs </w:t>
            </w:r>
            <w:r>
              <w:rPr>
                <w:sz w:val="18"/>
              </w:rPr>
              <w:t>物料储存和输送过程应保持密闭。</w:t>
            </w:r>
          </w:p>
          <w:p>
            <w:pPr>
              <w:pStyle w:val="TableParagraph"/>
              <w:spacing w:before="2" w:line="242" w:lineRule="auto"/>
              <w:ind w:left="18" w:right="3"/>
              <w:jc w:val="center"/>
              <w:rPr>
                <w:sz w:val="18"/>
              </w:rPr>
            </w:pPr>
            <w:r>
              <w:rPr>
                <w:sz w:val="18"/>
              </w:rPr>
              <w:t>调配应在密闭装置或空间内进行并有效收集，非即用状态应加盖密封。</w:t>
            </w:r>
          </w:p>
        </w:tc>
        <w:tc>
          <w:tcPr>
            <w:tcW w:w="2880" w:type="dxa"/>
            <w:vMerge w:val="restart"/>
            <w:tcBorders>
              <w:top w:val="single" w:sz="12" w:space="0" w:color="000000"/>
              <w:left w:val="single" w:sz="4" w:space="0" w:color="000000"/>
              <w:bottom w:val="single" w:sz="4" w:space="0" w:color="000000"/>
              <w:right w:val="single" w:sz="4" w:space="0" w:color="000000"/>
            </w:tcBorders>
          </w:tcPr>
          <w:p>
            <w:pPr>
              <w:pStyle w:val="TableParagraph"/>
              <w:spacing w:before="33" w:line="242" w:lineRule="auto"/>
              <w:ind w:left="93" w:right="74"/>
              <w:jc w:val="center"/>
              <w:rPr>
                <w:sz w:val="18"/>
              </w:rPr>
            </w:pPr>
            <w:r>
              <w:rPr>
                <w:sz w:val="18"/>
              </w:rPr>
              <w:t>闭设备或车间内进行，有机废气采用车间密闭负压或密闭管道收集方式。</w:t>
            </w:r>
          </w:p>
        </w:tc>
        <w:tc>
          <w:tcPr>
            <w:tcW w:w="110" w:type="dxa"/>
            <w:vMerge w:val="restart"/>
            <w:tcBorders>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983"/>
        </w:trPr>
        <w:tc>
          <w:tcPr>
            <w:tcW w:w="1114"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19" w:type="dxa"/>
            <w:tcBorders>
              <w:top w:val="single" w:sz="4" w:space="0" w:color="000000"/>
              <w:left w:val="single" w:sz="4" w:space="0" w:color="000000"/>
              <w:bottom w:val="single" w:sz="4" w:space="0" w:color="000000"/>
              <w:right w:val="single" w:sz="4" w:space="0" w:color="000000"/>
            </w:tcBorders>
          </w:tcPr>
          <w:p>
            <w:pPr>
              <w:pStyle w:val="TableParagraph"/>
              <w:rPr>
                <w:sz w:val="20"/>
              </w:rPr>
            </w:pPr>
          </w:p>
          <w:p>
            <w:pPr>
              <w:pStyle w:val="TableParagraph"/>
              <w:spacing w:before="134"/>
              <w:ind w:left="12"/>
              <w:jc w:val="center"/>
              <w:rPr>
                <w:rFonts w:ascii="Times New Roman"/>
                <w:sz w:val="18"/>
              </w:rPr>
            </w:pPr>
            <w:r>
              <w:rPr>
                <w:rFonts w:ascii="Times New Roman"/>
                <w:sz w:val="18"/>
              </w:rPr>
              <w:t>3</w:t>
            </w:r>
          </w:p>
        </w:tc>
        <w:tc>
          <w:tcPr>
            <w:tcW w:w="4534" w:type="dxa"/>
            <w:tcBorders>
              <w:top w:val="single" w:sz="4" w:space="0" w:color="000000"/>
              <w:left w:val="single" w:sz="4" w:space="0" w:color="000000"/>
              <w:bottom w:val="single" w:sz="4" w:space="0" w:color="000000"/>
              <w:right w:val="single" w:sz="4" w:space="0" w:color="000000"/>
            </w:tcBorders>
          </w:tcPr>
          <w:p>
            <w:pPr>
              <w:pStyle w:val="TableParagraph"/>
              <w:spacing w:before="26" w:line="242" w:lineRule="auto"/>
              <w:ind w:left="18" w:right="3" w:firstLine="1"/>
              <w:jc w:val="center"/>
              <w:rPr>
                <w:sz w:val="18"/>
              </w:rPr>
            </w:pPr>
            <w:r>
              <w:rPr>
                <w:spacing w:val="-3"/>
                <w:sz w:val="18"/>
              </w:rPr>
              <w:t xml:space="preserve">涂布、印刷覆膜、复合、上光、清洗等含 </w:t>
            </w:r>
            <w:r>
              <w:rPr>
                <w:rFonts w:ascii="Times New Roman" w:eastAsia="Times New Roman"/>
                <w:sz w:val="18"/>
              </w:rPr>
              <w:t>VOCs</w:t>
            </w:r>
            <w:r>
              <w:rPr>
                <w:rFonts w:ascii="Times New Roman" w:eastAsia="Times New Roman"/>
                <w:spacing w:val="-11"/>
                <w:sz w:val="18"/>
              </w:rPr>
              <w:t xml:space="preserve"> </w:t>
            </w:r>
            <w:r>
              <w:rPr>
                <w:sz w:val="18"/>
              </w:rPr>
              <w:t>物料使用</w:t>
            </w:r>
            <w:r>
              <w:rPr>
                <w:spacing w:val="-1"/>
                <w:sz w:val="18"/>
              </w:rPr>
              <w:t xml:space="preserve">过程应采用密闭设备或在密闭空间内操作；无法密闭的， </w:t>
            </w:r>
            <w:r>
              <w:rPr>
                <w:spacing w:val="-3"/>
                <w:sz w:val="18"/>
              </w:rPr>
              <w:t xml:space="preserve">应采取局部气体收集措施，废气排至 </w:t>
            </w:r>
            <w:r>
              <w:rPr>
                <w:rFonts w:ascii="Times New Roman" w:eastAsia="Times New Roman"/>
                <w:sz w:val="18"/>
              </w:rPr>
              <w:t>VOCs</w:t>
            </w:r>
            <w:r>
              <w:rPr>
                <w:rFonts w:ascii="Times New Roman" w:eastAsia="Times New Roman"/>
                <w:spacing w:val="-10"/>
                <w:sz w:val="18"/>
              </w:rPr>
              <w:t xml:space="preserve"> </w:t>
            </w:r>
            <w:r>
              <w:rPr>
                <w:sz w:val="18"/>
              </w:rPr>
              <w:t>废气收集系 统。</w:t>
            </w:r>
          </w:p>
        </w:tc>
        <w:tc>
          <w:tcPr>
            <w:tcW w:w="2880" w:type="dxa"/>
            <w:vMerge/>
            <w:tcBorders>
              <w:top w:val="nil"/>
              <w:left w:val="single" w:sz="4" w:space="0" w:color="000000"/>
              <w:bottom w:val="single" w:sz="4" w:space="0" w:color="000000"/>
              <w:right w:val="single" w:sz="4" w:space="0" w:color="000000"/>
            </w:tcBorders>
          </w:tcPr>
          <w:p>
            <w:pPr>
              <w:rPr>
                <w:sz w:val="2"/>
                <w:szCs w:val="2"/>
              </w:rPr>
            </w:pPr>
          </w:p>
        </w:tc>
        <w:tc>
          <w:tcPr>
            <w:tcW w:w="110" w:type="dxa"/>
            <w:vMerge/>
            <w:tcBorders>
              <w:top w:val="nil"/>
              <w:left w:val="single" w:sz="4" w:space="0" w:color="000000"/>
              <w:bottom w:val="nil"/>
            </w:tcBorders>
          </w:tcPr>
          <w:p>
            <w:pPr>
              <w:rPr>
                <w:sz w:val="2"/>
                <w:szCs w:val="2"/>
              </w:rPr>
            </w:pPr>
          </w:p>
        </w:tc>
      </w:tr>
      <w:tr>
        <w:tblPrEx>
          <w:tblW w:w="0" w:type="auto"/>
          <w:tblInd w:w="138" w:type="dxa"/>
          <w:tblLayout w:type="fixed"/>
          <w:tblCellMar>
            <w:top w:w="0" w:type="dxa"/>
            <w:left w:w="0" w:type="dxa"/>
            <w:bottom w:w="0" w:type="dxa"/>
            <w:right w:w="0" w:type="dxa"/>
          </w:tblCellMar>
        </w:tblPrEx>
        <w:trPr>
          <w:trHeight w:val="11878"/>
        </w:trPr>
        <w:tc>
          <w:tcPr>
            <w:tcW w:w="1114" w:type="dxa"/>
            <w:vMerge/>
            <w:tcBorders>
              <w:top w:val="nil"/>
              <w:right w:val="single" w:sz="4" w:space="0" w:color="000000"/>
            </w:tcBorders>
          </w:tcPr>
          <w:p>
            <w:pPr>
              <w:rPr>
                <w:sz w:val="2"/>
                <w:szCs w:val="2"/>
              </w:rPr>
            </w:pPr>
          </w:p>
        </w:tc>
        <w:tc>
          <w:tcPr>
            <w:tcW w:w="8256" w:type="dxa"/>
            <w:gridSpan w:val="5"/>
            <w:tcBorders>
              <w:top w:val="single" w:sz="4" w:space="0" w:color="000000"/>
              <w:left w:val="single" w:sz="4" w:space="0" w:color="000000"/>
            </w:tcBorders>
          </w:tcPr>
          <w:p>
            <w:pPr>
              <w:pStyle w:val="TableParagraph"/>
              <w:spacing w:before="5"/>
              <w:rPr>
                <w:sz w:val="18"/>
              </w:rPr>
            </w:pPr>
          </w:p>
          <w:p>
            <w:pPr>
              <w:pStyle w:val="TableParagraph"/>
              <w:ind w:left="532"/>
              <w:rPr>
                <w:sz w:val="21"/>
              </w:rPr>
            </w:pPr>
            <w:r>
              <w:rPr>
                <w:sz w:val="21"/>
              </w:rPr>
              <w:t>因此，扩建项目符合《盐城市重点行业挥发性有机物综合治理工作方案》（环大气</w:t>
            </w:r>
          </w:p>
          <w:p>
            <w:pPr>
              <w:pStyle w:val="TableParagraph"/>
              <w:spacing w:before="139"/>
              <w:ind w:left="112"/>
              <w:rPr>
                <w:sz w:val="21"/>
              </w:rPr>
            </w:pPr>
            <w:r>
              <w:rPr>
                <w:rFonts w:ascii="Times New Roman" w:eastAsia="Times New Roman"/>
                <w:sz w:val="21"/>
              </w:rPr>
              <w:t xml:space="preserve">[2019]53 </w:t>
            </w:r>
            <w:r>
              <w:rPr>
                <w:sz w:val="21"/>
              </w:rPr>
              <w:t>号）相关要求。</w:t>
            </w:r>
          </w:p>
          <w:p>
            <w:pPr>
              <w:pStyle w:val="TableParagraph"/>
              <w:spacing w:before="23" w:line="408" w:lineRule="exact"/>
              <w:ind w:left="1603" w:right="344" w:hanging="1069"/>
              <w:rPr>
                <w:b/>
                <w:sz w:val="21"/>
              </w:rPr>
            </w:pPr>
            <w:r>
              <w:rPr>
                <w:b/>
                <w:sz w:val="21"/>
              </w:rPr>
              <w:t>（</w:t>
            </w:r>
            <w:r>
              <w:rPr>
                <w:rFonts w:ascii="Times New Roman" w:eastAsia="Times New Roman"/>
                <w:b/>
                <w:sz w:val="21"/>
              </w:rPr>
              <w:t>5</w:t>
            </w:r>
            <w:r>
              <w:rPr>
                <w:b/>
                <w:sz w:val="21"/>
              </w:rPr>
              <w:t>）与《</w:t>
            </w:r>
            <w:r>
              <w:rPr>
                <w:rFonts w:ascii="Times New Roman" w:eastAsia="Times New Roman"/>
                <w:b/>
                <w:sz w:val="21"/>
              </w:rPr>
              <w:t xml:space="preserve">2022 </w:t>
            </w:r>
            <w:r>
              <w:rPr>
                <w:b/>
                <w:spacing w:val="-10"/>
                <w:sz w:val="21"/>
              </w:rPr>
              <w:t>年江苏省挥发性有机物减排攻坚方案》</w:t>
            </w:r>
            <w:r>
              <w:rPr>
                <w:b/>
                <w:sz w:val="21"/>
              </w:rPr>
              <w:t>（苏大气办〔</w:t>
            </w:r>
            <w:r>
              <w:rPr>
                <w:rFonts w:ascii="Times New Roman" w:eastAsia="Times New Roman"/>
                <w:b/>
                <w:sz w:val="21"/>
              </w:rPr>
              <w:t>2022</w:t>
            </w:r>
            <w:r>
              <w:rPr>
                <w:b/>
                <w:sz w:val="21"/>
              </w:rPr>
              <w:t>〕</w:t>
            </w:r>
            <w:r>
              <w:rPr>
                <w:rFonts w:ascii="Times New Roman" w:eastAsia="Times New Roman"/>
                <w:b/>
                <w:sz w:val="21"/>
              </w:rPr>
              <w:t xml:space="preserve">2 </w:t>
            </w:r>
            <w:r>
              <w:rPr>
                <w:b/>
                <w:sz w:val="21"/>
              </w:rPr>
              <w:t xml:space="preserve">号） </w:t>
            </w:r>
            <w:r>
              <w:rPr>
                <w:b/>
                <w:spacing w:val="-26"/>
                <w:sz w:val="21"/>
              </w:rPr>
              <w:t xml:space="preserve">表 </w:t>
            </w:r>
            <w:r>
              <w:rPr>
                <w:rFonts w:ascii="Times New Roman" w:eastAsia="Times New Roman"/>
                <w:b/>
                <w:sz w:val="21"/>
              </w:rPr>
              <w:t xml:space="preserve">1-10 </w:t>
            </w:r>
            <w:r>
              <w:rPr>
                <w:b/>
                <w:sz w:val="21"/>
              </w:rPr>
              <w:t>与苏大气办〔</w:t>
            </w:r>
            <w:r>
              <w:rPr>
                <w:rFonts w:ascii="Times New Roman" w:eastAsia="Times New Roman"/>
                <w:b/>
                <w:sz w:val="21"/>
              </w:rPr>
              <w:t>2022</w:t>
            </w:r>
            <w:r>
              <w:rPr>
                <w:b/>
                <w:sz w:val="21"/>
              </w:rPr>
              <w:t>〕</w:t>
            </w:r>
            <w:r>
              <w:rPr>
                <w:rFonts w:ascii="Times New Roman" w:eastAsia="Times New Roman"/>
                <w:b/>
                <w:sz w:val="21"/>
              </w:rPr>
              <w:t xml:space="preserve">2 </w:t>
            </w:r>
            <w:r>
              <w:rPr>
                <w:b/>
                <w:sz w:val="21"/>
              </w:rPr>
              <w:t>号）</w:t>
            </w:r>
            <w:r>
              <w:rPr>
                <w:b/>
                <w:spacing w:val="-1"/>
                <w:sz w:val="21"/>
              </w:rPr>
              <w:t>的相符性分析一览表</w:t>
            </w:r>
          </w:p>
          <w:p>
            <w:pPr>
              <w:pStyle w:val="TableParagraph"/>
              <w:tabs>
                <w:tab w:val="left" w:pos="5777"/>
                <w:tab w:val="left" w:pos="7476"/>
              </w:tabs>
              <w:spacing w:before="15"/>
              <w:ind w:left="2431"/>
              <w:rPr>
                <w:b/>
                <w:sz w:val="18"/>
              </w:rPr>
            </w:pPr>
            <w:r>
              <w:rPr>
                <w:b/>
                <w:sz w:val="18"/>
              </w:rPr>
              <w:t>要求</w:t>
            </w:r>
            <w:r>
              <w:rPr>
                <w:b/>
                <w:sz w:val="18"/>
              </w:rPr>
              <w:tab/>
            </w:r>
            <w:r>
              <w:rPr>
                <w:b/>
                <w:sz w:val="18"/>
              </w:rPr>
              <w:t>本项目情况</w:t>
            </w:r>
            <w:r>
              <w:rPr>
                <w:b/>
                <w:sz w:val="18"/>
              </w:rPr>
              <w:tab/>
            </w:r>
            <w:r>
              <w:rPr>
                <w:b/>
                <w:sz w:val="18"/>
              </w:rPr>
              <w:t>相符性</w:t>
            </w:r>
          </w:p>
          <w:p>
            <w:pPr>
              <w:pStyle w:val="TableParagraph"/>
              <w:tabs>
                <w:tab w:val="left" w:pos="5148"/>
              </w:tabs>
              <w:spacing w:before="38" w:line="242" w:lineRule="auto"/>
              <w:ind w:left="496" w:right="930" w:hanging="310"/>
              <w:rPr>
                <w:sz w:val="18"/>
              </w:rPr>
            </w:pPr>
            <w:r>
              <w:rPr>
                <w:sz w:val="18"/>
              </w:rPr>
              <w:t>（四）持续推进涉</w:t>
            </w:r>
            <w:r>
              <w:rPr>
                <w:spacing w:val="-45"/>
                <w:sz w:val="18"/>
              </w:rPr>
              <w:t xml:space="preserve"> </w:t>
            </w:r>
            <w:r>
              <w:rPr>
                <w:rFonts w:ascii="Times New Roman" w:eastAsia="Times New Roman"/>
                <w:sz w:val="18"/>
              </w:rPr>
              <w:t>VOCs</w:t>
            </w:r>
            <w:r>
              <w:rPr>
                <w:rFonts w:ascii="Times New Roman" w:eastAsia="Times New Roman"/>
                <w:spacing w:val="-10"/>
                <w:sz w:val="18"/>
              </w:rPr>
              <w:t xml:space="preserve"> </w:t>
            </w:r>
            <w:r>
              <w:rPr>
                <w:sz w:val="18"/>
              </w:rPr>
              <w:t>行业清洁原料替代。各地要对照《江</w:t>
            </w:r>
            <w:r>
              <w:rPr>
                <w:spacing w:val="24"/>
                <w:sz w:val="18"/>
              </w:rPr>
              <w:t xml:space="preserve"> </w:t>
            </w:r>
            <w:r>
              <w:rPr>
                <w:sz w:val="18"/>
              </w:rPr>
              <w:t>项目使用的油墨</w:t>
            </w:r>
            <w:r>
              <w:rPr>
                <w:spacing w:val="-44"/>
                <w:sz w:val="18"/>
              </w:rPr>
              <w:t xml:space="preserve"> </w:t>
            </w:r>
            <w:r>
              <w:rPr>
                <w:rFonts w:ascii="Times New Roman" w:eastAsia="Times New Roman"/>
                <w:sz w:val="18"/>
              </w:rPr>
              <w:t>VOCs</w:t>
            </w:r>
            <w:r>
              <w:rPr>
                <w:rFonts w:ascii="Times New Roman" w:eastAsia="Times New Roman"/>
                <w:spacing w:val="-11"/>
                <w:sz w:val="18"/>
              </w:rPr>
              <w:t xml:space="preserve"> </w:t>
            </w:r>
            <w:r>
              <w:rPr>
                <w:sz w:val="18"/>
              </w:rPr>
              <w:t>含量苏省挥发性有机物清洁原料替代工作方案</w:t>
            </w:r>
            <w:r>
              <w:rPr>
                <w:spacing w:val="-92"/>
                <w:sz w:val="18"/>
              </w:rPr>
              <w:t>》</w:t>
            </w:r>
            <w:r>
              <w:rPr>
                <w:sz w:val="18"/>
              </w:rPr>
              <w:t>（苏大气办</w:t>
            </w:r>
            <w:r>
              <w:rPr>
                <w:sz w:val="18"/>
              </w:rPr>
              <w:tab/>
            </w:r>
            <w:r>
              <w:rPr>
                <w:sz w:val="18"/>
              </w:rPr>
              <w:t>满足《油墨中可挥发性有</w:t>
            </w:r>
            <w:r>
              <w:rPr>
                <w:spacing w:val="-17"/>
                <w:sz w:val="18"/>
              </w:rPr>
              <w:t>机</w:t>
            </w:r>
          </w:p>
          <w:p>
            <w:pPr>
              <w:pStyle w:val="TableParagraph"/>
              <w:spacing w:before="2"/>
              <w:ind w:left="167"/>
              <w:rPr>
                <w:sz w:val="18"/>
              </w:rPr>
            </w:pPr>
            <w:r>
              <w:rPr>
                <w:sz w:val="18"/>
              </w:rPr>
              <w:t>〔</w:t>
            </w:r>
            <w:r>
              <w:rPr>
                <w:rFonts w:ascii="Times New Roman" w:eastAsia="Times New Roman"/>
                <w:sz w:val="18"/>
              </w:rPr>
              <w:t>2021</w:t>
            </w:r>
            <w:r>
              <w:rPr>
                <w:sz w:val="18"/>
              </w:rPr>
              <w:t>〕</w:t>
            </w:r>
            <w:r>
              <w:rPr>
                <w:rFonts w:ascii="Times New Roman" w:eastAsia="Times New Roman"/>
                <w:sz w:val="18"/>
              </w:rPr>
              <w:t>2</w:t>
            </w:r>
            <w:r>
              <w:rPr>
                <w:rFonts w:ascii="Times New Roman" w:eastAsia="Times New Roman"/>
                <w:spacing w:val="-8"/>
                <w:sz w:val="18"/>
              </w:rPr>
              <w:t xml:space="preserve"> </w:t>
            </w:r>
            <w:r>
              <w:rPr>
                <w:sz w:val="18"/>
              </w:rPr>
              <w:t>号）</w:t>
            </w:r>
            <w:r>
              <w:rPr>
                <w:spacing w:val="-7"/>
                <w:sz w:val="18"/>
              </w:rPr>
              <w:t xml:space="preserve">要求，持续推动 </w:t>
            </w:r>
            <w:r>
              <w:rPr>
                <w:rFonts w:ascii="Times New Roman" w:eastAsia="Times New Roman"/>
                <w:sz w:val="18"/>
              </w:rPr>
              <w:t>3130</w:t>
            </w:r>
            <w:r>
              <w:rPr>
                <w:rFonts w:ascii="Times New Roman" w:eastAsia="Times New Roman"/>
                <w:spacing w:val="-8"/>
                <w:sz w:val="18"/>
              </w:rPr>
              <w:t xml:space="preserve"> </w:t>
            </w:r>
            <w:r>
              <w:rPr>
                <w:sz w:val="18"/>
              </w:rPr>
              <w:t>家企业实施源头替代，严 化合物（</w:t>
            </w:r>
            <w:r>
              <w:rPr>
                <w:rFonts w:ascii="Times New Roman" w:eastAsia="Times New Roman"/>
                <w:sz w:val="18"/>
              </w:rPr>
              <w:t>VOCS</w:t>
            </w:r>
            <w:r>
              <w:rPr>
                <w:sz w:val="18"/>
              </w:rPr>
              <w:t>）含量的限</w:t>
            </w:r>
          </w:p>
          <w:p>
            <w:pPr>
              <w:pStyle w:val="TableParagraph"/>
              <w:tabs>
                <w:tab w:val="left" w:pos="7568"/>
              </w:tabs>
              <w:spacing w:before="2" w:line="242" w:lineRule="auto"/>
              <w:ind w:left="160" w:right="310" w:firstLine="21"/>
              <w:rPr>
                <w:sz w:val="18"/>
              </w:rPr>
            </w:pPr>
            <w:r>
              <w:rPr>
                <w:sz w:val="18"/>
              </w:rPr>
              <w:t>把环评审批准入关，控增量、去存量。实施替代的钢结构企业</w:t>
            </w:r>
            <w:r>
              <w:rPr>
                <w:spacing w:val="49"/>
                <w:sz w:val="18"/>
              </w:rPr>
              <w:t xml:space="preserve"> </w:t>
            </w:r>
            <w:r>
              <w:rPr>
                <w:sz w:val="18"/>
              </w:rPr>
              <w:t>值</w:t>
            </w:r>
            <w:r>
              <w:rPr>
                <w:spacing w:val="-92"/>
                <w:sz w:val="18"/>
              </w:rPr>
              <w:t>》</w:t>
            </w:r>
            <w:r>
              <w:rPr>
                <w:sz w:val="18"/>
              </w:rPr>
              <w:t>（</w:t>
            </w:r>
            <w:r>
              <w:rPr>
                <w:rFonts w:ascii="Times New Roman" w:eastAsia="Times New Roman"/>
                <w:sz w:val="18"/>
              </w:rPr>
              <w:t>GB/T38507-2020</w:t>
            </w:r>
            <w:r>
              <w:rPr>
                <w:sz w:val="18"/>
              </w:rPr>
              <w:t>）要</w:t>
            </w:r>
            <w:r>
              <w:rPr>
                <w:sz w:val="18"/>
              </w:rPr>
              <w:tab/>
            </w:r>
            <w:r>
              <w:rPr>
                <w:sz w:val="18"/>
              </w:rPr>
              <w:t>符</w:t>
            </w:r>
            <w:r>
              <w:rPr>
                <w:spacing w:val="-17"/>
                <w:sz w:val="18"/>
              </w:rPr>
              <w:t>合</w:t>
            </w:r>
            <w:r>
              <w:rPr>
                <w:sz w:val="18"/>
              </w:rPr>
              <w:t>需使用符合</w:t>
            </w:r>
            <w:r>
              <w:rPr>
                <w:spacing w:val="-46"/>
                <w:sz w:val="18"/>
              </w:rPr>
              <w:t xml:space="preserve"> </w:t>
            </w:r>
            <w:r>
              <w:rPr>
                <w:rFonts w:ascii="Times New Roman" w:eastAsia="Times New Roman"/>
                <w:sz w:val="18"/>
              </w:rPr>
              <w:t>GB/T38597</w:t>
            </w:r>
            <w:r>
              <w:rPr>
                <w:rFonts w:ascii="Times New Roman" w:eastAsia="Times New Roman"/>
                <w:spacing w:val="-7"/>
                <w:sz w:val="18"/>
              </w:rPr>
              <w:t xml:space="preserve"> </w:t>
            </w:r>
            <w:r>
              <w:rPr>
                <w:sz w:val="18"/>
              </w:rPr>
              <w:t>中规</w:t>
            </w:r>
            <w:r>
              <w:rPr>
                <w:spacing w:val="-3"/>
                <w:sz w:val="18"/>
              </w:rPr>
              <w:t>定</w:t>
            </w:r>
            <w:r>
              <w:rPr>
                <w:sz w:val="18"/>
              </w:rPr>
              <w:t>的粉末、水性、无溶剂、辐射固</w:t>
            </w:r>
            <w:r>
              <w:rPr>
                <w:spacing w:val="-4"/>
                <w:sz w:val="18"/>
              </w:rPr>
              <w:t xml:space="preserve"> </w:t>
            </w:r>
            <w:r>
              <w:rPr>
                <w:sz w:val="18"/>
              </w:rPr>
              <w:t>求，胶粘剂满足《胶粘剂挥</w:t>
            </w:r>
          </w:p>
          <w:p>
            <w:pPr>
              <w:pStyle w:val="TableParagraph"/>
              <w:tabs>
                <w:tab w:val="left" w:pos="5217"/>
                <w:tab w:val="left" w:pos="5328"/>
              </w:tabs>
              <w:spacing w:line="244" w:lineRule="auto"/>
              <w:ind w:left="2162" w:right="997" w:hanging="1981"/>
              <w:rPr>
                <w:sz w:val="18"/>
              </w:rPr>
            </w:pPr>
            <w:r>
              <w:rPr>
                <w:sz w:val="18"/>
              </w:rPr>
              <w:t>化涂料产品。无法替代的应开展论证，并采用适宜的高效末端</w:t>
            </w:r>
            <w:r>
              <w:rPr>
                <w:sz w:val="18"/>
              </w:rPr>
              <w:tab/>
            </w:r>
            <w:r>
              <w:rPr>
                <w:sz w:val="18"/>
              </w:rPr>
              <w:tab/>
            </w:r>
            <w:r>
              <w:rPr>
                <w:sz w:val="18"/>
              </w:rPr>
              <w:t>发性有机化合物限量》治理技术。</w:t>
            </w:r>
            <w:r>
              <w:rPr>
                <w:sz w:val="18"/>
              </w:rPr>
              <w:tab/>
            </w:r>
            <w:r>
              <w:rPr>
                <w:sz w:val="18"/>
              </w:rPr>
              <w:t>（</w:t>
            </w:r>
            <w:r>
              <w:rPr>
                <w:rFonts w:ascii="Times New Roman" w:eastAsia="Times New Roman"/>
                <w:sz w:val="18"/>
              </w:rPr>
              <w:t>GB33732-2020</w:t>
            </w:r>
            <w:r>
              <w:rPr>
                <w:sz w:val="18"/>
              </w:rPr>
              <w:t>）要求</w:t>
            </w:r>
            <w:r>
              <w:rPr>
                <w:spacing w:val="-13"/>
                <w:sz w:val="18"/>
              </w:rPr>
              <w:t>。</w:t>
            </w:r>
          </w:p>
          <w:p>
            <w:pPr>
              <w:pStyle w:val="TableParagraph"/>
              <w:spacing w:before="7"/>
              <w:ind w:left="181"/>
              <w:rPr>
                <w:sz w:val="18"/>
              </w:rPr>
            </w:pPr>
            <w:r>
              <w:rPr>
                <w:sz w:val="18"/>
              </w:rPr>
              <w:t>（五）强化工业源日常管理与监管。督促工业企业按规范管理</w:t>
            </w:r>
          </w:p>
          <w:p>
            <w:pPr>
              <w:pStyle w:val="TableParagraph"/>
              <w:spacing w:before="22" w:line="160" w:lineRule="auto"/>
              <w:ind w:left="181" w:right="875" w:firstLine="4"/>
              <w:rPr>
                <w:sz w:val="18"/>
              </w:rPr>
            </w:pPr>
            <w:r>
              <w:rPr>
                <w:sz w:val="18"/>
              </w:rPr>
              <w:t xml:space="preserve">相关台账，如实记录含 </w:t>
            </w:r>
            <w:r>
              <w:rPr>
                <w:rFonts w:ascii="Times New Roman" w:eastAsia="Times New Roman" w:hAnsi="Times New Roman"/>
                <w:sz w:val="18"/>
              </w:rPr>
              <w:t xml:space="preserve">VOCs </w:t>
            </w:r>
            <w:r>
              <w:rPr>
                <w:sz w:val="18"/>
              </w:rPr>
              <w:t xml:space="preserve">原辅材料使用、治理设施运维、 </w:t>
            </w:r>
            <w:r>
              <w:rPr>
                <w:position w:val="-11"/>
                <w:sz w:val="18"/>
              </w:rPr>
              <w:t>本项目生产工艺中的有机废</w:t>
            </w:r>
            <w:r>
              <w:rPr>
                <w:sz w:val="18"/>
              </w:rPr>
              <w:t xml:space="preserve">生产管理等信息。对采用活性炭吸附技术的，按照《吸附法工 </w:t>
            </w:r>
            <w:r>
              <w:rPr>
                <w:position w:val="-11"/>
                <w:sz w:val="18"/>
              </w:rPr>
              <w:t>气采“催化燃烧”装置处</w:t>
            </w:r>
          </w:p>
          <w:p>
            <w:pPr>
              <w:pStyle w:val="TableParagraph"/>
              <w:tabs>
                <w:tab w:val="left" w:pos="7568"/>
              </w:tabs>
              <w:spacing w:line="103" w:lineRule="auto"/>
              <w:ind w:left="186"/>
              <w:rPr>
                <w:sz w:val="18"/>
              </w:rPr>
            </w:pPr>
            <w:r>
              <w:rPr>
                <w:sz w:val="18"/>
              </w:rPr>
              <w:t>业有机废气治理工程技术规范</w:t>
            </w:r>
            <w:r>
              <w:rPr>
                <w:spacing w:val="-89"/>
                <w:sz w:val="18"/>
              </w:rPr>
              <w:t>》</w:t>
            </w:r>
            <w:r>
              <w:rPr>
                <w:sz w:val="18"/>
              </w:rPr>
              <w:t>（</w:t>
            </w:r>
            <w:r>
              <w:rPr>
                <w:rFonts w:ascii="Times New Roman" w:eastAsia="Times New Roman"/>
                <w:sz w:val="18"/>
              </w:rPr>
              <w:t>HJ2026-2013</w:t>
            </w:r>
            <w:r>
              <w:rPr>
                <w:sz w:val="18"/>
              </w:rPr>
              <w:t>）进行管理，按</w:t>
            </w:r>
            <w:r>
              <w:rPr>
                <w:spacing w:val="9"/>
                <w:sz w:val="18"/>
              </w:rPr>
              <w:t xml:space="preserve"> </w:t>
            </w:r>
            <w:r>
              <w:rPr>
                <w:position w:val="-11"/>
                <w:sz w:val="18"/>
              </w:rPr>
              <w:t>理，处理效率达</w:t>
            </w:r>
            <w:r>
              <w:rPr>
                <w:spacing w:val="-44"/>
                <w:position w:val="-11"/>
                <w:sz w:val="18"/>
              </w:rPr>
              <w:t xml:space="preserve"> </w:t>
            </w:r>
            <w:r>
              <w:rPr>
                <w:rFonts w:ascii="Times New Roman" w:eastAsia="Times New Roman"/>
                <w:position w:val="-11"/>
                <w:sz w:val="18"/>
              </w:rPr>
              <w:t>95%</w:t>
            </w:r>
            <w:r>
              <w:rPr>
                <w:position w:val="-11"/>
                <w:sz w:val="18"/>
              </w:rPr>
              <w:t>；危废</w:t>
            </w:r>
            <w:r>
              <w:rPr>
                <w:position w:val="-11"/>
                <w:sz w:val="18"/>
              </w:rPr>
              <w:tab/>
            </w:r>
            <w:r>
              <w:rPr>
                <w:position w:val="-11"/>
                <w:sz w:val="18"/>
              </w:rPr>
              <w:t>符合</w:t>
            </w:r>
          </w:p>
          <w:p>
            <w:pPr>
              <w:pStyle w:val="TableParagraph"/>
              <w:spacing w:line="160" w:lineRule="auto"/>
              <w:ind w:left="143" w:right="1021" w:firstLine="38"/>
              <w:jc w:val="both"/>
              <w:rPr>
                <w:sz w:val="18"/>
              </w:rPr>
            </w:pPr>
            <w:r>
              <w:rPr>
                <w:sz w:val="18"/>
              </w:rPr>
              <w:t xml:space="preserve">要求足量添加、定期更换；一次性活性炭吸附工艺需使用柱状 </w:t>
            </w:r>
            <w:r>
              <w:rPr>
                <w:spacing w:val="-2"/>
                <w:position w:val="-11"/>
                <w:sz w:val="18"/>
              </w:rPr>
              <w:t>仓库逸散的有机废气经收</w:t>
            </w:r>
            <w:r>
              <w:rPr>
                <w:sz w:val="18"/>
              </w:rPr>
              <w:t>炭（颗粒炭</w:t>
            </w:r>
            <w:r>
              <w:rPr>
                <w:spacing w:val="-92"/>
                <w:sz w:val="18"/>
              </w:rPr>
              <w:t>）</w:t>
            </w:r>
            <w:r>
              <w:rPr>
                <w:spacing w:val="-6"/>
                <w:sz w:val="18"/>
              </w:rPr>
              <w:t xml:space="preserve">，碘吸附值不低 </w:t>
            </w:r>
            <w:r>
              <w:rPr>
                <w:rFonts w:ascii="Times New Roman" w:eastAsia="Times New Roman"/>
                <w:spacing w:val="1"/>
                <w:sz w:val="18"/>
              </w:rPr>
              <w:t>80</w:t>
            </w:r>
            <w:r>
              <w:rPr>
                <w:rFonts w:ascii="Times New Roman" w:eastAsia="Times New Roman"/>
                <w:sz w:val="18"/>
              </w:rPr>
              <w:t xml:space="preserve">0 </w:t>
            </w:r>
            <w:r>
              <w:rPr>
                <w:sz w:val="18"/>
              </w:rPr>
              <w:t>毫克</w:t>
            </w:r>
            <w:r>
              <w:rPr>
                <w:rFonts w:ascii="Times New Roman" w:eastAsia="Times New Roman"/>
                <w:sz w:val="18"/>
              </w:rPr>
              <w:t>/</w:t>
            </w:r>
            <w:r>
              <w:rPr>
                <w:sz w:val="18"/>
              </w:rPr>
              <w:t>克；</w:t>
            </w:r>
            <w:r>
              <w:rPr>
                <w:rFonts w:ascii="Times New Roman" w:eastAsia="Times New Roman"/>
                <w:w w:val="99"/>
                <w:sz w:val="18"/>
              </w:rPr>
              <w:t>V</w:t>
            </w:r>
            <w:r>
              <w:rPr>
                <w:rFonts w:ascii="Times New Roman" w:eastAsia="Times New Roman"/>
                <w:spacing w:val="-1"/>
                <w:w w:val="99"/>
                <w:sz w:val="18"/>
              </w:rPr>
              <w:t>O</w:t>
            </w:r>
            <w:r>
              <w:rPr>
                <w:rFonts w:ascii="Times New Roman" w:eastAsia="Times New Roman"/>
                <w:w w:val="99"/>
                <w:sz w:val="18"/>
              </w:rPr>
              <w:t>Cs</w:t>
            </w:r>
            <w:r>
              <w:rPr>
                <w:rFonts w:ascii="Times New Roman" w:eastAsia="Times New Roman"/>
                <w:sz w:val="18"/>
              </w:rPr>
              <w:t xml:space="preserve"> </w:t>
            </w:r>
            <w:r>
              <w:rPr>
                <w:spacing w:val="-4"/>
                <w:sz w:val="18"/>
              </w:rPr>
              <w:t xml:space="preserve">初始排放速率  </w:t>
            </w:r>
            <w:r>
              <w:rPr>
                <w:spacing w:val="-2"/>
                <w:position w:val="-11"/>
                <w:sz w:val="18"/>
              </w:rPr>
              <w:t>集、处理后有组织排放。</w:t>
            </w:r>
            <w:r>
              <w:rPr>
                <w:spacing w:val="-15"/>
                <w:sz w:val="18"/>
              </w:rPr>
              <w:t xml:space="preserve">大于 </w:t>
            </w:r>
            <w:r>
              <w:rPr>
                <w:rFonts w:ascii="Times New Roman" w:eastAsia="Times New Roman"/>
                <w:sz w:val="18"/>
              </w:rPr>
              <w:t xml:space="preserve">2kg/h </w:t>
            </w:r>
            <w:r>
              <w:rPr>
                <w:spacing w:val="-1"/>
                <w:sz w:val="18"/>
              </w:rPr>
              <w:t>的重点源排气筒进口应设施采样平台，治理效率不</w:t>
            </w:r>
          </w:p>
          <w:p>
            <w:pPr>
              <w:pStyle w:val="TableParagraph"/>
              <w:spacing w:line="208" w:lineRule="exact"/>
              <w:ind w:left="2155"/>
              <w:rPr>
                <w:sz w:val="18"/>
              </w:rPr>
            </w:pPr>
            <w:r>
              <w:rPr>
                <w:sz w:val="18"/>
              </w:rPr>
              <w:t xml:space="preserve">低于 </w:t>
            </w:r>
            <w:r>
              <w:rPr>
                <w:rFonts w:ascii="Times New Roman" w:eastAsia="Times New Roman"/>
                <w:sz w:val="18"/>
              </w:rPr>
              <w:t>80%</w:t>
            </w:r>
            <w:r>
              <w:rPr>
                <w:sz w:val="18"/>
              </w:rPr>
              <w:t>。</w:t>
            </w:r>
          </w:p>
          <w:p>
            <w:pPr>
              <w:pStyle w:val="TableParagraph"/>
              <w:ind w:left="275"/>
              <w:rPr>
                <w:sz w:val="18"/>
              </w:rPr>
            </w:pPr>
            <w:r>
              <w:rPr>
                <w:sz w:val="18"/>
              </w:rPr>
              <w:t xml:space="preserve">（七）推进 </w:t>
            </w:r>
            <w:r>
              <w:rPr>
                <w:rFonts w:ascii="Times New Roman" w:eastAsia="Times New Roman"/>
                <w:sz w:val="18"/>
              </w:rPr>
              <w:t xml:space="preserve">VOCs </w:t>
            </w:r>
            <w:r>
              <w:rPr>
                <w:sz w:val="18"/>
              </w:rPr>
              <w:t>在线监控安装、验收与联网。各地要按照</w:t>
            </w:r>
          </w:p>
          <w:p>
            <w:pPr>
              <w:pStyle w:val="TableParagraph"/>
              <w:ind w:left="256"/>
              <w:rPr>
                <w:sz w:val="18"/>
              </w:rPr>
            </w:pPr>
            <w:r>
              <w:rPr>
                <w:sz w:val="18"/>
              </w:rPr>
              <w:t>《江苏省污染源自动监控管理办法（试行</w:t>
            </w:r>
            <w:r>
              <w:rPr>
                <w:spacing w:val="-92"/>
                <w:sz w:val="18"/>
              </w:rPr>
              <w:t>）》</w:t>
            </w:r>
            <w:r>
              <w:rPr>
                <w:sz w:val="18"/>
              </w:rPr>
              <w:t>（苏环发</w:t>
            </w:r>
            <w:r>
              <w:rPr>
                <w:rFonts w:ascii="Times New Roman" w:eastAsia="Times New Roman"/>
                <w:sz w:val="18"/>
              </w:rPr>
              <w:t xml:space="preserve">[2021]3 </w:t>
            </w:r>
            <w:r>
              <w:rPr>
                <w:sz w:val="18"/>
              </w:rPr>
              <w:t>本项目建成后废气设施的废</w:t>
            </w:r>
          </w:p>
          <w:p>
            <w:pPr>
              <w:pStyle w:val="TableParagraph"/>
              <w:tabs>
                <w:tab w:val="left" w:pos="5263"/>
                <w:tab w:val="left" w:pos="7568"/>
              </w:tabs>
              <w:ind w:left="361"/>
              <w:rPr>
                <w:sz w:val="18"/>
              </w:rPr>
            </w:pPr>
            <w:r>
              <w:rPr>
                <w:sz w:val="18"/>
              </w:rPr>
              <w:t>号）要求，全面梳理企业废气排放量信息，推动单排放口</w:t>
            </w:r>
            <w:r>
              <w:rPr>
                <w:sz w:val="18"/>
              </w:rPr>
              <w:tab/>
            </w:r>
            <w:r>
              <w:rPr>
                <w:sz w:val="18"/>
              </w:rPr>
              <w:t>气设计风量为</w:t>
            </w:r>
            <w:r>
              <w:rPr>
                <w:spacing w:val="-44"/>
                <w:sz w:val="18"/>
              </w:rPr>
              <w:t xml:space="preserve"> </w:t>
            </w:r>
            <w:r>
              <w:rPr>
                <w:rFonts w:ascii="Times New Roman" w:eastAsia="Times New Roman"/>
                <w:sz w:val="18"/>
              </w:rPr>
              <w:t>1.3</w:t>
            </w:r>
            <w:r>
              <w:rPr>
                <w:rFonts w:ascii="Times New Roman" w:eastAsia="Times New Roman"/>
                <w:spacing w:val="-8"/>
                <w:sz w:val="18"/>
              </w:rPr>
              <w:t xml:space="preserve"> </w:t>
            </w:r>
            <w:r>
              <w:rPr>
                <w:sz w:val="18"/>
              </w:rPr>
              <w:t>万立方</w:t>
            </w:r>
            <w:r>
              <w:rPr>
                <w:sz w:val="18"/>
              </w:rPr>
              <w:tab/>
            </w:r>
            <w:r>
              <w:rPr>
                <w:sz w:val="18"/>
              </w:rPr>
              <w:t>符合</w:t>
            </w:r>
          </w:p>
          <w:p>
            <w:pPr>
              <w:pStyle w:val="TableParagraph"/>
              <w:tabs>
                <w:tab w:val="left" w:pos="5421"/>
              </w:tabs>
              <w:spacing w:line="242" w:lineRule="auto"/>
              <w:ind w:left="212" w:right="1203" w:firstLine="88"/>
              <w:rPr>
                <w:sz w:val="18"/>
              </w:rPr>
            </w:pPr>
            <w:r>
              <w:rPr>
                <w:rFonts w:ascii="Times New Roman" w:eastAsia="Times New Roman"/>
                <w:sz w:val="18"/>
              </w:rPr>
              <w:t>VOCs</w:t>
            </w:r>
            <w:r>
              <w:rPr>
                <w:rFonts w:ascii="Times New Roman" w:eastAsia="Times New Roman"/>
                <w:spacing w:val="-10"/>
                <w:sz w:val="18"/>
              </w:rPr>
              <w:t xml:space="preserve"> </w:t>
            </w:r>
            <w:r>
              <w:rPr>
                <w:sz w:val="18"/>
              </w:rPr>
              <w:t>排放设计小时废气排放量</w:t>
            </w:r>
            <w:r>
              <w:rPr>
                <w:spacing w:val="-44"/>
                <w:sz w:val="18"/>
              </w:rPr>
              <w:t xml:space="preserve"> </w:t>
            </w:r>
            <w:r>
              <w:rPr>
                <w:rFonts w:ascii="Times New Roman" w:eastAsia="Times New Roman"/>
                <w:sz w:val="18"/>
              </w:rPr>
              <w:t>1</w:t>
            </w:r>
            <w:r>
              <w:rPr>
                <w:rFonts w:ascii="Times New Roman" w:eastAsia="Times New Roman"/>
                <w:spacing w:val="-8"/>
                <w:sz w:val="18"/>
              </w:rPr>
              <w:t xml:space="preserve"> </w:t>
            </w:r>
            <w:r>
              <w:rPr>
                <w:sz w:val="18"/>
              </w:rPr>
              <w:t>万立方米及以上的化工行</w:t>
            </w:r>
            <w:r>
              <w:rPr>
                <w:sz w:val="18"/>
              </w:rPr>
              <w:tab/>
            </w:r>
            <w:r>
              <w:rPr>
                <w:sz w:val="18"/>
              </w:rPr>
              <w:t>米，低于</w:t>
            </w:r>
            <w:r>
              <w:rPr>
                <w:spacing w:val="-44"/>
                <w:sz w:val="18"/>
              </w:rPr>
              <w:t xml:space="preserve"> </w:t>
            </w:r>
            <w:r>
              <w:rPr>
                <w:rFonts w:ascii="Times New Roman" w:eastAsia="Times New Roman"/>
                <w:sz w:val="18"/>
              </w:rPr>
              <w:t>3</w:t>
            </w:r>
            <w:r>
              <w:rPr>
                <w:rFonts w:ascii="Times New Roman" w:eastAsia="Times New Roman"/>
                <w:spacing w:val="-8"/>
                <w:sz w:val="18"/>
              </w:rPr>
              <w:t xml:space="preserve"> </w:t>
            </w:r>
            <w:r>
              <w:rPr>
                <w:sz w:val="18"/>
              </w:rPr>
              <w:t>万立方</w:t>
            </w:r>
            <w:r>
              <w:rPr>
                <w:spacing w:val="-16"/>
                <w:sz w:val="18"/>
              </w:rPr>
              <w:t>米</w:t>
            </w:r>
            <w:r>
              <w:rPr>
                <w:sz w:val="18"/>
              </w:rPr>
              <w:t>业、</w:t>
            </w:r>
            <w:r>
              <w:rPr>
                <w:rFonts w:ascii="Times New Roman" w:eastAsia="Times New Roman"/>
                <w:sz w:val="18"/>
              </w:rPr>
              <w:t>3</w:t>
            </w:r>
            <w:r>
              <w:rPr>
                <w:rFonts w:ascii="Times New Roman" w:eastAsia="Times New Roman"/>
                <w:spacing w:val="-9"/>
                <w:sz w:val="18"/>
              </w:rPr>
              <w:t xml:space="preserve"> </w:t>
            </w:r>
            <w:r>
              <w:rPr>
                <w:sz w:val="18"/>
              </w:rPr>
              <w:t>万立方米及以上的其他行业安装</w:t>
            </w:r>
            <w:r>
              <w:rPr>
                <w:spacing w:val="-44"/>
                <w:sz w:val="18"/>
              </w:rPr>
              <w:t xml:space="preserve"> </w:t>
            </w:r>
            <w:r>
              <w:rPr>
                <w:rFonts w:ascii="Times New Roman" w:eastAsia="Times New Roman"/>
                <w:sz w:val="18"/>
              </w:rPr>
              <w:t>VOCs</w:t>
            </w:r>
            <w:r>
              <w:rPr>
                <w:rFonts w:ascii="Times New Roman" w:eastAsia="Times New Roman"/>
                <w:spacing w:val="-10"/>
                <w:sz w:val="18"/>
              </w:rPr>
              <w:t xml:space="preserve"> </w:t>
            </w:r>
            <w:r>
              <w:rPr>
                <w:sz w:val="18"/>
              </w:rPr>
              <w:t>自动监测设备。</w:t>
            </w:r>
          </w:p>
          <w:p>
            <w:pPr>
              <w:pStyle w:val="TableParagraph"/>
              <w:spacing w:before="11"/>
              <w:rPr>
                <w:sz w:val="15"/>
              </w:rPr>
            </w:pPr>
          </w:p>
          <w:p>
            <w:pPr>
              <w:pStyle w:val="TableParagraph"/>
              <w:spacing w:before="1"/>
              <w:ind w:left="532"/>
              <w:rPr>
                <w:sz w:val="21"/>
              </w:rPr>
            </w:pPr>
            <w:r>
              <w:rPr>
                <w:sz w:val="21"/>
              </w:rPr>
              <w:t>根据上表分析，项目符合《</w:t>
            </w:r>
            <w:r>
              <w:rPr>
                <w:rFonts w:ascii="Times New Roman" w:eastAsia="Times New Roman"/>
                <w:sz w:val="21"/>
              </w:rPr>
              <w:t xml:space="preserve">2022 </w:t>
            </w:r>
            <w:r>
              <w:rPr>
                <w:sz w:val="21"/>
              </w:rPr>
              <w:t>年江苏省挥发性有机物减排攻坚方案》（苏大气办</w:t>
            </w:r>
          </w:p>
          <w:p>
            <w:pPr>
              <w:pStyle w:val="TableParagraph"/>
              <w:spacing w:before="139"/>
              <w:ind w:left="112"/>
              <w:jc w:val="both"/>
              <w:rPr>
                <w:sz w:val="21"/>
              </w:rPr>
            </w:pPr>
            <w:r>
              <w:rPr>
                <w:sz w:val="21"/>
              </w:rPr>
              <w:t>〔</w:t>
            </w:r>
            <w:r>
              <w:rPr>
                <w:rFonts w:ascii="Times New Roman" w:eastAsia="Times New Roman"/>
                <w:sz w:val="21"/>
              </w:rPr>
              <w:t>2022</w:t>
            </w:r>
            <w:r>
              <w:rPr>
                <w:sz w:val="21"/>
              </w:rPr>
              <w:t>〕</w:t>
            </w:r>
            <w:r>
              <w:rPr>
                <w:rFonts w:ascii="Times New Roman" w:eastAsia="Times New Roman"/>
                <w:sz w:val="21"/>
              </w:rPr>
              <w:t xml:space="preserve">2 </w:t>
            </w:r>
            <w:r>
              <w:rPr>
                <w:sz w:val="21"/>
              </w:rPr>
              <w:t>号）要求。</w:t>
            </w:r>
          </w:p>
          <w:p>
            <w:pPr>
              <w:pStyle w:val="TableParagraph"/>
              <w:spacing w:before="138"/>
              <w:ind w:left="534"/>
              <w:rPr>
                <w:b/>
                <w:sz w:val="21"/>
              </w:rPr>
            </w:pPr>
            <w:r>
              <w:rPr>
                <w:rFonts w:ascii="Times New Roman" w:eastAsia="Times New Roman"/>
                <w:b/>
                <w:sz w:val="21"/>
              </w:rPr>
              <w:t>6.</w:t>
            </w:r>
            <w:r>
              <w:rPr>
                <w:b/>
                <w:sz w:val="21"/>
              </w:rPr>
              <w:t>与原料相关政策相符性分析</w:t>
            </w:r>
          </w:p>
          <w:p>
            <w:pPr>
              <w:pStyle w:val="TableParagraph"/>
              <w:numPr>
                <w:ilvl w:val="0"/>
                <w:numId w:val="8"/>
              </w:numPr>
              <w:tabs>
                <w:tab w:val="left" w:pos="1064"/>
              </w:tabs>
              <w:spacing w:before="142" w:after="0" w:line="240" w:lineRule="auto"/>
              <w:ind w:left="1063" w:right="0" w:hanging="530"/>
              <w:jc w:val="left"/>
              <w:rPr>
                <w:b/>
                <w:sz w:val="21"/>
              </w:rPr>
            </w:pPr>
            <w:r>
              <w:rPr>
                <w:b/>
                <w:spacing w:val="-2"/>
                <w:sz w:val="21"/>
              </w:rPr>
              <w:t>《油墨中可挥发性有机化合物</w:t>
            </w:r>
            <w:r>
              <w:rPr>
                <w:rFonts w:ascii="Times New Roman" w:eastAsia="Times New Roman"/>
                <w:b/>
                <w:spacing w:val="-3"/>
                <w:sz w:val="21"/>
              </w:rPr>
              <w:t>(VOCs)</w:t>
            </w:r>
            <w:r>
              <w:rPr>
                <w:b/>
                <w:spacing w:val="-18"/>
                <w:sz w:val="21"/>
              </w:rPr>
              <w:t>含量的限值》</w:t>
            </w:r>
            <w:r>
              <w:rPr>
                <w:b/>
                <w:sz w:val="21"/>
              </w:rPr>
              <w:t>（</w:t>
            </w:r>
            <w:r>
              <w:rPr>
                <w:rFonts w:ascii="Times New Roman" w:eastAsia="Times New Roman"/>
                <w:b/>
                <w:sz w:val="21"/>
              </w:rPr>
              <w:t>GB38507-2020</w:t>
            </w:r>
            <w:r>
              <w:rPr>
                <w:b/>
                <w:sz w:val="21"/>
              </w:rPr>
              <w:t>）</w:t>
            </w:r>
          </w:p>
          <w:p>
            <w:pPr>
              <w:pStyle w:val="TableParagraph"/>
              <w:spacing w:before="139" w:line="364" w:lineRule="auto"/>
              <w:ind w:left="112" w:right="77" w:firstLine="420"/>
              <w:jc w:val="both"/>
              <w:rPr>
                <w:sz w:val="21"/>
              </w:rPr>
            </w:pPr>
            <w:r>
              <w:rPr>
                <w:spacing w:val="-4"/>
                <w:sz w:val="21"/>
              </w:rPr>
              <w:t xml:space="preserve">项目采用油性油墨，购入的油墨中 </w:t>
            </w:r>
            <w:r>
              <w:rPr>
                <w:rFonts w:ascii="Times New Roman" w:eastAsia="Times New Roman" w:hAnsi="Times New Roman"/>
                <w:sz w:val="21"/>
              </w:rPr>
              <w:t>VOCs</w:t>
            </w:r>
            <w:r>
              <w:rPr>
                <w:rFonts w:ascii="Times New Roman" w:eastAsia="Times New Roman" w:hAnsi="Times New Roman"/>
                <w:spacing w:val="21"/>
                <w:sz w:val="21"/>
              </w:rPr>
              <w:t xml:space="preserve"> </w:t>
            </w:r>
            <w:r>
              <w:rPr>
                <w:spacing w:val="-6"/>
                <w:sz w:val="21"/>
              </w:rPr>
              <w:t xml:space="preserve">含量在 </w:t>
            </w:r>
            <w:r>
              <w:rPr>
                <w:rFonts w:ascii="Times New Roman" w:eastAsia="Times New Roman" w:hAnsi="Times New Roman"/>
                <w:sz w:val="21"/>
              </w:rPr>
              <w:t>55.9%~67.4%</w:t>
            </w:r>
            <w:r>
              <w:rPr>
                <w:spacing w:val="-2"/>
                <w:sz w:val="21"/>
              </w:rPr>
              <w:t>之间</w:t>
            </w:r>
            <w:r>
              <w:rPr>
                <w:sz w:val="21"/>
              </w:rPr>
              <w:t>（</w:t>
            </w:r>
            <w:r>
              <w:rPr>
                <w:spacing w:val="-3"/>
                <w:sz w:val="21"/>
              </w:rPr>
              <w:t>不同颜色油墨</w:t>
            </w:r>
            <w:r>
              <w:rPr>
                <w:spacing w:val="-3"/>
                <w:w w:val="100"/>
                <w:sz w:val="21"/>
              </w:rPr>
              <w:t>的</w:t>
            </w:r>
            <w:r>
              <w:rPr>
                <w:spacing w:val="-53"/>
                <w:sz w:val="21"/>
              </w:rPr>
              <w:t xml:space="preserve"> </w:t>
            </w:r>
            <w:r>
              <w:rPr>
                <w:rFonts w:ascii="Times New Roman" w:eastAsia="Times New Roman" w:hAnsi="Times New Roman"/>
                <w:spacing w:val="-2"/>
                <w:w w:val="100"/>
                <w:sz w:val="21"/>
              </w:rPr>
              <w:t>VO</w:t>
            </w:r>
            <w:r>
              <w:rPr>
                <w:rFonts w:ascii="Times New Roman" w:eastAsia="Times New Roman" w:hAnsi="Times New Roman"/>
                <w:w w:val="100"/>
                <w:sz w:val="21"/>
              </w:rPr>
              <w:t>Cs</w:t>
            </w:r>
            <w:r>
              <w:rPr>
                <w:rFonts w:ascii="Times New Roman" w:eastAsia="Times New Roman" w:hAnsi="Times New Roman"/>
                <w:spacing w:val="-12"/>
                <w:sz w:val="21"/>
              </w:rPr>
              <w:t xml:space="preserve"> </w:t>
            </w:r>
            <w:r>
              <w:rPr>
                <w:spacing w:val="-2"/>
                <w:w w:val="100"/>
                <w:sz w:val="21"/>
              </w:rPr>
              <w:t>稍有差异</w:t>
            </w:r>
            <w:r>
              <w:rPr>
                <w:spacing w:val="-108"/>
                <w:w w:val="100"/>
                <w:sz w:val="21"/>
              </w:rPr>
              <w:t>）</w:t>
            </w:r>
            <w:r>
              <w:rPr>
                <w:spacing w:val="-3"/>
                <w:w w:val="100"/>
                <w:sz w:val="21"/>
              </w:rPr>
              <w:t>，加入稀释剂调配后使用状态下</w:t>
            </w:r>
            <w:r>
              <w:rPr>
                <w:spacing w:val="-55"/>
                <w:sz w:val="21"/>
              </w:rPr>
              <w:t xml:space="preserve"> </w:t>
            </w:r>
            <w:r>
              <w:rPr>
                <w:rFonts w:ascii="Times New Roman" w:eastAsia="Times New Roman" w:hAnsi="Times New Roman"/>
                <w:spacing w:val="-2"/>
                <w:w w:val="100"/>
                <w:sz w:val="21"/>
              </w:rPr>
              <w:t>V</w:t>
            </w:r>
            <w:r>
              <w:rPr>
                <w:rFonts w:ascii="Times New Roman" w:eastAsia="Times New Roman" w:hAnsi="Times New Roman"/>
                <w:w w:val="100"/>
                <w:sz w:val="21"/>
              </w:rPr>
              <w:t>O</w:t>
            </w:r>
            <w:r>
              <w:rPr>
                <w:rFonts w:ascii="Times New Roman" w:eastAsia="Times New Roman" w:hAnsi="Times New Roman"/>
                <w:spacing w:val="-2"/>
                <w:w w:val="100"/>
                <w:sz w:val="21"/>
              </w:rPr>
              <w:t>C</w:t>
            </w:r>
            <w:r>
              <w:rPr>
                <w:rFonts w:ascii="Times New Roman" w:eastAsia="Times New Roman" w:hAnsi="Times New Roman"/>
                <w:w w:val="100"/>
                <w:sz w:val="21"/>
              </w:rPr>
              <w:t>s</w:t>
            </w:r>
            <w:r>
              <w:rPr>
                <w:rFonts w:ascii="Times New Roman" w:eastAsia="Times New Roman" w:hAnsi="Times New Roman"/>
                <w:spacing w:val="-10"/>
                <w:sz w:val="21"/>
              </w:rPr>
              <w:t xml:space="preserve"> </w:t>
            </w:r>
            <w:r>
              <w:rPr>
                <w:spacing w:val="-2"/>
                <w:w w:val="100"/>
                <w:sz w:val="21"/>
              </w:rPr>
              <w:t>含量</w:t>
            </w:r>
            <w:r>
              <w:rPr>
                <w:spacing w:val="-53"/>
                <w:sz w:val="21"/>
              </w:rPr>
              <w:t xml:space="preserve"> </w:t>
            </w:r>
            <w:r>
              <w:rPr>
                <w:rFonts w:ascii="Times New Roman" w:eastAsia="Times New Roman" w:hAnsi="Times New Roman"/>
                <w:w w:val="100"/>
                <w:sz w:val="21"/>
              </w:rPr>
              <w:t>72.</w:t>
            </w:r>
            <w:r>
              <w:rPr>
                <w:rFonts w:ascii="Times New Roman" w:eastAsia="Times New Roman" w:hAnsi="Times New Roman"/>
                <w:spacing w:val="-3"/>
                <w:w w:val="100"/>
                <w:sz w:val="21"/>
              </w:rPr>
              <w:t>8</w:t>
            </w:r>
            <w:r>
              <w:rPr>
                <w:rFonts w:ascii="Times New Roman" w:eastAsia="Times New Roman" w:hAnsi="Times New Roman"/>
                <w:w w:val="100"/>
                <w:sz w:val="21"/>
              </w:rPr>
              <w:t>3g</w:t>
            </w:r>
            <w:r>
              <w:rPr>
                <w:rFonts w:ascii="Times New Roman" w:eastAsia="Times New Roman" w:hAnsi="Times New Roman"/>
                <w:spacing w:val="-2"/>
                <w:w w:val="100"/>
                <w:sz w:val="21"/>
              </w:rPr>
              <w:t>/L</w:t>
            </w:r>
            <w:r>
              <w:rPr>
                <w:spacing w:val="-3"/>
                <w:w w:val="100"/>
                <w:sz w:val="21"/>
              </w:rPr>
              <w:t>，满足《油墨中</w:t>
            </w:r>
            <w:r>
              <w:rPr>
                <w:spacing w:val="-3"/>
                <w:sz w:val="21"/>
              </w:rPr>
              <w:t>可挥发性有机化合物</w:t>
            </w:r>
            <w:r>
              <w:rPr>
                <w:sz w:val="21"/>
              </w:rPr>
              <w:t>（</w:t>
            </w:r>
            <w:r>
              <w:rPr>
                <w:rFonts w:ascii="Times New Roman" w:eastAsia="Times New Roman" w:hAnsi="Times New Roman"/>
                <w:sz w:val="21"/>
              </w:rPr>
              <w:t>VOCs</w:t>
            </w:r>
            <w:r>
              <w:rPr>
                <w:sz w:val="21"/>
              </w:rPr>
              <w:t>）</w:t>
            </w:r>
            <w:r>
              <w:rPr>
                <w:spacing w:val="-19"/>
                <w:sz w:val="21"/>
              </w:rPr>
              <w:t>含量的限值》</w:t>
            </w:r>
            <w:r>
              <w:rPr>
                <w:sz w:val="21"/>
              </w:rPr>
              <w:t>（</w:t>
            </w:r>
            <w:r>
              <w:rPr>
                <w:rFonts w:ascii="Times New Roman" w:eastAsia="Times New Roman" w:hAnsi="Times New Roman"/>
                <w:sz w:val="21"/>
              </w:rPr>
              <w:t>GB38507-2020</w:t>
            </w:r>
            <w:r>
              <w:rPr>
                <w:sz w:val="21"/>
              </w:rPr>
              <w:t xml:space="preserve">）中溶剂型凹印油墨 </w:t>
            </w:r>
            <w:r>
              <w:rPr>
                <w:rFonts w:ascii="Times New Roman" w:eastAsia="Times New Roman" w:hAnsi="Times New Roman"/>
                <w:sz w:val="21"/>
              </w:rPr>
              <w:t xml:space="preserve">VOCs </w:t>
            </w:r>
            <w:r>
              <w:rPr>
                <w:sz w:val="21"/>
              </w:rPr>
              <w:t>含量≤</w:t>
            </w:r>
            <w:r>
              <w:rPr>
                <w:rFonts w:ascii="Times New Roman" w:eastAsia="Times New Roman" w:hAnsi="Times New Roman"/>
                <w:sz w:val="21"/>
              </w:rPr>
              <w:t>75%</w:t>
            </w:r>
            <w:r>
              <w:rPr>
                <w:spacing w:val="-2"/>
                <w:sz w:val="21"/>
              </w:rPr>
              <w:t>的要求。</w:t>
            </w:r>
          </w:p>
          <w:p>
            <w:pPr>
              <w:pStyle w:val="TableParagraph"/>
              <w:numPr>
                <w:ilvl w:val="0"/>
                <w:numId w:val="8"/>
              </w:numPr>
              <w:tabs>
                <w:tab w:val="left" w:pos="1064"/>
              </w:tabs>
              <w:spacing w:before="0" w:after="0" w:line="268" w:lineRule="exact"/>
              <w:ind w:left="1063" w:right="0" w:hanging="530"/>
              <w:jc w:val="left"/>
              <w:rPr>
                <w:b/>
                <w:sz w:val="21"/>
              </w:rPr>
            </w:pPr>
            <w:r>
              <w:rPr>
                <w:b/>
                <w:spacing w:val="-9"/>
                <w:sz w:val="21"/>
              </w:rPr>
              <w:t>《胶粘剂挥发性有机化合物限量》</w:t>
            </w:r>
            <w:r>
              <w:rPr>
                <w:b/>
                <w:sz w:val="21"/>
              </w:rPr>
              <w:t>（</w:t>
            </w:r>
            <w:r>
              <w:rPr>
                <w:rFonts w:ascii="Times New Roman" w:eastAsia="Times New Roman"/>
                <w:b/>
                <w:sz w:val="21"/>
              </w:rPr>
              <w:t>GB33732-2020</w:t>
            </w:r>
            <w:r>
              <w:rPr>
                <w:b/>
                <w:sz w:val="21"/>
              </w:rPr>
              <w:t>）</w:t>
            </w:r>
          </w:p>
          <w:p>
            <w:pPr>
              <w:pStyle w:val="TableParagraph"/>
              <w:spacing w:before="23" w:line="408" w:lineRule="exact"/>
              <w:ind w:left="112" w:right="49" w:firstLine="420"/>
              <w:jc w:val="both"/>
              <w:rPr>
                <w:rFonts w:ascii="Times New Roman" w:eastAsia="Times New Roman" w:hAnsi="Times New Roman"/>
                <w:sz w:val="21"/>
              </w:rPr>
            </w:pPr>
            <w:r>
              <w:rPr>
                <w:spacing w:val="18"/>
                <w:sz w:val="21"/>
              </w:rPr>
              <w:t xml:space="preserve">项目采用的胶粘剂为溶剂型双组分聚氨酯胶粘剂， 购入胶粘剂 </w:t>
            </w:r>
            <w:r>
              <w:rPr>
                <w:rFonts w:ascii="Times New Roman" w:eastAsia="Times New Roman" w:hAnsi="Times New Roman"/>
                <w:sz w:val="21"/>
              </w:rPr>
              <w:t xml:space="preserve">VOCs </w:t>
            </w:r>
            <w:r>
              <w:rPr>
                <w:spacing w:val="28"/>
                <w:sz w:val="21"/>
              </w:rPr>
              <w:t>含量</w:t>
            </w:r>
            <w:r>
              <w:rPr>
                <w:rFonts w:ascii="Times New Roman" w:eastAsia="Times New Roman" w:hAnsi="Times New Roman"/>
                <w:sz w:val="21"/>
              </w:rPr>
              <w:t>181.50g/L</w:t>
            </w:r>
            <w:r>
              <w:rPr>
                <w:spacing w:val="-6"/>
                <w:sz w:val="21"/>
              </w:rPr>
              <w:t xml:space="preserve">，加入稀释剂调配后使用状态下 </w:t>
            </w:r>
            <w:r>
              <w:rPr>
                <w:rFonts w:ascii="Times New Roman" w:eastAsia="Times New Roman" w:hAnsi="Times New Roman"/>
                <w:sz w:val="21"/>
              </w:rPr>
              <w:t xml:space="preserve">VOCs </w:t>
            </w:r>
            <w:r>
              <w:rPr>
                <w:spacing w:val="-16"/>
                <w:sz w:val="21"/>
              </w:rPr>
              <w:t xml:space="preserve">含量 </w:t>
            </w:r>
            <w:r>
              <w:rPr>
                <w:rFonts w:ascii="Times New Roman" w:eastAsia="Times New Roman" w:hAnsi="Times New Roman"/>
                <w:sz w:val="21"/>
              </w:rPr>
              <w:t>343~356g/L</w:t>
            </w:r>
            <w:r>
              <w:rPr>
                <w:spacing w:val="-3"/>
                <w:sz w:val="21"/>
              </w:rPr>
              <w:t>，满足《胶粘剂挥发性</w:t>
            </w:r>
            <w:r>
              <w:rPr>
                <w:spacing w:val="-16"/>
                <w:sz w:val="21"/>
              </w:rPr>
              <w:t>有机化合物限量》</w:t>
            </w:r>
            <w:r>
              <w:rPr>
                <w:sz w:val="21"/>
              </w:rPr>
              <w:t>（</w:t>
            </w:r>
            <w:r>
              <w:rPr>
                <w:rFonts w:ascii="Times New Roman" w:eastAsia="Times New Roman" w:hAnsi="Times New Roman"/>
                <w:sz w:val="21"/>
              </w:rPr>
              <w:t>GB33372-2020</w:t>
            </w:r>
            <w:r>
              <w:rPr>
                <w:sz w:val="21"/>
              </w:rPr>
              <w:t>）</w:t>
            </w:r>
            <w:r>
              <w:rPr>
                <w:spacing w:val="-13"/>
                <w:sz w:val="21"/>
              </w:rPr>
              <w:t xml:space="preserve">中表 </w:t>
            </w:r>
            <w:r>
              <w:rPr>
                <w:rFonts w:ascii="Times New Roman" w:eastAsia="Times New Roman" w:hAnsi="Times New Roman"/>
                <w:sz w:val="21"/>
              </w:rPr>
              <w:t>1</w:t>
            </w:r>
            <w:r>
              <w:rPr>
                <w:spacing w:val="-5"/>
                <w:sz w:val="21"/>
              </w:rPr>
              <w:t xml:space="preserve">，溶剂型聚氨酯类胶粘剂“包装”行业 </w:t>
            </w:r>
            <w:r>
              <w:rPr>
                <w:rFonts w:ascii="Times New Roman" w:eastAsia="Times New Roman" w:hAnsi="Times New Roman"/>
                <w:sz w:val="21"/>
              </w:rPr>
              <w:t>VOCs</w:t>
            </w:r>
          </w:p>
        </w:tc>
      </w:tr>
    </w:tbl>
    <w:p>
      <w:pPr>
        <w:rPr>
          <w:sz w:val="2"/>
          <w:szCs w:val="2"/>
        </w:rPr>
      </w:pPr>
      <w:r>
        <w:pict>
          <v:group id="_x0000_s1091" o:spid="_x0000_s1090" style="width:402.2pt;height:250.1pt;margin-top:247.95pt;margin-left:124.45pt;mso-height-relative:page;mso-position-horizontal-relative:page;mso-position-vertical-relative:page;mso-width-relative:page;position:absolute;z-index:-251651072" coordorigin="2489,4959" coordsize="8044,5002">
            <v:line id="_x0000_s1092" o:spid="_x0000_s1091" style="position:absolute" from="2499,4964" to="7485,4964" coordsize="21600,21600" stroked="t" strokecolor="black"/>
            <v:line id="_x0000_s1093" o:spid="_x0000_s1092" style="position:absolute" from="7494,4964" to="9722,4964" coordsize="21600,21600" stroked="t" strokecolor="black"/>
            <v:line id="_x0000_s1094" o:spid="_x0000_s1093" style="position:absolute" from="9732,4964" to="10524,4964" coordsize="21600,21600" stroked="t" strokecolor="black"/>
            <v:line id="_x0000_s1095" o:spid="_x0000_s1094" style="position:absolute" from="2499,5257" to="7485,5257" coordsize="21600,21600" stroked="t" strokecolor="black"/>
            <v:line id="_x0000_s1096" o:spid="_x0000_s1095" style="position:absolute" from="7494,5257" to="9722,5257" coordsize="21600,21600" stroked="t" strokecolor="black"/>
            <v:line id="_x0000_s1097" o:spid="_x0000_s1096" style="position:absolute" from="9732,5257" to="10524,5257" coordsize="21600,21600" stroked="t" strokecolor="black"/>
            <v:line id="_x0000_s1098" o:spid="_x0000_s1097" style="position:absolute" from="2499,6901" to="7485,6901" coordsize="21600,21600" stroked="t" strokecolor="black"/>
            <v:line id="_x0000_s1099" o:spid="_x0000_s1098" style="position:absolute" from="7494,6901" to="9722,6901" coordsize="21600,21600" stroked="t" strokecolor="black"/>
            <v:line id="_x0000_s1100" o:spid="_x0000_s1099" style="position:absolute" from="9732,6901" to="10524,6901" coordsize="21600,21600" stroked="t" strokecolor="black"/>
            <v:line id="_x0000_s1101" o:spid="_x0000_s1100" style="position:absolute" from="2499,8778" to="7485,8778" coordsize="21600,21600" stroked="t" strokecolor="black"/>
            <v:line id="_x0000_s1102" o:spid="_x0000_s1101" style="position:absolute" from="7494,8778" to="9722,8778" coordsize="21600,21600" stroked="t" strokecolor="black"/>
            <v:line id="_x0000_s1103" o:spid="_x0000_s1102" style="position:absolute" from="9732,8778" to="10524,8778" coordsize="21600,21600" stroked="t" strokecolor="black"/>
            <v:line id="_x0000_s1104" o:spid="_x0000_s1103" style="position:absolute" from="2494,4959" to="2494,9961" coordsize="21600,21600" stroked="t" strokecolor="black"/>
            <v:line id="_x0000_s1105" o:spid="_x0000_s1104" style="position:absolute" from="2499,9957" to="7485,9957" coordsize="21600,21600" stroked="t" strokecolor="black"/>
            <v:line id="_x0000_s1106" o:spid="_x0000_s1105" style="position:absolute" from="7489,4959" to="7489,9961" coordsize="21600,21600" stroked="t" strokecolor="black"/>
            <v:line id="_x0000_s1107" o:spid="_x0000_s1106" style="position:absolute" from="7494,9957" to="9722,9957" coordsize="21600,21600" stroked="t" strokecolor="black"/>
            <v:line id="_x0000_s1108" o:spid="_x0000_s1107" style="position:absolute" from="9727,4959" to="9727,9961" coordsize="21600,21600" stroked="t" strokecolor="black"/>
            <v:line id="_x0000_s1109" o:spid="_x0000_s1108" style="position:absolute" from="9732,9957" to="10524,9957" coordsize="21600,21600" stroked="t" strokecolor="black"/>
            <v:line id="_x0000_s1110" o:spid="_x0000_s1109" style="position:absolute" from="10528,4959" to="10528,9961" coordsize="21600,21600" stroked="t" strokecolor="black"/>
          </v:group>
        </w:pict>
      </w:r>
      <w:r>
        <w:pict>
          <v:shape id="_x0000_s1111" o:spid="_x0000_s1110" type="#_x0000_t202" style="width:401.75pt;height:249.65pt;margin-top:248.2pt;margin-left:124.65pt;mso-height-relative:page;mso-position-horizontal-relative:page;mso-position-vertical-relative:page;mso-width-relative:page;position:absolute;z-index:251666432" coordsize="21600,21600" filled="f" stroked="f">
            <v:stroke joinstyle="miter"/>
            <v:textbox inset="0,0,0,0">
              <w:txbxContent>
                <w:tbl>
                  <w:tblPr>
                    <w:tblStyle w:val="TableNormal"/>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4995"/>
                    <w:gridCol w:w="2237"/>
                    <w:gridCol w:w="801"/>
                  </w:tblGrid>
                  <w:tr>
                    <w:tblPrEx>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292"/>
                    </w:trPr>
                    <w:tc>
                      <w:tcPr>
                        <w:tcW w:w="4995" w:type="dxa"/>
                      </w:tcPr>
                      <w:p>
                        <w:pPr>
                          <w:pStyle w:val="TableParagraph"/>
                          <w:rPr>
                            <w:rFonts w:ascii="Times New Roman"/>
                            <w:sz w:val="18"/>
                          </w:rPr>
                        </w:pPr>
                      </w:p>
                    </w:tc>
                    <w:tc>
                      <w:tcPr>
                        <w:tcW w:w="2237" w:type="dxa"/>
                      </w:tcPr>
                      <w:p>
                        <w:pPr>
                          <w:pStyle w:val="TableParagraph"/>
                          <w:rPr>
                            <w:rFonts w:ascii="Times New Roman"/>
                            <w:sz w:val="18"/>
                          </w:rPr>
                        </w:pPr>
                      </w:p>
                    </w:tc>
                    <w:tc>
                      <w:tcPr>
                        <w:tcW w:w="801"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1644"/>
                    </w:trPr>
                    <w:tc>
                      <w:tcPr>
                        <w:tcW w:w="4995" w:type="dxa"/>
                      </w:tcPr>
                      <w:p>
                        <w:pPr>
                          <w:pStyle w:val="TableParagraph"/>
                          <w:rPr>
                            <w:rFonts w:ascii="Times New Roman"/>
                            <w:sz w:val="18"/>
                          </w:rPr>
                        </w:pPr>
                      </w:p>
                    </w:tc>
                    <w:tc>
                      <w:tcPr>
                        <w:tcW w:w="2237" w:type="dxa"/>
                      </w:tcPr>
                      <w:p>
                        <w:pPr>
                          <w:pStyle w:val="TableParagraph"/>
                          <w:rPr>
                            <w:rFonts w:ascii="Times New Roman"/>
                            <w:sz w:val="18"/>
                          </w:rPr>
                        </w:pPr>
                      </w:p>
                    </w:tc>
                    <w:tc>
                      <w:tcPr>
                        <w:tcW w:w="801"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1877"/>
                    </w:trPr>
                    <w:tc>
                      <w:tcPr>
                        <w:tcW w:w="4995" w:type="dxa"/>
                      </w:tcPr>
                      <w:p>
                        <w:pPr>
                          <w:pStyle w:val="TableParagraph"/>
                          <w:rPr>
                            <w:rFonts w:ascii="Times New Roman"/>
                            <w:sz w:val="18"/>
                          </w:rPr>
                        </w:pPr>
                      </w:p>
                    </w:tc>
                    <w:tc>
                      <w:tcPr>
                        <w:tcW w:w="2237" w:type="dxa"/>
                      </w:tcPr>
                      <w:p>
                        <w:pPr>
                          <w:pStyle w:val="TableParagraph"/>
                          <w:rPr>
                            <w:rFonts w:ascii="Times New Roman"/>
                            <w:sz w:val="18"/>
                          </w:rPr>
                        </w:pPr>
                      </w:p>
                    </w:tc>
                    <w:tc>
                      <w:tcPr>
                        <w:tcW w:w="801"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1178"/>
                    </w:trPr>
                    <w:tc>
                      <w:tcPr>
                        <w:tcW w:w="4995" w:type="dxa"/>
                      </w:tcPr>
                      <w:p>
                        <w:pPr>
                          <w:pStyle w:val="TableParagraph"/>
                          <w:rPr>
                            <w:rFonts w:ascii="Times New Roman"/>
                            <w:sz w:val="18"/>
                          </w:rPr>
                        </w:pPr>
                      </w:p>
                    </w:tc>
                    <w:tc>
                      <w:tcPr>
                        <w:tcW w:w="2237" w:type="dxa"/>
                      </w:tcPr>
                      <w:p>
                        <w:pPr>
                          <w:pStyle w:val="TableParagraph"/>
                          <w:rPr>
                            <w:rFonts w:ascii="Times New Roman"/>
                            <w:sz w:val="18"/>
                          </w:rPr>
                        </w:pPr>
                      </w:p>
                    </w:tc>
                    <w:tc>
                      <w:tcPr>
                        <w:tcW w:w="801" w:type="dxa"/>
                      </w:tcPr>
                      <w:p>
                        <w:pPr>
                          <w:pStyle w:val="TableParagraph"/>
                          <w:rPr>
                            <w:rFonts w:ascii="Times New Roman"/>
                            <w:sz w:val="18"/>
                          </w:rPr>
                        </w:pPr>
                      </w:p>
                    </w:tc>
                  </w:tr>
                </w:tbl>
                <w:p>
                  <w:pPr>
                    <w:pStyle w:val="BodyText"/>
                  </w:pPr>
                </w:p>
              </w:txbxContent>
            </v:textbox>
          </v:shape>
        </w:pict>
      </w:r>
    </w:p>
    <w:p>
      <w:pPr>
        <w:spacing w:after="0"/>
        <w:rPr>
          <w:sz w:val="2"/>
          <w:szCs w:val="2"/>
        </w:rPr>
        <w:sectPr>
          <w:footerReference w:type="default" r:id="rId14"/>
          <w:pgSz w:w="11910" w:h="16840"/>
          <w:pgMar w:top="1400" w:right="1140" w:bottom="1180" w:left="1140" w:header="0" w:footer="994" w:gutter="0"/>
          <w:pgNumType w:start="10"/>
          <w:cols w:num="1" w:space="720"/>
        </w:sectPr>
      </w:pPr>
    </w:p>
    <w:p>
      <w:pPr>
        <w:pStyle w:val="BodyText"/>
        <w:spacing w:before="60"/>
        <w:ind w:left="1349"/>
      </w:pPr>
      <w:r>
        <w:pict>
          <v:group id="_x0000_s1112" o:spid="_x0000_s1111" style="width:469.55pt;height:696.6pt;margin-top:70.9pt;margin-left:62.9pt;mso-height-relative:page;mso-position-horizontal-relative:page;mso-position-vertical-relative:page;mso-width-relative:page;position:absolute;z-index:-251649024" coordorigin="1258,1418" coordsize="9391,13932">
            <v:line id="_x0000_s1113" o:spid="_x0000_s1112" style="position:absolute" from="1277,1428" to="2376,1428" coordsize="21600,21600" stroked="t" strokecolor="black"/>
            <v:rect id="_x0000_s1114" o:spid="_x0000_s1113" style="width:20;height:20;left:2376;position:absolute;top:1418" coordsize="21600,21600" filled="t" fillcolor="black" stroked="f"/>
            <v:line id="_x0000_s1115" o:spid="_x0000_s1114" style="position:absolute" from="2396,1428" to="10629,1428" coordsize="21600,21600" stroked="t" strokecolor="black"/>
            <v:line id="_x0000_s1116" o:spid="_x0000_s1115" style="position:absolute" from="1268,1418" to="1268,15350" coordsize="21600,21600" stroked="t" strokecolor="black"/>
            <v:line id="_x0000_s1117" o:spid="_x0000_s1116" style="position:absolute" from="1277,15341" to="2376,15341" coordsize="21600,21600" stroked="t" strokecolor="black"/>
            <v:line id="_x0000_s1118" o:spid="_x0000_s1117" style="position:absolute" from="2381,1438" to="2381,15331" coordsize="21600,21600" stroked="t" strokecolor="black"/>
            <v:rect id="_x0000_s1119" o:spid="_x0000_s1118" style="width:20;height:20;left:2376;position:absolute;top:15331" coordsize="21600,21600" filled="t" fillcolor="black" stroked="f"/>
            <v:line id="_x0000_s1120" o:spid="_x0000_s1119" style="position:absolute" from="2396,15341" to="10629,15341" coordsize="21600,21600" stroked="t" strokecolor="black"/>
            <v:line id="_x0000_s1121" o:spid="_x0000_s1120" style="position:absolute" from="10639,1418" to="10639,15350" coordsize="21600,21600" stroked="t" strokecolor="black"/>
          </v:group>
        </w:pict>
      </w:r>
      <w:r>
        <w:t>含量≤</w:t>
      </w:r>
      <w:r>
        <w:rPr>
          <w:rFonts w:ascii="Times New Roman" w:eastAsia="Times New Roman" w:hAnsi="Times New Roman"/>
        </w:rPr>
        <w:t xml:space="preserve">400g/L </w:t>
      </w:r>
      <w:r>
        <w:t>的要求。</w:t>
      </w:r>
    </w:p>
    <w:p>
      <w:pPr>
        <w:pStyle w:val="Heading3"/>
        <w:spacing w:before="139"/>
        <w:ind w:left="1771"/>
        <w:jc w:val="both"/>
      </w:pPr>
      <w:r>
        <w:rPr>
          <w:spacing w:val="2"/>
          <w:w w:val="100"/>
        </w:rPr>
        <w:t>（</w:t>
      </w:r>
      <w:r>
        <w:rPr>
          <w:rFonts w:ascii="Times New Roman" w:eastAsia="Times New Roman"/>
          <w:spacing w:val="-3"/>
          <w:w w:val="100"/>
        </w:rPr>
        <w:t>3</w:t>
      </w:r>
      <w:r>
        <w:rPr>
          <w:spacing w:val="-106"/>
          <w:w w:val="100"/>
        </w:rPr>
        <w:t>）</w:t>
      </w:r>
      <w:r>
        <w:rPr>
          <w:spacing w:val="-8"/>
          <w:w w:val="100"/>
        </w:rPr>
        <w:t>《江苏省挥发性有机物清洁原料替代工作方案》</w:t>
      </w:r>
      <w:r>
        <w:rPr>
          <w:w w:val="100"/>
        </w:rPr>
        <w:t>（苏大气办〔</w:t>
      </w:r>
      <w:r>
        <w:rPr>
          <w:rFonts w:ascii="Times New Roman" w:eastAsia="Times New Roman"/>
          <w:w w:val="100"/>
        </w:rPr>
        <w:t>2</w:t>
      </w:r>
      <w:r>
        <w:rPr>
          <w:rFonts w:ascii="Times New Roman" w:eastAsia="Times New Roman"/>
          <w:spacing w:val="-3"/>
          <w:w w:val="100"/>
        </w:rPr>
        <w:t>0</w:t>
      </w:r>
      <w:r>
        <w:rPr>
          <w:rFonts w:ascii="Times New Roman" w:eastAsia="Times New Roman"/>
          <w:w w:val="100"/>
        </w:rPr>
        <w:t>2</w:t>
      </w:r>
      <w:r>
        <w:rPr>
          <w:rFonts w:ascii="Times New Roman" w:eastAsia="Times New Roman"/>
          <w:spacing w:val="-3"/>
          <w:w w:val="100"/>
        </w:rPr>
        <w:t>1</w:t>
      </w:r>
      <w:r>
        <w:rPr>
          <w:w w:val="100"/>
        </w:rPr>
        <w:t>〕</w:t>
      </w:r>
      <w:r>
        <w:rPr>
          <w:rFonts w:ascii="Times New Roman" w:eastAsia="Times New Roman"/>
          <w:w w:val="100"/>
        </w:rPr>
        <w:t>2</w:t>
      </w:r>
      <w:r>
        <w:rPr>
          <w:rFonts w:ascii="Times New Roman" w:eastAsia="Times New Roman"/>
          <w:spacing w:val="-10"/>
        </w:rPr>
        <w:t xml:space="preserve"> </w:t>
      </w:r>
      <w:r>
        <w:rPr>
          <w:w w:val="100"/>
        </w:rPr>
        <w:t>号）</w:t>
      </w:r>
    </w:p>
    <w:p>
      <w:pPr>
        <w:pStyle w:val="BodyText"/>
        <w:spacing w:before="142" w:line="364" w:lineRule="auto"/>
        <w:ind w:left="1349" w:right="225" w:firstLine="420"/>
        <w:jc w:val="both"/>
      </w:pPr>
      <w:r>
        <w:rPr>
          <w:spacing w:val="-8"/>
        </w:rPr>
        <w:t>根据《江苏省挥发性有机物清洁原料替代工作方案》</w:t>
      </w:r>
      <w:r>
        <w:t>（</w:t>
      </w:r>
      <w:r>
        <w:rPr>
          <w:spacing w:val="-3"/>
        </w:rPr>
        <w:t>苏大气办</w:t>
      </w:r>
      <w:r>
        <w:t>（</w:t>
      </w:r>
      <w:r>
        <w:rPr>
          <w:rFonts w:ascii="Times New Roman" w:eastAsia="Times New Roman"/>
        </w:rPr>
        <w:t>2021</w:t>
      </w:r>
      <w:r>
        <w:t>）</w:t>
      </w:r>
      <w:r>
        <w:rPr>
          <w:rFonts w:ascii="Times New Roman" w:eastAsia="Times New Roman"/>
        </w:rPr>
        <w:t xml:space="preserve">2 </w:t>
      </w:r>
      <w:r>
        <w:rPr>
          <w:spacing w:val="-3"/>
        </w:rPr>
        <w:t>号</w:t>
      </w:r>
      <w:r>
        <w:t>）文件规定，需明确替代要求，以工业涂装、包装印刷、木材加工、纺织等行业为重点，实现</w:t>
      </w:r>
      <w:r>
        <w:rPr>
          <w:spacing w:val="-4"/>
        </w:rPr>
        <w:t>替代的企业需要使用符合《低挥发性有机化合物含量涂料产品技术要求》</w:t>
      </w:r>
      <w:r>
        <w:t>（</w:t>
      </w:r>
      <w:r>
        <w:rPr>
          <w:rFonts w:ascii="Times New Roman" w:eastAsia="Times New Roman"/>
        </w:rPr>
        <w:t>GB/T38597- 2020</w:t>
      </w:r>
      <w:r>
        <w:t>）</w:t>
      </w:r>
      <w:r>
        <w:rPr>
          <w:spacing w:val="-1"/>
        </w:rPr>
        <w:t>规定的粉末、水性、无溶剂、辐射固化涂料产品；符合《油墨中可挥发性有机化</w:t>
      </w:r>
      <w:r>
        <w:t>合物（</w:t>
      </w:r>
      <w:r>
        <w:rPr>
          <w:rFonts w:ascii="Times New Roman" w:eastAsia="Times New Roman"/>
        </w:rPr>
        <w:t>VOCs</w:t>
      </w:r>
      <w:r>
        <w:t>）</w:t>
      </w:r>
      <w:r>
        <w:rPr>
          <w:spacing w:val="-21"/>
        </w:rPr>
        <w:t>含量的限值》</w:t>
      </w:r>
      <w:r>
        <w:t>（</w:t>
      </w:r>
      <w:r>
        <w:rPr>
          <w:rFonts w:ascii="Times New Roman" w:eastAsia="Times New Roman"/>
        </w:rPr>
        <w:t>GB38507-2020</w:t>
      </w:r>
      <w:r>
        <w:t>）</w:t>
      </w:r>
      <w:r>
        <w:rPr>
          <w:spacing w:val="-3"/>
        </w:rPr>
        <w:t>规定的水性油墨和能量固化油墨产品；符</w:t>
      </w:r>
      <w:r>
        <w:rPr>
          <w:spacing w:val="-8"/>
        </w:rPr>
        <w:t>合《清洁剂挥发性有机化合物含量限值》</w:t>
      </w:r>
      <w:r>
        <w:t>（</w:t>
      </w:r>
      <w:r>
        <w:rPr>
          <w:rFonts w:ascii="Times New Roman" w:eastAsia="Times New Roman"/>
        </w:rPr>
        <w:t>GB38408-2020</w:t>
      </w:r>
      <w:r>
        <w:t>）规定的水基、半水基清洗剂</w:t>
      </w:r>
      <w:r>
        <w:rPr>
          <w:spacing w:val="-6"/>
        </w:rPr>
        <w:t>产品；符合《胶粘剂挥发性有机化合物限量》</w:t>
      </w:r>
      <w:r>
        <w:t>（</w:t>
      </w:r>
      <w:r>
        <w:rPr>
          <w:rFonts w:ascii="Times New Roman" w:eastAsia="Times New Roman"/>
        </w:rPr>
        <w:t>GB33372-2020</w:t>
      </w:r>
      <w:r>
        <w:t>）规定的水基型、本体型胶粘剂产品。若确实无法达到上述要求，应提供相应的论证说明，相关涂料、油墨、清洗剂、胶粘剂等产品应符合相关标准中</w:t>
      </w:r>
      <w:r>
        <w:rPr>
          <w:rFonts w:ascii="Times New Roman" w:eastAsia="Times New Roman"/>
        </w:rPr>
        <w:t xml:space="preserve">VOCs </w:t>
      </w:r>
      <w:r>
        <w:rPr>
          <w:spacing w:val="-3"/>
        </w:rPr>
        <w:t>含量的限值要求。</w:t>
      </w:r>
    </w:p>
    <w:p>
      <w:pPr>
        <w:pStyle w:val="BodyText"/>
        <w:spacing w:line="364" w:lineRule="auto"/>
        <w:ind w:left="1349" w:right="226" w:firstLine="420"/>
        <w:jc w:val="both"/>
      </w:pPr>
      <w:r>
        <w:rPr>
          <w:spacing w:val="-1"/>
        </w:rPr>
        <w:t>因产品特性要求，本项目使用溶剂型的油墨和胶粘剂，根据建设单位提供的论证说</w:t>
      </w:r>
      <w:r>
        <w:rPr>
          <w:spacing w:val="3"/>
          <w:w w:val="100"/>
        </w:rPr>
        <w:t>明材料（</w:t>
      </w:r>
      <w:hyperlink w:anchor="_bookmark71" w:history="1">
        <w:r>
          <w:rPr>
            <w:spacing w:val="3"/>
            <w:w w:val="100"/>
          </w:rPr>
          <w:t>附件十二</w:t>
        </w:r>
      </w:hyperlink>
      <w:r>
        <w:rPr>
          <w:spacing w:val="-104"/>
          <w:w w:val="100"/>
        </w:rPr>
        <w:t>）</w:t>
      </w:r>
      <w:r>
        <w:rPr>
          <w:spacing w:val="1"/>
          <w:w w:val="100"/>
        </w:rPr>
        <w:t>，使用的凹版印刷油墨和胶粘剂为不可替代原料，符合当前我国包</w:t>
      </w:r>
      <w:r>
        <w:t xml:space="preserve">装行业现状需要。根据供应商提供的检测报告，项目使用的凹版印刷油墨 </w:t>
      </w:r>
      <w:r>
        <w:rPr>
          <w:rFonts w:ascii="Times New Roman" w:eastAsia="Times New Roman" w:hAnsi="Times New Roman"/>
        </w:rPr>
        <w:t xml:space="preserve">VOCs </w:t>
      </w:r>
      <w:r>
        <w:t>含量</w:t>
      </w:r>
      <w:r>
        <w:rPr>
          <w:rFonts w:ascii="Times New Roman" w:eastAsia="Times New Roman" w:hAnsi="Times New Roman"/>
        </w:rPr>
        <w:t>72.83%</w:t>
      </w:r>
      <w:r>
        <w:rPr>
          <w:spacing w:val="3"/>
        </w:rPr>
        <w:t>，满足《油墨中可挥发性有机化合物</w:t>
      </w:r>
      <w:r>
        <w:rPr>
          <w:spacing w:val="2"/>
        </w:rPr>
        <w:t>（</w:t>
      </w:r>
      <w:r>
        <w:rPr>
          <w:rFonts w:ascii="Times New Roman" w:eastAsia="Times New Roman" w:hAnsi="Times New Roman"/>
          <w:spacing w:val="2"/>
        </w:rPr>
        <w:t>VOCs</w:t>
      </w:r>
      <w:r>
        <w:rPr>
          <w:spacing w:val="2"/>
        </w:rPr>
        <w:t>）</w:t>
      </w:r>
      <w:r>
        <w:rPr>
          <w:spacing w:val="-13"/>
        </w:rPr>
        <w:t>含量的限值》</w:t>
      </w:r>
      <w:r>
        <w:t>（</w:t>
      </w:r>
      <w:r>
        <w:rPr>
          <w:rFonts w:ascii="Times New Roman" w:eastAsia="Times New Roman" w:hAnsi="Times New Roman"/>
        </w:rPr>
        <w:t>GB38507-2020</w:t>
      </w:r>
      <w:r>
        <w:t xml:space="preserve">） </w:t>
      </w:r>
      <w:r>
        <w:rPr>
          <w:spacing w:val="5"/>
        </w:rPr>
        <w:t xml:space="preserve">表 </w:t>
      </w:r>
      <w:r>
        <w:rPr>
          <w:rFonts w:ascii="Times New Roman" w:eastAsia="Times New Roman" w:hAnsi="Times New Roman"/>
        </w:rPr>
        <w:t xml:space="preserve">1 </w:t>
      </w:r>
      <w:r>
        <w:rPr>
          <w:spacing w:val="1"/>
        </w:rPr>
        <w:t xml:space="preserve">凹版印刷油墨 </w:t>
      </w:r>
      <w:r>
        <w:rPr>
          <w:rFonts w:ascii="Times New Roman" w:eastAsia="Times New Roman" w:hAnsi="Times New Roman"/>
        </w:rPr>
        <w:t xml:space="preserve">VOCs </w:t>
      </w:r>
      <w:r>
        <w:t>含量≤</w:t>
      </w:r>
      <w:r>
        <w:rPr>
          <w:rFonts w:ascii="Times New Roman" w:eastAsia="Times New Roman" w:hAnsi="Times New Roman"/>
        </w:rPr>
        <w:t>75%</w:t>
      </w:r>
      <w:r>
        <w:t xml:space="preserve">的要求；溶剂型双组分聚氨酯胶粘剂 </w:t>
      </w:r>
      <w:r>
        <w:rPr>
          <w:rFonts w:ascii="Times New Roman" w:eastAsia="Times New Roman" w:hAnsi="Times New Roman"/>
        </w:rPr>
        <w:t xml:space="preserve">VOCs </w:t>
      </w:r>
      <w:r>
        <w:t>含量</w:t>
      </w:r>
      <w:r>
        <w:rPr>
          <w:rFonts w:ascii="Times New Roman" w:eastAsia="Times New Roman" w:hAnsi="Times New Roman"/>
        </w:rPr>
        <w:t>343~356g/L</w:t>
      </w:r>
      <w:r>
        <w:rPr>
          <w:spacing w:val="-6"/>
        </w:rPr>
        <w:t>，满足《胶粘剂挥发性有机化合物限量》</w:t>
      </w:r>
      <w:r>
        <w:t>（</w:t>
      </w:r>
      <w:r>
        <w:rPr>
          <w:rFonts w:ascii="Times New Roman" w:eastAsia="Times New Roman" w:hAnsi="Times New Roman"/>
        </w:rPr>
        <w:t>GB33372-2020</w:t>
      </w:r>
      <w:r>
        <w:t>）</w:t>
      </w:r>
      <w:r>
        <w:rPr>
          <w:spacing w:val="12"/>
        </w:rPr>
        <w:t xml:space="preserve">表 </w:t>
      </w:r>
      <w:r>
        <w:rPr>
          <w:rFonts w:ascii="Times New Roman" w:eastAsia="Times New Roman" w:hAnsi="Times New Roman"/>
        </w:rPr>
        <w:t xml:space="preserve">2 </w:t>
      </w:r>
      <w:r>
        <w:t>溶剂型聚氨</w:t>
      </w:r>
      <w:r>
        <w:rPr>
          <w:spacing w:val="-11"/>
        </w:rPr>
        <w:t xml:space="preserve">酯类胶粘剂 </w:t>
      </w:r>
      <w:r>
        <w:rPr>
          <w:rFonts w:ascii="Times New Roman" w:eastAsia="Times New Roman" w:hAnsi="Times New Roman"/>
        </w:rPr>
        <w:t xml:space="preserve">VOCs </w:t>
      </w:r>
      <w:r>
        <w:rPr>
          <w:spacing w:val="-2"/>
        </w:rPr>
        <w:t>含量≤</w:t>
      </w:r>
      <w:r>
        <w:rPr>
          <w:rFonts w:ascii="Times New Roman" w:eastAsia="Times New Roman" w:hAnsi="Times New Roman"/>
        </w:rPr>
        <w:t xml:space="preserve">400g/L </w:t>
      </w:r>
      <w:r>
        <w:rPr>
          <w:spacing w:val="-2"/>
        </w:rPr>
        <w:t>的要求。</w:t>
      </w:r>
    </w:p>
    <w:p>
      <w:pPr>
        <w:pStyle w:val="BodyText"/>
        <w:spacing w:line="265" w:lineRule="exact"/>
        <w:ind w:left="1769"/>
      </w:pPr>
      <w:r>
        <w:t>因此，扩建项目符合《江苏省挥发性有机物清洁原料替代工作方案》（苏大气办</w:t>
      </w:r>
    </w:p>
    <w:p>
      <w:pPr>
        <w:pStyle w:val="BodyText"/>
        <w:spacing w:before="135"/>
        <w:ind w:left="1349"/>
      </w:pPr>
      <w:r>
        <w:t>（</w:t>
      </w:r>
      <w:r>
        <w:rPr>
          <w:rFonts w:ascii="Times New Roman" w:eastAsia="Times New Roman"/>
        </w:rPr>
        <w:t>2021</w:t>
      </w:r>
      <w:r>
        <w:t>）</w:t>
      </w:r>
      <w:r>
        <w:rPr>
          <w:rFonts w:ascii="Times New Roman" w:eastAsia="Times New Roman"/>
        </w:rPr>
        <w:t xml:space="preserve">2 </w:t>
      </w:r>
      <w:r>
        <w:t>号）文件要求。</w:t>
      </w:r>
    </w:p>
    <w:p>
      <w:pPr>
        <w:pStyle w:val="Heading3"/>
        <w:numPr>
          <w:ilvl w:val="0"/>
          <w:numId w:val="56"/>
        </w:numPr>
        <w:tabs>
          <w:tab w:val="left" w:pos="1931"/>
        </w:tabs>
        <w:spacing w:before="139" w:after="0" w:line="240" w:lineRule="auto"/>
        <w:ind w:left="1931" w:right="0" w:hanging="160"/>
        <w:jc w:val="left"/>
      </w:pPr>
      <w:r>
        <w:t>其他文件相符性分析</w:t>
      </w:r>
    </w:p>
    <w:p>
      <w:pPr>
        <w:pStyle w:val="Heading3"/>
        <w:numPr>
          <w:ilvl w:val="0"/>
          <w:numId w:val="10"/>
        </w:numPr>
        <w:tabs>
          <w:tab w:val="left" w:pos="2301"/>
        </w:tabs>
        <w:spacing w:before="142" w:after="0" w:line="240" w:lineRule="auto"/>
        <w:ind w:left="2300" w:right="0" w:hanging="530"/>
        <w:jc w:val="both"/>
      </w:pPr>
      <w:r>
        <w:rPr>
          <w:spacing w:val="-9"/>
        </w:rPr>
        <w:t>《江苏省通榆河水污染防治条例》</w:t>
      </w:r>
      <w:r>
        <w:t>（</w:t>
      </w:r>
      <w:r>
        <w:rPr>
          <w:rFonts w:ascii="Times New Roman" w:eastAsia="Times New Roman"/>
        </w:rPr>
        <w:t>2018</w:t>
      </w:r>
      <w:r>
        <w:rPr>
          <w:rFonts w:ascii="Times New Roman" w:eastAsia="Times New Roman"/>
          <w:spacing w:val="-10"/>
        </w:rPr>
        <w:t xml:space="preserve"> </w:t>
      </w:r>
      <w:r>
        <w:rPr>
          <w:spacing w:val="-2"/>
        </w:rPr>
        <w:t>年修正</w:t>
      </w:r>
      <w:r>
        <w:t>）</w:t>
      </w:r>
    </w:p>
    <w:p>
      <w:pPr>
        <w:pStyle w:val="BodyText"/>
        <w:spacing w:before="139" w:line="364" w:lineRule="auto"/>
        <w:ind w:left="1349" w:right="226" w:firstLine="420"/>
        <w:jc w:val="both"/>
      </w:pPr>
      <w:r>
        <w:rPr>
          <w:spacing w:val="-10"/>
          <w:w w:val="100"/>
        </w:rPr>
        <w:t>根据《江苏省通榆河水污染防治条例》</w:t>
      </w:r>
      <w:r>
        <w:rPr>
          <w:w w:val="100"/>
        </w:rPr>
        <w:t>（</w:t>
      </w:r>
      <w:r>
        <w:rPr>
          <w:rFonts w:ascii="Times New Roman" w:eastAsia="Times New Roman"/>
          <w:spacing w:val="-3"/>
          <w:w w:val="100"/>
        </w:rPr>
        <w:t>2</w:t>
      </w:r>
      <w:r>
        <w:rPr>
          <w:rFonts w:ascii="Times New Roman" w:eastAsia="Times New Roman"/>
          <w:w w:val="100"/>
        </w:rPr>
        <w:t>018</w:t>
      </w:r>
      <w:r>
        <w:rPr>
          <w:rFonts w:ascii="Times New Roman" w:eastAsia="Times New Roman"/>
        </w:rPr>
        <w:t xml:space="preserve"> </w:t>
      </w:r>
      <w:r>
        <w:rPr>
          <w:spacing w:val="-2"/>
          <w:w w:val="100"/>
        </w:rPr>
        <w:t>年修正</w:t>
      </w:r>
      <w:r>
        <w:rPr>
          <w:spacing w:val="-106"/>
          <w:w w:val="100"/>
        </w:rPr>
        <w:t>）</w:t>
      </w:r>
      <w:r>
        <w:rPr>
          <w:spacing w:val="-3"/>
          <w:w w:val="100"/>
        </w:rPr>
        <w:t>，通榆河实行分级保护，划分</w:t>
      </w:r>
      <w:r>
        <w:rPr>
          <w:spacing w:val="-3"/>
        </w:rPr>
        <w:t>为三级保护区。通榆河及其两侧各一公里、主要供水河道及其两侧各一公里区域为通榆河一级保护区；新沂河南偏泓、盐河和斗龙港、新洋港、黄沙港、射阳河、车路河、沂南小河、沭新河等与通榆河平交的主要河道上溯五公里以及沿岸两侧各一公里区域为通榆河二级保护区；其他与通榆河平交的河道上溯五公里以及沿岸两侧各一公里区域为通榆河三级保护区。</w:t>
      </w:r>
    </w:p>
    <w:p>
      <w:pPr>
        <w:pStyle w:val="BodyText"/>
        <w:spacing w:line="266" w:lineRule="exact"/>
        <w:ind w:left="1769"/>
      </w:pPr>
      <w:r>
        <w:t>扩建项目不新增废水，建成后全厂无生产废水，生活污水经化粪池处理达接管标准</w:t>
      </w:r>
    </w:p>
    <w:p>
      <w:pPr>
        <w:pStyle w:val="BodyText"/>
        <w:spacing w:before="138" w:line="364" w:lineRule="auto"/>
        <w:ind w:left="1349" w:right="231"/>
        <w:jc w:val="both"/>
      </w:pPr>
      <w:r>
        <w:t>（接</w:t>
      </w:r>
      <w:hyperlink w:anchor="_bookmark73" w:history="1">
        <w:r>
          <w:t>管协议见附件十三</w:t>
        </w:r>
      </w:hyperlink>
      <w:r>
        <w:t xml:space="preserve">）后排放至城市污水管网，接管至滨海县城北污水处理厂进行深度处理，尾水排入淮河入海水道南泓。建设项目厂界距离通榆河 </w:t>
      </w:r>
      <w:r>
        <w:rPr>
          <w:rFonts w:ascii="Times New Roman" w:eastAsia="Times New Roman"/>
        </w:rPr>
        <w:t>9.8km</w:t>
      </w:r>
      <w:r>
        <w:t>，项目周边无与通榆河平交的河道，不属于通榆河一级、二级及三级保护区范围内，符合《江苏省通榆河水污染防治条例》的要求。</w:t>
      </w:r>
    </w:p>
    <w:p>
      <w:pPr>
        <w:pStyle w:val="Heading3"/>
        <w:numPr>
          <w:ilvl w:val="0"/>
          <w:numId w:val="10"/>
        </w:numPr>
        <w:tabs>
          <w:tab w:val="left" w:pos="2301"/>
        </w:tabs>
        <w:spacing w:before="0" w:after="0" w:line="268" w:lineRule="exact"/>
        <w:ind w:left="2300" w:right="0" w:hanging="530"/>
        <w:jc w:val="left"/>
        <w:rPr>
          <w:rFonts w:ascii="Times New Roman" w:eastAsia="Times New Roman"/>
        </w:rPr>
      </w:pPr>
      <w:r>
        <w:rPr>
          <w:spacing w:val="4"/>
        </w:rPr>
        <w:t>《关于进一步做好建设项目环评审批工作的实施意见》</w:t>
      </w:r>
      <w:r>
        <w:rPr>
          <w:spacing w:val="11"/>
        </w:rPr>
        <w:t>（</w:t>
      </w:r>
      <w:r>
        <w:rPr>
          <w:spacing w:val="9"/>
        </w:rPr>
        <w:t>苏环办〔</w:t>
      </w:r>
      <w:r>
        <w:rPr>
          <w:rFonts w:ascii="Times New Roman" w:eastAsia="Times New Roman"/>
        </w:rPr>
        <w:t>2019</w:t>
      </w:r>
      <w:r>
        <w:t>〕</w:t>
      </w:r>
      <w:r>
        <w:rPr>
          <w:rFonts w:ascii="Times New Roman" w:eastAsia="Times New Roman"/>
          <w:spacing w:val="-3"/>
        </w:rPr>
        <w:t>36</w:t>
      </w:r>
    </w:p>
    <w:p>
      <w:pPr>
        <w:spacing w:after="0" w:line="268" w:lineRule="exact"/>
        <w:jc w:val="left"/>
        <w:rPr>
          <w:rFonts w:ascii="Times New Roman" w:eastAsia="Times New Roman"/>
        </w:rPr>
        <w:sectPr>
          <w:footerReference w:type="default" r:id="rId15"/>
          <w:pgSz w:w="11910" w:h="16840"/>
          <w:pgMar w:top="1360" w:right="1140" w:bottom="1180" w:left="1140" w:header="0" w:footer="994" w:gutter="0"/>
          <w:pgNumType w:start="11"/>
          <w:cols w:num="1" w:space="720"/>
        </w:sectPr>
      </w:pPr>
    </w:p>
    <w:tbl>
      <w:tblPr>
        <w:tblStyle w:val="TableNormal"/>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14"/>
        <w:gridCol w:w="113"/>
        <w:gridCol w:w="475"/>
        <w:gridCol w:w="4196"/>
        <w:gridCol w:w="2648"/>
        <w:gridCol w:w="715"/>
        <w:gridCol w:w="110"/>
      </w:tblGrid>
      <w:tr>
        <w:tblPrEx>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221"/>
        </w:trPr>
        <w:tc>
          <w:tcPr>
            <w:tcW w:w="1114" w:type="dxa"/>
            <w:vMerge w:val="restart"/>
            <w:tcBorders>
              <w:right w:val="single" w:sz="4" w:space="0" w:color="000000"/>
            </w:tcBorders>
          </w:tcPr>
          <w:p>
            <w:pPr>
              <w:pStyle w:val="TableParagraph"/>
              <w:rPr>
                <w:rFonts w:ascii="Times New Roman"/>
                <w:sz w:val="18"/>
              </w:rPr>
            </w:pPr>
          </w:p>
        </w:tc>
        <w:tc>
          <w:tcPr>
            <w:tcW w:w="8257" w:type="dxa"/>
            <w:gridSpan w:val="6"/>
            <w:tcBorders>
              <w:left w:val="single" w:sz="4" w:space="0" w:color="000000"/>
              <w:bottom w:val="single" w:sz="4" w:space="0" w:color="000000"/>
            </w:tcBorders>
          </w:tcPr>
          <w:p>
            <w:pPr>
              <w:pStyle w:val="TableParagraph"/>
              <w:spacing w:before="1"/>
              <w:ind w:left="112"/>
              <w:rPr>
                <w:b/>
                <w:sz w:val="21"/>
              </w:rPr>
            </w:pPr>
            <w:r>
              <w:rPr>
                <w:b/>
                <w:sz w:val="21"/>
              </w:rPr>
              <w:t>号）</w:t>
            </w:r>
          </w:p>
          <w:p>
            <w:pPr>
              <w:pStyle w:val="TableParagraph"/>
              <w:spacing w:before="139" w:line="244" w:lineRule="auto"/>
              <w:ind w:left="112" w:right="79" w:firstLine="480"/>
              <w:rPr>
                <w:sz w:val="21"/>
              </w:rPr>
            </w:pPr>
            <w:r>
              <w:rPr>
                <w:sz w:val="21"/>
              </w:rPr>
              <w:t>本项目与《关于进一步做好建设项目环评审批工作的通知》审批要点相符性分析见</w:t>
            </w:r>
            <w:hyperlink w:anchor="_bookmark6" w:history="1">
              <w:r>
                <w:rPr>
                  <w:sz w:val="21"/>
                </w:rPr>
                <w:t xml:space="preserve">下表 </w:t>
              </w:r>
              <w:r>
                <w:rPr>
                  <w:rFonts w:ascii="Times New Roman" w:eastAsia="Times New Roman"/>
                  <w:sz w:val="21"/>
                </w:rPr>
                <w:t>1-11</w:t>
              </w:r>
            </w:hyperlink>
            <w:r>
              <w:rPr>
                <w:sz w:val="21"/>
              </w:rPr>
              <w:t>。</w:t>
            </w:r>
          </w:p>
          <w:p>
            <w:pPr>
              <w:pStyle w:val="TableParagraph"/>
              <w:spacing w:line="243" w:lineRule="exact"/>
              <w:ind w:left="839"/>
              <w:rPr>
                <w:b/>
                <w:sz w:val="21"/>
              </w:rPr>
            </w:pPr>
            <w:bookmarkStart w:id="6" w:name="_bookmark6"/>
            <w:bookmarkEnd w:id="6"/>
            <w:r>
              <w:rPr>
                <w:b/>
                <w:sz w:val="21"/>
              </w:rPr>
              <w:t xml:space="preserve">表 </w:t>
            </w:r>
            <w:r>
              <w:rPr>
                <w:rFonts w:ascii="Times New Roman" w:eastAsia="Times New Roman"/>
                <w:b/>
                <w:sz w:val="21"/>
              </w:rPr>
              <w:t xml:space="preserve">1-11 </w:t>
            </w:r>
            <w:r>
              <w:rPr>
                <w:b/>
                <w:sz w:val="21"/>
              </w:rPr>
              <w:t>与《关于进一步做好建设项目环评审批工作的通知》相符性分析</w:t>
            </w:r>
          </w:p>
        </w:tc>
      </w:tr>
      <w:tr>
        <w:tblPrEx>
          <w:tblW w:w="0" w:type="auto"/>
          <w:tblInd w:w="138" w:type="dxa"/>
          <w:tblLayout w:type="fixed"/>
          <w:tblCellMar>
            <w:top w:w="0" w:type="dxa"/>
            <w:left w:w="0" w:type="dxa"/>
            <w:bottom w:w="0" w:type="dxa"/>
            <w:right w:w="0" w:type="dxa"/>
          </w:tblCellMar>
        </w:tblPrEx>
        <w:trPr>
          <w:trHeight w:val="258"/>
        </w:trPr>
        <w:tc>
          <w:tcPr>
            <w:tcW w:w="1114" w:type="dxa"/>
            <w:vMerge/>
            <w:tcBorders>
              <w:top w:val="nil"/>
              <w:right w:val="single" w:sz="4" w:space="0" w:color="000000"/>
            </w:tcBorders>
          </w:tcPr>
          <w:p>
            <w:pPr>
              <w:rPr>
                <w:sz w:val="2"/>
                <w:szCs w:val="2"/>
              </w:rPr>
            </w:pPr>
          </w:p>
        </w:tc>
        <w:tc>
          <w:tcPr>
            <w:tcW w:w="113" w:type="dxa"/>
            <w:vMerge w:val="restart"/>
            <w:tcBorders>
              <w:top w:val="nil"/>
              <w:left w:val="single" w:sz="4" w:space="0" w:color="000000"/>
              <w:right w:val="single" w:sz="4" w:space="0" w:color="000000"/>
            </w:tcBorders>
          </w:tcPr>
          <w:p>
            <w:pPr>
              <w:pStyle w:val="TableParagraph"/>
              <w:rPr>
                <w:rFonts w:ascii="Times New Roman"/>
                <w:sz w:val="18"/>
              </w:rPr>
            </w:pPr>
          </w:p>
        </w:tc>
        <w:tc>
          <w:tcPr>
            <w:tcW w:w="475" w:type="dxa"/>
            <w:tcBorders>
              <w:top w:val="single" w:sz="4" w:space="0" w:color="000000"/>
              <w:left w:val="single" w:sz="4" w:space="0" w:color="000000"/>
              <w:bottom w:val="single" w:sz="4" w:space="0" w:color="000000"/>
              <w:right w:val="single" w:sz="4" w:space="0" w:color="000000"/>
            </w:tcBorders>
          </w:tcPr>
          <w:p>
            <w:pPr>
              <w:pStyle w:val="TableParagraph"/>
              <w:spacing w:before="31" w:line="208" w:lineRule="exact"/>
              <w:ind w:left="111" w:right="-15"/>
              <w:jc w:val="center"/>
              <w:rPr>
                <w:b/>
                <w:sz w:val="18"/>
              </w:rPr>
            </w:pPr>
            <w:r>
              <w:rPr>
                <w:b/>
                <w:spacing w:val="-7"/>
                <w:sz w:val="18"/>
              </w:rPr>
              <w:t>序号</w:t>
            </w:r>
          </w:p>
        </w:tc>
        <w:tc>
          <w:tcPr>
            <w:tcW w:w="4196" w:type="dxa"/>
            <w:tcBorders>
              <w:top w:val="single" w:sz="4" w:space="0" w:color="000000"/>
              <w:left w:val="single" w:sz="4" w:space="0" w:color="000000"/>
              <w:bottom w:val="single" w:sz="4" w:space="0" w:color="000000"/>
              <w:right w:val="single" w:sz="4" w:space="0" w:color="000000"/>
            </w:tcBorders>
          </w:tcPr>
          <w:p>
            <w:pPr>
              <w:pStyle w:val="TableParagraph"/>
              <w:spacing w:before="31" w:line="208" w:lineRule="exact"/>
              <w:ind w:left="170" w:right="51"/>
              <w:jc w:val="center"/>
              <w:rPr>
                <w:b/>
                <w:sz w:val="18"/>
              </w:rPr>
            </w:pPr>
            <w:r>
              <w:rPr>
                <w:b/>
                <w:sz w:val="18"/>
              </w:rPr>
              <w:t>文件</w:t>
            </w:r>
          </w:p>
        </w:tc>
        <w:tc>
          <w:tcPr>
            <w:tcW w:w="2648" w:type="dxa"/>
            <w:tcBorders>
              <w:top w:val="single" w:sz="4" w:space="0" w:color="000000"/>
              <w:left w:val="single" w:sz="4" w:space="0" w:color="000000"/>
              <w:bottom w:val="single" w:sz="4" w:space="0" w:color="000000"/>
              <w:right w:val="single" w:sz="4" w:space="0" w:color="000000"/>
            </w:tcBorders>
          </w:tcPr>
          <w:p>
            <w:pPr>
              <w:pStyle w:val="TableParagraph"/>
              <w:spacing w:before="31" w:line="208" w:lineRule="exact"/>
              <w:ind w:left="123" w:right="3"/>
              <w:jc w:val="center"/>
              <w:rPr>
                <w:b/>
                <w:sz w:val="18"/>
              </w:rPr>
            </w:pPr>
            <w:r>
              <w:rPr>
                <w:b/>
                <w:sz w:val="18"/>
              </w:rPr>
              <w:t>本项目情况</w:t>
            </w:r>
          </w:p>
        </w:tc>
        <w:tc>
          <w:tcPr>
            <w:tcW w:w="715" w:type="dxa"/>
            <w:tcBorders>
              <w:top w:val="single" w:sz="4" w:space="0" w:color="000000"/>
              <w:left w:val="single" w:sz="4" w:space="0" w:color="000000"/>
              <w:bottom w:val="single" w:sz="4" w:space="0" w:color="000000"/>
              <w:right w:val="single" w:sz="4" w:space="0" w:color="000000"/>
            </w:tcBorders>
          </w:tcPr>
          <w:p>
            <w:pPr>
              <w:pStyle w:val="TableParagraph"/>
              <w:spacing w:before="31" w:line="208" w:lineRule="exact"/>
              <w:ind w:left="118" w:right="4"/>
              <w:jc w:val="center"/>
              <w:rPr>
                <w:b/>
                <w:sz w:val="18"/>
              </w:rPr>
            </w:pPr>
            <w:r>
              <w:rPr>
                <w:b/>
                <w:sz w:val="18"/>
              </w:rPr>
              <w:t>相符性</w:t>
            </w:r>
          </w:p>
        </w:tc>
        <w:tc>
          <w:tcPr>
            <w:tcW w:w="110"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3059"/>
        </w:trPr>
        <w:tc>
          <w:tcPr>
            <w:tcW w:w="111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7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spacing w:before="6"/>
              <w:rPr>
                <w:rFonts w:ascii="Times New Roman"/>
                <w:b/>
                <w:sz w:val="25"/>
              </w:rPr>
            </w:pPr>
          </w:p>
          <w:p>
            <w:pPr>
              <w:pStyle w:val="TableParagraph"/>
              <w:spacing w:before="1"/>
              <w:ind w:left="117"/>
              <w:jc w:val="center"/>
              <w:rPr>
                <w:rFonts w:ascii="Times New Roman"/>
                <w:sz w:val="18"/>
              </w:rPr>
            </w:pPr>
            <w:r>
              <w:rPr>
                <w:rFonts w:ascii="Times New Roman"/>
                <w:sz w:val="18"/>
              </w:rPr>
              <w:t>1</w:t>
            </w:r>
          </w:p>
        </w:tc>
        <w:tc>
          <w:tcPr>
            <w:tcW w:w="4196" w:type="dxa"/>
            <w:tcBorders>
              <w:top w:val="single" w:sz="4" w:space="0" w:color="000000"/>
              <w:left w:val="single" w:sz="4" w:space="0" w:color="000000"/>
              <w:bottom w:val="single" w:sz="4" w:space="0" w:color="000000"/>
              <w:right w:val="single" w:sz="4" w:space="0" w:color="000000"/>
            </w:tcBorders>
          </w:tcPr>
          <w:p>
            <w:pPr>
              <w:pStyle w:val="TableParagraph"/>
              <w:spacing w:before="31" w:line="242" w:lineRule="auto"/>
              <w:ind w:left="172" w:right="50"/>
              <w:jc w:val="both"/>
              <w:rPr>
                <w:sz w:val="18"/>
              </w:rPr>
            </w:pPr>
            <w:r>
              <w:rPr>
                <w:spacing w:val="-6"/>
                <w:sz w:val="18"/>
              </w:rPr>
              <w:t>一、有下列情形之一的，不予批准：</w:t>
            </w:r>
            <w:r>
              <w:rPr>
                <w:spacing w:val="1"/>
                <w:sz w:val="18"/>
              </w:rPr>
              <w:t>（</w:t>
            </w:r>
            <w:r>
              <w:rPr>
                <w:rFonts w:ascii="Times New Roman" w:eastAsia="Times New Roman"/>
                <w:spacing w:val="1"/>
                <w:sz w:val="18"/>
              </w:rPr>
              <w:t>1</w:t>
            </w:r>
            <w:r>
              <w:rPr>
                <w:sz w:val="18"/>
              </w:rPr>
              <w:t>）</w:t>
            </w:r>
            <w:r>
              <w:rPr>
                <w:spacing w:val="-4"/>
                <w:sz w:val="18"/>
              </w:rPr>
              <w:t>建设项目</w:t>
            </w:r>
            <w:r>
              <w:rPr>
                <w:spacing w:val="-1"/>
                <w:sz w:val="18"/>
              </w:rPr>
              <w:t>类型及其选址、布局、规模等不符合环境保护法律</w:t>
            </w:r>
            <w:r>
              <w:rPr>
                <w:spacing w:val="-10"/>
                <w:sz w:val="18"/>
              </w:rPr>
              <w:t>法规和相关法定规划；</w:t>
            </w:r>
            <w:r>
              <w:rPr>
                <w:sz w:val="18"/>
              </w:rPr>
              <w:t>（</w:t>
            </w:r>
            <w:r>
              <w:rPr>
                <w:rFonts w:ascii="Times New Roman" w:eastAsia="Times New Roman"/>
                <w:spacing w:val="1"/>
                <w:sz w:val="18"/>
              </w:rPr>
              <w:t>2</w:t>
            </w:r>
            <w:r>
              <w:rPr>
                <w:sz w:val="18"/>
              </w:rPr>
              <w:t>）</w:t>
            </w:r>
            <w:r>
              <w:rPr>
                <w:spacing w:val="-2"/>
                <w:sz w:val="18"/>
              </w:rPr>
              <w:t>所在区域环境质量未达</w:t>
            </w:r>
            <w:r>
              <w:rPr>
                <w:spacing w:val="-1"/>
                <w:sz w:val="18"/>
              </w:rPr>
              <w:t>到国家或者地方环境质量标准，且建设项目拟采取的措施不能满足区域环境质量改善目标管理要求；</w:t>
            </w:r>
          </w:p>
          <w:p>
            <w:pPr>
              <w:pStyle w:val="TableParagraph"/>
              <w:spacing w:before="1" w:line="242" w:lineRule="auto"/>
              <w:ind w:left="172" w:right="6" w:hanging="46"/>
              <w:jc w:val="both"/>
              <w:rPr>
                <w:sz w:val="18"/>
              </w:rPr>
            </w:pPr>
            <w:r>
              <w:rPr>
                <w:sz w:val="18"/>
              </w:rPr>
              <w:t>（</w:t>
            </w:r>
            <w:r>
              <w:rPr>
                <w:rFonts w:ascii="Times New Roman" w:eastAsia="Times New Roman"/>
                <w:sz w:val="18"/>
              </w:rPr>
              <w:t>3</w:t>
            </w:r>
            <w:r>
              <w:rPr>
                <w:sz w:val="18"/>
              </w:rPr>
              <w:t>）</w:t>
            </w:r>
            <w:r>
              <w:rPr>
                <w:spacing w:val="-1"/>
                <w:sz w:val="18"/>
              </w:rPr>
              <w:t>建设项目采取的污染防治措施无法确保污染物</w:t>
            </w:r>
            <w:r>
              <w:rPr>
                <w:sz w:val="18"/>
              </w:rPr>
              <w:t>排放达到国家和地方排放标准，或者未采取必要措</w:t>
            </w:r>
            <w:r>
              <w:rPr>
                <w:spacing w:val="-9"/>
                <w:sz w:val="18"/>
              </w:rPr>
              <w:t>施预防和控制生态破坏；</w:t>
            </w:r>
            <w:r>
              <w:rPr>
                <w:sz w:val="18"/>
              </w:rPr>
              <w:t>（</w:t>
            </w:r>
            <w:r>
              <w:rPr>
                <w:rFonts w:ascii="Times New Roman" w:eastAsia="Times New Roman"/>
                <w:spacing w:val="1"/>
                <w:sz w:val="18"/>
              </w:rPr>
              <w:t>4</w:t>
            </w:r>
            <w:r>
              <w:rPr>
                <w:sz w:val="18"/>
              </w:rPr>
              <w:t>）改建、扩建和技术改造项目，未针对项目原有环境污染和生态破坏提出</w:t>
            </w:r>
            <w:r>
              <w:rPr>
                <w:spacing w:val="-14"/>
                <w:sz w:val="18"/>
              </w:rPr>
              <w:t>有效防治措施；</w:t>
            </w:r>
            <w:r>
              <w:rPr>
                <w:sz w:val="18"/>
              </w:rPr>
              <w:t>（</w:t>
            </w:r>
            <w:r>
              <w:rPr>
                <w:rFonts w:ascii="Times New Roman" w:eastAsia="Times New Roman"/>
                <w:spacing w:val="1"/>
                <w:sz w:val="18"/>
              </w:rPr>
              <w:t>5</w:t>
            </w:r>
            <w:r>
              <w:rPr>
                <w:sz w:val="18"/>
              </w:rPr>
              <w:t>）建设项目的环境影响报告书、环境影响报告表的基础资料数据明显不实，内容存在重大缺陷、遗漏，或者环境影响评价结论不明</w:t>
            </w:r>
          </w:p>
          <w:p>
            <w:pPr>
              <w:pStyle w:val="TableParagraph"/>
              <w:spacing w:before="5" w:line="208" w:lineRule="exact"/>
              <w:ind w:left="170" w:right="51"/>
              <w:jc w:val="center"/>
              <w:rPr>
                <w:sz w:val="18"/>
              </w:rPr>
            </w:pPr>
            <w:r>
              <w:rPr>
                <w:sz w:val="18"/>
              </w:rPr>
              <w:t>确、不合理。</w:t>
            </w:r>
          </w:p>
        </w:tc>
        <w:tc>
          <w:tcPr>
            <w:tcW w:w="2648" w:type="dxa"/>
            <w:tcBorders>
              <w:top w:val="single" w:sz="4" w:space="0" w:color="000000"/>
              <w:left w:val="single" w:sz="4" w:space="0" w:color="000000"/>
              <w:bottom w:val="single" w:sz="4" w:space="0" w:color="000000"/>
              <w:right w:val="single" w:sz="4" w:space="0" w:color="000000"/>
            </w:tcBorders>
          </w:tcPr>
          <w:p>
            <w:pPr>
              <w:pStyle w:val="TableParagraph"/>
              <w:spacing w:before="10"/>
              <w:rPr>
                <w:rFonts w:ascii="Times New Roman"/>
                <w:b/>
                <w:sz w:val="22"/>
              </w:rPr>
            </w:pPr>
          </w:p>
          <w:p>
            <w:pPr>
              <w:pStyle w:val="TableParagraph"/>
              <w:spacing w:line="242" w:lineRule="auto"/>
              <w:ind w:left="119" w:right="-15" w:hanging="3"/>
              <w:jc w:val="center"/>
              <w:rPr>
                <w:sz w:val="18"/>
              </w:rPr>
            </w:pPr>
            <w:r>
              <w:rPr>
                <w:sz w:val="18"/>
              </w:rPr>
              <w:t>本项目符合国家及地方产业政 策，符合园区总体规划。项目所在区域为大气环境质量不达标 区，项目营运期产生的各项污染物通过相应的治理措施处理后均可达标排放，项目环境风险可控制在安全范围内，因此，该项目的建设对区域环境质量影响可接受。本项目运行期产生的废气经废气装置处理后排放，可满足国家及地方排放标准要求。</w:t>
            </w:r>
          </w:p>
        </w:tc>
        <w:tc>
          <w:tcPr>
            <w:tcW w:w="71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spacing w:before="4"/>
              <w:rPr>
                <w:rFonts w:ascii="Times New Roman"/>
                <w:b/>
                <w:sz w:val="16"/>
              </w:rPr>
            </w:pPr>
          </w:p>
          <w:p>
            <w:pPr>
              <w:pStyle w:val="TableParagraph"/>
              <w:ind w:left="118" w:right="4"/>
              <w:jc w:val="center"/>
              <w:rPr>
                <w:sz w:val="18"/>
              </w:rPr>
            </w:pPr>
            <w:r>
              <w:rPr>
                <w:sz w:val="18"/>
              </w:rPr>
              <w:t>相符</w:t>
            </w:r>
          </w:p>
        </w:tc>
        <w:tc>
          <w:tcPr>
            <w:tcW w:w="110"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1191"/>
        </w:trPr>
        <w:tc>
          <w:tcPr>
            <w:tcW w:w="111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7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b/>
                <w:sz w:val="20"/>
              </w:rPr>
            </w:pPr>
          </w:p>
          <w:p>
            <w:pPr>
              <w:pStyle w:val="TableParagraph"/>
              <w:spacing w:before="4"/>
              <w:rPr>
                <w:rFonts w:ascii="Times New Roman"/>
                <w:b/>
                <w:sz w:val="24"/>
              </w:rPr>
            </w:pPr>
          </w:p>
          <w:p>
            <w:pPr>
              <w:pStyle w:val="TableParagraph"/>
              <w:ind w:left="117"/>
              <w:jc w:val="center"/>
              <w:rPr>
                <w:rFonts w:ascii="Times New Roman"/>
                <w:sz w:val="18"/>
              </w:rPr>
            </w:pPr>
            <w:r>
              <w:rPr>
                <w:rFonts w:ascii="Times New Roman"/>
                <w:sz w:val="18"/>
              </w:rPr>
              <w:t>2</w:t>
            </w:r>
          </w:p>
        </w:tc>
        <w:tc>
          <w:tcPr>
            <w:tcW w:w="4196" w:type="dxa"/>
            <w:tcBorders>
              <w:top w:val="single" w:sz="4" w:space="0" w:color="000000"/>
              <w:left w:val="single" w:sz="4" w:space="0" w:color="000000"/>
              <w:bottom w:val="single" w:sz="4" w:space="0" w:color="000000"/>
              <w:right w:val="single" w:sz="4" w:space="0" w:color="000000"/>
            </w:tcBorders>
          </w:tcPr>
          <w:p>
            <w:pPr>
              <w:pStyle w:val="TableParagraph"/>
              <w:spacing w:before="30" w:line="242" w:lineRule="auto"/>
              <w:ind w:left="172" w:right="51"/>
              <w:jc w:val="both"/>
              <w:rPr>
                <w:sz w:val="18"/>
              </w:rPr>
            </w:pPr>
            <w:r>
              <w:rPr>
                <w:sz w:val="18"/>
              </w:rPr>
              <w:t>二、严格控制在优先保护类耕地集中区域新建有色金属冶炼、石油加工、化工、焦化、电镀、制革等行业企业，有关环境保护主管部门依法不予审批可能造成耕地土壤污染的建设项目环境影响报告书或</w:t>
            </w:r>
          </w:p>
          <w:p>
            <w:pPr>
              <w:pStyle w:val="TableParagraph"/>
              <w:spacing w:before="2" w:line="208" w:lineRule="exact"/>
              <w:ind w:left="168" w:right="51"/>
              <w:jc w:val="center"/>
              <w:rPr>
                <w:sz w:val="18"/>
              </w:rPr>
            </w:pPr>
            <w:r>
              <w:rPr>
                <w:sz w:val="18"/>
              </w:rPr>
              <w:t>者报告表。</w:t>
            </w:r>
          </w:p>
        </w:tc>
        <w:tc>
          <w:tcPr>
            <w:tcW w:w="2648"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b/>
                <w:sz w:val="18"/>
              </w:rPr>
            </w:pPr>
          </w:p>
          <w:p>
            <w:pPr>
              <w:pStyle w:val="TableParagraph"/>
              <w:spacing w:before="1"/>
              <w:rPr>
                <w:rFonts w:ascii="Times New Roman"/>
                <w:b/>
                <w:sz w:val="15"/>
              </w:rPr>
            </w:pPr>
          </w:p>
          <w:p>
            <w:pPr>
              <w:pStyle w:val="TableParagraph"/>
              <w:spacing w:line="242" w:lineRule="auto"/>
              <w:ind w:left="659" w:right="-15" w:hanging="540"/>
              <w:rPr>
                <w:sz w:val="18"/>
              </w:rPr>
            </w:pPr>
            <w:r>
              <w:rPr>
                <w:sz w:val="18"/>
              </w:rPr>
              <w:t>本项目不新增用地，项目所在地规划为工业用地。</w:t>
            </w:r>
          </w:p>
        </w:tc>
        <w:tc>
          <w:tcPr>
            <w:tcW w:w="71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b/>
                <w:sz w:val="18"/>
              </w:rPr>
            </w:pPr>
          </w:p>
          <w:p>
            <w:pPr>
              <w:pStyle w:val="TableParagraph"/>
              <w:spacing w:before="1"/>
              <w:rPr>
                <w:rFonts w:ascii="Times New Roman"/>
                <w:b/>
                <w:sz w:val="25"/>
              </w:rPr>
            </w:pPr>
          </w:p>
          <w:p>
            <w:pPr>
              <w:pStyle w:val="TableParagraph"/>
              <w:spacing w:before="1"/>
              <w:ind w:left="118" w:right="4"/>
              <w:jc w:val="center"/>
              <w:rPr>
                <w:sz w:val="18"/>
              </w:rPr>
            </w:pPr>
            <w:r>
              <w:rPr>
                <w:sz w:val="18"/>
              </w:rPr>
              <w:t>相符</w:t>
            </w:r>
          </w:p>
        </w:tc>
        <w:tc>
          <w:tcPr>
            <w:tcW w:w="110"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1192"/>
        </w:trPr>
        <w:tc>
          <w:tcPr>
            <w:tcW w:w="111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7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b/>
                <w:sz w:val="20"/>
              </w:rPr>
            </w:pPr>
          </w:p>
          <w:p>
            <w:pPr>
              <w:pStyle w:val="TableParagraph"/>
              <w:spacing w:before="4"/>
              <w:rPr>
                <w:rFonts w:ascii="Times New Roman"/>
                <w:b/>
                <w:sz w:val="24"/>
              </w:rPr>
            </w:pPr>
          </w:p>
          <w:p>
            <w:pPr>
              <w:pStyle w:val="TableParagraph"/>
              <w:ind w:left="117"/>
              <w:jc w:val="center"/>
              <w:rPr>
                <w:rFonts w:ascii="Times New Roman"/>
                <w:sz w:val="18"/>
              </w:rPr>
            </w:pPr>
            <w:r>
              <w:rPr>
                <w:rFonts w:ascii="Times New Roman"/>
                <w:sz w:val="18"/>
              </w:rPr>
              <w:t>3</w:t>
            </w:r>
          </w:p>
        </w:tc>
        <w:tc>
          <w:tcPr>
            <w:tcW w:w="4196" w:type="dxa"/>
            <w:tcBorders>
              <w:top w:val="single" w:sz="4" w:space="0" w:color="000000"/>
              <w:left w:val="single" w:sz="4" w:space="0" w:color="000000"/>
              <w:bottom w:val="single" w:sz="4" w:space="0" w:color="000000"/>
              <w:right w:val="single" w:sz="4" w:space="0" w:color="000000"/>
            </w:tcBorders>
          </w:tcPr>
          <w:p>
            <w:pPr>
              <w:pStyle w:val="TableParagraph"/>
              <w:spacing w:before="31" w:line="242" w:lineRule="auto"/>
              <w:ind w:left="172" w:right="51"/>
              <w:jc w:val="both"/>
              <w:rPr>
                <w:sz w:val="18"/>
              </w:rPr>
            </w:pPr>
            <w:r>
              <w:rPr>
                <w:sz w:val="18"/>
              </w:rPr>
              <w:t>三、严格落实污染物排放总量控制制度，把主要污染物排放总量指标作为建设项目环境影响评价审批的前置条件。排放主要污染物的建设项目，在环境影响评价文件审批前，须取得主要污染物排放总量</w:t>
            </w:r>
          </w:p>
          <w:p>
            <w:pPr>
              <w:pStyle w:val="TableParagraph"/>
              <w:spacing w:before="2" w:line="208" w:lineRule="exact"/>
              <w:ind w:left="168" w:right="51"/>
              <w:jc w:val="center"/>
              <w:rPr>
                <w:sz w:val="18"/>
              </w:rPr>
            </w:pPr>
            <w:r>
              <w:rPr>
                <w:sz w:val="18"/>
              </w:rPr>
              <w:t>指标。</w:t>
            </w:r>
          </w:p>
        </w:tc>
        <w:tc>
          <w:tcPr>
            <w:tcW w:w="2648" w:type="dxa"/>
            <w:tcBorders>
              <w:top w:val="single" w:sz="4" w:space="0" w:color="000000"/>
              <w:left w:val="single" w:sz="4" w:space="0" w:color="000000"/>
              <w:bottom w:val="single" w:sz="4" w:space="0" w:color="000000"/>
              <w:right w:val="single" w:sz="4" w:space="0" w:color="000000"/>
            </w:tcBorders>
          </w:tcPr>
          <w:p>
            <w:pPr>
              <w:pStyle w:val="TableParagraph"/>
              <w:spacing w:before="10"/>
              <w:rPr>
                <w:rFonts w:ascii="Times New Roman"/>
                <w:b/>
                <w:sz w:val="22"/>
              </w:rPr>
            </w:pPr>
          </w:p>
          <w:p>
            <w:pPr>
              <w:pStyle w:val="TableParagraph"/>
              <w:spacing w:line="242" w:lineRule="auto"/>
              <w:ind w:left="119" w:right="-15"/>
              <w:jc w:val="center"/>
              <w:rPr>
                <w:sz w:val="18"/>
              </w:rPr>
            </w:pPr>
            <w:r>
              <w:rPr>
                <w:sz w:val="18"/>
              </w:rPr>
              <w:t>本项目不新增的废水污染物，新增的废气污染物排放量可实现区域平衡。</w:t>
            </w:r>
          </w:p>
        </w:tc>
        <w:tc>
          <w:tcPr>
            <w:tcW w:w="71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b/>
                <w:sz w:val="18"/>
              </w:rPr>
            </w:pPr>
          </w:p>
          <w:p>
            <w:pPr>
              <w:pStyle w:val="TableParagraph"/>
              <w:spacing w:before="1"/>
              <w:rPr>
                <w:rFonts w:ascii="Times New Roman"/>
                <w:b/>
                <w:sz w:val="25"/>
              </w:rPr>
            </w:pPr>
          </w:p>
          <w:p>
            <w:pPr>
              <w:pStyle w:val="TableParagraph"/>
              <w:spacing w:before="1"/>
              <w:ind w:left="118" w:right="4"/>
              <w:jc w:val="center"/>
              <w:rPr>
                <w:sz w:val="18"/>
              </w:rPr>
            </w:pPr>
            <w:r>
              <w:rPr>
                <w:sz w:val="18"/>
              </w:rPr>
              <w:t>相符</w:t>
            </w:r>
          </w:p>
        </w:tc>
        <w:tc>
          <w:tcPr>
            <w:tcW w:w="110"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3993"/>
        </w:trPr>
        <w:tc>
          <w:tcPr>
            <w:tcW w:w="111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7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spacing w:before="3"/>
              <w:rPr>
                <w:rFonts w:ascii="Times New Roman"/>
                <w:b/>
                <w:sz w:val="26"/>
              </w:rPr>
            </w:pPr>
          </w:p>
          <w:p>
            <w:pPr>
              <w:pStyle w:val="TableParagraph"/>
              <w:ind w:left="117"/>
              <w:jc w:val="center"/>
              <w:rPr>
                <w:rFonts w:ascii="Times New Roman"/>
                <w:sz w:val="18"/>
              </w:rPr>
            </w:pPr>
            <w:r>
              <w:rPr>
                <w:rFonts w:ascii="Times New Roman"/>
                <w:sz w:val="18"/>
              </w:rPr>
              <w:t>4</w:t>
            </w:r>
          </w:p>
        </w:tc>
        <w:tc>
          <w:tcPr>
            <w:tcW w:w="4196" w:type="dxa"/>
            <w:tcBorders>
              <w:top w:val="single" w:sz="4" w:space="0" w:color="000000"/>
              <w:left w:val="single" w:sz="4" w:space="0" w:color="000000"/>
              <w:bottom w:val="single" w:sz="4" w:space="0" w:color="000000"/>
              <w:right w:val="single" w:sz="4" w:space="0" w:color="000000"/>
            </w:tcBorders>
          </w:tcPr>
          <w:p>
            <w:pPr>
              <w:pStyle w:val="TableParagraph"/>
              <w:spacing w:before="30" w:line="242" w:lineRule="auto"/>
              <w:ind w:left="172" w:right="51"/>
              <w:jc w:val="center"/>
              <w:rPr>
                <w:sz w:val="18"/>
              </w:rPr>
            </w:pPr>
            <w:r>
              <w:rPr>
                <w:spacing w:val="-46"/>
                <w:sz w:val="18"/>
              </w:rPr>
              <w:t>四、</w:t>
            </w:r>
            <w:r>
              <w:rPr>
                <w:sz w:val="18"/>
              </w:rPr>
              <w:t>（</w:t>
            </w:r>
            <w:r>
              <w:rPr>
                <w:rFonts w:ascii="Times New Roman" w:eastAsia="Times New Roman"/>
                <w:sz w:val="18"/>
              </w:rPr>
              <w:t>1</w:t>
            </w:r>
            <w:r>
              <w:rPr>
                <w:sz w:val="18"/>
              </w:rPr>
              <w:t>）</w:t>
            </w:r>
            <w:r>
              <w:rPr>
                <w:spacing w:val="-1"/>
                <w:sz w:val="18"/>
              </w:rPr>
              <w:t>规划环评要作为规划所包含项目环评的重要依据，对于不符合规划环评结论及审查意见的项</w:t>
            </w:r>
            <w:r>
              <w:rPr>
                <w:spacing w:val="-9"/>
                <w:sz w:val="18"/>
              </w:rPr>
              <w:t>目环评，依法不予审批。</w:t>
            </w:r>
            <w:r>
              <w:rPr>
                <w:sz w:val="18"/>
              </w:rPr>
              <w:t>（</w:t>
            </w:r>
            <w:r>
              <w:rPr>
                <w:rFonts w:ascii="Times New Roman" w:eastAsia="Times New Roman"/>
                <w:sz w:val="18"/>
              </w:rPr>
              <w:t>2</w:t>
            </w:r>
            <w:r>
              <w:rPr>
                <w:sz w:val="18"/>
              </w:rPr>
              <w:t>）</w:t>
            </w:r>
            <w:r>
              <w:rPr>
                <w:spacing w:val="-2"/>
                <w:sz w:val="18"/>
              </w:rPr>
              <w:t>对于现有同类型项目</w:t>
            </w:r>
            <w:r>
              <w:rPr>
                <w:sz w:val="18"/>
              </w:rPr>
              <w:t xml:space="preserve">环境污染或生态破坏严重、环境违法违规现象多 </w:t>
            </w:r>
            <w:r>
              <w:rPr>
                <w:spacing w:val="-1"/>
                <w:sz w:val="18"/>
              </w:rPr>
              <w:t>发，致使环境容量接近或超过承载能力的地区，在现有问题整改到位前，依法暂停审批该地区同类行</w:t>
            </w:r>
            <w:r>
              <w:rPr>
                <w:spacing w:val="-11"/>
                <w:sz w:val="18"/>
              </w:rPr>
              <w:t>业的项目环评文件。</w:t>
            </w:r>
            <w:r>
              <w:rPr>
                <w:sz w:val="18"/>
              </w:rPr>
              <w:t>（</w:t>
            </w:r>
            <w:r>
              <w:rPr>
                <w:rFonts w:ascii="Times New Roman" w:eastAsia="Times New Roman"/>
                <w:sz w:val="18"/>
              </w:rPr>
              <w:t>3</w:t>
            </w:r>
            <w:r>
              <w:rPr>
                <w:sz w:val="18"/>
              </w:rPr>
              <w:t>）</w:t>
            </w:r>
            <w:r>
              <w:rPr>
                <w:spacing w:val="-2"/>
                <w:sz w:val="18"/>
              </w:rPr>
              <w:t>对环境质量现状超标的地</w:t>
            </w:r>
            <w:r>
              <w:rPr>
                <w:spacing w:val="-1"/>
                <w:sz w:val="18"/>
              </w:rPr>
              <w:t>区，项目拟采取的措施不能满足区域环境质量改善目标管理要求的，依法不予审批其环评文件。对未达到环境质量目标考核要求的地区，除民生项目与节能减排项目外，依法暂停审批该地区新增排放相</w:t>
            </w:r>
            <w:r>
              <w:rPr>
                <w:sz w:val="18"/>
              </w:rPr>
              <w:t xml:space="preserve">应重点污染物的项目环评文件。除受自然条件限 </w:t>
            </w:r>
            <w:r>
              <w:rPr>
                <w:spacing w:val="-1"/>
                <w:sz w:val="18"/>
              </w:rPr>
              <w:t>制、确实无法避让的铁路、公路、航道、防洪、管道、干渠、通讯、输变电等重要基础设施项目外， 在生态保护红线范围内，严控各类开发建设活动，</w:t>
            </w:r>
          </w:p>
          <w:p>
            <w:pPr>
              <w:pStyle w:val="TableParagraph"/>
              <w:spacing w:before="9" w:line="230" w:lineRule="atLeast"/>
              <w:ind w:left="172" w:right="51"/>
              <w:jc w:val="center"/>
              <w:rPr>
                <w:sz w:val="18"/>
              </w:rPr>
            </w:pPr>
            <w:r>
              <w:rPr>
                <w:sz w:val="18"/>
              </w:rPr>
              <w:t>依法不予审批新建工业项目和矿产开发项目的环评文件。</w:t>
            </w:r>
          </w:p>
        </w:tc>
        <w:tc>
          <w:tcPr>
            <w:tcW w:w="2648"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spacing w:before="110" w:line="242" w:lineRule="auto"/>
              <w:ind w:left="119" w:right="-15"/>
              <w:jc w:val="center"/>
              <w:rPr>
                <w:sz w:val="18"/>
              </w:rPr>
            </w:pPr>
            <w:r>
              <w:rPr>
                <w:sz w:val="18"/>
              </w:rPr>
              <w:t>本项目位于东坎高新技术产业园</w:t>
            </w:r>
            <w:r>
              <w:rPr>
                <w:spacing w:val="-9"/>
                <w:sz w:val="18"/>
              </w:rPr>
              <w:t xml:space="preserve">盘洋大道 </w:t>
            </w:r>
            <w:r>
              <w:rPr>
                <w:rFonts w:ascii="Times New Roman" w:eastAsia="Times New Roman"/>
                <w:spacing w:val="-3"/>
                <w:sz w:val="18"/>
              </w:rPr>
              <w:t>11</w:t>
            </w:r>
            <w:r>
              <w:rPr>
                <w:rFonts w:ascii="Times New Roman" w:eastAsia="Times New Roman"/>
                <w:spacing w:val="-8"/>
                <w:sz w:val="18"/>
              </w:rPr>
              <w:t xml:space="preserve"> </w:t>
            </w:r>
            <w:r>
              <w:rPr>
                <w:sz w:val="18"/>
              </w:rPr>
              <w:t>号现有厂区内，符合规划环评要求。本项目不在江苏省国家级生态红线区域及江苏省生态空间管控区域规划范围 内。项目营运期产生的各项污染物通过相应的治理措施处理后均可达标排放，项目环境风险可控制在安全范围内，因此，该项目的建设对区域环境质量影响可接受。</w:t>
            </w:r>
          </w:p>
        </w:tc>
        <w:tc>
          <w:tcPr>
            <w:tcW w:w="71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21"/>
              </w:rPr>
            </w:pPr>
          </w:p>
          <w:p>
            <w:pPr>
              <w:pStyle w:val="TableParagraph"/>
              <w:ind w:left="118" w:right="4"/>
              <w:jc w:val="center"/>
              <w:rPr>
                <w:sz w:val="18"/>
              </w:rPr>
            </w:pPr>
            <w:r>
              <w:rPr>
                <w:sz w:val="18"/>
              </w:rPr>
              <w:t>相符</w:t>
            </w:r>
          </w:p>
        </w:tc>
        <w:tc>
          <w:tcPr>
            <w:tcW w:w="110"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1157"/>
        </w:trPr>
        <w:tc>
          <w:tcPr>
            <w:tcW w:w="111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7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b/>
                <w:sz w:val="20"/>
              </w:rPr>
            </w:pPr>
          </w:p>
          <w:p>
            <w:pPr>
              <w:pStyle w:val="TableParagraph"/>
              <w:spacing w:before="4"/>
              <w:rPr>
                <w:rFonts w:ascii="Times New Roman"/>
                <w:b/>
                <w:sz w:val="21"/>
              </w:rPr>
            </w:pPr>
          </w:p>
          <w:p>
            <w:pPr>
              <w:pStyle w:val="TableParagraph"/>
              <w:spacing w:before="1"/>
              <w:ind w:left="12"/>
              <w:jc w:val="center"/>
              <w:rPr>
                <w:rFonts w:ascii="Times New Roman"/>
                <w:sz w:val="18"/>
              </w:rPr>
            </w:pPr>
            <w:r>
              <w:rPr>
                <w:rFonts w:ascii="Times New Roman"/>
                <w:sz w:val="18"/>
              </w:rPr>
              <w:t>5</w:t>
            </w:r>
          </w:p>
        </w:tc>
        <w:tc>
          <w:tcPr>
            <w:tcW w:w="4196"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32" w:right="17"/>
              <w:jc w:val="center"/>
              <w:rPr>
                <w:sz w:val="18"/>
              </w:rPr>
            </w:pPr>
            <w:r>
              <w:rPr>
                <w:spacing w:val="-3"/>
                <w:sz w:val="18"/>
              </w:rPr>
              <w:t xml:space="preserve">五、严禁在长江干流及主要支流岸线 </w:t>
            </w:r>
            <w:r>
              <w:rPr>
                <w:rFonts w:ascii="Times New Roman" w:eastAsia="Times New Roman"/>
                <w:sz w:val="18"/>
              </w:rPr>
              <w:t xml:space="preserve">1 </w:t>
            </w:r>
            <w:r>
              <w:rPr>
                <w:spacing w:val="-3"/>
                <w:sz w:val="18"/>
              </w:rPr>
              <w:t>公里范围内新</w:t>
            </w:r>
            <w:r>
              <w:rPr>
                <w:sz w:val="18"/>
              </w:rPr>
              <w:t>建布局化工园区和化工企业。严格化工项目环评审批，提高准入门槛，新建化</w:t>
            </w:r>
          </w:p>
          <w:p>
            <w:pPr>
              <w:pStyle w:val="TableParagraph"/>
              <w:spacing w:line="230" w:lineRule="exact"/>
              <w:ind w:left="32" w:right="17"/>
              <w:jc w:val="center"/>
              <w:rPr>
                <w:sz w:val="18"/>
              </w:rPr>
            </w:pPr>
            <w:r>
              <w:rPr>
                <w:sz w:val="18"/>
              </w:rPr>
              <w:t xml:space="preserve">工项目原则上投资额不得低于 </w:t>
            </w:r>
            <w:r>
              <w:rPr>
                <w:rFonts w:ascii="Times New Roman" w:eastAsia="Times New Roman"/>
                <w:sz w:val="18"/>
              </w:rPr>
              <w:t xml:space="preserve">10 </w:t>
            </w:r>
            <w:r>
              <w:rPr>
                <w:sz w:val="18"/>
              </w:rPr>
              <w:t>亿元，不得新建、</w:t>
            </w:r>
          </w:p>
          <w:p>
            <w:pPr>
              <w:pStyle w:val="TableParagraph"/>
              <w:spacing w:before="1" w:line="208" w:lineRule="exact"/>
              <w:ind w:left="62" w:right="51"/>
              <w:jc w:val="center"/>
              <w:rPr>
                <w:sz w:val="18"/>
              </w:rPr>
            </w:pPr>
            <w:r>
              <w:rPr>
                <w:sz w:val="18"/>
              </w:rPr>
              <w:t>改建、扩建三类中间体项目。</w:t>
            </w:r>
          </w:p>
        </w:tc>
        <w:tc>
          <w:tcPr>
            <w:tcW w:w="2648" w:type="dxa"/>
            <w:tcBorders>
              <w:top w:val="single" w:sz="4" w:space="0" w:color="000000"/>
              <w:left w:val="single" w:sz="4" w:space="0" w:color="000000"/>
              <w:bottom w:val="single" w:sz="4" w:space="0" w:color="000000"/>
              <w:right w:val="single" w:sz="4" w:space="0" w:color="000000"/>
            </w:tcBorders>
          </w:tcPr>
          <w:p>
            <w:pPr>
              <w:pStyle w:val="TableParagraph"/>
              <w:spacing w:before="111" w:line="242" w:lineRule="auto"/>
              <w:ind w:left="30" w:right="10" w:hanging="3"/>
              <w:jc w:val="center"/>
              <w:rPr>
                <w:sz w:val="18"/>
              </w:rPr>
            </w:pPr>
            <w:r>
              <w:rPr>
                <w:sz w:val="18"/>
              </w:rPr>
              <w:t>本项目位于东坎高新技术产业园</w:t>
            </w:r>
            <w:r>
              <w:rPr>
                <w:spacing w:val="-9"/>
                <w:sz w:val="18"/>
              </w:rPr>
              <w:t xml:space="preserve">盘洋大道 </w:t>
            </w:r>
            <w:r>
              <w:rPr>
                <w:rFonts w:ascii="Times New Roman" w:eastAsia="Times New Roman"/>
                <w:spacing w:val="-3"/>
                <w:sz w:val="18"/>
              </w:rPr>
              <w:t xml:space="preserve">11 </w:t>
            </w:r>
            <w:r>
              <w:rPr>
                <w:spacing w:val="-3"/>
                <w:sz w:val="18"/>
              </w:rPr>
              <w:t xml:space="preserve">号，属于扩建项目， </w:t>
            </w:r>
            <w:r>
              <w:rPr>
                <w:sz w:val="18"/>
              </w:rPr>
              <w:t>本项目所在厂区不在长江干流</w:t>
            </w:r>
            <w:r>
              <w:rPr>
                <w:rFonts w:ascii="Times New Roman" w:eastAsia="Times New Roman"/>
                <w:sz w:val="18"/>
              </w:rPr>
              <w:t xml:space="preserve">1km </w:t>
            </w:r>
            <w:r>
              <w:rPr>
                <w:sz w:val="18"/>
              </w:rPr>
              <w:t>范围内。</w:t>
            </w:r>
          </w:p>
        </w:tc>
        <w:tc>
          <w:tcPr>
            <w:tcW w:w="71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b/>
                <w:sz w:val="18"/>
              </w:rPr>
            </w:pPr>
          </w:p>
          <w:p>
            <w:pPr>
              <w:pStyle w:val="TableParagraph"/>
              <w:spacing w:before="2"/>
              <w:rPr>
                <w:rFonts w:ascii="Times New Roman"/>
                <w:b/>
                <w:sz w:val="22"/>
              </w:rPr>
            </w:pPr>
          </w:p>
          <w:p>
            <w:pPr>
              <w:pStyle w:val="TableParagraph"/>
              <w:ind w:left="22" w:right="4"/>
              <w:jc w:val="center"/>
              <w:rPr>
                <w:sz w:val="18"/>
              </w:rPr>
            </w:pPr>
            <w:r>
              <w:rPr>
                <w:sz w:val="18"/>
              </w:rPr>
              <w:t>相符</w:t>
            </w:r>
          </w:p>
        </w:tc>
        <w:tc>
          <w:tcPr>
            <w:tcW w:w="110"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690"/>
        </w:trPr>
        <w:tc>
          <w:tcPr>
            <w:tcW w:w="111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7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b/>
                <w:sz w:val="21"/>
              </w:rPr>
            </w:pPr>
          </w:p>
          <w:p>
            <w:pPr>
              <w:pStyle w:val="TableParagraph"/>
              <w:ind w:left="12"/>
              <w:jc w:val="center"/>
              <w:rPr>
                <w:rFonts w:ascii="Times New Roman"/>
                <w:sz w:val="18"/>
              </w:rPr>
            </w:pPr>
            <w:r>
              <w:rPr>
                <w:rFonts w:ascii="Times New Roman"/>
                <w:sz w:val="18"/>
              </w:rPr>
              <w:t>6</w:t>
            </w:r>
          </w:p>
        </w:tc>
        <w:tc>
          <w:tcPr>
            <w:tcW w:w="4196"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748" w:right="15" w:hanging="721"/>
              <w:rPr>
                <w:sz w:val="18"/>
              </w:rPr>
            </w:pPr>
            <w:r>
              <w:rPr>
                <w:sz w:val="18"/>
              </w:rPr>
              <w:t>六、禁止新建燃煤自备电厂。在重点地区执行《江苏省化工钢铁煤电行业环境准入和排</w:t>
            </w:r>
          </w:p>
          <w:p>
            <w:pPr>
              <w:pStyle w:val="TableParagraph"/>
              <w:spacing w:line="208" w:lineRule="exact"/>
              <w:ind w:left="32"/>
              <w:rPr>
                <w:sz w:val="18"/>
              </w:rPr>
            </w:pPr>
            <w:r>
              <w:rPr>
                <w:spacing w:val="-16"/>
                <w:sz w:val="18"/>
              </w:rPr>
              <w:t xml:space="preserve">放标准》。燃煤电厂 </w:t>
            </w:r>
            <w:r>
              <w:rPr>
                <w:rFonts w:ascii="Times New Roman" w:eastAsia="Times New Roman"/>
                <w:sz w:val="18"/>
              </w:rPr>
              <w:t xml:space="preserve">2019 </w:t>
            </w:r>
            <w:r>
              <w:rPr>
                <w:spacing w:val="-2"/>
                <w:sz w:val="18"/>
              </w:rPr>
              <w:t>年底前全部实行超低排放。</w:t>
            </w:r>
          </w:p>
        </w:tc>
        <w:tc>
          <w:tcPr>
            <w:tcW w:w="2648" w:type="dxa"/>
            <w:tcBorders>
              <w:top w:val="single" w:sz="4" w:space="0" w:color="000000"/>
              <w:left w:val="single" w:sz="4" w:space="0" w:color="000000"/>
              <w:bottom w:val="single" w:sz="4" w:space="0" w:color="000000"/>
              <w:right w:val="single" w:sz="4" w:space="0" w:color="000000"/>
            </w:tcBorders>
          </w:tcPr>
          <w:p>
            <w:pPr>
              <w:pStyle w:val="TableParagraph"/>
              <w:spacing w:before="9"/>
              <w:rPr>
                <w:rFonts w:ascii="Times New Roman"/>
                <w:b/>
                <w:sz w:val="19"/>
              </w:rPr>
            </w:pPr>
          </w:p>
          <w:p>
            <w:pPr>
              <w:pStyle w:val="TableParagraph"/>
              <w:ind w:left="20" w:right="3"/>
              <w:jc w:val="center"/>
              <w:rPr>
                <w:sz w:val="18"/>
              </w:rPr>
            </w:pPr>
            <w:r>
              <w:rPr>
                <w:sz w:val="18"/>
              </w:rPr>
              <w:t>本项目不属于燃煤自备电厂。</w:t>
            </w:r>
          </w:p>
        </w:tc>
        <w:tc>
          <w:tcPr>
            <w:tcW w:w="715" w:type="dxa"/>
            <w:tcBorders>
              <w:top w:val="single" w:sz="4" w:space="0" w:color="000000"/>
              <w:left w:val="single" w:sz="4" w:space="0" w:color="000000"/>
              <w:bottom w:val="single" w:sz="4" w:space="0" w:color="000000"/>
              <w:right w:val="single" w:sz="4" w:space="0" w:color="000000"/>
            </w:tcBorders>
          </w:tcPr>
          <w:p>
            <w:pPr>
              <w:pStyle w:val="TableParagraph"/>
              <w:spacing w:before="9"/>
              <w:rPr>
                <w:rFonts w:ascii="Times New Roman"/>
                <w:b/>
                <w:sz w:val="19"/>
              </w:rPr>
            </w:pPr>
          </w:p>
          <w:p>
            <w:pPr>
              <w:pStyle w:val="TableParagraph"/>
              <w:ind w:left="22" w:right="4"/>
              <w:jc w:val="center"/>
              <w:rPr>
                <w:sz w:val="18"/>
              </w:rPr>
            </w:pPr>
            <w:r>
              <w:rPr>
                <w:sz w:val="18"/>
              </w:rPr>
              <w:t>相符</w:t>
            </w:r>
          </w:p>
        </w:tc>
        <w:tc>
          <w:tcPr>
            <w:tcW w:w="110"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929"/>
        </w:trPr>
        <w:tc>
          <w:tcPr>
            <w:tcW w:w="111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75" w:type="dxa"/>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b/>
                <w:sz w:val="20"/>
              </w:rPr>
            </w:pPr>
          </w:p>
          <w:p>
            <w:pPr>
              <w:pStyle w:val="TableParagraph"/>
              <w:spacing w:before="127"/>
              <w:ind w:left="12"/>
              <w:jc w:val="center"/>
              <w:rPr>
                <w:rFonts w:ascii="Times New Roman"/>
                <w:sz w:val="18"/>
              </w:rPr>
            </w:pPr>
            <w:r>
              <w:rPr>
                <w:rFonts w:ascii="Times New Roman"/>
                <w:sz w:val="18"/>
              </w:rPr>
              <w:t>7</w:t>
            </w:r>
          </w:p>
        </w:tc>
        <w:tc>
          <w:tcPr>
            <w:tcW w:w="4196" w:type="dxa"/>
            <w:tcBorders>
              <w:top w:val="single" w:sz="4" w:space="0" w:color="000000"/>
              <w:left w:val="single" w:sz="4" w:space="0" w:color="000000"/>
              <w:bottom w:val="thickThinMediumGap" w:sz="4" w:space="0" w:color="000000"/>
              <w:right w:val="single" w:sz="4" w:space="0" w:color="000000"/>
            </w:tcBorders>
          </w:tcPr>
          <w:p>
            <w:pPr>
              <w:pStyle w:val="TableParagraph"/>
              <w:spacing w:before="9"/>
              <w:rPr>
                <w:rFonts w:ascii="Times New Roman"/>
                <w:b/>
                <w:sz w:val="19"/>
              </w:rPr>
            </w:pPr>
          </w:p>
          <w:p>
            <w:pPr>
              <w:pStyle w:val="TableParagraph"/>
              <w:spacing w:line="244" w:lineRule="auto"/>
              <w:ind w:left="1019" w:right="42" w:hanging="896"/>
              <w:rPr>
                <w:sz w:val="18"/>
              </w:rPr>
            </w:pPr>
            <w:r>
              <w:rPr>
                <w:sz w:val="18"/>
              </w:rPr>
              <w:t xml:space="preserve">七、禁止建设生产和使用高 </w:t>
            </w:r>
            <w:r>
              <w:rPr>
                <w:rFonts w:ascii="Times New Roman" w:eastAsia="Times New Roman"/>
                <w:sz w:val="18"/>
              </w:rPr>
              <w:t xml:space="preserve">VOCs </w:t>
            </w:r>
            <w:r>
              <w:rPr>
                <w:sz w:val="18"/>
              </w:rPr>
              <w:t>含量的溶剂型涂料、油墨、胶粘剂等项目。</w:t>
            </w:r>
          </w:p>
        </w:tc>
        <w:tc>
          <w:tcPr>
            <w:tcW w:w="2648" w:type="dxa"/>
            <w:tcBorders>
              <w:top w:val="single" w:sz="4" w:space="0" w:color="000000"/>
              <w:left w:val="single" w:sz="4" w:space="0" w:color="000000"/>
              <w:bottom w:val="thickThinMediumGap" w:sz="4" w:space="0" w:color="000000"/>
              <w:right w:val="single" w:sz="4" w:space="0" w:color="000000"/>
            </w:tcBorders>
          </w:tcPr>
          <w:p>
            <w:pPr>
              <w:pStyle w:val="TableParagraph"/>
              <w:spacing w:line="225" w:lineRule="exact"/>
              <w:ind w:left="18" w:right="3"/>
              <w:jc w:val="center"/>
              <w:rPr>
                <w:sz w:val="18"/>
              </w:rPr>
            </w:pPr>
            <w:r>
              <w:rPr>
                <w:sz w:val="18"/>
              </w:rPr>
              <w:t>本项目使用的凹版印刷油墨</w:t>
            </w:r>
          </w:p>
          <w:p>
            <w:pPr>
              <w:pStyle w:val="TableParagraph"/>
              <w:spacing w:before="2"/>
              <w:ind w:left="19" w:right="3"/>
              <w:jc w:val="center"/>
              <w:rPr>
                <w:sz w:val="18"/>
              </w:rPr>
            </w:pPr>
            <w:r>
              <w:rPr>
                <w:rFonts w:ascii="Times New Roman" w:eastAsia="Times New Roman"/>
                <w:sz w:val="18"/>
              </w:rPr>
              <w:t>VOCs</w:t>
            </w:r>
            <w:r>
              <w:rPr>
                <w:rFonts w:ascii="Times New Roman" w:eastAsia="Times New Roman"/>
                <w:spacing w:val="-10"/>
                <w:sz w:val="18"/>
              </w:rPr>
              <w:t xml:space="preserve"> </w:t>
            </w:r>
            <w:r>
              <w:rPr>
                <w:spacing w:val="-15"/>
                <w:sz w:val="18"/>
              </w:rPr>
              <w:t xml:space="preserve">含量 </w:t>
            </w:r>
            <w:r>
              <w:rPr>
                <w:rFonts w:ascii="Times New Roman" w:eastAsia="Times New Roman"/>
                <w:sz w:val="18"/>
              </w:rPr>
              <w:t>72.83%</w:t>
            </w:r>
            <w:r>
              <w:rPr>
                <w:spacing w:val="-1"/>
                <w:sz w:val="18"/>
              </w:rPr>
              <w:t>，满足《油墨</w:t>
            </w:r>
          </w:p>
          <w:p>
            <w:pPr>
              <w:pStyle w:val="TableParagraph"/>
              <w:spacing w:before="5" w:line="230" w:lineRule="atLeast"/>
              <w:ind w:left="21" w:right="3"/>
              <w:jc w:val="center"/>
              <w:rPr>
                <w:sz w:val="18"/>
              </w:rPr>
            </w:pPr>
            <w:r>
              <w:rPr>
                <w:sz w:val="18"/>
              </w:rPr>
              <w:t>中可挥发性有机化合物</w:t>
            </w:r>
            <w:r>
              <w:rPr>
                <w:spacing w:val="-3"/>
                <w:sz w:val="18"/>
              </w:rPr>
              <w:t>（</w:t>
            </w:r>
            <w:r>
              <w:rPr>
                <w:rFonts w:ascii="Times New Roman" w:eastAsia="Times New Roman"/>
                <w:spacing w:val="-3"/>
                <w:sz w:val="18"/>
              </w:rPr>
              <w:t>VOCs</w:t>
            </w:r>
            <w:r>
              <w:rPr>
                <w:spacing w:val="-3"/>
                <w:sz w:val="18"/>
              </w:rPr>
              <w:t xml:space="preserve">） </w:t>
            </w:r>
            <w:r>
              <w:rPr>
                <w:spacing w:val="-16"/>
                <w:sz w:val="18"/>
              </w:rPr>
              <w:t>含量的限值》</w:t>
            </w:r>
            <w:r>
              <w:rPr>
                <w:sz w:val="18"/>
              </w:rPr>
              <w:t>（</w:t>
            </w:r>
            <w:r>
              <w:rPr>
                <w:rFonts w:ascii="Times New Roman" w:eastAsia="Times New Roman"/>
                <w:sz w:val="18"/>
              </w:rPr>
              <w:t>GB38507-2020</w:t>
            </w:r>
            <w:r>
              <w:rPr>
                <w:sz w:val="18"/>
              </w:rPr>
              <w:t>）</w:t>
            </w:r>
          </w:p>
        </w:tc>
        <w:tc>
          <w:tcPr>
            <w:tcW w:w="715" w:type="dxa"/>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b/>
                <w:sz w:val="18"/>
              </w:rPr>
            </w:pPr>
          </w:p>
          <w:p>
            <w:pPr>
              <w:pStyle w:val="TableParagraph"/>
              <w:spacing w:before="138"/>
              <w:ind w:left="22" w:right="4"/>
              <w:jc w:val="center"/>
              <w:rPr>
                <w:sz w:val="18"/>
              </w:rPr>
            </w:pPr>
            <w:r>
              <w:rPr>
                <w:sz w:val="18"/>
              </w:rPr>
              <w:t>相符</w:t>
            </w:r>
          </w:p>
        </w:tc>
        <w:tc>
          <w:tcPr>
            <w:tcW w:w="110" w:type="dxa"/>
            <w:tcBorders>
              <w:top w:val="nil"/>
              <w:left w:val="single" w:sz="4" w:space="0" w:color="000000"/>
            </w:tcBorders>
          </w:tcPr>
          <w:p>
            <w:pPr>
              <w:pStyle w:val="TableParagraph"/>
              <w:rPr>
                <w:rFonts w:ascii="Times New Roman"/>
                <w:sz w:val="18"/>
              </w:rPr>
            </w:pPr>
          </w:p>
        </w:tc>
      </w:tr>
    </w:tbl>
    <w:p>
      <w:pPr>
        <w:spacing w:after="0"/>
        <w:rPr>
          <w:rFonts w:ascii="Times New Roman"/>
          <w:sz w:val="18"/>
        </w:rPr>
        <w:sectPr>
          <w:footerReference w:type="default" r:id="rId16"/>
          <w:pgSz w:w="11910" w:h="16840"/>
          <w:pgMar w:top="1400" w:right="1140" w:bottom="1180" w:left="1140" w:header="0" w:footer="994" w:gutter="0"/>
          <w:pgNumType w:start="12"/>
          <w:cols w:num="1" w:space="720"/>
        </w:sectPr>
      </w:pPr>
    </w:p>
    <w:tbl>
      <w:tblPr>
        <w:tblStyle w:val="TableNormal"/>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14"/>
        <w:gridCol w:w="113"/>
        <w:gridCol w:w="475"/>
        <w:gridCol w:w="4196"/>
        <w:gridCol w:w="2648"/>
        <w:gridCol w:w="715"/>
        <w:gridCol w:w="110"/>
      </w:tblGrid>
      <w:tr>
        <w:tblPrEx>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628"/>
        </w:trPr>
        <w:tc>
          <w:tcPr>
            <w:tcW w:w="1114" w:type="dxa"/>
            <w:vMerge w:val="restart"/>
            <w:tcBorders>
              <w:right w:val="single" w:sz="4" w:space="0" w:color="000000"/>
            </w:tcBorders>
          </w:tcPr>
          <w:p>
            <w:pPr>
              <w:pStyle w:val="TableParagraph"/>
              <w:rPr>
                <w:rFonts w:ascii="Times New Roman"/>
                <w:sz w:val="18"/>
              </w:rPr>
            </w:pPr>
          </w:p>
        </w:tc>
        <w:tc>
          <w:tcPr>
            <w:tcW w:w="113" w:type="dxa"/>
            <w:vMerge w:val="restart"/>
            <w:tcBorders>
              <w:left w:val="single" w:sz="4" w:space="0" w:color="000000"/>
              <w:right w:val="single" w:sz="4" w:space="0" w:color="000000"/>
            </w:tcBorders>
          </w:tcPr>
          <w:p>
            <w:pPr>
              <w:pStyle w:val="TableParagraph"/>
              <w:rPr>
                <w:rFonts w:ascii="Times New Roman"/>
                <w:sz w:val="18"/>
              </w:rPr>
            </w:pPr>
          </w:p>
        </w:tc>
        <w:tc>
          <w:tcPr>
            <w:tcW w:w="475"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4196"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2648" w:type="dxa"/>
            <w:tcBorders>
              <w:top w:val="single" w:sz="12" w:space="0" w:color="000000"/>
              <w:left w:val="single" w:sz="4" w:space="0" w:color="000000"/>
              <w:bottom w:val="single" w:sz="4" w:space="0" w:color="000000"/>
              <w:right w:val="single" w:sz="4" w:space="0" w:color="000000"/>
            </w:tcBorders>
          </w:tcPr>
          <w:p>
            <w:pPr>
              <w:pStyle w:val="TableParagraph"/>
              <w:spacing w:line="242" w:lineRule="auto"/>
              <w:ind w:left="71" w:right="54" w:firstLine="2"/>
              <w:jc w:val="center"/>
              <w:rPr>
                <w:rFonts w:ascii="Times New Roman" w:eastAsia="Times New Roman" w:hAnsi="Times New Roman"/>
                <w:sz w:val="18"/>
              </w:rPr>
            </w:pPr>
            <w:r>
              <w:rPr>
                <w:spacing w:val="-23"/>
                <w:sz w:val="18"/>
              </w:rPr>
              <w:t xml:space="preserve">表 </w:t>
            </w:r>
            <w:r>
              <w:rPr>
                <w:rFonts w:ascii="Times New Roman" w:eastAsia="Times New Roman" w:hAnsi="Times New Roman"/>
                <w:sz w:val="18"/>
              </w:rPr>
              <w:t>1</w:t>
            </w:r>
            <w:r>
              <w:rPr>
                <w:rFonts w:ascii="Times New Roman" w:eastAsia="Times New Roman" w:hAnsi="Times New Roman"/>
                <w:spacing w:val="-8"/>
                <w:sz w:val="18"/>
              </w:rPr>
              <w:t xml:space="preserve"> </w:t>
            </w:r>
            <w:r>
              <w:rPr>
                <w:spacing w:val="-7"/>
                <w:sz w:val="18"/>
              </w:rPr>
              <w:t xml:space="preserve">凹版印刷油墨 </w:t>
            </w:r>
            <w:r>
              <w:rPr>
                <w:rFonts w:ascii="Times New Roman" w:eastAsia="Times New Roman" w:hAnsi="Times New Roman"/>
                <w:sz w:val="18"/>
              </w:rPr>
              <w:t>VOCs</w:t>
            </w:r>
            <w:r>
              <w:rPr>
                <w:rFonts w:ascii="Times New Roman" w:eastAsia="Times New Roman" w:hAnsi="Times New Roman"/>
                <w:spacing w:val="-11"/>
                <w:sz w:val="18"/>
              </w:rPr>
              <w:t xml:space="preserve"> </w:t>
            </w:r>
            <w:r>
              <w:rPr>
                <w:spacing w:val="-4"/>
                <w:sz w:val="18"/>
              </w:rPr>
              <w:t xml:space="preserve">含量≤ </w:t>
            </w:r>
            <w:r>
              <w:rPr>
                <w:rFonts w:ascii="Times New Roman" w:eastAsia="Times New Roman" w:hAnsi="Times New Roman"/>
                <w:sz w:val="18"/>
              </w:rPr>
              <w:t>75%</w:t>
            </w:r>
            <w:r>
              <w:rPr>
                <w:sz w:val="18"/>
              </w:rPr>
              <w:t>的要求；溶剂型双组分聚氨</w:t>
            </w:r>
            <w:r>
              <w:rPr>
                <w:spacing w:val="-9"/>
                <w:sz w:val="18"/>
              </w:rPr>
              <w:t xml:space="preserve">酯胶粘剂 </w:t>
            </w:r>
            <w:r>
              <w:rPr>
                <w:rFonts w:ascii="Times New Roman" w:eastAsia="Times New Roman" w:hAnsi="Times New Roman"/>
                <w:sz w:val="18"/>
              </w:rPr>
              <w:t>VOCs</w:t>
            </w:r>
            <w:r>
              <w:rPr>
                <w:rFonts w:ascii="Times New Roman" w:eastAsia="Times New Roman" w:hAnsi="Times New Roman"/>
                <w:spacing w:val="-10"/>
                <w:sz w:val="18"/>
              </w:rPr>
              <w:t xml:space="preserve"> </w:t>
            </w:r>
            <w:r>
              <w:rPr>
                <w:sz w:val="18"/>
              </w:rPr>
              <w:t>含量</w:t>
            </w:r>
            <w:r>
              <w:rPr>
                <w:rFonts w:ascii="Times New Roman" w:eastAsia="Times New Roman" w:hAnsi="Times New Roman"/>
                <w:sz w:val="18"/>
              </w:rPr>
              <w:t>343~356g/L</w:t>
            </w:r>
            <w:r>
              <w:rPr>
                <w:spacing w:val="-3"/>
                <w:sz w:val="18"/>
              </w:rPr>
              <w:t>，满足《胶粘剂挥发</w:t>
            </w:r>
            <w:r>
              <w:rPr>
                <w:spacing w:val="-12"/>
                <w:w w:val="95"/>
                <w:sz w:val="18"/>
              </w:rPr>
              <w:t>性有机化合物限量》</w:t>
            </w:r>
            <w:r>
              <w:rPr>
                <w:w w:val="95"/>
                <w:sz w:val="18"/>
              </w:rPr>
              <w:t>（</w:t>
            </w:r>
            <w:r>
              <w:rPr>
                <w:rFonts w:ascii="Times New Roman" w:eastAsia="Times New Roman" w:hAnsi="Times New Roman"/>
                <w:w w:val="95"/>
                <w:sz w:val="18"/>
              </w:rPr>
              <w:t>GB33372-</w:t>
            </w:r>
          </w:p>
          <w:p>
            <w:pPr>
              <w:pStyle w:val="TableParagraph"/>
              <w:spacing w:before="4" w:line="230" w:lineRule="atLeast"/>
              <w:ind w:left="64" w:right="43" w:hanging="3"/>
              <w:jc w:val="center"/>
              <w:rPr>
                <w:sz w:val="18"/>
              </w:rPr>
            </w:pPr>
            <w:r>
              <w:rPr>
                <w:rFonts w:ascii="Times New Roman" w:eastAsia="Times New Roman" w:hAnsi="Times New Roman"/>
                <w:sz w:val="18"/>
              </w:rPr>
              <w:t>2020</w:t>
            </w:r>
            <w:r>
              <w:rPr>
                <w:sz w:val="18"/>
              </w:rPr>
              <w:t>）</w:t>
            </w:r>
            <w:r>
              <w:rPr>
                <w:spacing w:val="-24"/>
                <w:sz w:val="18"/>
              </w:rPr>
              <w:t xml:space="preserve">表 </w:t>
            </w:r>
            <w:r>
              <w:rPr>
                <w:rFonts w:ascii="Times New Roman" w:eastAsia="Times New Roman" w:hAnsi="Times New Roman"/>
                <w:sz w:val="18"/>
              </w:rPr>
              <w:t>2</w:t>
            </w:r>
            <w:r>
              <w:rPr>
                <w:rFonts w:ascii="Times New Roman" w:eastAsia="Times New Roman" w:hAnsi="Times New Roman"/>
                <w:spacing w:val="-8"/>
                <w:sz w:val="18"/>
              </w:rPr>
              <w:t xml:space="preserve"> </w:t>
            </w:r>
            <w:r>
              <w:rPr>
                <w:spacing w:val="-1"/>
                <w:sz w:val="18"/>
              </w:rPr>
              <w:t>溶剂型聚氨酯类胶粘</w:t>
            </w:r>
            <w:r>
              <w:rPr>
                <w:spacing w:val="-24"/>
                <w:sz w:val="18"/>
              </w:rPr>
              <w:t xml:space="preserve">剂 </w:t>
            </w:r>
            <w:r>
              <w:rPr>
                <w:rFonts w:ascii="Times New Roman" w:eastAsia="Times New Roman" w:hAnsi="Times New Roman"/>
                <w:sz w:val="18"/>
              </w:rPr>
              <w:t>VOCs</w:t>
            </w:r>
            <w:r>
              <w:rPr>
                <w:rFonts w:ascii="Times New Roman" w:eastAsia="Times New Roman" w:hAnsi="Times New Roman"/>
                <w:spacing w:val="-10"/>
                <w:sz w:val="18"/>
              </w:rPr>
              <w:t xml:space="preserve"> </w:t>
            </w:r>
            <w:r>
              <w:rPr>
                <w:sz w:val="18"/>
              </w:rPr>
              <w:t>含量≤</w:t>
            </w:r>
            <w:r>
              <w:rPr>
                <w:rFonts w:ascii="Times New Roman" w:eastAsia="Times New Roman" w:hAnsi="Times New Roman"/>
                <w:sz w:val="18"/>
              </w:rPr>
              <w:t>400g/L</w:t>
            </w:r>
            <w:r>
              <w:rPr>
                <w:rFonts w:ascii="Times New Roman" w:eastAsia="Times New Roman" w:hAnsi="Times New Roman"/>
                <w:spacing w:val="-8"/>
                <w:sz w:val="18"/>
              </w:rPr>
              <w:t xml:space="preserve"> </w:t>
            </w:r>
            <w:r>
              <w:rPr>
                <w:spacing w:val="-4"/>
                <w:sz w:val="18"/>
              </w:rPr>
              <w:t>的要求。</w:t>
            </w:r>
          </w:p>
        </w:tc>
        <w:tc>
          <w:tcPr>
            <w:tcW w:w="715"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110" w:type="dxa"/>
            <w:tcBorders>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1856"/>
        </w:trPr>
        <w:tc>
          <w:tcPr>
            <w:tcW w:w="111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7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spacing w:before="134"/>
              <w:ind w:left="12"/>
              <w:jc w:val="center"/>
              <w:rPr>
                <w:rFonts w:ascii="Times New Roman"/>
                <w:sz w:val="18"/>
              </w:rPr>
            </w:pPr>
            <w:r>
              <w:rPr>
                <w:rFonts w:ascii="Times New Roman"/>
                <w:sz w:val="18"/>
              </w:rPr>
              <w:t>8</w:t>
            </w:r>
          </w:p>
        </w:tc>
        <w:tc>
          <w:tcPr>
            <w:tcW w:w="4196"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28" w:right="15"/>
              <w:jc w:val="center"/>
              <w:rPr>
                <w:sz w:val="18"/>
              </w:rPr>
            </w:pPr>
            <w:r>
              <w:rPr>
                <w:sz w:val="18"/>
              </w:rPr>
              <w:t>八、一律不批新的化工园区，一律不批化工园区外化工企业（除化工重点监测点和提升安全、环保、节能水平及油品质量升级、结构调整以外的改扩建项</w:t>
            </w:r>
          </w:p>
          <w:p>
            <w:pPr>
              <w:pStyle w:val="TableParagraph"/>
              <w:spacing w:line="242" w:lineRule="auto"/>
              <w:ind w:left="28" w:right="15" w:firstLine="45"/>
              <w:jc w:val="both"/>
              <w:rPr>
                <w:sz w:val="18"/>
              </w:rPr>
            </w:pPr>
            <w:r>
              <w:rPr>
                <w:sz w:val="18"/>
              </w:rPr>
              <w:t>目</w:t>
            </w:r>
            <w:r>
              <w:rPr>
                <w:spacing w:val="-92"/>
                <w:sz w:val="18"/>
              </w:rPr>
              <w:t>）</w:t>
            </w:r>
            <w:r>
              <w:rPr>
                <w:sz w:val="18"/>
              </w:rPr>
              <w:t>，一律不批化工园区内环境基础设施不完善或长期不能稳定运行企业的新改扩建化工项目。新建（</w:t>
            </w:r>
            <w:r>
              <w:rPr>
                <w:spacing w:val="-17"/>
                <w:sz w:val="18"/>
              </w:rPr>
              <w:t>含</w:t>
            </w:r>
            <w:r>
              <w:rPr>
                <w:sz w:val="18"/>
              </w:rPr>
              <w:t>搬迁）</w:t>
            </w:r>
            <w:r>
              <w:rPr>
                <w:spacing w:val="-1"/>
                <w:sz w:val="18"/>
              </w:rPr>
              <w:t>化工项目必须进入已经依法完成规划环评审查</w:t>
            </w:r>
            <w:r>
              <w:rPr>
                <w:spacing w:val="-3"/>
                <w:sz w:val="18"/>
              </w:rPr>
              <w:t xml:space="preserve">的化工园区。严禁在长江干流及主要支流岸线 </w:t>
            </w:r>
            <w:r>
              <w:rPr>
                <w:rFonts w:ascii="Times New Roman" w:eastAsia="Times New Roman"/>
                <w:sz w:val="18"/>
              </w:rPr>
              <w:t xml:space="preserve">1 </w:t>
            </w:r>
            <w:r>
              <w:rPr>
                <w:sz w:val="18"/>
              </w:rPr>
              <w:t>公里</w:t>
            </w:r>
          </w:p>
          <w:p>
            <w:pPr>
              <w:pStyle w:val="TableParagraph"/>
              <w:spacing w:line="208" w:lineRule="exact"/>
              <w:ind w:left="62" w:right="51"/>
              <w:jc w:val="center"/>
              <w:rPr>
                <w:sz w:val="18"/>
              </w:rPr>
            </w:pPr>
            <w:r>
              <w:rPr>
                <w:sz w:val="18"/>
              </w:rPr>
              <w:t>范围内新建危化品码头。</w:t>
            </w:r>
          </w:p>
        </w:tc>
        <w:tc>
          <w:tcPr>
            <w:tcW w:w="2648"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b/>
                <w:sz w:val="18"/>
              </w:rPr>
            </w:pPr>
          </w:p>
          <w:p>
            <w:pPr>
              <w:pStyle w:val="TableParagraph"/>
              <w:rPr>
                <w:rFonts w:ascii="Times New Roman"/>
                <w:b/>
                <w:sz w:val="18"/>
              </w:rPr>
            </w:pPr>
          </w:p>
          <w:p>
            <w:pPr>
              <w:pStyle w:val="TableParagraph"/>
              <w:spacing w:before="4"/>
              <w:rPr>
                <w:rFonts w:ascii="Times New Roman"/>
                <w:b/>
                <w:sz w:val="14"/>
              </w:rPr>
            </w:pPr>
          </w:p>
          <w:p>
            <w:pPr>
              <w:pStyle w:val="TableParagraph"/>
              <w:spacing w:line="242" w:lineRule="auto"/>
              <w:ind w:left="30" w:right="12"/>
              <w:jc w:val="center"/>
              <w:rPr>
                <w:sz w:val="18"/>
              </w:rPr>
            </w:pPr>
            <w:r>
              <w:rPr>
                <w:sz w:val="18"/>
              </w:rPr>
              <w:t>本项目为扩建项目，位于东坎高</w:t>
            </w:r>
            <w:r>
              <w:rPr>
                <w:spacing w:val="-4"/>
                <w:sz w:val="18"/>
              </w:rPr>
              <w:t xml:space="preserve">新技术产业园盘洋大道 </w:t>
            </w:r>
            <w:r>
              <w:rPr>
                <w:rFonts w:ascii="Times New Roman" w:eastAsia="Times New Roman"/>
                <w:spacing w:val="-3"/>
                <w:sz w:val="18"/>
              </w:rPr>
              <w:t xml:space="preserve">11 </w:t>
            </w:r>
            <w:r>
              <w:rPr>
                <w:spacing w:val="-8"/>
                <w:sz w:val="18"/>
              </w:rPr>
              <w:t>号，不</w:t>
            </w:r>
            <w:r>
              <w:rPr>
                <w:sz w:val="18"/>
              </w:rPr>
              <w:t>属于危化品码头项目。</w:t>
            </w:r>
          </w:p>
        </w:tc>
        <w:tc>
          <w:tcPr>
            <w:tcW w:w="71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spacing w:before="7"/>
              <w:rPr>
                <w:rFonts w:ascii="Times New Roman"/>
                <w:b/>
                <w:sz w:val="16"/>
              </w:rPr>
            </w:pPr>
          </w:p>
          <w:p>
            <w:pPr>
              <w:pStyle w:val="TableParagraph"/>
              <w:ind w:left="181"/>
              <w:rPr>
                <w:sz w:val="18"/>
              </w:rPr>
            </w:pPr>
            <w:r>
              <w:rPr>
                <w:sz w:val="18"/>
              </w:rPr>
              <w:t>相符</w:t>
            </w:r>
          </w:p>
        </w:tc>
        <w:tc>
          <w:tcPr>
            <w:tcW w:w="110"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690"/>
        </w:trPr>
        <w:tc>
          <w:tcPr>
            <w:tcW w:w="111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7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b/>
                <w:sz w:val="21"/>
              </w:rPr>
            </w:pPr>
          </w:p>
          <w:p>
            <w:pPr>
              <w:pStyle w:val="TableParagraph"/>
              <w:ind w:left="12"/>
              <w:jc w:val="center"/>
              <w:rPr>
                <w:rFonts w:ascii="Times New Roman"/>
                <w:sz w:val="18"/>
              </w:rPr>
            </w:pPr>
            <w:r>
              <w:rPr>
                <w:rFonts w:ascii="Times New Roman"/>
                <w:sz w:val="18"/>
              </w:rPr>
              <w:t>9</w:t>
            </w:r>
          </w:p>
        </w:tc>
        <w:tc>
          <w:tcPr>
            <w:tcW w:w="4196"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28" w:right="15"/>
              <w:jc w:val="center"/>
              <w:rPr>
                <w:sz w:val="18"/>
              </w:rPr>
            </w:pPr>
            <w:r>
              <w:rPr>
                <w:sz w:val="18"/>
              </w:rPr>
              <w:t>九、生态保护红线原则上按禁止开发区域的要求进行管理，严禁不符合主体功能定位的各类开发活动，严</w:t>
            </w:r>
          </w:p>
          <w:p>
            <w:pPr>
              <w:pStyle w:val="TableParagraph"/>
              <w:spacing w:line="207" w:lineRule="exact"/>
              <w:ind w:left="64" w:right="51"/>
              <w:jc w:val="center"/>
              <w:rPr>
                <w:sz w:val="18"/>
              </w:rPr>
            </w:pPr>
            <w:r>
              <w:rPr>
                <w:sz w:val="18"/>
              </w:rPr>
              <w:t>禁任意改变用途。</w:t>
            </w:r>
          </w:p>
        </w:tc>
        <w:tc>
          <w:tcPr>
            <w:tcW w:w="2648"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66" w:right="49"/>
              <w:jc w:val="center"/>
              <w:rPr>
                <w:sz w:val="18"/>
              </w:rPr>
            </w:pPr>
            <w:r>
              <w:rPr>
                <w:sz w:val="18"/>
              </w:rPr>
              <w:t>本项目不位于江苏省国家级生态红线区域及江苏省生态空间管控</w:t>
            </w:r>
          </w:p>
          <w:p>
            <w:pPr>
              <w:pStyle w:val="TableParagraph"/>
              <w:spacing w:line="207" w:lineRule="exact"/>
              <w:ind w:left="18" w:right="3"/>
              <w:jc w:val="center"/>
              <w:rPr>
                <w:sz w:val="18"/>
              </w:rPr>
            </w:pPr>
            <w:r>
              <w:rPr>
                <w:sz w:val="18"/>
              </w:rPr>
              <w:t>区域范围内。</w:t>
            </w:r>
          </w:p>
        </w:tc>
        <w:tc>
          <w:tcPr>
            <w:tcW w:w="71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b/>
                <w:sz w:val="20"/>
              </w:rPr>
            </w:pPr>
          </w:p>
          <w:p>
            <w:pPr>
              <w:pStyle w:val="TableParagraph"/>
              <w:ind w:left="181"/>
              <w:rPr>
                <w:sz w:val="18"/>
              </w:rPr>
            </w:pPr>
            <w:r>
              <w:rPr>
                <w:sz w:val="18"/>
              </w:rPr>
              <w:t>相符</w:t>
            </w:r>
          </w:p>
        </w:tc>
        <w:tc>
          <w:tcPr>
            <w:tcW w:w="110"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690"/>
        </w:trPr>
        <w:tc>
          <w:tcPr>
            <w:tcW w:w="111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7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b/>
                <w:sz w:val="21"/>
              </w:rPr>
            </w:pPr>
          </w:p>
          <w:p>
            <w:pPr>
              <w:pStyle w:val="TableParagraph"/>
              <w:ind w:left="111" w:right="93"/>
              <w:jc w:val="center"/>
              <w:rPr>
                <w:rFonts w:ascii="Times New Roman"/>
                <w:sz w:val="18"/>
              </w:rPr>
            </w:pPr>
            <w:r>
              <w:rPr>
                <w:rFonts w:ascii="Times New Roman"/>
                <w:sz w:val="18"/>
              </w:rPr>
              <w:t>10</w:t>
            </w:r>
          </w:p>
        </w:tc>
        <w:tc>
          <w:tcPr>
            <w:tcW w:w="4196"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28" w:right="15"/>
              <w:jc w:val="center"/>
              <w:rPr>
                <w:sz w:val="18"/>
              </w:rPr>
            </w:pPr>
            <w:r>
              <w:rPr>
                <w:sz w:val="18"/>
              </w:rPr>
              <w:t>十、禁止审批无法落实危险废物利用、处置途径的项目，从严审批危险废物产生量大、本地无配套利用处</w:t>
            </w:r>
          </w:p>
          <w:p>
            <w:pPr>
              <w:pStyle w:val="TableParagraph"/>
              <w:spacing w:line="207" w:lineRule="exact"/>
              <w:ind w:left="64" w:right="51"/>
              <w:jc w:val="center"/>
              <w:rPr>
                <w:sz w:val="18"/>
              </w:rPr>
            </w:pPr>
            <w:r>
              <w:rPr>
                <w:sz w:val="18"/>
              </w:rPr>
              <w:t>置能力且需设区市统筹解决的项目。</w:t>
            </w:r>
          </w:p>
        </w:tc>
        <w:tc>
          <w:tcPr>
            <w:tcW w:w="2648" w:type="dxa"/>
            <w:tcBorders>
              <w:top w:val="single" w:sz="4" w:space="0" w:color="000000"/>
              <w:left w:val="single" w:sz="4" w:space="0" w:color="000000"/>
              <w:bottom w:val="single" w:sz="4" w:space="0" w:color="000000"/>
              <w:right w:val="single" w:sz="4" w:space="0" w:color="000000"/>
            </w:tcBorders>
          </w:tcPr>
          <w:p>
            <w:pPr>
              <w:pStyle w:val="TableParagraph"/>
              <w:spacing w:before="112" w:line="244" w:lineRule="auto"/>
              <w:ind w:left="966" w:right="49" w:hanging="900"/>
              <w:rPr>
                <w:sz w:val="18"/>
              </w:rPr>
            </w:pPr>
            <w:r>
              <w:rPr>
                <w:sz w:val="18"/>
              </w:rPr>
              <w:t>本项目危险废物均委托有资质单位处理。</w:t>
            </w:r>
          </w:p>
        </w:tc>
        <w:tc>
          <w:tcPr>
            <w:tcW w:w="71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b/>
                <w:sz w:val="20"/>
              </w:rPr>
            </w:pPr>
          </w:p>
          <w:p>
            <w:pPr>
              <w:pStyle w:val="TableParagraph"/>
              <w:ind w:left="181"/>
              <w:rPr>
                <w:sz w:val="18"/>
              </w:rPr>
            </w:pPr>
            <w:r>
              <w:rPr>
                <w:sz w:val="18"/>
              </w:rPr>
              <w:t>相符</w:t>
            </w:r>
          </w:p>
        </w:tc>
        <w:tc>
          <w:tcPr>
            <w:tcW w:w="110" w:type="dxa"/>
            <w:tcBorders>
              <w:top w:val="nil"/>
              <w:left w:val="single" w:sz="4" w:space="0" w:color="000000"/>
              <w:bottom w:val="nil"/>
            </w:tcBorders>
          </w:tcPr>
          <w:p>
            <w:pPr>
              <w:pStyle w:val="TableParagraph"/>
              <w:rPr>
                <w:rFonts w:ascii="Times New Roman"/>
                <w:sz w:val="18"/>
              </w:rPr>
            </w:pPr>
          </w:p>
        </w:tc>
      </w:tr>
      <w:tr>
        <w:tblPrEx>
          <w:tblW w:w="0" w:type="auto"/>
          <w:tblInd w:w="138" w:type="dxa"/>
          <w:tblLayout w:type="fixed"/>
          <w:tblCellMar>
            <w:top w:w="0" w:type="dxa"/>
            <w:left w:w="0" w:type="dxa"/>
            <w:bottom w:w="0" w:type="dxa"/>
            <w:right w:w="0" w:type="dxa"/>
          </w:tblCellMar>
        </w:tblPrEx>
        <w:trPr>
          <w:trHeight w:val="8401"/>
        </w:trPr>
        <w:tc>
          <w:tcPr>
            <w:tcW w:w="1114"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75" w:type="dxa"/>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20"/>
              </w:rPr>
            </w:pPr>
          </w:p>
          <w:p>
            <w:pPr>
              <w:pStyle w:val="TableParagraph"/>
              <w:rPr>
                <w:rFonts w:ascii="Times New Roman"/>
                <w:b/>
                <w:sz w:val="16"/>
              </w:rPr>
            </w:pPr>
          </w:p>
          <w:p>
            <w:pPr>
              <w:pStyle w:val="TableParagraph"/>
              <w:ind w:left="111" w:right="103"/>
              <w:jc w:val="center"/>
              <w:rPr>
                <w:rFonts w:ascii="Times New Roman"/>
                <w:sz w:val="18"/>
              </w:rPr>
            </w:pPr>
            <w:r>
              <w:rPr>
                <w:rFonts w:ascii="Times New Roman"/>
                <w:sz w:val="18"/>
              </w:rPr>
              <w:t>11</w:t>
            </w:r>
          </w:p>
        </w:tc>
        <w:tc>
          <w:tcPr>
            <w:tcW w:w="4196" w:type="dxa"/>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28" w:right="14"/>
              <w:jc w:val="both"/>
              <w:rPr>
                <w:sz w:val="18"/>
              </w:rPr>
            </w:pPr>
            <w:r>
              <w:rPr>
                <w:spacing w:val="-31"/>
                <w:sz w:val="18"/>
              </w:rPr>
              <w:t>十一、</w:t>
            </w:r>
            <w:r>
              <w:rPr>
                <w:sz w:val="18"/>
              </w:rPr>
              <w:t>（</w:t>
            </w:r>
            <w:r>
              <w:rPr>
                <w:rFonts w:ascii="Times New Roman" w:eastAsia="Times New Roman"/>
                <w:sz w:val="18"/>
              </w:rPr>
              <w:t>1</w:t>
            </w:r>
            <w:r>
              <w:rPr>
                <w:sz w:val="18"/>
              </w:rPr>
              <w:t>）</w:t>
            </w:r>
            <w:r>
              <w:rPr>
                <w:spacing w:val="-1"/>
                <w:sz w:val="18"/>
              </w:rPr>
              <w:t>禁止建设不符合全国和省级港口布局规划以及港口总体规划的码头项目，禁止建设不符合《长</w:t>
            </w:r>
            <w:r>
              <w:rPr>
                <w:spacing w:val="-5"/>
                <w:sz w:val="18"/>
              </w:rPr>
              <w:t>江干线过江通道布局规划》的过长江通道项目。</w:t>
            </w:r>
            <w:r>
              <w:rPr>
                <w:spacing w:val="-6"/>
                <w:sz w:val="18"/>
              </w:rPr>
              <w:t>（</w:t>
            </w:r>
            <w:r>
              <w:rPr>
                <w:rFonts w:ascii="Times New Roman" w:eastAsia="Times New Roman"/>
                <w:spacing w:val="-6"/>
                <w:sz w:val="18"/>
              </w:rPr>
              <w:t>2</w:t>
            </w:r>
            <w:r>
              <w:rPr>
                <w:spacing w:val="-6"/>
                <w:sz w:val="18"/>
              </w:rPr>
              <w:t xml:space="preserve">） </w:t>
            </w:r>
            <w:r>
              <w:rPr>
                <w:spacing w:val="-1"/>
                <w:sz w:val="18"/>
              </w:rPr>
              <w:t>禁止在自然保护区核心区、缓冲区的岸线和河段范围内投资建设旅游和生产经营项目。禁止在风景名胜区核心景区的岸线和河段范围内投资建设与风景名胜资</w:t>
            </w:r>
            <w:r>
              <w:rPr>
                <w:spacing w:val="-11"/>
                <w:sz w:val="18"/>
              </w:rPr>
              <w:t>源保护无关的项目。</w:t>
            </w:r>
            <w:r>
              <w:rPr>
                <w:sz w:val="18"/>
              </w:rPr>
              <w:t>（</w:t>
            </w:r>
            <w:r>
              <w:rPr>
                <w:rFonts w:ascii="Times New Roman" w:eastAsia="Times New Roman"/>
                <w:sz w:val="18"/>
              </w:rPr>
              <w:t>3</w:t>
            </w:r>
            <w:r>
              <w:rPr>
                <w:sz w:val="18"/>
              </w:rPr>
              <w:t>）</w:t>
            </w:r>
            <w:r>
              <w:rPr>
                <w:spacing w:val="-2"/>
                <w:sz w:val="18"/>
              </w:rPr>
              <w:t>禁止在饮用水水源一级保护</w:t>
            </w:r>
            <w:r>
              <w:rPr>
                <w:spacing w:val="-1"/>
                <w:sz w:val="18"/>
              </w:rPr>
              <w:t>区的岸线和河段范围内新建、改建、扩建与供水设施和保护水源无关的项目，以及网箱养殖、旅游等可能污染饮用水水体的投资建设项目。禁止在饮用水水源二级保护区的岸线和河段范围内新建、改建、扩建排</w:t>
            </w:r>
            <w:r>
              <w:rPr>
                <w:spacing w:val="-8"/>
                <w:sz w:val="18"/>
              </w:rPr>
              <w:t>放污染物的投资建设项目。</w:t>
            </w:r>
            <w:r>
              <w:rPr>
                <w:sz w:val="18"/>
              </w:rPr>
              <w:t>（</w:t>
            </w:r>
            <w:r>
              <w:rPr>
                <w:rFonts w:ascii="Times New Roman" w:eastAsia="Times New Roman"/>
                <w:sz w:val="18"/>
              </w:rPr>
              <w:t>4</w:t>
            </w:r>
            <w:r>
              <w:rPr>
                <w:sz w:val="18"/>
              </w:rPr>
              <w:t>）</w:t>
            </w:r>
            <w:r>
              <w:rPr>
                <w:spacing w:val="-2"/>
                <w:sz w:val="18"/>
              </w:rPr>
              <w:t>禁止在水产种质资源</w:t>
            </w:r>
            <w:r>
              <w:rPr>
                <w:spacing w:val="-1"/>
                <w:sz w:val="18"/>
              </w:rPr>
              <w:t>保护区的岸线和河段范围内新建排污口，以及围湖造田、围海造地或围填海等投资建设项目。禁止在国家湿地公园的岸线和河段范围内挖沙、采矿，以及任何</w:t>
            </w:r>
            <w:r>
              <w:rPr>
                <w:spacing w:val="-6"/>
                <w:sz w:val="18"/>
              </w:rPr>
              <w:t>不符合主体功能定位的投资建设项目。</w:t>
            </w:r>
            <w:r>
              <w:rPr>
                <w:sz w:val="18"/>
              </w:rPr>
              <w:t>（</w:t>
            </w:r>
            <w:r>
              <w:rPr>
                <w:rFonts w:ascii="Times New Roman" w:eastAsia="Times New Roman"/>
                <w:sz w:val="18"/>
              </w:rPr>
              <w:t>5</w:t>
            </w:r>
            <w:r>
              <w:rPr>
                <w:sz w:val="18"/>
              </w:rPr>
              <w:t>）禁止在</w:t>
            </w:r>
          </w:p>
          <w:p>
            <w:pPr>
              <w:pStyle w:val="TableParagraph"/>
              <w:spacing w:before="5" w:line="242" w:lineRule="auto"/>
              <w:ind w:left="28" w:right="14" w:hanging="1"/>
              <w:jc w:val="center"/>
              <w:rPr>
                <w:sz w:val="18"/>
              </w:rPr>
            </w:pPr>
            <w:r>
              <w:rPr>
                <w:spacing w:val="-1"/>
                <w:sz w:val="18"/>
              </w:rPr>
              <w:t>《长江岸线保护和开发利用总体规划》划定的岸线保护区内投资建设除保障防洪安全、河势稳定、供水安</w:t>
            </w:r>
            <w:r>
              <w:rPr>
                <w:sz w:val="18"/>
              </w:rPr>
              <w:t xml:space="preserve">全以及保护生态环境、已建重要枢纽工程以外的项 </w:t>
            </w:r>
            <w:r>
              <w:rPr>
                <w:spacing w:val="-1"/>
                <w:sz w:val="18"/>
              </w:rPr>
              <w:t>目，禁止在岸线保留区内投资建设除保障防洪安全、河势稳定、供水安全、航道稳定以及保护生态环境以外的项目。禁止在《全国重要江河湖泊水功能区划》划定的河段保护区、保留区内投资建设不利于水资源</w:t>
            </w:r>
            <w:r>
              <w:rPr>
                <w:spacing w:val="-9"/>
                <w:sz w:val="18"/>
              </w:rPr>
              <w:t>及自然生态保护的项目。</w:t>
            </w:r>
            <w:r>
              <w:rPr>
                <w:sz w:val="18"/>
              </w:rPr>
              <w:t>（</w:t>
            </w:r>
            <w:r>
              <w:rPr>
                <w:rFonts w:ascii="Times New Roman" w:eastAsia="Times New Roman"/>
                <w:sz w:val="18"/>
              </w:rPr>
              <w:t>6</w:t>
            </w:r>
            <w:r>
              <w:rPr>
                <w:sz w:val="18"/>
              </w:rPr>
              <w:t>）</w:t>
            </w:r>
            <w:r>
              <w:rPr>
                <w:spacing w:val="-2"/>
                <w:sz w:val="18"/>
              </w:rPr>
              <w:t>禁止在生态保护红线和</w:t>
            </w:r>
            <w:r>
              <w:rPr>
                <w:spacing w:val="-1"/>
                <w:sz w:val="18"/>
              </w:rPr>
              <w:t>永久基本农田范围内投资建设除国家重大战略资源勘查项目、生态保护修复和环境治理项目、重大基础设施项目、军事国防项目以及农牧民基本生产生活等必</w:t>
            </w:r>
            <w:r>
              <w:rPr>
                <w:spacing w:val="-8"/>
                <w:sz w:val="18"/>
              </w:rPr>
              <w:t>要的民生项目以外的项目。</w:t>
            </w:r>
            <w:r>
              <w:rPr>
                <w:sz w:val="18"/>
              </w:rPr>
              <w:t>（</w:t>
            </w:r>
            <w:r>
              <w:rPr>
                <w:rFonts w:ascii="Times New Roman" w:eastAsia="Times New Roman"/>
                <w:sz w:val="18"/>
              </w:rPr>
              <w:t>7</w:t>
            </w:r>
            <w:r>
              <w:rPr>
                <w:sz w:val="18"/>
              </w:rPr>
              <w:t>）</w:t>
            </w:r>
            <w:r>
              <w:rPr>
                <w:spacing w:val="-5"/>
                <w:sz w:val="18"/>
              </w:rPr>
              <w:t xml:space="preserve">禁止在长江干支流 </w:t>
            </w:r>
            <w:r>
              <w:rPr>
                <w:rFonts w:ascii="Times New Roman" w:eastAsia="Times New Roman"/>
                <w:sz w:val="18"/>
              </w:rPr>
              <w:t xml:space="preserve">1 </w:t>
            </w:r>
            <w:r>
              <w:rPr>
                <w:spacing w:val="-1"/>
                <w:sz w:val="18"/>
              </w:rPr>
              <w:t>公里范围内新建、扩建化工园区和化工项目。禁止在合规园区外新建、扩建钢铁、石化、化工、焦化、建</w:t>
            </w:r>
            <w:r>
              <w:rPr>
                <w:spacing w:val="-9"/>
                <w:sz w:val="18"/>
              </w:rPr>
              <w:t>材、有色等高污染项目。</w:t>
            </w:r>
            <w:r>
              <w:rPr>
                <w:sz w:val="18"/>
              </w:rPr>
              <w:t>（</w:t>
            </w:r>
            <w:r>
              <w:rPr>
                <w:rFonts w:ascii="Times New Roman" w:eastAsia="Times New Roman"/>
                <w:sz w:val="18"/>
              </w:rPr>
              <w:t>8</w:t>
            </w:r>
            <w:r>
              <w:rPr>
                <w:sz w:val="18"/>
              </w:rPr>
              <w:t>）</w:t>
            </w:r>
            <w:r>
              <w:rPr>
                <w:spacing w:val="-2"/>
                <w:sz w:val="18"/>
              </w:rPr>
              <w:t>禁止新建、扩建不符合</w:t>
            </w:r>
            <w:r>
              <w:rPr>
                <w:spacing w:val="-5"/>
                <w:sz w:val="18"/>
              </w:rPr>
              <w:t>国家石化、现代煤化工等产业布局规划的项目。</w:t>
            </w:r>
            <w:r>
              <w:rPr>
                <w:spacing w:val="-6"/>
                <w:sz w:val="18"/>
              </w:rPr>
              <w:t>（</w:t>
            </w:r>
            <w:r>
              <w:rPr>
                <w:rFonts w:ascii="Times New Roman" w:eastAsia="Times New Roman"/>
                <w:spacing w:val="-6"/>
                <w:sz w:val="18"/>
              </w:rPr>
              <w:t>9</w:t>
            </w:r>
            <w:r>
              <w:rPr>
                <w:spacing w:val="-6"/>
                <w:sz w:val="18"/>
              </w:rPr>
              <w:t xml:space="preserve">） </w:t>
            </w:r>
            <w:r>
              <w:rPr>
                <w:spacing w:val="-1"/>
                <w:sz w:val="18"/>
              </w:rPr>
              <w:t>禁止新建、扩建法律法规和相关政策明令禁止的落后</w:t>
            </w:r>
            <w:r>
              <w:rPr>
                <w:sz w:val="18"/>
              </w:rPr>
              <w:t>产能项</w:t>
            </w:r>
          </w:p>
          <w:p>
            <w:pPr>
              <w:pStyle w:val="TableParagraph"/>
              <w:spacing w:before="10" w:line="230" w:lineRule="atLeast"/>
              <w:ind w:left="73" w:right="58"/>
              <w:jc w:val="center"/>
              <w:rPr>
                <w:sz w:val="18"/>
              </w:rPr>
            </w:pPr>
            <w:r>
              <w:rPr>
                <w:spacing w:val="-46"/>
                <w:sz w:val="18"/>
              </w:rPr>
              <w:t>目。</w:t>
            </w:r>
            <w:r>
              <w:rPr>
                <w:sz w:val="18"/>
              </w:rPr>
              <w:t>（</w:t>
            </w:r>
            <w:r>
              <w:rPr>
                <w:rFonts w:ascii="Times New Roman" w:eastAsia="Times New Roman"/>
                <w:sz w:val="18"/>
              </w:rPr>
              <w:t>10</w:t>
            </w:r>
            <w:r>
              <w:rPr>
                <w:sz w:val="18"/>
              </w:rPr>
              <w:t>）</w:t>
            </w:r>
            <w:r>
              <w:rPr>
                <w:spacing w:val="-1"/>
                <w:sz w:val="18"/>
              </w:rPr>
              <w:t>禁止新建、扩建不符合国家产能置换要求</w:t>
            </w:r>
            <w:r>
              <w:rPr>
                <w:sz w:val="18"/>
              </w:rPr>
              <w:t>的严重过剩产能行业的项目。</w:t>
            </w:r>
          </w:p>
        </w:tc>
        <w:tc>
          <w:tcPr>
            <w:tcW w:w="2648" w:type="dxa"/>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spacing w:before="1"/>
              <w:rPr>
                <w:rFonts w:ascii="Times New Roman"/>
                <w:b/>
                <w:sz w:val="17"/>
              </w:rPr>
            </w:pPr>
          </w:p>
          <w:p>
            <w:pPr>
              <w:pStyle w:val="TableParagraph"/>
              <w:spacing w:line="242" w:lineRule="auto"/>
              <w:ind w:left="30" w:right="12"/>
              <w:jc w:val="center"/>
              <w:rPr>
                <w:sz w:val="18"/>
              </w:rPr>
            </w:pPr>
            <w:r>
              <w:rPr>
                <w:sz w:val="18"/>
              </w:rPr>
              <w:t>本项目为扩建项目，位于东坎高</w:t>
            </w:r>
            <w:r>
              <w:rPr>
                <w:spacing w:val="-4"/>
                <w:sz w:val="18"/>
              </w:rPr>
              <w:t xml:space="preserve">新技术产业园盘洋大道 </w:t>
            </w:r>
            <w:r>
              <w:rPr>
                <w:rFonts w:ascii="Times New Roman" w:eastAsia="Times New Roman"/>
                <w:spacing w:val="-3"/>
                <w:sz w:val="18"/>
              </w:rPr>
              <w:t xml:space="preserve">11 </w:t>
            </w:r>
            <w:r>
              <w:rPr>
                <w:spacing w:val="-8"/>
                <w:sz w:val="18"/>
              </w:rPr>
              <w:t>号，符</w:t>
            </w:r>
            <w:r>
              <w:rPr>
                <w:sz w:val="18"/>
              </w:rPr>
              <w:t>合园区规划；项目用地为工业用地，不在基本农田及生态红线区域内。对照《产业结构调整指导目录（</w:t>
            </w:r>
            <w:r>
              <w:rPr>
                <w:rFonts w:ascii="Times New Roman" w:eastAsia="Times New Roman"/>
                <w:sz w:val="18"/>
              </w:rPr>
              <w:t xml:space="preserve">2021 </w:t>
            </w:r>
            <w:r>
              <w:rPr>
                <w:sz w:val="18"/>
              </w:rPr>
              <w:t>年修订</w:t>
            </w:r>
            <w:r>
              <w:rPr>
                <w:spacing w:val="-92"/>
                <w:sz w:val="18"/>
              </w:rPr>
              <w:t>）</w:t>
            </w:r>
            <w:r>
              <w:rPr>
                <w:spacing w:val="-17"/>
                <w:sz w:val="18"/>
              </w:rPr>
              <w:t>》，本项目属于允许类。对照《省政府办公厅关于印发江苏省化工产业结构调整限制、淘汰和禁止目录（</w:t>
            </w:r>
            <w:r>
              <w:rPr>
                <w:rFonts w:ascii="Times New Roman" w:eastAsia="Times New Roman"/>
                <w:spacing w:val="-17"/>
                <w:sz w:val="18"/>
              </w:rPr>
              <w:t xml:space="preserve">2020 </w:t>
            </w:r>
            <w:r>
              <w:rPr>
                <w:spacing w:val="-17"/>
                <w:sz w:val="18"/>
              </w:rPr>
              <w:t>年本）</w:t>
            </w:r>
            <w:r>
              <w:rPr>
                <w:spacing w:val="-36"/>
                <w:sz w:val="18"/>
              </w:rPr>
              <w:t>的通知》</w:t>
            </w:r>
            <w:r>
              <w:rPr>
                <w:sz w:val="18"/>
              </w:rPr>
              <w:t>（苏政办发</w:t>
            </w:r>
          </w:p>
          <w:p>
            <w:pPr>
              <w:pStyle w:val="TableParagraph"/>
              <w:spacing w:before="7" w:line="242" w:lineRule="auto"/>
              <w:ind w:left="66" w:right="49" w:hanging="1"/>
              <w:jc w:val="center"/>
              <w:rPr>
                <w:sz w:val="18"/>
              </w:rPr>
            </w:pPr>
            <w:r>
              <w:rPr>
                <w:sz w:val="18"/>
              </w:rPr>
              <w:t>〔</w:t>
            </w:r>
            <w:r>
              <w:rPr>
                <w:rFonts w:ascii="Times New Roman" w:eastAsia="Times New Roman"/>
                <w:spacing w:val="1"/>
                <w:sz w:val="18"/>
              </w:rPr>
              <w:t>20</w:t>
            </w:r>
            <w:r>
              <w:rPr>
                <w:rFonts w:ascii="Times New Roman" w:eastAsia="Times New Roman"/>
                <w:spacing w:val="-2"/>
                <w:sz w:val="18"/>
              </w:rPr>
              <w:t>2</w:t>
            </w:r>
            <w:r>
              <w:rPr>
                <w:rFonts w:ascii="Times New Roman" w:eastAsia="Times New Roman"/>
                <w:spacing w:val="1"/>
                <w:sz w:val="18"/>
              </w:rPr>
              <w:t>0</w:t>
            </w:r>
            <w:r>
              <w:rPr>
                <w:sz w:val="18"/>
              </w:rPr>
              <w:t>〕</w:t>
            </w:r>
            <w:r>
              <w:rPr>
                <w:rFonts w:ascii="Times New Roman" w:eastAsia="Times New Roman"/>
                <w:spacing w:val="-2"/>
                <w:sz w:val="18"/>
              </w:rPr>
              <w:t>3</w:t>
            </w:r>
            <w:r>
              <w:rPr>
                <w:rFonts w:ascii="Times New Roman" w:eastAsia="Times New Roman"/>
                <w:sz w:val="18"/>
              </w:rPr>
              <w:t xml:space="preserve">2 </w:t>
            </w:r>
            <w:r>
              <w:rPr>
                <w:sz w:val="18"/>
              </w:rPr>
              <w:t>号</w:t>
            </w:r>
            <w:r>
              <w:rPr>
                <w:spacing w:val="-92"/>
                <w:sz w:val="18"/>
              </w:rPr>
              <w:t>）</w:t>
            </w:r>
            <w:r>
              <w:rPr>
                <w:sz w:val="18"/>
              </w:rPr>
              <w:t>，本项目不属文</w:t>
            </w:r>
            <w:r>
              <w:rPr>
                <w:spacing w:val="-2"/>
                <w:sz w:val="18"/>
              </w:rPr>
              <w:t>件中限制、淘汰和禁止建设的项</w:t>
            </w:r>
            <w:r>
              <w:rPr>
                <w:sz w:val="18"/>
              </w:rPr>
              <w:t>目。</w:t>
            </w:r>
          </w:p>
        </w:tc>
        <w:tc>
          <w:tcPr>
            <w:tcW w:w="715" w:type="dxa"/>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rPr>
                <w:rFonts w:ascii="Times New Roman"/>
                <w:b/>
                <w:sz w:val="18"/>
              </w:rPr>
            </w:pPr>
          </w:p>
          <w:p>
            <w:pPr>
              <w:pStyle w:val="TableParagraph"/>
              <w:spacing w:before="149"/>
              <w:ind w:left="181"/>
              <w:rPr>
                <w:sz w:val="18"/>
              </w:rPr>
            </w:pPr>
            <w:r>
              <w:rPr>
                <w:sz w:val="18"/>
              </w:rPr>
              <w:t>相符</w:t>
            </w:r>
          </w:p>
        </w:tc>
        <w:tc>
          <w:tcPr>
            <w:tcW w:w="110" w:type="dxa"/>
            <w:tcBorders>
              <w:top w:val="nil"/>
              <w:left w:val="single" w:sz="4" w:space="0" w:color="000000"/>
            </w:tcBorders>
          </w:tcPr>
          <w:p>
            <w:pPr>
              <w:pStyle w:val="TableParagraph"/>
              <w:rPr>
                <w:rFonts w:ascii="Times New Roman"/>
                <w:sz w:val="18"/>
              </w:rPr>
            </w:pPr>
          </w:p>
        </w:tc>
      </w:tr>
    </w:tbl>
    <w:p>
      <w:pPr>
        <w:spacing w:after="0"/>
        <w:rPr>
          <w:rFonts w:ascii="Times New Roman"/>
          <w:sz w:val="18"/>
        </w:rPr>
        <w:sectPr>
          <w:footerReference w:type="default" r:id="rId17"/>
          <w:pgSz w:w="11910" w:h="16840"/>
          <w:pgMar w:top="1400" w:right="1140" w:bottom="1180" w:left="1140" w:header="0" w:footer="994" w:gutter="0"/>
          <w:pgNumType w:start="13"/>
          <w:cols w:num="1" w:space="720"/>
        </w:sectPr>
      </w:pPr>
    </w:p>
    <w:p>
      <w:pPr>
        <w:pStyle w:val="BodyText"/>
        <w:spacing w:before="5"/>
        <w:rPr>
          <w:rFonts w:ascii="Times New Roman"/>
          <w:b/>
          <w:sz w:val="16"/>
        </w:rPr>
      </w:pPr>
      <w:r>
        <w:pict>
          <v:group id="_x0000_s1122" o:spid="_x0000_s1121" style="width:469.55pt;height:688.2pt;margin-top:70.9pt;margin-left:62.9pt;mso-height-relative:page;mso-position-horizontal-relative:page;mso-position-vertical-relative:page;mso-width-relative:page;position:absolute;z-index:-251648000" coordorigin="1258,1418" coordsize="9391,13764">
            <v:line id="_x0000_s1123" o:spid="_x0000_s1122" style="position:absolute" from="1277,1428" to="2376,1428" coordsize="21600,21600" stroked="t" strokecolor="black"/>
            <v:rect id="_x0000_s1124" o:spid="_x0000_s1123" style="width:20;height:20;left:2376;position:absolute;top:1418" coordsize="21600,21600" filled="t" fillcolor="black" stroked="f"/>
            <v:line id="_x0000_s1125" o:spid="_x0000_s1124" style="position:absolute" from="2396,1428" to="10629,1428" coordsize="21600,21600" stroked="t" strokecolor="black"/>
            <v:line id="_x0000_s1126" o:spid="_x0000_s1125" style="position:absolute" from="1268,1418" to="1268,15163" coordsize="21600,21600" stroked="t" strokecolor="black"/>
            <v:rect id="_x0000_s1127" o:spid="_x0000_s1126" style="width:20;height:20;left:1258;position:absolute;top:15163" coordsize="21600,21600" filled="t" fillcolor="black" stroked="f"/>
            <v:line id="_x0000_s1128" o:spid="_x0000_s1127" style="position:absolute" from="1277,15173" to="2376,15173" coordsize="21600,21600" stroked="t" strokecolor="black"/>
            <v:line id="_x0000_s1129" o:spid="_x0000_s1128" style="position:absolute" from="2381,1438" to="2381,15163" coordsize="21600,21600" stroked="t" strokecolor="black"/>
            <v:rect id="_x0000_s1130" o:spid="_x0000_s1129" style="width:20;height:20;left:2376;position:absolute;top:15163" coordsize="21600,21600" filled="t" fillcolor="black" stroked="f"/>
            <v:line id="_x0000_s1131" o:spid="_x0000_s1130" style="position:absolute" from="2396,15173" to="10629,15173" coordsize="21600,21600" stroked="t" strokecolor="black"/>
            <v:line id="_x0000_s1132" o:spid="_x0000_s1131" style="position:absolute" from="10639,1418" to="10639,15163" coordsize="21600,21600" stroked="t" strokecolor="black"/>
            <v:rect id="_x0000_s1133" o:spid="_x0000_s1132" style="width:20;height:20;left:10629;position:absolute;top:15163" coordsize="21600,21600" filled="t" fillcolor="black" stroked="f"/>
          </v:group>
        </w:pict>
      </w:r>
    </w:p>
    <w:p>
      <w:pPr>
        <w:pStyle w:val="BodyText"/>
        <w:spacing w:before="72"/>
        <w:ind w:left="1769"/>
      </w:pPr>
      <w:r>
        <w:t>因此，项目符合《关于进一步做好建设项目环评审批工作的通知》（ 苏环办</w:t>
      </w:r>
    </w:p>
    <w:p>
      <w:pPr>
        <w:pStyle w:val="BodyText"/>
        <w:spacing w:before="138"/>
        <w:ind w:left="1349"/>
        <w:jc w:val="both"/>
      </w:pPr>
      <w:r>
        <w:t>〔</w:t>
      </w:r>
      <w:r>
        <w:rPr>
          <w:rFonts w:ascii="Times New Roman" w:eastAsia="Times New Roman"/>
        </w:rPr>
        <w:t>2019</w:t>
      </w:r>
      <w:r>
        <w:t>〕</w:t>
      </w:r>
      <w:r>
        <w:rPr>
          <w:rFonts w:ascii="Times New Roman" w:eastAsia="Times New Roman"/>
        </w:rPr>
        <w:t xml:space="preserve">36 </w:t>
      </w:r>
      <w:r>
        <w:t>号）的相关要求。</w:t>
      </w:r>
    </w:p>
    <w:p>
      <w:pPr>
        <w:pStyle w:val="Heading3"/>
        <w:numPr>
          <w:ilvl w:val="0"/>
          <w:numId w:val="57"/>
        </w:numPr>
        <w:tabs>
          <w:tab w:val="left" w:pos="2301"/>
        </w:tabs>
        <w:spacing w:before="142" w:after="0" w:line="240" w:lineRule="auto"/>
        <w:ind w:left="2300" w:right="0" w:hanging="530"/>
        <w:jc w:val="left"/>
      </w:pPr>
      <w:r>
        <w:rPr>
          <w:spacing w:val="-5"/>
        </w:rPr>
        <w:t>《关于进一步做好建设项目环评审批工作的实施意见》</w:t>
      </w:r>
      <w:r>
        <w:t>（盐城市生态环境局，</w:t>
      </w:r>
    </w:p>
    <w:p>
      <w:pPr>
        <w:pStyle w:val="Heading3"/>
        <w:spacing w:before="139"/>
        <w:ind w:left="1349"/>
        <w:jc w:val="both"/>
      </w:pPr>
      <w:r>
        <w:rPr>
          <w:rFonts w:ascii="Times New Roman" w:eastAsia="Times New Roman"/>
        </w:rPr>
        <w:t xml:space="preserve">2019 </w:t>
      </w:r>
      <w:r>
        <w:t xml:space="preserve">年 </w:t>
      </w:r>
      <w:r>
        <w:rPr>
          <w:rFonts w:ascii="Times New Roman" w:eastAsia="Times New Roman"/>
        </w:rPr>
        <w:t xml:space="preserve">2 </w:t>
      </w:r>
      <w:r>
        <w:t xml:space="preserve">月 </w:t>
      </w:r>
      <w:r>
        <w:rPr>
          <w:rFonts w:ascii="Times New Roman" w:eastAsia="Times New Roman"/>
        </w:rPr>
        <w:t xml:space="preserve">13 </w:t>
      </w:r>
      <w:r>
        <w:t>日）</w:t>
      </w:r>
    </w:p>
    <w:p>
      <w:pPr>
        <w:pStyle w:val="BodyText"/>
        <w:spacing w:before="139" w:line="364" w:lineRule="auto"/>
        <w:ind w:left="1349" w:right="226" w:firstLine="420"/>
        <w:jc w:val="both"/>
      </w:pPr>
      <w:r>
        <w:rPr>
          <w:spacing w:val="-6"/>
        </w:rPr>
        <w:t xml:space="preserve">根据盐城市生态环境局 </w:t>
      </w:r>
      <w:r>
        <w:rPr>
          <w:rFonts w:ascii="Times New Roman" w:eastAsia="Times New Roman"/>
        </w:rPr>
        <w:t xml:space="preserve">2019 </w:t>
      </w:r>
      <w:r>
        <w:rPr>
          <w:spacing w:val="-15"/>
        </w:rPr>
        <w:t xml:space="preserve">年 </w:t>
      </w:r>
      <w:r>
        <w:rPr>
          <w:rFonts w:ascii="Times New Roman" w:eastAsia="Times New Roman"/>
        </w:rPr>
        <w:t xml:space="preserve">2 </w:t>
      </w:r>
      <w:r>
        <w:rPr>
          <w:spacing w:val="-15"/>
        </w:rPr>
        <w:t xml:space="preserve">月 </w:t>
      </w:r>
      <w:r>
        <w:rPr>
          <w:rFonts w:ascii="Times New Roman" w:eastAsia="Times New Roman"/>
        </w:rPr>
        <w:t xml:space="preserve">13 </w:t>
      </w:r>
      <w:r>
        <w:rPr>
          <w:spacing w:val="-3"/>
        </w:rPr>
        <w:t>日发布的《关于进一步做好建设项目环评审</w:t>
      </w:r>
      <w:r>
        <w:rPr>
          <w:spacing w:val="-5"/>
        </w:rPr>
        <w:t>批工作的实施意见》，有下列情形之一的，不予批准：</w:t>
      </w:r>
      <w:r>
        <w:rPr>
          <w:rFonts w:ascii="Times New Roman" w:eastAsia="Times New Roman"/>
          <w:spacing w:val="3"/>
        </w:rPr>
        <w:t>1</w:t>
      </w:r>
      <w:r>
        <w:rPr>
          <w:spacing w:val="3"/>
        </w:rPr>
        <w:t>）建设项目类型及其选址、布</w:t>
      </w:r>
      <w:r>
        <w:t>局、规模等不符合环境保护法律法规和相关法定规划；</w:t>
      </w:r>
      <w:r>
        <w:rPr>
          <w:rFonts w:ascii="Times New Roman" w:eastAsia="Times New Roman"/>
          <w:spacing w:val="2"/>
        </w:rPr>
        <w:t>2</w:t>
      </w:r>
      <w:r>
        <w:rPr>
          <w:spacing w:val="2"/>
        </w:rPr>
        <w:t>）</w:t>
      </w:r>
      <w:r>
        <w:t>所在区域环境质量未达到国家或者地方环境质量标准，且建设项目拟采取的措施不能满足区域环境质量改善目标管</w:t>
      </w:r>
      <w:r>
        <w:rPr>
          <w:spacing w:val="1"/>
        </w:rPr>
        <w:t>理要求；</w:t>
      </w:r>
      <w:r>
        <w:rPr>
          <w:rFonts w:ascii="Times New Roman" w:eastAsia="Times New Roman"/>
        </w:rPr>
        <w:t>3</w:t>
      </w:r>
      <w:r>
        <w:t>）建设项目采取的污染防治措施无法确保污染物排放达到国家和地方排放标准，或者未采取必要措施预防和控制生态破坏；</w:t>
      </w:r>
      <w:r>
        <w:rPr>
          <w:rFonts w:ascii="Times New Roman" w:eastAsia="Times New Roman"/>
          <w:spacing w:val="2"/>
        </w:rPr>
        <w:t>4</w:t>
      </w:r>
      <w:r>
        <w:rPr>
          <w:spacing w:val="2"/>
        </w:rPr>
        <w:t>）</w:t>
      </w:r>
      <w:r>
        <w:t>改建、扩建和技术改造项目，未针对项目原有环境污染和生态破坏提出有效防治措施；</w:t>
      </w:r>
      <w:r>
        <w:rPr>
          <w:rFonts w:ascii="Times New Roman" w:eastAsia="Times New Roman"/>
        </w:rPr>
        <w:t>5</w:t>
      </w:r>
      <w:r>
        <w:t>）建设项目的环境影响报告书、环境影响报告表的基础资料数据明显不实，内容存在重大缺陷、遗漏，或者环境影响评</w:t>
      </w:r>
      <w:r>
        <w:rPr>
          <w:spacing w:val="-3"/>
        </w:rPr>
        <w:t>价结论不明确、不合理。</w:t>
      </w:r>
    </w:p>
    <w:p>
      <w:pPr>
        <w:pStyle w:val="BodyText"/>
        <w:spacing w:line="364" w:lineRule="auto"/>
        <w:ind w:left="1349" w:right="229" w:firstLine="420"/>
        <w:jc w:val="both"/>
      </w:pPr>
      <w:r>
        <w:rPr>
          <w:spacing w:val="-1"/>
        </w:rPr>
        <w:t>扩建项目属于食品包装制造行业，选址、布局、规模等不符合环境保护法律法规和相关法定规划；该区域属于大气、地表水、声环境质量均满足环境质量标准；投产后无</w:t>
      </w:r>
      <w:r>
        <w:rPr>
          <w:spacing w:val="-14"/>
        </w:rPr>
        <w:t>生产废水产生，废气经“催化燃烧”、“活性炭吸附”装置处理，确保污染物排放达到国</w:t>
      </w:r>
      <w:r>
        <w:rPr>
          <w:spacing w:val="-1"/>
        </w:rPr>
        <w:t>家和地方排放标准。因此，项目符合《关于进一步做好建设项目环评审批工作的实施意</w:t>
      </w:r>
      <w:r>
        <w:rPr>
          <w:spacing w:val="-53"/>
        </w:rPr>
        <w:t>见》</w:t>
      </w:r>
      <w:r>
        <w:rPr>
          <w:spacing w:val="-3"/>
        </w:rPr>
        <w:t>（盐城市生态环境局，</w:t>
      </w:r>
      <w:r>
        <w:rPr>
          <w:rFonts w:ascii="Times New Roman" w:eastAsia="Times New Roman" w:hAnsi="Times New Roman"/>
        </w:rPr>
        <w:t xml:space="preserve">2019 </w:t>
      </w:r>
      <w:r>
        <w:rPr>
          <w:spacing w:val="-28"/>
        </w:rPr>
        <w:t xml:space="preserve">年 </w:t>
      </w:r>
      <w:r>
        <w:rPr>
          <w:rFonts w:ascii="Times New Roman" w:eastAsia="Times New Roman" w:hAnsi="Times New Roman"/>
        </w:rPr>
        <w:t xml:space="preserve">2 </w:t>
      </w:r>
      <w:r>
        <w:rPr>
          <w:spacing w:val="-27"/>
        </w:rPr>
        <w:t xml:space="preserve">月 </w:t>
      </w:r>
      <w:r>
        <w:rPr>
          <w:rFonts w:ascii="Times New Roman" w:eastAsia="Times New Roman" w:hAnsi="Times New Roman"/>
        </w:rPr>
        <w:t xml:space="preserve">13 </w:t>
      </w:r>
      <w:r>
        <w:t>日</w:t>
      </w:r>
      <w:r>
        <w:rPr>
          <w:spacing w:val="-3"/>
        </w:rPr>
        <w:t>）</w:t>
      </w:r>
      <w:r>
        <w:rPr>
          <w:spacing w:val="-2"/>
        </w:rPr>
        <w:t>要求。</w:t>
      </w:r>
    </w:p>
    <w:p>
      <w:pPr>
        <w:pStyle w:val="ListParagraph"/>
        <w:numPr>
          <w:ilvl w:val="0"/>
          <w:numId w:val="57"/>
        </w:numPr>
        <w:tabs>
          <w:tab w:val="left" w:pos="2301"/>
        </w:tabs>
        <w:spacing w:before="0" w:after="0" w:line="364" w:lineRule="auto"/>
        <w:ind w:left="1769" w:right="226" w:firstLine="2"/>
        <w:jc w:val="right"/>
        <w:rPr>
          <w:sz w:val="21"/>
        </w:rPr>
      </w:pPr>
      <w:r>
        <w:rPr>
          <w:b/>
          <w:spacing w:val="-8"/>
          <w:sz w:val="21"/>
        </w:rPr>
        <w:t>《关于做好生态环境和应急管理部门联动工作的意见》</w:t>
      </w:r>
      <w:r>
        <w:rPr>
          <w:b/>
          <w:sz w:val="21"/>
        </w:rPr>
        <w:t>（苏环办</w:t>
      </w:r>
      <w:r>
        <w:rPr>
          <w:rFonts w:ascii="Times New Roman" w:eastAsia="Times New Roman"/>
          <w:b/>
          <w:sz w:val="21"/>
        </w:rPr>
        <w:t>[2020]101</w:t>
      </w:r>
      <w:r>
        <w:rPr>
          <w:rFonts w:ascii="Times New Roman" w:eastAsia="Times New Roman"/>
          <w:b/>
          <w:spacing w:val="-1"/>
          <w:sz w:val="21"/>
        </w:rPr>
        <w:t xml:space="preserve"> </w:t>
      </w:r>
      <w:r>
        <w:rPr>
          <w:b/>
          <w:sz w:val="21"/>
        </w:rPr>
        <w:t>号）</w:t>
      </w:r>
      <w:r>
        <w:rPr>
          <w:spacing w:val="-7"/>
          <w:sz w:val="21"/>
        </w:rPr>
        <w:t>根据《关于做好生态环境和应急管理部门联动工作的意见》</w:t>
      </w:r>
      <w:r>
        <w:rPr>
          <w:spacing w:val="-3"/>
          <w:sz w:val="21"/>
        </w:rPr>
        <w:t>（</w:t>
      </w:r>
      <w:r>
        <w:rPr>
          <w:spacing w:val="-2"/>
          <w:sz w:val="21"/>
        </w:rPr>
        <w:t>苏环办</w:t>
      </w:r>
      <w:r>
        <w:rPr>
          <w:rFonts w:ascii="Times New Roman" w:eastAsia="Times New Roman"/>
          <w:sz w:val="21"/>
        </w:rPr>
        <w:t>[2020]101</w:t>
      </w:r>
      <w:r>
        <w:rPr>
          <w:rFonts w:ascii="Times New Roman" w:eastAsia="Times New Roman"/>
          <w:spacing w:val="7"/>
          <w:sz w:val="21"/>
        </w:rPr>
        <w:t xml:space="preserve"> </w:t>
      </w:r>
      <w:r>
        <w:rPr>
          <w:sz w:val="21"/>
        </w:rPr>
        <w:t>号</w:t>
      </w:r>
      <w:r>
        <w:rPr>
          <w:spacing w:val="-106"/>
          <w:w w:val="100"/>
          <w:sz w:val="21"/>
        </w:rPr>
        <w:t>）</w:t>
      </w:r>
      <w:r>
        <w:rPr>
          <w:w w:val="100"/>
          <w:sz w:val="21"/>
        </w:rPr>
        <w:t>，</w:t>
      </w:r>
    </w:p>
    <w:p>
      <w:pPr>
        <w:pStyle w:val="BodyText"/>
        <w:spacing w:line="364" w:lineRule="auto"/>
        <w:ind w:left="1349" w:right="226"/>
        <w:jc w:val="right"/>
      </w:pPr>
      <w:r>
        <w:t>企业要切实履行好从危险废物产生、收集、贮存、运输、利用、处置等环节各项环保和安全职责；要制定危险废物管理计划并报属地生态环境部门备案。申请备案时，对废弃危险化学品、物理危险性尚不确定、根据相关文件无法认定达到稳定化要求的，要提供有资质单位出具的化学品物理危险性报告及其他证明材料，认定达到稳定化要求。企业</w:t>
      </w:r>
      <w:r>
        <w:rPr>
          <w:spacing w:val="-3"/>
        </w:rPr>
        <w:t>要对脱硫脱硝、煤改气、挥发性有机物回收、污水处理、粉尘治理、</w:t>
      </w:r>
      <w:r>
        <w:rPr>
          <w:rFonts w:ascii="Times New Roman" w:eastAsia="Times New Roman"/>
          <w:spacing w:val="-7"/>
        </w:rPr>
        <w:t>RTO</w:t>
      </w:r>
      <w:r>
        <w:rPr>
          <w:rFonts w:ascii="Times New Roman" w:eastAsia="Times New Roman"/>
          <w:spacing w:val="25"/>
        </w:rPr>
        <w:t xml:space="preserve"> </w:t>
      </w:r>
      <w:r>
        <w:rPr>
          <w:spacing w:val="-3"/>
        </w:rPr>
        <w:t>焚烧炉等六类环境治理设施开展安全风险辨识管控，要健全内部污染防治设施稳定运行和管理责任制度，严格依据标准规范建设环境治理设施，确保环境治理设施安全、稳定、有效运行。建设项目废气污染主要为配料</w:t>
      </w:r>
      <w:r>
        <w:rPr>
          <w:rFonts w:ascii="Times New Roman" w:eastAsia="Times New Roman"/>
          <w:spacing w:val="-3"/>
        </w:rPr>
        <w:t>/</w:t>
      </w:r>
      <w:r>
        <w:rPr>
          <w:spacing w:val="-3"/>
        </w:rPr>
        <w:t>印刷</w:t>
      </w:r>
      <w:r>
        <w:rPr>
          <w:rFonts w:ascii="Times New Roman" w:eastAsia="Times New Roman"/>
          <w:spacing w:val="-3"/>
        </w:rPr>
        <w:t>/</w:t>
      </w:r>
      <w:r>
        <w:rPr>
          <w:spacing w:val="-3"/>
        </w:rPr>
        <w:t>复合</w:t>
      </w:r>
      <w:r>
        <w:rPr>
          <w:rFonts w:ascii="Times New Roman" w:eastAsia="Times New Roman"/>
          <w:spacing w:val="-3"/>
        </w:rPr>
        <w:t>/</w:t>
      </w:r>
      <w:r>
        <w:rPr>
          <w:spacing w:val="-3"/>
        </w:rPr>
        <w:t>固化废气、危废仓库逸散的废气，废气装</w:t>
      </w:r>
    </w:p>
    <w:p>
      <w:pPr>
        <w:pStyle w:val="BodyText"/>
        <w:spacing w:line="364" w:lineRule="auto"/>
        <w:ind w:left="1349" w:right="234"/>
        <w:jc w:val="both"/>
      </w:pPr>
      <w:r>
        <w:rPr>
          <w:spacing w:val="-10"/>
        </w:rPr>
        <w:t>置分别选用“催化燃烧”、“活性炭吸附”装置。建设单位需切实履行好从危险废物产</w:t>
      </w:r>
      <w:r>
        <w:rPr>
          <w:spacing w:val="-11"/>
        </w:rPr>
        <w:t>生、收集、贮存、运输等环节的各项环保和安全职责，制定危险废物管理计划并报属地</w:t>
      </w:r>
      <w:r>
        <w:rPr>
          <w:spacing w:val="-1"/>
        </w:rPr>
        <w:t>生态环境部门备案；开展挥发性有机物回收设施安全风险辨识，健全内部污染防治设施稳定运行和管理责任制度，严格依据标准规范建设环境治理设施，确保环境治理设施安全、稳定、有效运行，故本项目建设符合《关于做好生态环境和应急管理部门联动工作</w:t>
      </w:r>
    </w:p>
    <w:p>
      <w:pPr>
        <w:spacing w:after="0" w:line="364" w:lineRule="auto"/>
        <w:jc w:val="both"/>
        <w:sectPr>
          <w:footerReference w:type="default" r:id="rId18"/>
          <w:pgSz w:w="11910" w:h="16840"/>
          <w:pgMar w:top="1400" w:right="1140" w:bottom="1180" w:left="1140" w:header="0" w:footer="994" w:gutter="0"/>
          <w:pgNumType w:start="14"/>
          <w:cols w:num="1" w:space="720"/>
        </w:sectPr>
      </w:pPr>
    </w:p>
    <w:p>
      <w:pPr>
        <w:pStyle w:val="BodyText"/>
        <w:spacing w:before="60"/>
        <w:ind w:right="3906"/>
        <w:jc w:val="center"/>
      </w:pPr>
      <w:r>
        <w:pict>
          <v:group id="_x0000_s1134" o:spid="_x0000_s1133" style="width:469.55pt;height:688.1pt;margin-top:70.9pt;margin-left:62.9pt;mso-height-relative:page;mso-position-horizontal-relative:page;mso-position-vertical-relative:page;mso-width-relative:page;position:absolute;z-index:-251646976" coordorigin="1258,1418" coordsize="9391,13762">
            <v:line id="_x0000_s1135" o:spid="_x0000_s1134" style="position:absolute" from="1277,1428" to="2376,1428" coordsize="21600,21600" stroked="t" strokecolor="black"/>
            <v:rect id="_x0000_s1136" o:spid="_x0000_s1135" style="width:20;height:20;left:2376;position:absolute;top:1418" coordsize="21600,21600" filled="t" fillcolor="black" stroked="f"/>
            <v:line id="_x0000_s1137" o:spid="_x0000_s1136" style="position:absolute" from="2396,1428" to="10629,1428" coordsize="21600,21600" stroked="t" strokecolor="black"/>
            <v:line id="_x0000_s1138" o:spid="_x0000_s1137" style="position:absolute" from="1268,1418" to="1268,15180" coordsize="21600,21600" stroked="t" strokecolor="black"/>
            <v:line id="_x0000_s1139" o:spid="_x0000_s1138" style="position:absolute" from="1277,15170" to="2376,15170" coordsize="21600,21600" stroked="t" strokecolor="black"/>
            <v:line id="_x0000_s1140" o:spid="_x0000_s1139" style="position:absolute" from="2381,1438" to="2381,15161" coordsize="21600,21600" stroked="t" strokecolor="black"/>
            <v:rect id="_x0000_s1141" o:spid="_x0000_s1140" style="width:20;height:20;left:2376;position:absolute;top:15160" coordsize="21600,21600" filled="t" fillcolor="black" stroked="f"/>
            <v:line id="_x0000_s1142" o:spid="_x0000_s1141" style="position:absolute" from="2396,15170" to="10629,15170" coordsize="21600,21600" stroked="t" strokecolor="black"/>
            <v:line id="_x0000_s1143" o:spid="_x0000_s1142" style="position:absolute" from="10639,1418" to="10639,15180" coordsize="21600,21600" stroked="t" strokecolor="black"/>
          </v:group>
        </w:pict>
      </w:r>
      <w:r>
        <w:rPr>
          <w:spacing w:val="-28"/>
        </w:rPr>
        <w:t>的意见》</w:t>
      </w:r>
      <w:r>
        <w:rPr>
          <w:spacing w:val="-3"/>
        </w:rPr>
        <w:t>（</w:t>
      </w:r>
      <w:r>
        <w:rPr>
          <w:spacing w:val="-2"/>
        </w:rPr>
        <w:t>苏环办</w:t>
      </w:r>
      <w:r>
        <w:rPr>
          <w:rFonts w:ascii="Times New Roman" w:eastAsia="Times New Roman"/>
        </w:rPr>
        <w:t xml:space="preserve">[2020]101 </w:t>
      </w:r>
      <w:r>
        <w:t>号</w:t>
      </w:r>
      <w:r>
        <w:rPr>
          <w:spacing w:val="-108"/>
        </w:rPr>
        <w:t>）</w:t>
      </w:r>
      <w:r>
        <w:t>。</w:t>
      </w:r>
    </w:p>
    <w:p>
      <w:pPr>
        <w:pStyle w:val="Heading3"/>
        <w:numPr>
          <w:ilvl w:val="0"/>
          <w:numId w:val="9"/>
        </w:numPr>
        <w:tabs>
          <w:tab w:val="left" w:pos="1931"/>
        </w:tabs>
        <w:spacing w:before="139" w:after="0" w:line="240" w:lineRule="auto"/>
        <w:ind w:left="1931" w:right="3813" w:hanging="1931"/>
        <w:jc w:val="left"/>
      </w:pPr>
      <w:r>
        <w:t>食品企业相关技术标准</w:t>
      </w:r>
    </w:p>
    <w:p>
      <w:pPr>
        <w:pStyle w:val="Heading3"/>
        <w:numPr>
          <w:ilvl w:val="0"/>
          <w:numId w:val="11"/>
        </w:numPr>
        <w:tabs>
          <w:tab w:val="left" w:pos="2301"/>
        </w:tabs>
        <w:spacing w:before="142" w:after="0" w:line="240" w:lineRule="auto"/>
        <w:ind w:left="2300" w:right="0" w:hanging="530"/>
        <w:jc w:val="left"/>
      </w:pPr>
      <w:r>
        <w:rPr>
          <w:spacing w:val="-3"/>
        </w:rPr>
        <w:t>与《食品企业通用卫生规范》规划相符性分析</w:t>
      </w:r>
    </w:p>
    <w:p>
      <w:pPr>
        <w:pStyle w:val="BodyText"/>
        <w:spacing w:before="139" w:line="364" w:lineRule="auto"/>
        <w:ind w:left="1349" w:right="214" w:firstLine="420"/>
      </w:pPr>
      <w:r>
        <w:t>本项目从事食品包装制造，参考《食品企业通用卫生规范》（</w:t>
      </w:r>
      <w:r>
        <w:rPr>
          <w:rFonts w:ascii="Times New Roman" w:eastAsia="Times New Roman"/>
        </w:rPr>
        <w:t>GB14881-2013</w:t>
      </w:r>
      <w:r>
        <w:t>）要求，本项目与食品企业卫生规范要求对照见下</w:t>
      </w:r>
      <w:hyperlink w:anchor="_bookmark7" w:history="1">
        <w:r>
          <w:t xml:space="preserve">表 </w:t>
        </w:r>
        <w:r>
          <w:rPr>
            <w:rFonts w:ascii="Times New Roman" w:eastAsia="Times New Roman"/>
          </w:rPr>
          <w:t>1-12</w:t>
        </w:r>
      </w:hyperlink>
      <w:r>
        <w:t>。</w:t>
      </w:r>
    </w:p>
    <w:p>
      <w:pPr>
        <w:pStyle w:val="Heading3"/>
        <w:spacing w:after="3" w:line="267" w:lineRule="exact"/>
        <w:ind w:left="3125"/>
      </w:pPr>
      <w:bookmarkStart w:id="7" w:name="_bookmark7"/>
      <w:bookmarkEnd w:id="7"/>
      <w:r>
        <w:t xml:space="preserve">表 </w:t>
      </w:r>
      <w:r>
        <w:rPr>
          <w:rFonts w:ascii="Times New Roman" w:eastAsia="Times New Roman"/>
        </w:rPr>
        <w:t xml:space="preserve">1-12 </w:t>
      </w:r>
      <w:r>
        <w:t>本项目与食品企业卫生规范对照情况列表</w:t>
      </w:r>
    </w:p>
    <w:tbl>
      <w:tblPr>
        <w:tblStyle w:val="TableNormal"/>
        <w:tblW w:w="0" w:type="auto"/>
        <w:tblInd w:w="13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735"/>
        <w:gridCol w:w="3360"/>
        <w:gridCol w:w="938"/>
      </w:tblGrid>
      <w:tr>
        <w:tblPrEx>
          <w:tblW w:w="0" w:type="auto"/>
          <w:tblInd w:w="13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32"/>
        </w:trPr>
        <w:tc>
          <w:tcPr>
            <w:tcW w:w="3735" w:type="dxa"/>
          </w:tcPr>
          <w:p>
            <w:pPr>
              <w:pStyle w:val="TableParagraph"/>
              <w:spacing w:line="212" w:lineRule="exact"/>
              <w:ind w:left="154" w:right="147"/>
              <w:jc w:val="center"/>
              <w:rPr>
                <w:b/>
                <w:sz w:val="18"/>
              </w:rPr>
            </w:pPr>
            <w:r>
              <w:rPr>
                <w:b/>
                <w:sz w:val="18"/>
              </w:rPr>
              <w:t>规范要求</w:t>
            </w:r>
          </w:p>
        </w:tc>
        <w:tc>
          <w:tcPr>
            <w:tcW w:w="3360" w:type="dxa"/>
          </w:tcPr>
          <w:p>
            <w:pPr>
              <w:pStyle w:val="TableParagraph"/>
              <w:spacing w:line="212" w:lineRule="exact"/>
              <w:ind w:left="147" w:right="140"/>
              <w:jc w:val="center"/>
              <w:rPr>
                <w:b/>
                <w:sz w:val="18"/>
              </w:rPr>
            </w:pPr>
            <w:r>
              <w:rPr>
                <w:b/>
                <w:sz w:val="18"/>
              </w:rPr>
              <w:t>实际情况</w:t>
            </w:r>
          </w:p>
        </w:tc>
        <w:tc>
          <w:tcPr>
            <w:tcW w:w="938" w:type="dxa"/>
          </w:tcPr>
          <w:p>
            <w:pPr>
              <w:pStyle w:val="TableParagraph"/>
              <w:spacing w:line="212" w:lineRule="exact"/>
              <w:ind w:left="177" w:right="168"/>
              <w:jc w:val="center"/>
              <w:rPr>
                <w:b/>
                <w:sz w:val="18"/>
              </w:rPr>
            </w:pPr>
            <w:r>
              <w:rPr>
                <w:b/>
                <w:sz w:val="18"/>
              </w:rPr>
              <w:t>相符性</w:t>
            </w:r>
          </w:p>
        </w:tc>
      </w:tr>
      <w:tr>
        <w:tblPrEx>
          <w:tblW w:w="0" w:type="auto"/>
          <w:tblInd w:w="1359" w:type="dxa"/>
          <w:tblLayout w:type="fixed"/>
          <w:tblCellMar>
            <w:top w:w="0" w:type="dxa"/>
            <w:left w:w="0" w:type="dxa"/>
            <w:bottom w:w="0" w:type="dxa"/>
            <w:right w:w="0" w:type="dxa"/>
          </w:tblCellMar>
        </w:tblPrEx>
        <w:trPr>
          <w:trHeight w:val="933"/>
        </w:trPr>
        <w:tc>
          <w:tcPr>
            <w:tcW w:w="3735" w:type="dxa"/>
          </w:tcPr>
          <w:p>
            <w:pPr>
              <w:pStyle w:val="TableParagraph"/>
              <w:spacing w:line="242" w:lineRule="auto"/>
              <w:ind w:left="155" w:right="147"/>
              <w:jc w:val="both"/>
              <w:rPr>
                <w:sz w:val="18"/>
              </w:rPr>
            </w:pPr>
            <w:r>
              <w:rPr>
                <w:sz w:val="18"/>
              </w:rPr>
              <w:t>厂区不应选择对食品有显著污染的区域。如某地对食品安全和食品宜食用性存在明显的不利影响，且无法通过采取措施加以改善，</w:t>
            </w:r>
          </w:p>
          <w:p>
            <w:pPr>
              <w:pStyle w:val="TableParagraph"/>
              <w:spacing w:before="2" w:line="213" w:lineRule="exact"/>
              <w:ind w:left="1056"/>
              <w:rPr>
                <w:sz w:val="18"/>
              </w:rPr>
            </w:pPr>
            <w:r>
              <w:rPr>
                <w:sz w:val="18"/>
              </w:rPr>
              <w:t>应避免在该地址建厂</w:t>
            </w:r>
          </w:p>
        </w:tc>
        <w:tc>
          <w:tcPr>
            <w:tcW w:w="3360" w:type="dxa"/>
          </w:tcPr>
          <w:p>
            <w:pPr>
              <w:pStyle w:val="TableParagraph"/>
              <w:spacing w:before="117" w:line="242" w:lineRule="auto"/>
              <w:ind w:left="149" w:right="140"/>
              <w:jc w:val="center"/>
              <w:rPr>
                <w:sz w:val="18"/>
              </w:rPr>
            </w:pPr>
            <w:r>
              <w:rPr>
                <w:sz w:val="18"/>
              </w:rPr>
              <w:t>建设项目位于东坎高新技术产业园盘洋大道，周边没有对食品有显著安全和宜食性的不利影响因素。</w:t>
            </w:r>
          </w:p>
        </w:tc>
        <w:tc>
          <w:tcPr>
            <w:tcW w:w="938" w:type="dxa"/>
          </w:tcPr>
          <w:p>
            <w:pPr>
              <w:pStyle w:val="TableParagraph"/>
              <w:rPr>
                <w:b/>
                <w:sz w:val="18"/>
              </w:rPr>
            </w:pPr>
          </w:p>
          <w:p>
            <w:pPr>
              <w:pStyle w:val="TableParagraph"/>
              <w:spacing w:before="119"/>
              <w:ind w:left="177" w:right="168"/>
              <w:jc w:val="center"/>
              <w:rPr>
                <w:sz w:val="18"/>
              </w:rPr>
            </w:pPr>
            <w:r>
              <w:rPr>
                <w:sz w:val="18"/>
              </w:rPr>
              <w:t>相符</w:t>
            </w:r>
          </w:p>
        </w:tc>
      </w:tr>
      <w:tr>
        <w:tblPrEx>
          <w:tblW w:w="0" w:type="auto"/>
          <w:tblInd w:w="1359" w:type="dxa"/>
          <w:tblLayout w:type="fixed"/>
          <w:tblCellMar>
            <w:top w:w="0" w:type="dxa"/>
            <w:left w:w="0" w:type="dxa"/>
            <w:bottom w:w="0" w:type="dxa"/>
            <w:right w:w="0" w:type="dxa"/>
          </w:tblCellMar>
        </w:tblPrEx>
        <w:trPr>
          <w:trHeight w:val="935"/>
        </w:trPr>
        <w:tc>
          <w:tcPr>
            <w:tcW w:w="3735" w:type="dxa"/>
          </w:tcPr>
          <w:p>
            <w:pPr>
              <w:pStyle w:val="TableParagraph"/>
              <w:spacing w:before="117" w:line="242" w:lineRule="auto"/>
              <w:ind w:left="155" w:right="147"/>
              <w:jc w:val="center"/>
              <w:rPr>
                <w:sz w:val="18"/>
              </w:rPr>
            </w:pPr>
            <w:r>
              <w:rPr>
                <w:sz w:val="18"/>
              </w:rPr>
              <w:t>厂区不应选择有害废弃物以及粉尘、有害气体、放射性物质和其他扩散性污染源不能有效清除的地址。</w:t>
            </w:r>
          </w:p>
        </w:tc>
        <w:tc>
          <w:tcPr>
            <w:tcW w:w="3360" w:type="dxa"/>
          </w:tcPr>
          <w:p>
            <w:pPr>
              <w:pStyle w:val="TableParagraph"/>
              <w:spacing w:before="2" w:line="230" w:lineRule="atLeast"/>
              <w:ind w:left="149" w:right="140"/>
              <w:jc w:val="center"/>
              <w:rPr>
                <w:sz w:val="18"/>
              </w:rPr>
            </w:pPr>
            <w:r>
              <w:rPr>
                <w:sz w:val="18"/>
              </w:rPr>
              <w:t>建设项目使用闲置车间，无原有污染情况及主要环境问题，不涉及有害废弃物及粉尘、有害气体、放射性物质和其他扩散性污染源。</w:t>
            </w:r>
          </w:p>
        </w:tc>
        <w:tc>
          <w:tcPr>
            <w:tcW w:w="938" w:type="dxa"/>
          </w:tcPr>
          <w:p>
            <w:pPr>
              <w:pStyle w:val="TableParagraph"/>
              <w:rPr>
                <w:b/>
                <w:sz w:val="18"/>
              </w:rPr>
            </w:pPr>
          </w:p>
          <w:p>
            <w:pPr>
              <w:pStyle w:val="TableParagraph"/>
              <w:spacing w:before="119"/>
              <w:ind w:left="177" w:right="168"/>
              <w:jc w:val="center"/>
              <w:rPr>
                <w:sz w:val="18"/>
              </w:rPr>
            </w:pPr>
            <w:r>
              <w:rPr>
                <w:sz w:val="18"/>
              </w:rPr>
              <w:t>相符</w:t>
            </w:r>
          </w:p>
        </w:tc>
      </w:tr>
      <w:tr>
        <w:tblPrEx>
          <w:tblW w:w="0" w:type="auto"/>
          <w:tblInd w:w="1359" w:type="dxa"/>
          <w:tblLayout w:type="fixed"/>
          <w:tblCellMar>
            <w:top w:w="0" w:type="dxa"/>
            <w:left w:w="0" w:type="dxa"/>
            <w:bottom w:w="0" w:type="dxa"/>
            <w:right w:w="0" w:type="dxa"/>
          </w:tblCellMar>
        </w:tblPrEx>
        <w:trPr>
          <w:trHeight w:val="465"/>
        </w:trPr>
        <w:tc>
          <w:tcPr>
            <w:tcW w:w="3735" w:type="dxa"/>
          </w:tcPr>
          <w:p>
            <w:pPr>
              <w:pStyle w:val="TableParagraph"/>
              <w:spacing w:line="230" w:lineRule="exact"/>
              <w:ind w:left="135" w:right="129"/>
              <w:jc w:val="center"/>
              <w:rPr>
                <w:sz w:val="18"/>
              </w:rPr>
            </w:pPr>
            <w:r>
              <w:rPr>
                <w:sz w:val="18"/>
              </w:rPr>
              <w:t>厂区不宜在易发生洪涝灾害的地区，难以避</w:t>
            </w:r>
          </w:p>
          <w:p>
            <w:pPr>
              <w:pStyle w:val="TableParagraph"/>
              <w:spacing w:before="2" w:line="213" w:lineRule="exact"/>
              <w:ind w:left="153" w:right="147"/>
              <w:jc w:val="center"/>
              <w:rPr>
                <w:sz w:val="18"/>
              </w:rPr>
            </w:pPr>
            <w:r>
              <w:rPr>
                <w:sz w:val="18"/>
              </w:rPr>
              <w:t>开时应设计必要的防范措施。</w:t>
            </w:r>
          </w:p>
        </w:tc>
        <w:tc>
          <w:tcPr>
            <w:tcW w:w="3360" w:type="dxa"/>
          </w:tcPr>
          <w:p>
            <w:pPr>
              <w:pStyle w:val="TableParagraph"/>
              <w:spacing w:before="115"/>
              <w:ind w:left="149" w:right="139"/>
              <w:jc w:val="center"/>
              <w:rPr>
                <w:sz w:val="18"/>
              </w:rPr>
            </w:pPr>
            <w:r>
              <w:rPr>
                <w:sz w:val="18"/>
              </w:rPr>
              <w:t>项目所在地历史上无洪、旱灾记录。</w:t>
            </w:r>
          </w:p>
        </w:tc>
        <w:tc>
          <w:tcPr>
            <w:tcW w:w="938" w:type="dxa"/>
          </w:tcPr>
          <w:p>
            <w:pPr>
              <w:pStyle w:val="TableParagraph"/>
              <w:spacing w:before="115"/>
              <w:ind w:left="177" w:right="168"/>
              <w:jc w:val="center"/>
              <w:rPr>
                <w:sz w:val="18"/>
              </w:rPr>
            </w:pPr>
            <w:r>
              <w:rPr>
                <w:sz w:val="18"/>
              </w:rPr>
              <w:t>相符</w:t>
            </w:r>
          </w:p>
        </w:tc>
      </w:tr>
      <w:tr>
        <w:tblPrEx>
          <w:tblW w:w="0" w:type="auto"/>
          <w:tblInd w:w="1359" w:type="dxa"/>
          <w:tblLayout w:type="fixed"/>
          <w:tblCellMar>
            <w:top w:w="0" w:type="dxa"/>
            <w:left w:w="0" w:type="dxa"/>
            <w:bottom w:w="0" w:type="dxa"/>
            <w:right w:w="0" w:type="dxa"/>
          </w:tblCellMar>
        </w:tblPrEx>
        <w:trPr>
          <w:trHeight w:val="467"/>
        </w:trPr>
        <w:tc>
          <w:tcPr>
            <w:tcW w:w="3735" w:type="dxa"/>
          </w:tcPr>
          <w:p>
            <w:pPr>
              <w:pStyle w:val="TableParagraph"/>
              <w:spacing w:line="230" w:lineRule="exact"/>
              <w:ind w:left="135" w:right="129"/>
              <w:jc w:val="center"/>
              <w:rPr>
                <w:sz w:val="18"/>
              </w:rPr>
            </w:pPr>
            <w:r>
              <w:rPr>
                <w:sz w:val="18"/>
              </w:rPr>
              <w:t>厂区周围不宜有虫害大量滋生的潜在场所，</w:t>
            </w:r>
          </w:p>
          <w:p>
            <w:pPr>
              <w:pStyle w:val="TableParagraph"/>
              <w:spacing w:before="4" w:line="213" w:lineRule="exact"/>
              <w:ind w:left="155" w:right="146"/>
              <w:jc w:val="center"/>
              <w:rPr>
                <w:sz w:val="18"/>
              </w:rPr>
            </w:pPr>
            <w:r>
              <w:rPr>
                <w:sz w:val="18"/>
              </w:rPr>
              <w:t>难以避开时应设计必要的防范措施。</w:t>
            </w:r>
          </w:p>
        </w:tc>
        <w:tc>
          <w:tcPr>
            <w:tcW w:w="3360" w:type="dxa"/>
          </w:tcPr>
          <w:p>
            <w:pPr>
              <w:pStyle w:val="TableParagraph"/>
              <w:spacing w:before="117"/>
              <w:ind w:left="149" w:right="139"/>
              <w:jc w:val="center"/>
              <w:rPr>
                <w:sz w:val="18"/>
              </w:rPr>
            </w:pPr>
            <w:r>
              <w:rPr>
                <w:sz w:val="18"/>
              </w:rPr>
              <w:t>项目厂区周围无虫害大量滋生记录。</w:t>
            </w:r>
          </w:p>
        </w:tc>
        <w:tc>
          <w:tcPr>
            <w:tcW w:w="938" w:type="dxa"/>
          </w:tcPr>
          <w:p>
            <w:pPr>
              <w:pStyle w:val="TableParagraph"/>
              <w:spacing w:before="117"/>
              <w:ind w:left="177" w:right="168"/>
              <w:jc w:val="center"/>
              <w:rPr>
                <w:sz w:val="18"/>
              </w:rPr>
            </w:pPr>
            <w:r>
              <w:rPr>
                <w:sz w:val="18"/>
              </w:rPr>
              <w:t>相符</w:t>
            </w:r>
          </w:p>
        </w:tc>
      </w:tr>
    </w:tbl>
    <w:p>
      <w:pPr>
        <w:pStyle w:val="BodyText"/>
        <w:spacing w:before="10"/>
        <w:rPr>
          <w:b/>
          <w:sz w:val="18"/>
        </w:rPr>
      </w:pPr>
    </w:p>
    <w:p>
      <w:pPr>
        <w:pStyle w:val="BodyText"/>
        <w:ind w:left="1769"/>
      </w:pPr>
      <w:r>
        <w:t>因此，建设项目选址与《食品企业通用卫生规范》（</w:t>
      </w:r>
      <w:r>
        <w:rPr>
          <w:rFonts w:ascii="Times New Roman" w:eastAsia="Times New Roman"/>
        </w:rPr>
        <w:t>GB14881-2013</w:t>
      </w:r>
      <w:r>
        <w:t>）相符。</w:t>
      </w:r>
    </w:p>
    <w:p>
      <w:pPr>
        <w:pStyle w:val="Heading3"/>
        <w:numPr>
          <w:ilvl w:val="0"/>
          <w:numId w:val="11"/>
        </w:numPr>
        <w:tabs>
          <w:tab w:val="left" w:pos="2301"/>
        </w:tabs>
        <w:spacing w:before="139" w:after="0" w:line="240" w:lineRule="auto"/>
        <w:ind w:left="2300" w:right="0" w:hanging="530"/>
        <w:jc w:val="left"/>
      </w:pPr>
      <w:r>
        <w:rPr>
          <w:spacing w:val="-8"/>
        </w:rPr>
        <w:t>《食品接触材料及制品生产通用卫生规范》</w:t>
      </w:r>
      <w:r>
        <w:t>（</w:t>
      </w:r>
      <w:r>
        <w:rPr>
          <w:rFonts w:ascii="Times New Roman" w:eastAsia="Times New Roman"/>
        </w:rPr>
        <w:t>GB31603-2015</w:t>
      </w:r>
      <w:r>
        <w:t>）</w:t>
      </w:r>
    </w:p>
    <w:p>
      <w:pPr>
        <w:pStyle w:val="BodyText"/>
        <w:spacing w:before="142" w:line="364" w:lineRule="auto"/>
        <w:ind w:left="1349" w:right="228" w:firstLine="420"/>
        <w:jc w:val="both"/>
      </w:pPr>
      <w:r>
        <w:t>《食品接触材料及制品生产通用卫生规范》（</w:t>
      </w:r>
      <w:r>
        <w:rPr>
          <w:rFonts w:ascii="Times New Roman" w:eastAsia="Times New Roman"/>
        </w:rPr>
        <w:t>GB31603-2015</w:t>
      </w:r>
      <w:r>
        <w:t>）规定了食品接触材料及制品的生产，从原辅料采购、加工、贮存、运输等各个环节的基本卫生要求和管理准则。</w:t>
      </w:r>
    </w:p>
    <w:p>
      <w:pPr>
        <w:pStyle w:val="BodyText"/>
        <w:spacing w:line="364" w:lineRule="auto"/>
        <w:ind w:left="1349" w:right="228" w:firstLine="420"/>
        <w:jc w:val="both"/>
      </w:pPr>
      <w:r>
        <w:rPr>
          <w:spacing w:val="-1"/>
        </w:rPr>
        <w:t>本次项目位于现有厂区内，厂区道路硬化，内外环境整洁、卫生，生产、办公、辅</w:t>
      </w:r>
      <w:r>
        <w:rPr>
          <w:spacing w:val="-4"/>
        </w:rPr>
        <w:t xml:space="preserve">助区总体布局合理；车间内按照不同洁净度要求划分不同生产区，主要生产区为 </w:t>
      </w:r>
      <w:r>
        <w:rPr>
          <w:rFonts w:ascii="Times New Roman" w:eastAsia="Times New Roman"/>
        </w:rPr>
        <w:t xml:space="preserve">D </w:t>
      </w:r>
      <w:r>
        <w:rPr>
          <w:spacing w:val="-3"/>
        </w:rPr>
        <w:t>级洁</w:t>
      </w:r>
      <w:r>
        <w:rPr>
          <w:spacing w:val="-1"/>
        </w:rPr>
        <w:t>净度，对厂区内的生产车间和公共场所实行分级卫生管理；印刷油墨符合国家相关法律法规和标准的要求，确保印刷油墨不易从产品上脱落。因此，本项目与《食品接触材料</w:t>
      </w:r>
      <w:r>
        <w:rPr>
          <w:spacing w:val="-12"/>
        </w:rPr>
        <w:t>及制品生产通用卫生规范》</w:t>
      </w:r>
      <w:r>
        <w:t>（</w:t>
      </w:r>
      <w:r>
        <w:rPr>
          <w:rFonts w:ascii="Times New Roman" w:eastAsia="Times New Roman"/>
        </w:rPr>
        <w:t>GB31603-2015</w:t>
      </w:r>
      <w:r>
        <w:t>）</w:t>
      </w:r>
      <w:r>
        <w:rPr>
          <w:spacing w:val="-2"/>
        </w:rPr>
        <w:t>相符。</w:t>
      </w:r>
    </w:p>
    <w:p>
      <w:pPr>
        <w:spacing w:after="0" w:line="364" w:lineRule="auto"/>
        <w:jc w:val="both"/>
        <w:sectPr>
          <w:footerReference w:type="default" r:id="rId19"/>
          <w:pgSz w:w="11910" w:h="16840"/>
          <w:pgMar w:top="1360" w:right="1140" w:bottom="1260" w:left="1140" w:header="0" w:footer="994" w:gutter="0"/>
          <w:pgNumType w:start="15"/>
          <w:cols w:num="1" w:space="720"/>
        </w:sectPr>
      </w:pPr>
    </w:p>
    <w:p>
      <w:pPr>
        <w:pStyle w:val="Heading1"/>
        <w:tabs>
          <w:tab w:val="left" w:pos="3821"/>
        </w:tabs>
        <w:ind w:left="3397"/>
      </w:pPr>
      <w:bookmarkStart w:id="8" w:name="_bookmark8"/>
      <w:bookmarkEnd w:id="8"/>
      <w:r>
        <w:rPr>
          <w:rFonts w:ascii="Times New Roman" w:eastAsia="Times New Roman"/>
        </w:rPr>
        <w:t>2</w:t>
      </w:r>
      <w:r>
        <w:rPr>
          <w:rFonts w:ascii="Times New Roman" w:eastAsia="Times New Roman"/>
        </w:rPr>
        <w:tab/>
      </w:r>
      <w:r>
        <w:t>建设项目工程分析</w:t>
      </w:r>
    </w:p>
    <w:p>
      <w:pPr>
        <w:pStyle w:val="BodyText"/>
        <w:spacing w:before="4"/>
        <w:rPr>
          <w:b/>
          <w:sz w:val="15"/>
        </w:rPr>
      </w:pPr>
    </w:p>
    <w:tbl>
      <w:tblPr>
        <w:tblStyle w:val="TableNormal"/>
        <w:tblW w:w="0" w:type="auto"/>
        <w:tblInd w:w="2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27"/>
        <w:gridCol w:w="8625"/>
      </w:tblGrid>
      <w:tr>
        <w:tblPrEx>
          <w:tblW w:w="0" w:type="auto"/>
          <w:tblInd w:w="2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3222"/>
        </w:trPr>
        <w:tc>
          <w:tcPr>
            <w:tcW w:w="427" w:type="dxa"/>
            <w:tcBorders>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73" w:line="242" w:lineRule="auto"/>
              <w:ind w:left="107" w:right="91"/>
              <w:jc w:val="both"/>
              <w:rPr>
                <w:sz w:val="21"/>
              </w:rPr>
            </w:pPr>
            <w:r>
              <w:rPr>
                <w:sz w:val="21"/>
              </w:rPr>
              <w:t>建设内容</w:t>
            </w:r>
          </w:p>
        </w:tc>
        <w:tc>
          <w:tcPr>
            <w:tcW w:w="8625" w:type="dxa"/>
            <w:tcBorders>
              <w:left w:val="single" w:sz="4" w:space="0" w:color="000000"/>
            </w:tcBorders>
          </w:tcPr>
          <w:p>
            <w:pPr>
              <w:pStyle w:val="TableParagraph"/>
              <w:spacing w:before="10"/>
              <w:rPr>
                <w:b/>
                <w:sz w:val="18"/>
              </w:rPr>
            </w:pPr>
          </w:p>
          <w:p>
            <w:pPr>
              <w:pStyle w:val="TableParagraph"/>
              <w:ind w:right="84"/>
              <w:jc w:val="right"/>
              <w:rPr>
                <w:sz w:val="21"/>
              </w:rPr>
            </w:pPr>
            <w:r>
              <w:rPr>
                <w:sz w:val="21"/>
              </w:rPr>
              <w:t>江苏沃源包装制品有限公司（营业执照见</w:t>
            </w:r>
            <w:hyperlink w:anchor="_bookmark65" w:history="1">
              <w:r>
                <w:rPr>
                  <w:sz w:val="21"/>
                </w:rPr>
                <w:t>附件三</w:t>
              </w:r>
            </w:hyperlink>
            <w:r>
              <w:rPr>
                <w:rFonts w:ascii="Times New Roman" w:eastAsia="Times New Roman"/>
                <w:sz w:val="21"/>
              </w:rPr>
              <w:t>-1</w:t>
            </w:r>
            <w:r>
              <w:rPr>
                <w:sz w:val="21"/>
              </w:rPr>
              <w:t>）</w:t>
            </w:r>
            <w:r>
              <w:rPr>
                <w:spacing w:val="7"/>
                <w:sz w:val="21"/>
              </w:rPr>
              <w:t xml:space="preserve">成立于 </w:t>
            </w:r>
            <w:r>
              <w:rPr>
                <w:rFonts w:ascii="Times New Roman" w:eastAsia="Times New Roman"/>
                <w:sz w:val="21"/>
              </w:rPr>
              <w:t>2013</w:t>
            </w:r>
            <w:r>
              <w:rPr>
                <w:rFonts w:ascii="Times New Roman" w:eastAsia="Times New Roman"/>
                <w:spacing w:val="2"/>
                <w:sz w:val="21"/>
              </w:rPr>
              <w:t xml:space="preserve">  </w:t>
            </w:r>
            <w:r>
              <w:rPr>
                <w:sz w:val="21"/>
              </w:rPr>
              <w:t>年，注册于东坎高新</w:t>
            </w:r>
          </w:p>
          <w:p>
            <w:pPr>
              <w:pStyle w:val="TableParagraph"/>
              <w:spacing w:before="141"/>
              <w:ind w:right="87"/>
              <w:jc w:val="right"/>
              <w:rPr>
                <w:sz w:val="21"/>
              </w:rPr>
            </w:pPr>
            <w:r>
              <w:rPr>
                <w:spacing w:val="2"/>
                <w:sz w:val="21"/>
              </w:rPr>
              <w:t xml:space="preserve">技术产业园盘洋大道 </w:t>
            </w:r>
            <w:r>
              <w:rPr>
                <w:rFonts w:ascii="Times New Roman" w:eastAsia="Times New Roman"/>
                <w:spacing w:val="-4"/>
                <w:sz w:val="21"/>
              </w:rPr>
              <w:t>11</w:t>
            </w:r>
            <w:r>
              <w:rPr>
                <w:rFonts w:ascii="Times New Roman" w:eastAsia="Times New Roman"/>
                <w:spacing w:val="-2"/>
                <w:sz w:val="21"/>
              </w:rPr>
              <w:t xml:space="preserve">  </w:t>
            </w:r>
            <w:r>
              <w:rPr>
                <w:spacing w:val="-2"/>
                <w:sz w:val="21"/>
              </w:rPr>
              <w:t>号，从事食品包装膜、单片压花膜的制造、加工，包装装潢印刷品</w:t>
            </w:r>
          </w:p>
          <w:p>
            <w:pPr>
              <w:pStyle w:val="TableParagraph"/>
              <w:spacing w:before="139"/>
              <w:ind w:right="83"/>
              <w:jc w:val="right"/>
              <w:rPr>
                <w:sz w:val="21"/>
              </w:rPr>
            </w:pPr>
            <w:r>
              <w:rPr>
                <w:spacing w:val="-3"/>
                <w:w w:val="100"/>
                <w:sz w:val="21"/>
              </w:rPr>
              <w:t>的印刷。现有“年产食品包装膜</w:t>
            </w:r>
            <w:r>
              <w:rPr>
                <w:spacing w:val="-53"/>
                <w:sz w:val="21"/>
              </w:rPr>
              <w:t xml:space="preserve"> </w:t>
            </w:r>
            <w:r>
              <w:rPr>
                <w:rFonts w:ascii="Times New Roman" w:eastAsia="Times New Roman" w:hAnsi="Times New Roman"/>
                <w:w w:val="100"/>
                <w:sz w:val="21"/>
              </w:rPr>
              <w:t>800</w:t>
            </w:r>
            <w:r>
              <w:rPr>
                <w:rFonts w:ascii="Times New Roman" w:eastAsia="Times New Roman" w:hAnsi="Times New Roman"/>
                <w:spacing w:val="-15"/>
                <w:sz w:val="21"/>
              </w:rPr>
              <w:t xml:space="preserve"> </w:t>
            </w:r>
            <w:r>
              <w:rPr>
                <w:spacing w:val="-3"/>
                <w:w w:val="100"/>
                <w:sz w:val="21"/>
              </w:rPr>
              <w:t>吨、单片压花膜</w:t>
            </w:r>
            <w:r>
              <w:rPr>
                <w:spacing w:val="-53"/>
                <w:sz w:val="21"/>
              </w:rPr>
              <w:t xml:space="preserve"> </w:t>
            </w:r>
            <w:r>
              <w:rPr>
                <w:rFonts w:ascii="Times New Roman" w:eastAsia="Times New Roman" w:hAnsi="Times New Roman"/>
                <w:w w:val="100"/>
                <w:sz w:val="21"/>
              </w:rPr>
              <w:t>7.5</w:t>
            </w:r>
            <w:r>
              <w:rPr>
                <w:rFonts w:ascii="Times New Roman" w:eastAsia="Times New Roman" w:hAnsi="Times New Roman"/>
                <w:spacing w:val="-12"/>
                <w:sz w:val="21"/>
              </w:rPr>
              <w:t xml:space="preserve"> </w:t>
            </w:r>
            <w:r>
              <w:rPr>
                <w:spacing w:val="-18"/>
                <w:w w:val="100"/>
                <w:sz w:val="21"/>
              </w:rPr>
              <w:t>亿片项目”，于</w:t>
            </w:r>
            <w:r>
              <w:rPr>
                <w:spacing w:val="-55"/>
                <w:sz w:val="21"/>
              </w:rPr>
              <w:t xml:space="preserve"> </w:t>
            </w:r>
            <w:r>
              <w:rPr>
                <w:rFonts w:ascii="Times New Roman" w:eastAsia="Times New Roman" w:hAnsi="Times New Roman"/>
                <w:w w:val="100"/>
                <w:sz w:val="21"/>
              </w:rPr>
              <w:t>2013</w:t>
            </w:r>
            <w:r>
              <w:rPr>
                <w:rFonts w:ascii="Times New Roman" w:eastAsia="Times New Roman" w:hAnsi="Times New Roman"/>
                <w:spacing w:val="-15"/>
                <w:sz w:val="21"/>
              </w:rPr>
              <w:t xml:space="preserve"> </w:t>
            </w:r>
            <w:r>
              <w:rPr>
                <w:w w:val="100"/>
                <w:sz w:val="21"/>
              </w:rPr>
              <w:t>年</w:t>
            </w:r>
            <w:r>
              <w:rPr>
                <w:spacing w:val="-53"/>
                <w:sz w:val="21"/>
              </w:rPr>
              <w:t xml:space="preserve"> </w:t>
            </w:r>
            <w:r>
              <w:rPr>
                <w:rFonts w:ascii="Times New Roman" w:eastAsia="Times New Roman" w:hAnsi="Times New Roman"/>
                <w:w w:val="100"/>
                <w:sz w:val="21"/>
              </w:rPr>
              <w:t>12</w:t>
            </w:r>
            <w:r>
              <w:rPr>
                <w:rFonts w:ascii="Times New Roman" w:eastAsia="Times New Roman" w:hAnsi="Times New Roman"/>
                <w:spacing w:val="-12"/>
                <w:sz w:val="21"/>
              </w:rPr>
              <w:t xml:space="preserve"> </w:t>
            </w:r>
            <w:r>
              <w:rPr>
                <w:spacing w:val="-3"/>
                <w:w w:val="100"/>
                <w:sz w:val="21"/>
              </w:rPr>
              <w:t>月获得滨</w:t>
            </w:r>
          </w:p>
          <w:p>
            <w:pPr>
              <w:pStyle w:val="TableParagraph"/>
              <w:spacing w:before="139"/>
              <w:ind w:left="110"/>
              <w:jc w:val="both"/>
              <w:rPr>
                <w:sz w:val="21"/>
              </w:rPr>
            </w:pPr>
            <w:r>
              <w:rPr>
                <w:spacing w:val="-3"/>
                <w:w w:val="100"/>
                <w:sz w:val="21"/>
              </w:rPr>
              <w:t>海县环境保护局的环评批复</w:t>
            </w:r>
            <w:r>
              <w:rPr>
                <w:w w:val="100"/>
                <w:sz w:val="21"/>
              </w:rPr>
              <w:t>（</w:t>
            </w:r>
            <w:r>
              <w:rPr>
                <w:spacing w:val="-2"/>
                <w:w w:val="100"/>
                <w:sz w:val="21"/>
              </w:rPr>
              <w:t>滨环管</w:t>
            </w:r>
            <w:r>
              <w:rPr>
                <w:rFonts w:ascii="Times New Roman" w:eastAsia="Times New Roman"/>
                <w:spacing w:val="-4"/>
                <w:w w:val="100"/>
                <w:sz w:val="21"/>
              </w:rPr>
              <w:t>[</w:t>
            </w:r>
            <w:r>
              <w:rPr>
                <w:rFonts w:ascii="Times New Roman" w:eastAsia="Times New Roman"/>
                <w:w w:val="100"/>
                <w:sz w:val="21"/>
              </w:rPr>
              <w:t>2013</w:t>
            </w:r>
            <w:r>
              <w:rPr>
                <w:rFonts w:ascii="Times New Roman" w:eastAsia="Times New Roman"/>
                <w:spacing w:val="-1"/>
                <w:w w:val="100"/>
                <w:sz w:val="21"/>
              </w:rPr>
              <w:t>]</w:t>
            </w:r>
            <w:r>
              <w:rPr>
                <w:rFonts w:ascii="Times New Roman" w:eastAsia="Times New Roman"/>
                <w:spacing w:val="-3"/>
                <w:w w:val="100"/>
                <w:sz w:val="21"/>
              </w:rPr>
              <w:t>1</w:t>
            </w:r>
            <w:r>
              <w:rPr>
                <w:rFonts w:ascii="Times New Roman" w:eastAsia="Times New Roman"/>
                <w:w w:val="100"/>
                <w:sz w:val="21"/>
              </w:rPr>
              <w:t>76</w:t>
            </w:r>
            <w:r>
              <w:rPr>
                <w:rFonts w:ascii="Times New Roman" w:eastAsia="Times New Roman"/>
                <w:spacing w:val="-22"/>
                <w:sz w:val="21"/>
              </w:rPr>
              <w:t xml:space="preserve"> </w:t>
            </w:r>
            <w:r>
              <w:rPr>
                <w:w w:val="100"/>
                <w:sz w:val="21"/>
              </w:rPr>
              <w:t>号</w:t>
            </w:r>
            <w:r>
              <w:rPr>
                <w:spacing w:val="-108"/>
                <w:w w:val="100"/>
                <w:sz w:val="21"/>
              </w:rPr>
              <w:t>）</w:t>
            </w:r>
            <w:r>
              <w:rPr>
                <w:spacing w:val="-1"/>
                <w:w w:val="100"/>
                <w:sz w:val="21"/>
              </w:rPr>
              <w:t>，该项目于</w:t>
            </w:r>
            <w:r>
              <w:rPr>
                <w:spacing w:val="-65"/>
                <w:sz w:val="21"/>
              </w:rPr>
              <w:t xml:space="preserve"> </w:t>
            </w:r>
            <w:r>
              <w:rPr>
                <w:rFonts w:ascii="Times New Roman" w:eastAsia="Times New Roman"/>
                <w:spacing w:val="-3"/>
                <w:w w:val="100"/>
                <w:sz w:val="21"/>
              </w:rPr>
              <w:t>2</w:t>
            </w:r>
            <w:r>
              <w:rPr>
                <w:rFonts w:ascii="Times New Roman" w:eastAsia="Times New Roman"/>
                <w:w w:val="100"/>
                <w:sz w:val="21"/>
              </w:rPr>
              <w:t>016</w:t>
            </w:r>
            <w:r>
              <w:rPr>
                <w:rFonts w:ascii="Times New Roman" w:eastAsia="Times New Roman"/>
                <w:spacing w:val="-19"/>
                <w:sz w:val="21"/>
              </w:rPr>
              <w:t xml:space="preserve"> </w:t>
            </w:r>
            <w:r>
              <w:rPr>
                <w:w w:val="100"/>
                <w:sz w:val="21"/>
              </w:rPr>
              <w:t>年</w:t>
            </w:r>
            <w:r>
              <w:rPr>
                <w:spacing w:val="-67"/>
                <w:sz w:val="21"/>
              </w:rPr>
              <w:t xml:space="preserve"> </w:t>
            </w:r>
            <w:r>
              <w:rPr>
                <w:rFonts w:ascii="Times New Roman" w:eastAsia="Times New Roman"/>
                <w:w w:val="100"/>
                <w:sz w:val="21"/>
              </w:rPr>
              <w:t>7</w:t>
            </w:r>
            <w:r>
              <w:rPr>
                <w:rFonts w:ascii="Times New Roman" w:eastAsia="Times New Roman"/>
                <w:spacing w:val="-19"/>
                <w:sz w:val="21"/>
              </w:rPr>
              <w:t xml:space="preserve"> </w:t>
            </w:r>
            <w:r>
              <w:rPr>
                <w:spacing w:val="-3"/>
                <w:w w:val="100"/>
                <w:sz w:val="21"/>
              </w:rPr>
              <w:t>月完成环保设施竣工</w:t>
            </w:r>
          </w:p>
          <w:p>
            <w:pPr>
              <w:pStyle w:val="TableParagraph"/>
              <w:spacing w:before="139" w:line="364" w:lineRule="auto"/>
              <w:ind w:left="110" w:right="84"/>
              <w:jc w:val="both"/>
              <w:rPr>
                <w:sz w:val="21"/>
              </w:rPr>
            </w:pPr>
            <w:r>
              <w:rPr>
                <w:w w:val="100"/>
                <w:sz w:val="21"/>
              </w:rPr>
              <w:t>验收</w:t>
            </w:r>
            <w:r>
              <w:rPr>
                <w:spacing w:val="-3"/>
                <w:w w:val="100"/>
                <w:sz w:val="21"/>
              </w:rPr>
              <w:t>（</w:t>
            </w:r>
            <w:r>
              <w:rPr>
                <w:spacing w:val="-2"/>
                <w:w w:val="100"/>
                <w:sz w:val="21"/>
              </w:rPr>
              <w:t>滨环验</w:t>
            </w:r>
            <w:r>
              <w:rPr>
                <w:rFonts w:ascii="Times New Roman" w:eastAsia="Times New Roman"/>
                <w:spacing w:val="-1"/>
                <w:w w:val="100"/>
                <w:sz w:val="21"/>
              </w:rPr>
              <w:t>[</w:t>
            </w:r>
            <w:r>
              <w:rPr>
                <w:rFonts w:ascii="Times New Roman" w:eastAsia="Times New Roman"/>
                <w:w w:val="100"/>
                <w:sz w:val="21"/>
              </w:rPr>
              <w:t>2</w:t>
            </w:r>
            <w:r>
              <w:rPr>
                <w:rFonts w:ascii="Times New Roman" w:eastAsia="Times New Roman"/>
                <w:spacing w:val="-3"/>
                <w:w w:val="100"/>
                <w:sz w:val="21"/>
              </w:rPr>
              <w:t>0</w:t>
            </w:r>
            <w:r>
              <w:rPr>
                <w:rFonts w:ascii="Times New Roman" w:eastAsia="Times New Roman"/>
                <w:w w:val="100"/>
                <w:sz w:val="21"/>
              </w:rPr>
              <w:t>16</w:t>
            </w:r>
            <w:r>
              <w:rPr>
                <w:rFonts w:ascii="Times New Roman" w:eastAsia="Times New Roman"/>
                <w:spacing w:val="-1"/>
                <w:w w:val="100"/>
                <w:sz w:val="21"/>
              </w:rPr>
              <w:t>]</w:t>
            </w:r>
            <w:r>
              <w:rPr>
                <w:rFonts w:ascii="Times New Roman" w:eastAsia="Times New Roman"/>
                <w:w w:val="100"/>
                <w:sz w:val="21"/>
              </w:rPr>
              <w:t>16</w:t>
            </w:r>
            <w:r>
              <w:rPr>
                <w:rFonts w:ascii="Times New Roman" w:eastAsia="Times New Roman"/>
                <w:spacing w:val="-12"/>
                <w:sz w:val="21"/>
              </w:rPr>
              <w:t xml:space="preserve"> </w:t>
            </w:r>
            <w:r>
              <w:rPr>
                <w:w w:val="100"/>
                <w:sz w:val="21"/>
              </w:rPr>
              <w:t>号</w:t>
            </w:r>
            <w:r>
              <w:rPr>
                <w:spacing w:val="-108"/>
                <w:w w:val="100"/>
                <w:sz w:val="21"/>
              </w:rPr>
              <w:t>）</w:t>
            </w:r>
            <w:r>
              <w:rPr>
                <w:spacing w:val="-3"/>
                <w:w w:val="100"/>
                <w:sz w:val="21"/>
              </w:rPr>
              <w:t>，该项目实际建设情况年产食品包装膜</w:t>
            </w:r>
            <w:r>
              <w:rPr>
                <w:spacing w:val="-53"/>
                <w:sz w:val="21"/>
              </w:rPr>
              <w:t xml:space="preserve"> </w:t>
            </w:r>
            <w:r>
              <w:rPr>
                <w:rFonts w:ascii="Times New Roman" w:eastAsia="Times New Roman"/>
                <w:w w:val="100"/>
                <w:sz w:val="21"/>
              </w:rPr>
              <w:t>1</w:t>
            </w:r>
            <w:r>
              <w:rPr>
                <w:rFonts w:ascii="Times New Roman" w:eastAsia="Times New Roman"/>
                <w:spacing w:val="-3"/>
                <w:w w:val="100"/>
                <w:sz w:val="21"/>
              </w:rPr>
              <w:t>5</w:t>
            </w:r>
            <w:r>
              <w:rPr>
                <w:rFonts w:ascii="Times New Roman" w:eastAsia="Times New Roman"/>
                <w:w w:val="100"/>
                <w:sz w:val="21"/>
              </w:rPr>
              <w:t>0</w:t>
            </w:r>
            <w:r>
              <w:rPr>
                <w:rFonts w:ascii="Times New Roman" w:eastAsia="Times New Roman"/>
                <w:spacing w:val="-10"/>
                <w:sz w:val="21"/>
              </w:rPr>
              <w:t xml:space="preserve"> </w:t>
            </w:r>
            <w:r>
              <w:rPr>
                <w:spacing w:val="-3"/>
                <w:w w:val="100"/>
                <w:sz w:val="21"/>
              </w:rPr>
              <w:t>吨、单片压花膜</w:t>
            </w:r>
            <w:r>
              <w:rPr>
                <w:spacing w:val="-52"/>
                <w:sz w:val="21"/>
              </w:rPr>
              <w:t xml:space="preserve"> </w:t>
            </w:r>
            <w:r>
              <w:rPr>
                <w:rFonts w:ascii="Times New Roman" w:eastAsia="Times New Roman"/>
                <w:w w:val="100"/>
                <w:sz w:val="21"/>
              </w:rPr>
              <w:t>1.5</w:t>
            </w:r>
            <w:r>
              <w:rPr>
                <w:rFonts w:ascii="Times New Roman" w:eastAsia="Times New Roman"/>
                <w:spacing w:val="-12"/>
                <w:sz w:val="21"/>
              </w:rPr>
              <w:t xml:space="preserve"> </w:t>
            </w:r>
            <w:r>
              <w:rPr>
                <w:w w:val="100"/>
                <w:sz w:val="21"/>
              </w:rPr>
              <w:t>亿</w:t>
            </w:r>
            <w:r>
              <w:rPr>
                <w:sz w:val="21"/>
              </w:rPr>
              <w:t>片。</w:t>
            </w:r>
          </w:p>
          <w:p>
            <w:pPr>
              <w:pStyle w:val="TableParagraph"/>
              <w:spacing w:before="1" w:line="364" w:lineRule="auto"/>
              <w:ind w:left="110" w:right="83" w:firstLine="419"/>
              <w:jc w:val="both"/>
              <w:rPr>
                <w:rFonts w:ascii="Times New Roman" w:eastAsia="Times New Roman"/>
                <w:sz w:val="21"/>
              </w:rPr>
            </w:pPr>
            <w:r>
              <w:rPr>
                <w:spacing w:val="-3"/>
                <w:sz w:val="21"/>
              </w:rPr>
              <w:t>企业根据实际生产经验（水性油墨附着力较低，部分重彩图案印刷时容易脱落，油性油</w:t>
            </w:r>
            <w:r>
              <w:rPr>
                <w:w w:val="100"/>
                <w:sz w:val="21"/>
              </w:rPr>
              <w:t>墨具有无可替代性，行业协会说明材料见</w:t>
            </w:r>
            <w:hyperlink w:anchor="_bookmark71" w:history="1">
              <w:r>
                <w:rPr>
                  <w:spacing w:val="1"/>
                  <w:w w:val="100"/>
                  <w:sz w:val="21"/>
                </w:rPr>
                <w:t>附件十二</w:t>
              </w:r>
            </w:hyperlink>
            <w:r>
              <w:rPr>
                <w:spacing w:val="-106"/>
                <w:w w:val="100"/>
                <w:sz w:val="21"/>
              </w:rPr>
              <w:t>）</w:t>
            </w:r>
            <w:r>
              <w:rPr>
                <w:w w:val="100"/>
                <w:sz w:val="21"/>
              </w:rPr>
              <w:t>，拟对现有项目进行扩建，针对水性油</w:t>
            </w:r>
            <w:r>
              <w:rPr>
                <w:spacing w:val="-4"/>
                <w:sz w:val="21"/>
              </w:rPr>
              <w:t>墨难以着墨的重图案新增油性油墨印刷工艺；同时，根据现有业务量及现有项目实际生产产</w:t>
            </w:r>
            <w:r>
              <w:rPr>
                <w:spacing w:val="-3"/>
                <w:sz w:val="21"/>
              </w:rPr>
              <w:t xml:space="preserve">能，适当缩小生产规模。扩建项目建成后，全厂年产食品包装膜 </w:t>
            </w:r>
            <w:r>
              <w:rPr>
                <w:rFonts w:ascii="Times New Roman" w:eastAsia="Times New Roman"/>
                <w:sz w:val="21"/>
              </w:rPr>
              <w:t xml:space="preserve">250 </w:t>
            </w:r>
            <w:r>
              <w:rPr>
                <w:spacing w:val="-3"/>
                <w:sz w:val="21"/>
              </w:rPr>
              <w:t xml:space="preserve">吨、单片压花膜的 </w:t>
            </w:r>
            <w:r>
              <w:rPr>
                <w:rFonts w:ascii="Times New Roman" w:eastAsia="Times New Roman"/>
                <w:sz w:val="21"/>
              </w:rPr>
              <w:t>2.5</w:t>
            </w:r>
          </w:p>
          <w:p>
            <w:pPr>
              <w:pStyle w:val="TableParagraph"/>
              <w:spacing w:line="265" w:lineRule="exact"/>
              <w:ind w:left="110"/>
              <w:jc w:val="both"/>
              <w:rPr>
                <w:sz w:val="21"/>
              </w:rPr>
            </w:pPr>
            <w:r>
              <w:rPr>
                <w:sz w:val="21"/>
              </w:rPr>
              <w:t xml:space="preserve">亿片，预计 </w:t>
            </w:r>
            <w:r>
              <w:rPr>
                <w:rFonts w:ascii="Times New Roman" w:eastAsia="Times New Roman"/>
                <w:sz w:val="21"/>
              </w:rPr>
              <w:t xml:space="preserve">2024 </w:t>
            </w:r>
            <w:r>
              <w:rPr>
                <w:sz w:val="21"/>
              </w:rPr>
              <w:t xml:space="preserve">年 </w:t>
            </w:r>
            <w:r>
              <w:rPr>
                <w:rFonts w:ascii="Times New Roman" w:eastAsia="Times New Roman"/>
                <w:sz w:val="21"/>
              </w:rPr>
              <w:t xml:space="preserve">2 </w:t>
            </w:r>
            <w:r>
              <w:rPr>
                <w:sz w:val="21"/>
              </w:rPr>
              <w:t>月投产。</w:t>
            </w:r>
          </w:p>
          <w:p>
            <w:pPr>
              <w:pStyle w:val="TableParagraph"/>
              <w:spacing w:before="141" w:line="364" w:lineRule="auto"/>
              <w:ind w:left="110" w:right="83" w:firstLine="419"/>
              <w:jc w:val="both"/>
              <w:rPr>
                <w:sz w:val="21"/>
              </w:rPr>
            </w:pPr>
            <w:r>
              <w:rPr>
                <w:spacing w:val="-22"/>
                <w:sz w:val="21"/>
              </w:rPr>
              <w:t>根据《中华人民共和国环境保护法》、《中华人民共和国环境影响评价法》、《建设项目环</w:t>
            </w:r>
            <w:r>
              <w:rPr>
                <w:spacing w:val="-8"/>
                <w:sz w:val="21"/>
              </w:rPr>
              <w:t>境保护管理条例》等文件有关规定，建设项目应进行环境影响评价。经对照《建设项目环境</w:t>
            </w:r>
            <w:r>
              <w:rPr>
                <w:spacing w:val="-5"/>
                <w:w w:val="100"/>
                <w:sz w:val="21"/>
              </w:rPr>
              <w:t>影响评价分类管理名录</w:t>
            </w:r>
            <w:r>
              <w:rPr>
                <w:spacing w:val="-3"/>
                <w:w w:val="100"/>
                <w:sz w:val="21"/>
              </w:rPr>
              <w:t>（</w:t>
            </w:r>
            <w:r>
              <w:rPr>
                <w:rFonts w:ascii="Times New Roman" w:eastAsia="Times New Roman" w:hAnsi="Times New Roman"/>
                <w:spacing w:val="-3"/>
                <w:w w:val="100"/>
                <w:sz w:val="21"/>
              </w:rPr>
              <w:t>2</w:t>
            </w:r>
            <w:r>
              <w:rPr>
                <w:rFonts w:ascii="Times New Roman" w:eastAsia="Times New Roman" w:hAnsi="Times New Roman"/>
                <w:w w:val="100"/>
                <w:sz w:val="21"/>
              </w:rPr>
              <w:t>02</w:t>
            </w:r>
            <w:r>
              <w:rPr>
                <w:rFonts w:ascii="Times New Roman" w:eastAsia="Times New Roman" w:hAnsi="Times New Roman"/>
                <w:spacing w:val="-1"/>
                <w:w w:val="100"/>
                <w:sz w:val="21"/>
              </w:rPr>
              <w:t>1</w:t>
            </w:r>
            <w:r>
              <w:rPr>
                <w:spacing w:val="-3"/>
                <w:w w:val="100"/>
                <w:sz w:val="21"/>
              </w:rPr>
              <w:t>）</w:t>
            </w:r>
            <w:r>
              <w:rPr>
                <w:spacing w:val="-53"/>
                <w:w w:val="100"/>
                <w:sz w:val="21"/>
              </w:rPr>
              <w:t>版》</w:t>
            </w:r>
            <w:r>
              <w:rPr>
                <w:spacing w:val="-3"/>
                <w:w w:val="100"/>
                <w:sz w:val="21"/>
              </w:rPr>
              <w:t>（环保部令第</w:t>
            </w:r>
            <w:r>
              <w:rPr>
                <w:spacing w:val="-36"/>
                <w:sz w:val="21"/>
              </w:rPr>
              <w:t xml:space="preserve"> </w:t>
            </w:r>
            <w:r>
              <w:rPr>
                <w:rFonts w:ascii="Times New Roman" w:eastAsia="Times New Roman" w:hAnsi="Times New Roman"/>
                <w:spacing w:val="-3"/>
                <w:w w:val="100"/>
                <w:sz w:val="21"/>
              </w:rPr>
              <w:t>1</w:t>
            </w:r>
            <w:r>
              <w:rPr>
                <w:rFonts w:ascii="Times New Roman" w:eastAsia="Times New Roman" w:hAnsi="Times New Roman"/>
                <w:w w:val="100"/>
                <w:sz w:val="21"/>
              </w:rPr>
              <w:t>6</w:t>
            </w:r>
            <w:r>
              <w:rPr>
                <w:rFonts w:ascii="Times New Roman" w:eastAsia="Times New Roman" w:hAnsi="Times New Roman"/>
                <w:sz w:val="21"/>
              </w:rPr>
              <w:t xml:space="preserve"> </w:t>
            </w:r>
            <w:r>
              <w:rPr>
                <w:w w:val="100"/>
                <w:sz w:val="21"/>
              </w:rPr>
              <w:t>号，</w:t>
            </w:r>
            <w:r>
              <w:rPr>
                <w:rFonts w:ascii="Times New Roman" w:eastAsia="Times New Roman" w:hAnsi="Times New Roman"/>
                <w:w w:val="100"/>
                <w:sz w:val="21"/>
              </w:rPr>
              <w:t>2</w:t>
            </w:r>
            <w:r>
              <w:rPr>
                <w:rFonts w:ascii="Times New Roman" w:eastAsia="Times New Roman" w:hAnsi="Times New Roman"/>
                <w:spacing w:val="-3"/>
                <w:w w:val="100"/>
                <w:sz w:val="21"/>
              </w:rPr>
              <w:t>0</w:t>
            </w:r>
            <w:r>
              <w:rPr>
                <w:rFonts w:ascii="Times New Roman" w:eastAsia="Times New Roman" w:hAnsi="Times New Roman"/>
                <w:w w:val="100"/>
                <w:sz w:val="21"/>
              </w:rPr>
              <w:t>21</w:t>
            </w:r>
            <w:r>
              <w:rPr>
                <w:rFonts w:ascii="Times New Roman" w:eastAsia="Times New Roman" w:hAnsi="Times New Roman"/>
                <w:sz w:val="21"/>
              </w:rPr>
              <w:t xml:space="preserve"> </w:t>
            </w:r>
            <w:r>
              <w:rPr>
                <w:w w:val="100"/>
                <w:sz w:val="21"/>
              </w:rPr>
              <w:t>年</w:t>
            </w:r>
            <w:r>
              <w:rPr>
                <w:spacing w:val="-36"/>
                <w:sz w:val="21"/>
              </w:rPr>
              <w:t xml:space="preserve"> </w:t>
            </w:r>
            <w:r>
              <w:rPr>
                <w:rFonts w:ascii="Times New Roman" w:eastAsia="Times New Roman" w:hAnsi="Times New Roman"/>
                <w:w w:val="100"/>
                <w:sz w:val="21"/>
              </w:rPr>
              <w:t>1</w:t>
            </w:r>
            <w:r>
              <w:rPr>
                <w:rFonts w:ascii="Times New Roman" w:eastAsia="Times New Roman" w:hAnsi="Times New Roman"/>
                <w:sz w:val="21"/>
              </w:rPr>
              <w:t xml:space="preserve"> </w:t>
            </w:r>
            <w:r>
              <w:rPr>
                <w:w w:val="100"/>
                <w:sz w:val="21"/>
              </w:rPr>
              <w:t>月</w:t>
            </w:r>
            <w:r>
              <w:rPr>
                <w:spacing w:val="-35"/>
                <w:sz w:val="21"/>
              </w:rPr>
              <w:t xml:space="preserve"> </w:t>
            </w:r>
            <w:r>
              <w:rPr>
                <w:rFonts w:ascii="Times New Roman" w:eastAsia="Times New Roman" w:hAnsi="Times New Roman"/>
                <w:w w:val="100"/>
                <w:sz w:val="21"/>
              </w:rPr>
              <w:t>1</w:t>
            </w:r>
            <w:r>
              <w:rPr>
                <w:rFonts w:ascii="Times New Roman" w:eastAsia="Times New Roman" w:hAnsi="Times New Roman"/>
                <w:spacing w:val="2"/>
                <w:sz w:val="21"/>
              </w:rPr>
              <w:t xml:space="preserve"> </w:t>
            </w:r>
            <w:r>
              <w:rPr>
                <w:spacing w:val="-3"/>
                <w:w w:val="100"/>
                <w:sz w:val="21"/>
              </w:rPr>
              <w:t>日起施行</w:t>
            </w:r>
            <w:r>
              <w:rPr>
                <w:spacing w:val="-106"/>
                <w:w w:val="100"/>
                <w:sz w:val="21"/>
              </w:rPr>
              <w:t>）</w:t>
            </w:r>
            <w:r>
              <w:rPr>
                <w:spacing w:val="-3"/>
                <w:w w:val="100"/>
                <w:sz w:val="21"/>
              </w:rPr>
              <w:t>，本项目</w:t>
            </w:r>
            <w:r>
              <w:rPr>
                <w:spacing w:val="-6"/>
                <w:sz w:val="21"/>
              </w:rPr>
              <w:t xml:space="preserve">类别属于“二十、印刷和记录媒介复制业 </w:t>
            </w:r>
            <w:r>
              <w:rPr>
                <w:rFonts w:ascii="Times New Roman" w:eastAsia="Times New Roman" w:hAnsi="Times New Roman"/>
                <w:sz w:val="21"/>
              </w:rPr>
              <w:t>23-39</w:t>
            </w:r>
            <w:r>
              <w:rPr>
                <w:spacing w:val="-17"/>
                <w:sz w:val="21"/>
              </w:rPr>
              <w:t xml:space="preserve">、印刷 </w:t>
            </w:r>
            <w:r>
              <w:rPr>
                <w:rFonts w:ascii="Times New Roman" w:eastAsia="Times New Roman" w:hAnsi="Times New Roman"/>
                <w:sz w:val="21"/>
              </w:rPr>
              <w:t>231*-</w:t>
            </w:r>
            <w:r>
              <w:rPr>
                <w:spacing w:val="-2"/>
                <w:sz w:val="21"/>
              </w:rPr>
              <w:t>其他</w:t>
            </w:r>
            <w:r>
              <w:rPr>
                <w:sz w:val="21"/>
              </w:rPr>
              <w:t>（</w:t>
            </w:r>
            <w:r>
              <w:rPr>
                <w:spacing w:val="10"/>
                <w:sz w:val="21"/>
              </w:rPr>
              <w:t>年用低</w:t>
            </w:r>
            <w:r>
              <w:rPr>
                <w:rFonts w:ascii="Times New Roman" w:eastAsia="Times New Roman" w:hAnsi="Times New Roman"/>
                <w:sz w:val="21"/>
              </w:rPr>
              <w:t>VOCs</w:t>
            </w:r>
            <w:r>
              <w:rPr>
                <w:rFonts w:ascii="Times New Roman" w:eastAsia="Times New Roman" w:hAnsi="Times New Roman"/>
                <w:spacing w:val="-16"/>
                <w:sz w:val="21"/>
              </w:rPr>
              <w:t xml:space="preserve"> </w:t>
            </w:r>
            <w:r>
              <w:rPr>
                <w:spacing w:val="-15"/>
                <w:sz w:val="21"/>
              </w:rPr>
              <w:t xml:space="preserve">含量油墨 </w:t>
            </w:r>
            <w:r>
              <w:rPr>
                <w:rFonts w:ascii="Times New Roman" w:eastAsia="Times New Roman" w:hAnsi="Times New Roman"/>
                <w:spacing w:val="-3"/>
                <w:sz w:val="21"/>
              </w:rPr>
              <w:t xml:space="preserve">10 </w:t>
            </w:r>
            <w:r>
              <w:rPr>
                <w:w w:val="100"/>
                <w:sz w:val="21"/>
              </w:rPr>
              <w:t>吨以下</w:t>
            </w:r>
            <w:r>
              <w:rPr>
                <w:spacing w:val="-108"/>
                <w:w w:val="100"/>
                <w:sz w:val="21"/>
              </w:rPr>
              <w:t>）</w:t>
            </w:r>
            <w:r>
              <w:rPr>
                <w:spacing w:val="-12"/>
                <w:w w:val="100"/>
                <w:sz w:val="21"/>
              </w:rPr>
              <w:t>”，环评类别为报告表。因此，江苏沃源包装制品有限公司委托江苏艾弗瑞环保科技</w:t>
            </w:r>
            <w:r>
              <w:rPr>
                <w:spacing w:val="-6"/>
                <w:sz w:val="21"/>
              </w:rPr>
              <w:t>有限公司开展该项目的环境影响评价工作，编制该项目环境影响报告表。接受委托后，我单</w:t>
            </w:r>
            <w:r>
              <w:rPr>
                <w:spacing w:val="-5"/>
                <w:sz w:val="21"/>
              </w:rPr>
              <w:t>位立即安排有关人员进行现场踏勘，对项目所处区域的环境质量现状、环境保护目标等进行</w:t>
            </w:r>
            <w:r>
              <w:rPr>
                <w:spacing w:val="-4"/>
                <w:sz w:val="21"/>
              </w:rPr>
              <w:t>调查，在此基础上完成了本项目的环境影响报告表，交由建设单位上报环保主管部门审查。</w:t>
            </w:r>
          </w:p>
          <w:p>
            <w:pPr>
              <w:pStyle w:val="TableParagraph"/>
              <w:spacing w:line="264" w:lineRule="exact"/>
              <w:ind w:left="532"/>
              <w:rPr>
                <w:b/>
                <w:sz w:val="21"/>
              </w:rPr>
            </w:pPr>
            <w:r>
              <w:rPr>
                <w:rFonts w:ascii="Times New Roman" w:eastAsia="Times New Roman"/>
                <w:b/>
                <w:sz w:val="21"/>
              </w:rPr>
              <w:t>1.</w:t>
            </w:r>
            <w:r>
              <w:rPr>
                <w:b/>
                <w:sz w:val="21"/>
              </w:rPr>
              <w:t>主要产品及产能情况</w:t>
            </w:r>
          </w:p>
          <w:p>
            <w:pPr>
              <w:pStyle w:val="TableParagraph"/>
              <w:spacing w:before="142" w:line="364" w:lineRule="auto"/>
              <w:ind w:left="110" w:right="87" w:firstLine="419"/>
              <w:rPr>
                <w:sz w:val="21"/>
              </w:rPr>
            </w:pPr>
            <w:r>
              <w:rPr>
                <w:sz w:val="21"/>
              </w:rPr>
              <w:t>扩建项目产品仍为食品包装封口膜、单片压花膜，产品实体照片见</w:t>
            </w:r>
            <w:hyperlink w:anchor="_bookmark9" w:history="1">
              <w:r>
                <w:rPr>
                  <w:sz w:val="21"/>
                </w:rPr>
                <w:t xml:space="preserve">图 </w:t>
              </w:r>
              <w:r>
                <w:rPr>
                  <w:rFonts w:ascii="Times New Roman" w:eastAsia="Times New Roman"/>
                  <w:sz w:val="21"/>
                </w:rPr>
                <w:t>2-1</w:t>
              </w:r>
            </w:hyperlink>
            <w:r>
              <w:rPr>
                <w:sz w:val="21"/>
              </w:rPr>
              <w:t>，各产品产量产能情况见下</w:t>
            </w:r>
            <w:hyperlink w:anchor="_bookmark10" w:history="1">
              <w:r>
                <w:rPr>
                  <w:sz w:val="21"/>
                </w:rPr>
                <w:t xml:space="preserve">表 </w:t>
              </w:r>
              <w:r>
                <w:rPr>
                  <w:rFonts w:ascii="Times New Roman" w:eastAsia="Times New Roman"/>
                  <w:sz w:val="21"/>
                </w:rPr>
                <w:t>2-1</w:t>
              </w:r>
            </w:hyperlink>
            <w:r>
              <w:rPr>
                <w:sz w:val="21"/>
              </w:rPr>
              <w:t>。</w:t>
            </w:r>
          </w:p>
          <w:p>
            <w:pPr>
              <w:pStyle w:val="TableParagraph"/>
              <w:ind w:left="671"/>
              <w:rPr>
                <w:sz w:val="20"/>
              </w:rPr>
            </w:pPr>
            <w:r>
              <w:rPr>
                <w:position w:val="1"/>
                <w:sz w:val="20"/>
              </w:rPr>
              <w:drawing>
                <wp:inline distT="0" distB="0" distL="0" distR="0">
                  <wp:extent cx="1920875" cy="1570990"/>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a:picLocks noChangeAspect="1"/>
                          </pic:cNvPicPr>
                        </pic:nvPicPr>
                        <pic:blipFill>
                          <a:blip xmlns:r="http://schemas.openxmlformats.org/officeDocument/2006/relationships" r:embed="rId20" cstate="print"/>
                          <a:stretch>
                            <a:fillRect/>
                          </a:stretch>
                        </pic:blipFill>
                        <pic:spPr>
                          <a:xfrm>
                            <a:off x="0" y="0"/>
                            <a:ext cx="1921210" cy="1571339"/>
                          </a:xfrm>
                          <a:prstGeom prst="rect">
                            <a:avLst/>
                          </a:prstGeom>
                        </pic:spPr>
                      </pic:pic>
                    </a:graphicData>
                  </a:graphic>
                </wp:inline>
              </w:drawing>
            </w:r>
            <w:r>
              <w:rPr>
                <w:rFonts w:ascii="Times New Roman"/>
                <w:spacing w:val="96"/>
                <w:position w:val="1"/>
                <w:sz w:val="20"/>
              </w:rPr>
              <w:t xml:space="preserve"> </w:t>
            </w:r>
            <w:r>
              <w:rPr>
                <w:spacing w:val="96"/>
                <w:sz w:val="20"/>
              </w:rPr>
              <w:drawing>
                <wp:inline distT="0" distB="0" distL="0" distR="0">
                  <wp:extent cx="2534285" cy="2352040"/>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xmlns:r="http://schemas.openxmlformats.org/officeDocument/2006/relationships" r:embed="rId21" cstate="print"/>
                          <a:stretch>
                            <a:fillRect/>
                          </a:stretch>
                        </pic:blipFill>
                        <pic:spPr>
                          <a:xfrm>
                            <a:off x="0" y="0"/>
                            <a:ext cx="2534741" cy="2352294"/>
                          </a:xfrm>
                          <a:prstGeom prst="rect">
                            <a:avLst/>
                          </a:prstGeom>
                        </pic:spPr>
                      </pic:pic>
                    </a:graphicData>
                  </a:graphic>
                </wp:inline>
              </w:drawing>
            </w:r>
          </w:p>
          <w:p>
            <w:pPr>
              <w:pStyle w:val="TableParagraph"/>
              <w:spacing w:before="14" w:line="252" w:lineRule="exact"/>
              <w:ind w:left="1441" w:right="1420"/>
              <w:jc w:val="center"/>
              <w:rPr>
                <w:b/>
                <w:sz w:val="21"/>
              </w:rPr>
            </w:pPr>
            <w:bookmarkStart w:id="9" w:name="_bookmark9"/>
            <w:bookmarkEnd w:id="9"/>
            <w:r>
              <w:rPr>
                <w:b/>
                <w:sz w:val="21"/>
              </w:rPr>
              <w:t xml:space="preserve">图 </w:t>
            </w:r>
            <w:r>
              <w:rPr>
                <w:rFonts w:ascii="Times New Roman" w:eastAsia="Times New Roman"/>
                <w:b/>
                <w:sz w:val="21"/>
              </w:rPr>
              <w:t xml:space="preserve">2-1 </w:t>
            </w:r>
            <w:r>
              <w:rPr>
                <w:b/>
                <w:sz w:val="21"/>
              </w:rPr>
              <w:t>产品实拍照片（左图为纸杯封口膜，产品不包括纸杯）</w:t>
            </w:r>
          </w:p>
        </w:tc>
      </w:tr>
    </w:tbl>
    <w:p>
      <w:pPr>
        <w:spacing w:after="0" w:line="252" w:lineRule="exact"/>
        <w:jc w:val="center"/>
        <w:rPr>
          <w:sz w:val="21"/>
        </w:rPr>
        <w:sectPr>
          <w:footerReference w:type="default" r:id="rId22"/>
          <w:pgSz w:w="11910" w:h="16840"/>
          <w:pgMar w:top="1360" w:right="1140" w:bottom="960" w:left="1140" w:header="0" w:footer="768" w:gutter="0"/>
          <w:pgNumType w:start="16"/>
          <w:cols w:num="1" w:space="720"/>
        </w:sectPr>
      </w:pPr>
    </w:p>
    <w:tbl>
      <w:tblPr>
        <w:tblStyle w:val="TableNormal"/>
        <w:tblW w:w="0" w:type="auto"/>
        <w:tblInd w:w="2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27"/>
        <w:gridCol w:w="110"/>
        <w:gridCol w:w="434"/>
        <w:gridCol w:w="1383"/>
        <w:gridCol w:w="2290"/>
        <w:gridCol w:w="427"/>
        <w:gridCol w:w="542"/>
        <w:gridCol w:w="825"/>
        <w:gridCol w:w="970"/>
        <w:gridCol w:w="833"/>
        <w:gridCol w:w="694"/>
        <w:gridCol w:w="116"/>
      </w:tblGrid>
      <w:tr>
        <w:tblPrEx>
          <w:tblW w:w="0" w:type="auto"/>
          <w:tblInd w:w="2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2133"/>
        </w:trPr>
        <w:tc>
          <w:tcPr>
            <w:tcW w:w="427" w:type="dxa"/>
            <w:vMerge w:val="restart"/>
            <w:tcBorders>
              <w:right w:val="single" w:sz="4" w:space="0" w:color="000000"/>
            </w:tcBorders>
          </w:tcPr>
          <w:p>
            <w:pPr>
              <w:pStyle w:val="TableParagraph"/>
              <w:rPr>
                <w:rFonts w:ascii="Times New Roman"/>
                <w:sz w:val="18"/>
              </w:rPr>
            </w:pPr>
          </w:p>
        </w:tc>
        <w:tc>
          <w:tcPr>
            <w:tcW w:w="8624" w:type="dxa"/>
            <w:gridSpan w:val="11"/>
            <w:tcBorders>
              <w:left w:val="single" w:sz="4" w:space="0" w:color="000000"/>
              <w:bottom w:val="single" w:sz="4" w:space="0" w:color="000000"/>
            </w:tcBorders>
          </w:tcPr>
          <w:p>
            <w:pPr>
              <w:pStyle w:val="TableParagraph"/>
              <w:spacing w:before="10"/>
              <w:rPr>
                <w:b/>
                <w:sz w:val="18"/>
              </w:rPr>
            </w:pPr>
          </w:p>
          <w:p>
            <w:pPr>
              <w:pStyle w:val="TableParagraph"/>
              <w:ind w:left="1335" w:right="1313"/>
              <w:jc w:val="center"/>
              <w:rPr>
                <w:b/>
                <w:sz w:val="21"/>
              </w:rPr>
            </w:pPr>
            <w:bookmarkStart w:id="10" w:name="_bookmark10"/>
            <w:bookmarkEnd w:id="10"/>
            <w:r>
              <w:rPr>
                <w:b/>
                <w:sz w:val="21"/>
              </w:rPr>
              <w:t xml:space="preserve">表 </w:t>
            </w:r>
            <w:r>
              <w:rPr>
                <w:rFonts w:ascii="Times New Roman" w:eastAsia="Times New Roman"/>
                <w:b/>
                <w:sz w:val="21"/>
              </w:rPr>
              <w:t xml:space="preserve">2-1 </w:t>
            </w:r>
            <w:r>
              <w:rPr>
                <w:b/>
                <w:sz w:val="21"/>
              </w:rPr>
              <w:t>建设项目主要产品及产能情况</w:t>
            </w: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spacing w:before="175"/>
              <w:ind w:left="110"/>
              <w:rPr>
                <w:sz w:val="18"/>
              </w:rPr>
            </w:pPr>
            <w:r>
              <w:rPr>
                <w:spacing w:val="-2"/>
                <w:sz w:val="18"/>
              </w:rPr>
              <w:t xml:space="preserve">注：现有环评批复设计生产能力“年产食品包装膜 </w:t>
            </w:r>
            <w:r>
              <w:rPr>
                <w:rFonts w:ascii="Times New Roman" w:eastAsia="Times New Roman" w:hAnsi="Times New Roman"/>
                <w:spacing w:val="1"/>
                <w:sz w:val="18"/>
              </w:rPr>
              <w:t>8</w:t>
            </w:r>
            <w:r>
              <w:rPr>
                <w:rFonts w:ascii="Times New Roman" w:eastAsia="Times New Roman" w:hAnsi="Times New Roman"/>
                <w:spacing w:val="-2"/>
                <w:sz w:val="18"/>
              </w:rPr>
              <w:t>0</w:t>
            </w:r>
            <w:r>
              <w:rPr>
                <w:rFonts w:ascii="Times New Roman" w:eastAsia="Times New Roman" w:hAnsi="Times New Roman"/>
                <w:sz w:val="18"/>
              </w:rPr>
              <w:t>0</w:t>
            </w:r>
            <w:r>
              <w:rPr>
                <w:rFonts w:ascii="Times New Roman" w:eastAsia="Times New Roman" w:hAnsi="Times New Roman"/>
                <w:spacing w:val="-8"/>
                <w:sz w:val="18"/>
              </w:rPr>
              <w:t xml:space="preserve"> </w:t>
            </w:r>
            <w:r>
              <w:rPr>
                <w:spacing w:val="-8"/>
                <w:sz w:val="18"/>
              </w:rPr>
              <w:t xml:space="preserve">吨、单片压花膜 </w:t>
            </w:r>
            <w:r>
              <w:rPr>
                <w:rFonts w:ascii="Times New Roman" w:eastAsia="Times New Roman" w:hAnsi="Times New Roman"/>
                <w:spacing w:val="1"/>
                <w:sz w:val="18"/>
              </w:rPr>
              <w:t>7</w:t>
            </w:r>
            <w:r>
              <w:rPr>
                <w:rFonts w:ascii="Times New Roman" w:eastAsia="Times New Roman" w:hAnsi="Times New Roman"/>
                <w:sz w:val="18"/>
              </w:rPr>
              <w:t>.5</w:t>
            </w:r>
            <w:r>
              <w:rPr>
                <w:rFonts w:ascii="Times New Roman" w:eastAsia="Times New Roman" w:hAnsi="Times New Roman"/>
                <w:spacing w:val="-8"/>
                <w:sz w:val="18"/>
              </w:rPr>
              <w:t xml:space="preserve"> </w:t>
            </w:r>
            <w:r>
              <w:rPr>
                <w:spacing w:val="-11"/>
                <w:sz w:val="18"/>
              </w:rPr>
              <w:t>亿片”，实际生产年产食品包装</w:t>
            </w:r>
          </w:p>
          <w:p>
            <w:pPr>
              <w:pStyle w:val="TableParagraph"/>
              <w:spacing w:before="4"/>
              <w:ind w:left="110"/>
              <w:rPr>
                <w:sz w:val="18"/>
              </w:rPr>
            </w:pPr>
            <w:r>
              <w:rPr>
                <w:sz w:val="18"/>
              </w:rPr>
              <w:t xml:space="preserve">膜 </w:t>
            </w:r>
            <w:r>
              <w:rPr>
                <w:rFonts w:ascii="Times New Roman" w:eastAsia="Times New Roman"/>
                <w:sz w:val="18"/>
              </w:rPr>
              <w:t xml:space="preserve">150 </w:t>
            </w:r>
            <w:r>
              <w:rPr>
                <w:sz w:val="18"/>
              </w:rPr>
              <w:t xml:space="preserve">吨、单片压花膜 </w:t>
            </w:r>
            <w:r>
              <w:rPr>
                <w:rFonts w:ascii="Times New Roman" w:eastAsia="Times New Roman"/>
                <w:sz w:val="18"/>
              </w:rPr>
              <w:t xml:space="preserve">1.5 </w:t>
            </w:r>
            <w:r>
              <w:rPr>
                <w:sz w:val="18"/>
              </w:rPr>
              <w:t>亿片。</w:t>
            </w:r>
          </w:p>
          <w:p>
            <w:pPr>
              <w:pStyle w:val="TableParagraph"/>
              <w:rPr>
                <w:b/>
                <w:sz w:val="19"/>
              </w:rPr>
            </w:pPr>
          </w:p>
          <w:p>
            <w:pPr>
              <w:pStyle w:val="TableParagraph"/>
              <w:numPr>
                <w:ilvl w:val="0"/>
                <w:numId w:val="58"/>
              </w:numPr>
              <w:tabs>
                <w:tab w:val="left" w:pos="693"/>
              </w:tabs>
              <w:spacing w:before="0" w:after="0" w:line="240" w:lineRule="auto"/>
              <w:ind w:left="692" w:right="0" w:hanging="161"/>
              <w:jc w:val="left"/>
              <w:rPr>
                <w:b/>
                <w:sz w:val="21"/>
              </w:rPr>
            </w:pPr>
            <w:r>
              <w:rPr>
                <w:b/>
                <w:spacing w:val="-2"/>
                <w:sz w:val="21"/>
              </w:rPr>
              <w:t>主要生产单元、主要工艺及生产设施名称一览表</w:t>
            </w:r>
          </w:p>
          <w:p>
            <w:pPr>
              <w:pStyle w:val="TableParagraph"/>
              <w:spacing w:before="140"/>
              <w:ind w:left="1335" w:right="1313"/>
              <w:jc w:val="center"/>
              <w:rPr>
                <w:b/>
                <w:sz w:val="21"/>
              </w:rPr>
            </w:pPr>
            <w:r>
              <w:rPr>
                <w:b/>
                <w:sz w:val="21"/>
              </w:rPr>
              <w:t xml:space="preserve">表 </w:t>
            </w:r>
            <w:r>
              <w:rPr>
                <w:rFonts w:ascii="Times New Roman" w:eastAsia="Times New Roman"/>
                <w:b/>
                <w:sz w:val="21"/>
              </w:rPr>
              <w:t xml:space="preserve">2-2 </w:t>
            </w:r>
            <w:r>
              <w:rPr>
                <w:b/>
                <w:sz w:val="21"/>
              </w:rPr>
              <w:t>扩建前后主要生产单元、主要工艺及生产设施名称一览表</w:t>
            </w: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spacing w:before="11"/>
              <w:rPr>
                <w:b/>
                <w:sz w:val="30"/>
              </w:rPr>
            </w:pPr>
          </w:p>
          <w:p>
            <w:pPr>
              <w:pStyle w:val="TableParagraph"/>
              <w:numPr>
                <w:ilvl w:val="0"/>
                <w:numId w:val="58"/>
              </w:numPr>
              <w:tabs>
                <w:tab w:val="left" w:pos="693"/>
              </w:tabs>
              <w:spacing w:before="0" w:after="0" w:line="240" w:lineRule="auto"/>
              <w:ind w:left="692" w:right="0" w:hanging="161"/>
              <w:jc w:val="left"/>
              <w:rPr>
                <w:b/>
                <w:sz w:val="21"/>
              </w:rPr>
            </w:pPr>
            <w:r>
              <w:rPr>
                <w:b/>
                <w:spacing w:val="-1"/>
                <w:sz w:val="21"/>
              </w:rPr>
              <w:t>项目原辅材料消耗、理化性质、物料平衡</w:t>
            </w:r>
          </w:p>
          <w:p>
            <w:pPr>
              <w:pStyle w:val="TableParagraph"/>
              <w:spacing w:before="139"/>
              <w:ind w:left="532"/>
              <w:rPr>
                <w:b/>
                <w:sz w:val="21"/>
              </w:rPr>
            </w:pPr>
            <w:r>
              <w:rPr>
                <w:b/>
                <w:sz w:val="21"/>
              </w:rPr>
              <w:t>（</w:t>
            </w:r>
            <w:r>
              <w:rPr>
                <w:rFonts w:ascii="Times New Roman" w:eastAsia="Times New Roman"/>
                <w:b/>
                <w:sz w:val="21"/>
              </w:rPr>
              <w:t>1</w:t>
            </w:r>
            <w:r>
              <w:rPr>
                <w:b/>
                <w:sz w:val="21"/>
              </w:rPr>
              <w:t>）原辅材料消耗表</w:t>
            </w:r>
          </w:p>
          <w:p>
            <w:pPr>
              <w:pStyle w:val="TableParagraph"/>
              <w:spacing w:before="142"/>
              <w:ind w:left="530"/>
              <w:rPr>
                <w:sz w:val="21"/>
              </w:rPr>
            </w:pPr>
            <w:r>
              <w:rPr>
                <w:sz w:val="21"/>
              </w:rPr>
              <w:t>建设项目各产品原辅材料消耗情况见</w:t>
            </w:r>
            <w:hyperlink w:anchor="_bookmark11" w:history="1">
              <w:r>
                <w:rPr>
                  <w:sz w:val="21"/>
                </w:rPr>
                <w:t xml:space="preserve">表 </w:t>
              </w:r>
              <w:r>
                <w:rPr>
                  <w:rFonts w:ascii="Times New Roman" w:eastAsia="Times New Roman"/>
                  <w:sz w:val="21"/>
                </w:rPr>
                <w:t>2-3</w:t>
              </w:r>
            </w:hyperlink>
            <w:r>
              <w:rPr>
                <w:sz w:val="21"/>
              </w:rPr>
              <w:t>：</w:t>
            </w:r>
          </w:p>
          <w:p>
            <w:pPr>
              <w:pStyle w:val="TableParagraph"/>
              <w:spacing w:before="139" w:line="245" w:lineRule="exact"/>
              <w:ind w:left="1330" w:right="1313"/>
              <w:jc w:val="center"/>
              <w:rPr>
                <w:b/>
                <w:sz w:val="21"/>
              </w:rPr>
            </w:pPr>
            <w:bookmarkStart w:id="11" w:name="_bookmark11"/>
            <w:bookmarkEnd w:id="11"/>
            <w:r>
              <w:rPr>
                <w:b/>
                <w:sz w:val="21"/>
              </w:rPr>
              <w:t xml:space="preserve">表 </w:t>
            </w:r>
            <w:r>
              <w:rPr>
                <w:rFonts w:ascii="Times New Roman" w:eastAsia="Times New Roman"/>
                <w:b/>
                <w:sz w:val="21"/>
              </w:rPr>
              <w:t xml:space="preserve">2-3 </w:t>
            </w:r>
            <w:r>
              <w:rPr>
                <w:b/>
                <w:sz w:val="21"/>
              </w:rPr>
              <w:t>项目原辅材料消耗表</w:t>
            </w:r>
          </w:p>
        </w:tc>
      </w:tr>
      <w:tr>
        <w:tblPrEx>
          <w:tblW w:w="0" w:type="auto"/>
          <w:tblInd w:w="298" w:type="dxa"/>
          <w:tblLayout w:type="fixed"/>
          <w:tblCellMar>
            <w:top w:w="0" w:type="dxa"/>
            <w:left w:w="0" w:type="dxa"/>
            <w:bottom w:w="0" w:type="dxa"/>
            <w:right w:w="0" w:type="dxa"/>
          </w:tblCellMar>
        </w:tblPrEx>
        <w:trPr>
          <w:trHeight w:val="272"/>
        </w:trPr>
        <w:tc>
          <w:tcPr>
            <w:tcW w:w="427" w:type="dxa"/>
            <w:vMerge/>
            <w:tcBorders>
              <w:top w:val="nil"/>
              <w:right w:val="single" w:sz="4" w:space="0" w:color="000000"/>
            </w:tcBorders>
          </w:tcPr>
          <w:p>
            <w:pPr>
              <w:rPr>
                <w:sz w:val="2"/>
                <w:szCs w:val="2"/>
              </w:rPr>
            </w:pPr>
          </w:p>
        </w:tc>
        <w:tc>
          <w:tcPr>
            <w:tcW w:w="110" w:type="dxa"/>
            <w:vMerge w:val="restart"/>
            <w:tcBorders>
              <w:top w:val="nil"/>
              <w:left w:val="single" w:sz="4" w:space="0" w:color="000000"/>
              <w:right w:val="single" w:sz="4" w:space="0" w:color="000000"/>
            </w:tcBorders>
          </w:tcPr>
          <w:p>
            <w:pPr>
              <w:pStyle w:val="TableParagraph"/>
              <w:rPr>
                <w:rFonts w:ascii="Times New Roman"/>
                <w:sz w:val="18"/>
              </w:rPr>
            </w:pPr>
          </w:p>
        </w:tc>
        <w:tc>
          <w:tcPr>
            <w:tcW w:w="434"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50" w:line="242" w:lineRule="auto"/>
              <w:ind w:left="134" w:right="107"/>
              <w:rPr>
                <w:b/>
                <w:sz w:val="18"/>
              </w:rPr>
            </w:pPr>
            <w:r>
              <w:rPr>
                <w:b/>
                <w:sz w:val="18"/>
              </w:rPr>
              <w:t>序号</w:t>
            </w:r>
          </w:p>
        </w:tc>
        <w:tc>
          <w:tcPr>
            <w:tcW w:w="1383"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50" w:line="242" w:lineRule="auto"/>
              <w:ind w:left="516" w:right="489"/>
              <w:jc w:val="center"/>
              <w:rPr>
                <w:b/>
                <w:sz w:val="18"/>
              </w:rPr>
            </w:pPr>
            <w:r>
              <w:rPr>
                <w:b/>
                <w:sz w:val="18"/>
              </w:rPr>
              <w:t>物料名称</w:t>
            </w:r>
          </w:p>
        </w:tc>
        <w:tc>
          <w:tcPr>
            <w:tcW w:w="2290"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67"/>
              <w:ind w:left="763"/>
              <w:rPr>
                <w:b/>
                <w:sz w:val="18"/>
              </w:rPr>
            </w:pPr>
            <w:r>
              <w:rPr>
                <w:b/>
                <w:sz w:val="18"/>
              </w:rPr>
              <w:t>规格</w:t>
            </w:r>
            <w:r>
              <w:rPr>
                <w:rFonts w:ascii="Times New Roman" w:eastAsia="Times New Roman"/>
                <w:b/>
                <w:sz w:val="18"/>
              </w:rPr>
              <w:t>/</w:t>
            </w:r>
            <w:r>
              <w:rPr>
                <w:b/>
                <w:sz w:val="18"/>
              </w:rPr>
              <w:t>成分</w:t>
            </w:r>
          </w:p>
        </w:tc>
        <w:tc>
          <w:tcPr>
            <w:tcW w:w="427"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50" w:line="242" w:lineRule="auto"/>
              <w:ind w:left="127" w:right="107"/>
              <w:rPr>
                <w:b/>
                <w:sz w:val="18"/>
              </w:rPr>
            </w:pPr>
            <w:r>
              <w:rPr>
                <w:b/>
                <w:sz w:val="18"/>
              </w:rPr>
              <w:t>单位</w:t>
            </w:r>
          </w:p>
        </w:tc>
        <w:tc>
          <w:tcPr>
            <w:tcW w:w="542"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50" w:line="242" w:lineRule="auto"/>
              <w:ind w:left="185" w:right="164"/>
              <w:rPr>
                <w:b/>
                <w:sz w:val="18"/>
              </w:rPr>
            </w:pPr>
            <w:r>
              <w:rPr>
                <w:b/>
                <w:sz w:val="18"/>
              </w:rPr>
              <w:t>状态</w:t>
            </w:r>
          </w:p>
        </w:tc>
        <w:tc>
          <w:tcPr>
            <w:tcW w:w="2628" w:type="dxa"/>
            <w:gridSpan w:val="3"/>
            <w:tcBorders>
              <w:top w:val="single" w:sz="4" w:space="0" w:color="000000"/>
              <w:left w:val="single" w:sz="4" w:space="0" w:color="000000"/>
              <w:bottom w:val="single" w:sz="4" w:space="0" w:color="000000"/>
              <w:right w:val="single" w:sz="4" w:space="0" w:color="000000"/>
            </w:tcBorders>
          </w:tcPr>
          <w:p>
            <w:pPr>
              <w:pStyle w:val="TableParagraph"/>
              <w:spacing w:before="21"/>
              <w:ind w:left="1122" w:right="1093"/>
              <w:jc w:val="center"/>
              <w:rPr>
                <w:b/>
                <w:sz w:val="18"/>
              </w:rPr>
            </w:pPr>
            <w:r>
              <w:rPr>
                <w:b/>
                <w:sz w:val="18"/>
              </w:rPr>
              <w:t>数量</w:t>
            </w:r>
          </w:p>
        </w:tc>
        <w:tc>
          <w:tcPr>
            <w:tcW w:w="694"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50" w:line="242" w:lineRule="auto"/>
              <w:ind w:left="172" w:right="144"/>
              <w:rPr>
                <w:b/>
                <w:sz w:val="18"/>
              </w:rPr>
            </w:pPr>
            <w:r>
              <w:rPr>
                <w:b/>
                <w:sz w:val="18"/>
              </w:rPr>
              <w:t>储存位置</w:t>
            </w:r>
          </w:p>
        </w:tc>
        <w:tc>
          <w:tcPr>
            <w:tcW w:w="116" w:type="dxa"/>
            <w:vMerge w:val="restart"/>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272"/>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right w:val="single" w:sz="4" w:space="0" w:color="000000"/>
            </w:tcBorders>
          </w:tcPr>
          <w:p>
            <w:pPr>
              <w:rPr>
                <w:sz w:val="2"/>
                <w:szCs w:val="2"/>
              </w:rPr>
            </w:pPr>
          </w:p>
        </w:tc>
        <w:tc>
          <w:tcPr>
            <w:tcW w:w="434" w:type="dxa"/>
            <w:vMerge/>
            <w:tcBorders>
              <w:top w:val="nil"/>
              <w:left w:val="single" w:sz="4" w:space="0" w:color="000000"/>
              <w:bottom w:val="single" w:sz="4" w:space="0" w:color="000000"/>
              <w:right w:val="single" w:sz="4" w:space="0" w:color="000000"/>
            </w:tcBorders>
          </w:tcPr>
          <w:p>
            <w:pPr>
              <w:rPr>
                <w:sz w:val="2"/>
                <w:szCs w:val="2"/>
              </w:rPr>
            </w:pPr>
          </w:p>
        </w:tc>
        <w:tc>
          <w:tcPr>
            <w:tcW w:w="1383" w:type="dxa"/>
            <w:vMerge/>
            <w:tcBorders>
              <w:top w:val="nil"/>
              <w:left w:val="single" w:sz="4" w:space="0" w:color="000000"/>
              <w:bottom w:val="single" w:sz="4" w:space="0" w:color="000000"/>
              <w:right w:val="single" w:sz="4" w:space="0" w:color="000000"/>
            </w:tcBorders>
          </w:tcPr>
          <w:p>
            <w:pPr>
              <w:rPr>
                <w:sz w:val="2"/>
                <w:szCs w:val="2"/>
              </w:rPr>
            </w:pPr>
          </w:p>
        </w:tc>
        <w:tc>
          <w:tcPr>
            <w:tcW w:w="2290" w:type="dxa"/>
            <w:vMerge/>
            <w:tcBorders>
              <w:top w:val="nil"/>
              <w:left w:val="single" w:sz="4" w:space="0" w:color="000000"/>
              <w:bottom w:val="single" w:sz="4" w:space="0" w:color="000000"/>
              <w:right w:val="single" w:sz="4" w:space="0" w:color="000000"/>
            </w:tcBorders>
          </w:tcPr>
          <w:p>
            <w:pPr>
              <w:rPr>
                <w:sz w:val="2"/>
                <w:szCs w:val="2"/>
              </w:rPr>
            </w:pPr>
          </w:p>
        </w:tc>
        <w:tc>
          <w:tcPr>
            <w:tcW w:w="427" w:type="dxa"/>
            <w:vMerge/>
            <w:tcBorders>
              <w:top w:val="nil"/>
              <w:left w:val="single" w:sz="4" w:space="0" w:color="000000"/>
              <w:bottom w:val="single" w:sz="4" w:space="0" w:color="000000"/>
              <w:right w:val="single" w:sz="4" w:space="0" w:color="000000"/>
            </w:tcBorders>
          </w:tcPr>
          <w:p>
            <w:pPr>
              <w:rPr>
                <w:sz w:val="2"/>
                <w:szCs w:val="2"/>
              </w:rPr>
            </w:pPr>
          </w:p>
        </w:tc>
        <w:tc>
          <w:tcPr>
            <w:tcW w:w="542" w:type="dxa"/>
            <w:vMerge/>
            <w:tcBorders>
              <w:top w:val="nil"/>
              <w:left w:val="single" w:sz="4" w:space="0" w:color="000000"/>
              <w:bottom w:val="single" w:sz="4" w:space="0" w:color="000000"/>
              <w:right w:val="single" w:sz="4" w:space="0" w:color="000000"/>
            </w:tcBorders>
          </w:tcPr>
          <w:p>
            <w:pPr>
              <w:rPr>
                <w:sz w:val="2"/>
                <w:szCs w:val="2"/>
              </w:rPr>
            </w:pPr>
          </w:p>
        </w:tc>
        <w:tc>
          <w:tcPr>
            <w:tcW w:w="825" w:type="dxa"/>
            <w:tcBorders>
              <w:top w:val="single" w:sz="4" w:space="0" w:color="000000"/>
              <w:left w:val="single" w:sz="4" w:space="0" w:color="000000"/>
              <w:bottom w:val="single" w:sz="4" w:space="0" w:color="000000"/>
              <w:right w:val="single" w:sz="4" w:space="0" w:color="000000"/>
            </w:tcBorders>
          </w:tcPr>
          <w:p>
            <w:pPr>
              <w:pStyle w:val="TableParagraph"/>
              <w:spacing w:before="21"/>
              <w:ind w:left="129" w:right="102"/>
              <w:jc w:val="center"/>
              <w:rPr>
                <w:b/>
                <w:sz w:val="18"/>
              </w:rPr>
            </w:pPr>
            <w:r>
              <w:rPr>
                <w:b/>
                <w:sz w:val="18"/>
              </w:rPr>
              <w:t>扩建前</w:t>
            </w:r>
          </w:p>
        </w:tc>
        <w:tc>
          <w:tcPr>
            <w:tcW w:w="970" w:type="dxa"/>
            <w:tcBorders>
              <w:top w:val="single" w:sz="4" w:space="0" w:color="000000"/>
              <w:left w:val="single" w:sz="4" w:space="0" w:color="000000"/>
              <w:bottom w:val="single" w:sz="4" w:space="0" w:color="000000"/>
              <w:right w:val="single" w:sz="4" w:space="0" w:color="000000"/>
            </w:tcBorders>
          </w:tcPr>
          <w:p>
            <w:pPr>
              <w:pStyle w:val="TableParagraph"/>
              <w:spacing w:before="21"/>
              <w:ind w:left="199" w:right="177"/>
              <w:jc w:val="center"/>
              <w:rPr>
                <w:b/>
                <w:sz w:val="18"/>
              </w:rPr>
            </w:pPr>
            <w:r>
              <w:rPr>
                <w:b/>
                <w:sz w:val="18"/>
              </w:rPr>
              <w:t>扩建后</w:t>
            </w:r>
          </w:p>
        </w:tc>
        <w:tc>
          <w:tcPr>
            <w:tcW w:w="833" w:type="dxa"/>
            <w:tcBorders>
              <w:top w:val="single" w:sz="4" w:space="0" w:color="000000"/>
              <w:left w:val="single" w:sz="4" w:space="0" w:color="000000"/>
              <w:bottom w:val="single" w:sz="4" w:space="0" w:color="000000"/>
              <w:right w:val="single" w:sz="4" w:space="0" w:color="000000"/>
            </w:tcBorders>
          </w:tcPr>
          <w:p>
            <w:pPr>
              <w:pStyle w:val="TableParagraph"/>
              <w:spacing w:before="21"/>
              <w:ind w:left="128" w:right="102"/>
              <w:jc w:val="center"/>
              <w:rPr>
                <w:b/>
                <w:sz w:val="18"/>
              </w:rPr>
            </w:pPr>
            <w:r>
              <w:rPr>
                <w:b/>
                <w:sz w:val="18"/>
              </w:rPr>
              <w:t>增量</w:t>
            </w:r>
          </w:p>
        </w:tc>
        <w:tc>
          <w:tcPr>
            <w:tcW w:w="694" w:type="dxa"/>
            <w:vMerge/>
            <w:tcBorders>
              <w:top w:val="nil"/>
              <w:left w:val="single" w:sz="4" w:space="0" w:color="000000"/>
              <w:bottom w:val="single" w:sz="4" w:space="0" w:color="000000"/>
              <w:right w:val="single" w:sz="4" w:space="0" w:color="000000"/>
            </w:tcBorders>
          </w:tcPr>
          <w:p>
            <w:pPr>
              <w:rPr>
                <w:sz w:val="2"/>
                <w:szCs w:val="2"/>
              </w:rPr>
            </w:pPr>
          </w:p>
        </w:tc>
        <w:tc>
          <w:tcPr>
            <w:tcW w:w="116" w:type="dxa"/>
            <w:vMerge/>
            <w:tcBorders>
              <w:top w:val="nil"/>
              <w:left w:val="single" w:sz="4" w:space="0" w:color="000000"/>
              <w:bottom w:val="nil"/>
            </w:tcBorders>
          </w:tcPr>
          <w:p>
            <w:pPr>
              <w:rPr>
                <w:sz w:val="2"/>
                <w:szCs w:val="2"/>
              </w:rPr>
            </w:pPr>
          </w:p>
        </w:tc>
      </w:tr>
      <w:tr>
        <w:tblPrEx>
          <w:tblW w:w="0" w:type="auto"/>
          <w:tblInd w:w="298" w:type="dxa"/>
          <w:tblLayout w:type="fixed"/>
          <w:tblCellMar>
            <w:top w:w="0" w:type="dxa"/>
            <w:left w:w="0" w:type="dxa"/>
            <w:bottom w:w="0" w:type="dxa"/>
            <w:right w:w="0" w:type="dxa"/>
          </w:tblCellMar>
        </w:tblPrEx>
        <w:trPr>
          <w:trHeight w:val="267"/>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right w:val="single" w:sz="4" w:space="0" w:color="000000"/>
            </w:tcBorders>
          </w:tcPr>
          <w:p>
            <w:pPr>
              <w:rPr>
                <w:sz w:val="2"/>
                <w:szCs w:val="2"/>
              </w:rPr>
            </w:pPr>
          </w:p>
        </w:tc>
        <w:tc>
          <w:tcPr>
            <w:tcW w:w="434" w:type="dxa"/>
            <w:tcBorders>
              <w:top w:val="single" w:sz="4" w:space="0" w:color="000000"/>
              <w:left w:val="single" w:sz="4" w:space="0" w:color="000000"/>
              <w:bottom w:val="single" w:sz="4" w:space="0" w:color="000000"/>
              <w:right w:val="single" w:sz="4" w:space="0" w:color="000000"/>
            </w:tcBorders>
          </w:tcPr>
          <w:p>
            <w:pPr>
              <w:pStyle w:val="TableParagraph"/>
              <w:spacing w:before="19" w:line="228" w:lineRule="exact"/>
              <w:ind w:left="23"/>
              <w:jc w:val="center"/>
              <w:rPr>
                <w:rFonts w:ascii="Times New Roman"/>
                <w:sz w:val="21"/>
              </w:rPr>
            </w:pPr>
            <w:r>
              <w:rPr>
                <w:rFonts w:ascii="Times New Roman"/>
                <w:w w:val="100"/>
                <w:sz w:val="21"/>
              </w:rPr>
              <w:t>1</w:t>
            </w:r>
          </w:p>
        </w:tc>
        <w:tc>
          <w:tcPr>
            <w:tcW w:w="1383" w:type="dxa"/>
            <w:tcBorders>
              <w:top w:val="single" w:sz="4" w:space="0" w:color="000000"/>
              <w:left w:val="single" w:sz="4" w:space="0" w:color="000000"/>
              <w:bottom w:val="single" w:sz="4" w:space="0" w:color="000000"/>
              <w:right w:val="single" w:sz="4" w:space="0" w:color="000000"/>
            </w:tcBorders>
          </w:tcPr>
          <w:p>
            <w:pPr>
              <w:pStyle w:val="TableParagraph"/>
              <w:spacing w:before="21" w:line="227" w:lineRule="exact"/>
              <w:ind w:left="139" w:right="112"/>
              <w:jc w:val="center"/>
              <w:rPr>
                <w:sz w:val="18"/>
              </w:rPr>
            </w:pPr>
            <w:r>
              <w:rPr>
                <w:rFonts w:ascii="Times New Roman" w:eastAsia="Times New Roman"/>
                <w:sz w:val="18"/>
              </w:rPr>
              <w:t xml:space="preserve">PET </w:t>
            </w:r>
            <w:r>
              <w:rPr>
                <w:sz w:val="18"/>
              </w:rPr>
              <w:t>薄膜</w:t>
            </w:r>
          </w:p>
        </w:tc>
        <w:tc>
          <w:tcPr>
            <w:tcW w:w="2290" w:type="dxa"/>
            <w:tcBorders>
              <w:top w:val="single" w:sz="4" w:space="0" w:color="000000"/>
              <w:left w:val="single" w:sz="4" w:space="0" w:color="000000"/>
              <w:bottom w:val="single" w:sz="4" w:space="0" w:color="000000"/>
              <w:right w:val="single" w:sz="4" w:space="0" w:color="000000"/>
            </w:tcBorders>
          </w:tcPr>
          <w:p>
            <w:pPr>
              <w:pStyle w:val="TableParagraph"/>
              <w:spacing w:before="21" w:line="227" w:lineRule="exact"/>
              <w:ind w:left="833" w:right="813"/>
              <w:jc w:val="center"/>
              <w:rPr>
                <w:sz w:val="18"/>
              </w:rPr>
            </w:pPr>
            <w:r>
              <w:rPr>
                <w:sz w:val="18"/>
              </w:rPr>
              <w:t>捆装</w:t>
            </w:r>
          </w:p>
        </w:tc>
        <w:tc>
          <w:tcPr>
            <w:tcW w:w="427" w:type="dxa"/>
            <w:tcBorders>
              <w:top w:val="single" w:sz="4" w:space="0" w:color="000000"/>
              <w:left w:val="single" w:sz="4" w:space="0" w:color="000000"/>
              <w:bottom w:val="single" w:sz="4" w:space="0" w:color="000000"/>
              <w:right w:val="single" w:sz="4" w:space="0" w:color="000000"/>
            </w:tcBorders>
          </w:tcPr>
          <w:p>
            <w:pPr>
              <w:pStyle w:val="TableParagraph"/>
              <w:spacing w:before="33"/>
              <w:ind w:left="107" w:right="88"/>
              <w:jc w:val="center"/>
              <w:rPr>
                <w:rFonts w:ascii="Times New Roman"/>
                <w:sz w:val="18"/>
              </w:rPr>
            </w:pPr>
            <w:r>
              <w:rPr>
                <w:rFonts w:ascii="Times New Roman"/>
                <w:sz w:val="18"/>
              </w:rPr>
              <w:t>t/a</w:t>
            </w:r>
          </w:p>
        </w:tc>
        <w:tc>
          <w:tcPr>
            <w:tcW w:w="542" w:type="dxa"/>
            <w:tcBorders>
              <w:top w:val="single" w:sz="4" w:space="0" w:color="000000"/>
              <w:left w:val="single" w:sz="4" w:space="0" w:color="000000"/>
              <w:bottom w:val="single" w:sz="4" w:space="0" w:color="000000"/>
              <w:right w:val="single" w:sz="4" w:space="0" w:color="000000"/>
            </w:tcBorders>
          </w:tcPr>
          <w:p>
            <w:pPr>
              <w:pStyle w:val="TableParagraph"/>
              <w:spacing w:before="21" w:line="227" w:lineRule="exact"/>
              <w:ind w:right="164"/>
              <w:jc w:val="right"/>
              <w:rPr>
                <w:sz w:val="18"/>
              </w:rPr>
            </w:pPr>
            <w:r>
              <w:rPr>
                <w:sz w:val="18"/>
              </w:rPr>
              <w:t>固</w:t>
            </w:r>
          </w:p>
        </w:tc>
        <w:tc>
          <w:tcPr>
            <w:tcW w:w="825" w:type="dxa"/>
            <w:tcBorders>
              <w:top w:val="single" w:sz="4" w:space="0" w:color="000000"/>
              <w:left w:val="single" w:sz="4" w:space="0" w:color="000000"/>
              <w:bottom w:val="single" w:sz="4" w:space="0" w:color="000000"/>
              <w:right w:val="single" w:sz="4" w:space="0" w:color="000000"/>
            </w:tcBorders>
          </w:tcPr>
          <w:p>
            <w:pPr>
              <w:pStyle w:val="TableParagraph"/>
              <w:spacing w:before="33"/>
              <w:ind w:left="129" w:right="102"/>
              <w:jc w:val="center"/>
              <w:rPr>
                <w:rFonts w:ascii="Times New Roman"/>
                <w:sz w:val="18"/>
              </w:rPr>
            </w:pPr>
            <w:r>
              <w:rPr>
                <w:rFonts w:ascii="Times New Roman"/>
                <w:sz w:val="18"/>
              </w:rPr>
              <w:t>600</w:t>
            </w:r>
          </w:p>
        </w:tc>
        <w:tc>
          <w:tcPr>
            <w:tcW w:w="970" w:type="dxa"/>
            <w:tcBorders>
              <w:top w:val="single" w:sz="4" w:space="0" w:color="000000"/>
              <w:left w:val="single" w:sz="4" w:space="0" w:color="000000"/>
              <w:bottom w:val="single" w:sz="4" w:space="0" w:color="000000"/>
              <w:right w:val="single" w:sz="4" w:space="0" w:color="000000"/>
            </w:tcBorders>
          </w:tcPr>
          <w:p>
            <w:pPr>
              <w:pStyle w:val="TableParagraph"/>
              <w:spacing w:before="33"/>
              <w:ind w:left="199" w:right="176"/>
              <w:jc w:val="center"/>
              <w:rPr>
                <w:rFonts w:ascii="Times New Roman"/>
                <w:sz w:val="18"/>
              </w:rPr>
            </w:pPr>
            <w:r>
              <w:rPr>
                <w:rFonts w:ascii="Times New Roman"/>
                <w:sz w:val="18"/>
              </w:rPr>
              <w:t>900</w:t>
            </w:r>
          </w:p>
        </w:tc>
        <w:tc>
          <w:tcPr>
            <w:tcW w:w="833" w:type="dxa"/>
            <w:tcBorders>
              <w:top w:val="single" w:sz="4" w:space="0" w:color="000000"/>
              <w:left w:val="single" w:sz="4" w:space="0" w:color="000000"/>
              <w:bottom w:val="single" w:sz="4" w:space="0" w:color="000000"/>
              <w:right w:val="single" w:sz="4" w:space="0" w:color="000000"/>
            </w:tcBorders>
          </w:tcPr>
          <w:p>
            <w:pPr>
              <w:pStyle w:val="TableParagraph"/>
              <w:spacing w:before="33"/>
              <w:ind w:left="128" w:right="104"/>
              <w:jc w:val="center"/>
              <w:rPr>
                <w:rFonts w:ascii="Times New Roman"/>
                <w:sz w:val="18"/>
              </w:rPr>
            </w:pPr>
            <w:r>
              <w:rPr>
                <w:rFonts w:ascii="Times New Roman"/>
                <w:sz w:val="18"/>
              </w:rPr>
              <w:t>+300</w:t>
            </w:r>
          </w:p>
        </w:tc>
        <w:tc>
          <w:tcPr>
            <w:tcW w:w="694" w:type="dxa"/>
            <w:vMerge w:val="restart"/>
            <w:tcBorders>
              <w:top w:val="single" w:sz="4" w:space="0" w:color="000000"/>
              <w:left w:val="single" w:sz="4" w:space="0" w:color="000000"/>
              <w:bottom w:val="single" w:sz="12" w:space="0" w:color="000000"/>
              <w:right w:val="single" w:sz="4" w:space="0" w:color="000000"/>
            </w:tcBorders>
          </w:tcPr>
          <w:p>
            <w:pPr>
              <w:pStyle w:val="TableParagraph"/>
              <w:spacing w:before="9"/>
              <w:rPr>
                <w:b/>
                <w:sz w:val="26"/>
              </w:rPr>
            </w:pPr>
          </w:p>
          <w:p>
            <w:pPr>
              <w:pStyle w:val="TableParagraph"/>
              <w:spacing w:line="244" w:lineRule="auto"/>
              <w:ind w:left="174" w:right="147"/>
              <w:rPr>
                <w:sz w:val="18"/>
              </w:rPr>
            </w:pPr>
            <w:r>
              <w:rPr>
                <w:sz w:val="18"/>
              </w:rPr>
              <w:t>原料仓库</w:t>
            </w:r>
          </w:p>
        </w:tc>
        <w:tc>
          <w:tcPr>
            <w:tcW w:w="116" w:type="dxa"/>
            <w:vMerge w:val="restart"/>
            <w:tcBorders>
              <w:top w:val="nil"/>
              <w:left w:val="single" w:sz="4" w:space="0" w:color="000000"/>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265"/>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right w:val="single" w:sz="4" w:space="0" w:color="000000"/>
            </w:tcBorders>
          </w:tcPr>
          <w:p>
            <w:pPr>
              <w:rPr>
                <w:sz w:val="2"/>
                <w:szCs w:val="2"/>
              </w:rPr>
            </w:pPr>
          </w:p>
        </w:tc>
        <w:tc>
          <w:tcPr>
            <w:tcW w:w="434" w:type="dxa"/>
            <w:tcBorders>
              <w:top w:val="single" w:sz="4" w:space="0" w:color="000000"/>
              <w:left w:val="single" w:sz="4" w:space="0" w:color="000000"/>
              <w:bottom w:val="single" w:sz="4" w:space="0" w:color="000000"/>
              <w:right w:val="single" w:sz="4" w:space="0" w:color="000000"/>
            </w:tcBorders>
          </w:tcPr>
          <w:p>
            <w:pPr>
              <w:pStyle w:val="TableParagraph"/>
              <w:spacing w:before="17" w:line="228" w:lineRule="exact"/>
              <w:ind w:left="23"/>
              <w:jc w:val="center"/>
              <w:rPr>
                <w:rFonts w:ascii="Times New Roman"/>
                <w:sz w:val="21"/>
              </w:rPr>
            </w:pPr>
            <w:r>
              <w:rPr>
                <w:rFonts w:ascii="Times New Roman"/>
                <w:w w:val="100"/>
                <w:sz w:val="21"/>
              </w:rPr>
              <w:t>2</w:t>
            </w:r>
          </w:p>
        </w:tc>
        <w:tc>
          <w:tcPr>
            <w:tcW w:w="1383" w:type="dxa"/>
            <w:tcBorders>
              <w:top w:val="single" w:sz="4" w:space="0" w:color="000000"/>
              <w:left w:val="single" w:sz="4" w:space="0" w:color="000000"/>
              <w:bottom w:val="single" w:sz="4" w:space="0" w:color="000000"/>
              <w:right w:val="single" w:sz="4" w:space="0" w:color="000000"/>
            </w:tcBorders>
          </w:tcPr>
          <w:p>
            <w:pPr>
              <w:pStyle w:val="TableParagraph"/>
              <w:spacing w:before="16" w:line="229" w:lineRule="exact"/>
              <w:ind w:left="136" w:right="114"/>
              <w:jc w:val="center"/>
              <w:rPr>
                <w:sz w:val="18"/>
              </w:rPr>
            </w:pPr>
            <w:r>
              <w:rPr>
                <w:rFonts w:ascii="Times New Roman" w:eastAsia="Times New Roman"/>
                <w:sz w:val="18"/>
              </w:rPr>
              <w:t xml:space="preserve">PE </w:t>
            </w:r>
            <w:r>
              <w:rPr>
                <w:sz w:val="18"/>
              </w:rPr>
              <w:t>薄膜</w:t>
            </w:r>
          </w:p>
        </w:tc>
        <w:tc>
          <w:tcPr>
            <w:tcW w:w="2290" w:type="dxa"/>
            <w:tcBorders>
              <w:top w:val="single" w:sz="4" w:space="0" w:color="000000"/>
              <w:left w:val="single" w:sz="4" w:space="0" w:color="000000"/>
              <w:bottom w:val="single" w:sz="4" w:space="0" w:color="000000"/>
              <w:right w:val="single" w:sz="4" w:space="0" w:color="000000"/>
            </w:tcBorders>
          </w:tcPr>
          <w:p>
            <w:pPr>
              <w:pStyle w:val="TableParagraph"/>
              <w:spacing w:before="16" w:line="229" w:lineRule="exact"/>
              <w:ind w:left="833" w:right="813"/>
              <w:jc w:val="center"/>
              <w:rPr>
                <w:sz w:val="18"/>
              </w:rPr>
            </w:pPr>
            <w:r>
              <w:rPr>
                <w:sz w:val="18"/>
              </w:rPr>
              <w:t>捆装</w:t>
            </w:r>
          </w:p>
        </w:tc>
        <w:tc>
          <w:tcPr>
            <w:tcW w:w="427" w:type="dxa"/>
            <w:tcBorders>
              <w:top w:val="single" w:sz="4" w:space="0" w:color="000000"/>
              <w:left w:val="single" w:sz="4" w:space="0" w:color="000000"/>
              <w:bottom w:val="single" w:sz="4" w:space="0" w:color="000000"/>
              <w:right w:val="single" w:sz="4" w:space="0" w:color="000000"/>
            </w:tcBorders>
          </w:tcPr>
          <w:p>
            <w:pPr>
              <w:pStyle w:val="TableParagraph"/>
              <w:spacing w:before="28"/>
              <w:ind w:left="107" w:right="88"/>
              <w:jc w:val="center"/>
              <w:rPr>
                <w:rFonts w:ascii="Times New Roman"/>
                <w:sz w:val="18"/>
              </w:rPr>
            </w:pPr>
            <w:r>
              <w:rPr>
                <w:rFonts w:ascii="Times New Roman"/>
                <w:sz w:val="18"/>
              </w:rPr>
              <w:t>t/a</w:t>
            </w:r>
          </w:p>
        </w:tc>
        <w:tc>
          <w:tcPr>
            <w:tcW w:w="542" w:type="dxa"/>
            <w:tcBorders>
              <w:top w:val="single" w:sz="4" w:space="0" w:color="000000"/>
              <w:left w:val="single" w:sz="4" w:space="0" w:color="000000"/>
              <w:bottom w:val="single" w:sz="4" w:space="0" w:color="000000"/>
              <w:right w:val="single" w:sz="4" w:space="0" w:color="000000"/>
            </w:tcBorders>
          </w:tcPr>
          <w:p>
            <w:pPr>
              <w:pStyle w:val="TableParagraph"/>
              <w:spacing w:before="16" w:line="229" w:lineRule="exact"/>
              <w:ind w:right="164"/>
              <w:jc w:val="right"/>
              <w:rPr>
                <w:sz w:val="18"/>
              </w:rPr>
            </w:pPr>
            <w:r>
              <w:rPr>
                <w:sz w:val="18"/>
              </w:rPr>
              <w:t>固</w:t>
            </w:r>
          </w:p>
        </w:tc>
        <w:tc>
          <w:tcPr>
            <w:tcW w:w="825" w:type="dxa"/>
            <w:tcBorders>
              <w:top w:val="single" w:sz="4" w:space="0" w:color="000000"/>
              <w:left w:val="single" w:sz="4" w:space="0" w:color="000000"/>
              <w:bottom w:val="single" w:sz="4" w:space="0" w:color="000000"/>
              <w:right w:val="single" w:sz="4" w:space="0" w:color="000000"/>
            </w:tcBorders>
          </w:tcPr>
          <w:p>
            <w:pPr>
              <w:pStyle w:val="TableParagraph"/>
              <w:spacing w:before="28"/>
              <w:ind w:left="129" w:right="102"/>
              <w:jc w:val="center"/>
              <w:rPr>
                <w:rFonts w:ascii="Times New Roman"/>
                <w:sz w:val="18"/>
              </w:rPr>
            </w:pPr>
            <w:r>
              <w:rPr>
                <w:rFonts w:ascii="Times New Roman"/>
                <w:sz w:val="18"/>
              </w:rPr>
              <w:t>600</w:t>
            </w:r>
          </w:p>
        </w:tc>
        <w:tc>
          <w:tcPr>
            <w:tcW w:w="970" w:type="dxa"/>
            <w:tcBorders>
              <w:top w:val="single" w:sz="4" w:space="0" w:color="000000"/>
              <w:left w:val="single" w:sz="4" w:space="0" w:color="000000"/>
              <w:bottom w:val="single" w:sz="4" w:space="0" w:color="000000"/>
              <w:right w:val="single" w:sz="4" w:space="0" w:color="000000"/>
            </w:tcBorders>
          </w:tcPr>
          <w:p>
            <w:pPr>
              <w:pStyle w:val="TableParagraph"/>
              <w:spacing w:before="28"/>
              <w:ind w:left="199" w:right="176"/>
              <w:jc w:val="center"/>
              <w:rPr>
                <w:rFonts w:ascii="Times New Roman"/>
                <w:sz w:val="18"/>
              </w:rPr>
            </w:pPr>
            <w:r>
              <w:rPr>
                <w:rFonts w:ascii="Times New Roman"/>
                <w:sz w:val="18"/>
              </w:rPr>
              <w:t>900</w:t>
            </w:r>
          </w:p>
        </w:tc>
        <w:tc>
          <w:tcPr>
            <w:tcW w:w="833" w:type="dxa"/>
            <w:tcBorders>
              <w:top w:val="single" w:sz="4" w:space="0" w:color="000000"/>
              <w:left w:val="single" w:sz="4" w:space="0" w:color="000000"/>
              <w:bottom w:val="single" w:sz="4" w:space="0" w:color="000000"/>
              <w:right w:val="single" w:sz="4" w:space="0" w:color="000000"/>
            </w:tcBorders>
          </w:tcPr>
          <w:p>
            <w:pPr>
              <w:pStyle w:val="TableParagraph"/>
              <w:spacing w:before="28"/>
              <w:ind w:left="128" w:right="104"/>
              <w:jc w:val="center"/>
              <w:rPr>
                <w:rFonts w:ascii="Times New Roman"/>
                <w:sz w:val="18"/>
              </w:rPr>
            </w:pPr>
            <w:r>
              <w:rPr>
                <w:rFonts w:ascii="Times New Roman"/>
                <w:sz w:val="18"/>
              </w:rPr>
              <w:t>+300</w:t>
            </w:r>
          </w:p>
        </w:tc>
        <w:tc>
          <w:tcPr>
            <w:tcW w:w="694" w:type="dxa"/>
            <w:vMerge/>
            <w:tcBorders>
              <w:top w:val="nil"/>
              <w:left w:val="single" w:sz="4" w:space="0" w:color="000000"/>
              <w:bottom w:val="single" w:sz="12" w:space="0" w:color="000000"/>
              <w:right w:val="single" w:sz="4" w:space="0" w:color="000000"/>
            </w:tcBorders>
          </w:tcPr>
          <w:p>
            <w:pPr>
              <w:rPr>
                <w:sz w:val="2"/>
                <w:szCs w:val="2"/>
              </w:rPr>
            </w:pPr>
          </w:p>
        </w:tc>
        <w:tc>
          <w:tcPr>
            <w:tcW w:w="116" w:type="dxa"/>
            <w:vMerge/>
            <w:tcBorders>
              <w:top w:val="nil"/>
              <w:left w:val="single" w:sz="4" w:space="0" w:color="000000"/>
            </w:tcBorders>
          </w:tcPr>
          <w:p>
            <w:pPr>
              <w:rPr>
                <w:sz w:val="2"/>
                <w:szCs w:val="2"/>
              </w:rPr>
            </w:pPr>
          </w:p>
        </w:tc>
      </w:tr>
      <w:tr>
        <w:tblPrEx>
          <w:tblW w:w="0" w:type="auto"/>
          <w:tblInd w:w="298" w:type="dxa"/>
          <w:tblLayout w:type="fixed"/>
          <w:tblCellMar>
            <w:top w:w="0" w:type="dxa"/>
            <w:left w:w="0" w:type="dxa"/>
            <w:bottom w:w="0" w:type="dxa"/>
            <w:right w:w="0" w:type="dxa"/>
          </w:tblCellMar>
        </w:tblPrEx>
        <w:trPr>
          <w:trHeight w:val="263"/>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right w:val="single" w:sz="4" w:space="0" w:color="000000"/>
            </w:tcBorders>
          </w:tcPr>
          <w:p>
            <w:pPr>
              <w:rPr>
                <w:sz w:val="2"/>
                <w:szCs w:val="2"/>
              </w:rPr>
            </w:pPr>
          </w:p>
        </w:tc>
        <w:tc>
          <w:tcPr>
            <w:tcW w:w="434" w:type="dxa"/>
            <w:tcBorders>
              <w:top w:val="single" w:sz="4" w:space="0" w:color="000000"/>
              <w:left w:val="single" w:sz="4" w:space="0" w:color="000000"/>
              <w:bottom w:val="single" w:sz="4" w:space="0" w:color="000000"/>
              <w:right w:val="single" w:sz="4" w:space="0" w:color="000000"/>
            </w:tcBorders>
          </w:tcPr>
          <w:p>
            <w:pPr>
              <w:pStyle w:val="TableParagraph"/>
              <w:spacing w:before="15" w:line="228" w:lineRule="exact"/>
              <w:ind w:left="23"/>
              <w:jc w:val="center"/>
              <w:rPr>
                <w:rFonts w:ascii="Times New Roman"/>
                <w:sz w:val="21"/>
              </w:rPr>
            </w:pPr>
            <w:r>
              <w:rPr>
                <w:rFonts w:ascii="Times New Roman"/>
                <w:w w:val="100"/>
                <w:sz w:val="21"/>
              </w:rPr>
              <w:t>3</w:t>
            </w:r>
          </w:p>
        </w:tc>
        <w:tc>
          <w:tcPr>
            <w:tcW w:w="1383" w:type="dxa"/>
            <w:tcBorders>
              <w:top w:val="single" w:sz="4" w:space="0" w:color="000000"/>
              <w:left w:val="single" w:sz="4" w:space="0" w:color="000000"/>
              <w:bottom w:val="single" w:sz="4" w:space="0" w:color="000000"/>
              <w:right w:val="single" w:sz="4" w:space="0" w:color="000000"/>
            </w:tcBorders>
          </w:tcPr>
          <w:p>
            <w:pPr>
              <w:pStyle w:val="TableParagraph"/>
              <w:spacing w:before="14" w:line="229" w:lineRule="exact"/>
              <w:ind w:left="139" w:right="114"/>
              <w:jc w:val="center"/>
              <w:rPr>
                <w:sz w:val="18"/>
              </w:rPr>
            </w:pPr>
            <w:r>
              <w:rPr>
                <w:sz w:val="18"/>
              </w:rPr>
              <w:t>铝箔</w:t>
            </w:r>
          </w:p>
        </w:tc>
        <w:tc>
          <w:tcPr>
            <w:tcW w:w="2290" w:type="dxa"/>
            <w:tcBorders>
              <w:top w:val="single" w:sz="4" w:space="0" w:color="000000"/>
              <w:left w:val="single" w:sz="4" w:space="0" w:color="000000"/>
              <w:bottom w:val="single" w:sz="4" w:space="0" w:color="000000"/>
              <w:right w:val="single" w:sz="4" w:space="0" w:color="000000"/>
            </w:tcBorders>
          </w:tcPr>
          <w:p>
            <w:pPr>
              <w:pStyle w:val="TableParagraph"/>
              <w:spacing w:before="14" w:line="229" w:lineRule="exact"/>
              <w:ind w:left="833" w:right="813"/>
              <w:jc w:val="center"/>
              <w:rPr>
                <w:sz w:val="18"/>
              </w:rPr>
            </w:pPr>
            <w:r>
              <w:rPr>
                <w:sz w:val="18"/>
              </w:rPr>
              <w:t>捆装</w:t>
            </w:r>
          </w:p>
        </w:tc>
        <w:tc>
          <w:tcPr>
            <w:tcW w:w="427" w:type="dxa"/>
            <w:tcBorders>
              <w:top w:val="single" w:sz="4" w:space="0" w:color="000000"/>
              <w:left w:val="single" w:sz="4" w:space="0" w:color="000000"/>
              <w:bottom w:val="single" w:sz="4" w:space="0" w:color="000000"/>
              <w:right w:val="single" w:sz="4" w:space="0" w:color="000000"/>
            </w:tcBorders>
          </w:tcPr>
          <w:p>
            <w:pPr>
              <w:pStyle w:val="TableParagraph"/>
              <w:spacing w:before="28"/>
              <w:ind w:left="107" w:right="88"/>
              <w:jc w:val="center"/>
              <w:rPr>
                <w:rFonts w:ascii="Times New Roman"/>
                <w:sz w:val="18"/>
              </w:rPr>
            </w:pPr>
            <w:r>
              <w:rPr>
                <w:rFonts w:ascii="Times New Roman"/>
                <w:sz w:val="18"/>
              </w:rPr>
              <w:t>t/a</w:t>
            </w:r>
          </w:p>
        </w:tc>
        <w:tc>
          <w:tcPr>
            <w:tcW w:w="542" w:type="dxa"/>
            <w:tcBorders>
              <w:top w:val="single" w:sz="4" w:space="0" w:color="000000"/>
              <w:left w:val="single" w:sz="4" w:space="0" w:color="000000"/>
              <w:bottom w:val="single" w:sz="4" w:space="0" w:color="000000"/>
              <w:right w:val="single" w:sz="4" w:space="0" w:color="000000"/>
            </w:tcBorders>
          </w:tcPr>
          <w:p>
            <w:pPr>
              <w:pStyle w:val="TableParagraph"/>
              <w:spacing w:before="14" w:line="229" w:lineRule="exact"/>
              <w:ind w:right="164"/>
              <w:jc w:val="right"/>
              <w:rPr>
                <w:sz w:val="18"/>
              </w:rPr>
            </w:pPr>
            <w:r>
              <w:rPr>
                <w:sz w:val="18"/>
              </w:rPr>
              <w:t>固</w:t>
            </w:r>
          </w:p>
        </w:tc>
        <w:tc>
          <w:tcPr>
            <w:tcW w:w="825" w:type="dxa"/>
            <w:tcBorders>
              <w:top w:val="single" w:sz="4" w:space="0" w:color="000000"/>
              <w:left w:val="single" w:sz="4" w:space="0" w:color="000000"/>
              <w:bottom w:val="single" w:sz="4" w:space="0" w:color="000000"/>
              <w:right w:val="single" w:sz="4" w:space="0" w:color="000000"/>
            </w:tcBorders>
          </w:tcPr>
          <w:p>
            <w:pPr>
              <w:pStyle w:val="TableParagraph"/>
              <w:spacing w:before="28"/>
              <w:ind w:left="129" w:right="102"/>
              <w:jc w:val="center"/>
              <w:rPr>
                <w:rFonts w:ascii="Times New Roman"/>
                <w:sz w:val="18"/>
              </w:rPr>
            </w:pPr>
            <w:r>
              <w:rPr>
                <w:rFonts w:ascii="Times New Roman"/>
                <w:sz w:val="18"/>
              </w:rPr>
              <w:t>800</w:t>
            </w:r>
          </w:p>
        </w:tc>
        <w:tc>
          <w:tcPr>
            <w:tcW w:w="970" w:type="dxa"/>
            <w:tcBorders>
              <w:top w:val="single" w:sz="4" w:space="0" w:color="000000"/>
              <w:left w:val="single" w:sz="4" w:space="0" w:color="000000"/>
              <w:bottom w:val="single" w:sz="4" w:space="0" w:color="000000"/>
              <w:right w:val="single" w:sz="4" w:space="0" w:color="000000"/>
            </w:tcBorders>
          </w:tcPr>
          <w:p>
            <w:pPr>
              <w:pStyle w:val="TableParagraph"/>
              <w:spacing w:before="28"/>
              <w:ind w:left="199" w:right="176"/>
              <w:jc w:val="center"/>
              <w:rPr>
                <w:rFonts w:ascii="Times New Roman"/>
                <w:sz w:val="18"/>
              </w:rPr>
            </w:pPr>
            <w:r>
              <w:rPr>
                <w:rFonts w:ascii="Times New Roman"/>
                <w:sz w:val="18"/>
              </w:rPr>
              <w:t>1300</w:t>
            </w:r>
          </w:p>
        </w:tc>
        <w:tc>
          <w:tcPr>
            <w:tcW w:w="833" w:type="dxa"/>
            <w:tcBorders>
              <w:top w:val="single" w:sz="4" w:space="0" w:color="000000"/>
              <w:left w:val="single" w:sz="4" w:space="0" w:color="000000"/>
              <w:bottom w:val="single" w:sz="4" w:space="0" w:color="000000"/>
              <w:right w:val="single" w:sz="4" w:space="0" w:color="000000"/>
            </w:tcBorders>
          </w:tcPr>
          <w:p>
            <w:pPr>
              <w:pStyle w:val="TableParagraph"/>
              <w:spacing w:before="28"/>
              <w:ind w:left="128" w:right="104"/>
              <w:jc w:val="center"/>
              <w:rPr>
                <w:rFonts w:ascii="Times New Roman"/>
                <w:sz w:val="18"/>
              </w:rPr>
            </w:pPr>
            <w:r>
              <w:rPr>
                <w:rFonts w:ascii="Times New Roman"/>
                <w:sz w:val="18"/>
              </w:rPr>
              <w:t>+500</w:t>
            </w:r>
          </w:p>
        </w:tc>
        <w:tc>
          <w:tcPr>
            <w:tcW w:w="694" w:type="dxa"/>
            <w:vMerge/>
            <w:tcBorders>
              <w:top w:val="nil"/>
              <w:left w:val="single" w:sz="4" w:space="0" w:color="000000"/>
              <w:bottom w:val="single" w:sz="12" w:space="0" w:color="000000"/>
              <w:right w:val="single" w:sz="4" w:space="0" w:color="000000"/>
            </w:tcBorders>
          </w:tcPr>
          <w:p>
            <w:pPr>
              <w:rPr>
                <w:sz w:val="2"/>
                <w:szCs w:val="2"/>
              </w:rPr>
            </w:pPr>
          </w:p>
        </w:tc>
        <w:tc>
          <w:tcPr>
            <w:tcW w:w="116" w:type="dxa"/>
            <w:vMerge/>
            <w:tcBorders>
              <w:top w:val="nil"/>
              <w:left w:val="single" w:sz="4" w:space="0" w:color="000000"/>
            </w:tcBorders>
          </w:tcPr>
          <w:p>
            <w:pPr>
              <w:rPr>
                <w:sz w:val="2"/>
                <w:szCs w:val="2"/>
              </w:rPr>
            </w:pPr>
          </w:p>
        </w:tc>
      </w:tr>
      <w:tr>
        <w:tblPrEx>
          <w:tblW w:w="0" w:type="auto"/>
          <w:tblInd w:w="298" w:type="dxa"/>
          <w:tblLayout w:type="fixed"/>
          <w:tblCellMar>
            <w:top w:w="0" w:type="dxa"/>
            <w:left w:w="0" w:type="dxa"/>
            <w:bottom w:w="0" w:type="dxa"/>
            <w:right w:w="0" w:type="dxa"/>
          </w:tblCellMar>
        </w:tblPrEx>
        <w:trPr>
          <w:trHeight w:val="272"/>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right w:val="single" w:sz="4" w:space="0" w:color="000000"/>
            </w:tcBorders>
          </w:tcPr>
          <w:p>
            <w:pPr>
              <w:rPr>
                <w:sz w:val="2"/>
                <w:szCs w:val="2"/>
              </w:rPr>
            </w:pPr>
          </w:p>
        </w:tc>
        <w:tc>
          <w:tcPr>
            <w:tcW w:w="434" w:type="dxa"/>
            <w:tcBorders>
              <w:top w:val="single" w:sz="4" w:space="0" w:color="000000"/>
              <w:left w:val="single" w:sz="4" w:space="0" w:color="000000"/>
              <w:bottom w:val="single" w:sz="12" w:space="0" w:color="000000"/>
              <w:right w:val="single" w:sz="4" w:space="0" w:color="000000"/>
            </w:tcBorders>
          </w:tcPr>
          <w:p>
            <w:pPr>
              <w:pStyle w:val="TableParagraph"/>
              <w:spacing w:before="14" w:line="238" w:lineRule="exact"/>
              <w:ind w:left="23"/>
              <w:jc w:val="center"/>
              <w:rPr>
                <w:rFonts w:ascii="Times New Roman"/>
                <w:sz w:val="21"/>
              </w:rPr>
            </w:pPr>
            <w:r>
              <w:rPr>
                <w:rFonts w:ascii="Times New Roman"/>
                <w:w w:val="100"/>
                <w:sz w:val="21"/>
              </w:rPr>
              <w:t>4</w:t>
            </w:r>
          </w:p>
        </w:tc>
        <w:tc>
          <w:tcPr>
            <w:tcW w:w="1383" w:type="dxa"/>
            <w:tcBorders>
              <w:top w:val="single" w:sz="4" w:space="0" w:color="000000"/>
              <w:left w:val="single" w:sz="4" w:space="0" w:color="000000"/>
              <w:bottom w:val="single" w:sz="12" w:space="0" w:color="000000"/>
              <w:right w:val="single" w:sz="4" w:space="0" w:color="000000"/>
            </w:tcBorders>
          </w:tcPr>
          <w:p>
            <w:pPr>
              <w:pStyle w:val="TableParagraph"/>
              <w:spacing w:before="13"/>
              <w:ind w:left="139" w:right="114"/>
              <w:jc w:val="center"/>
              <w:rPr>
                <w:sz w:val="18"/>
              </w:rPr>
            </w:pPr>
            <w:r>
              <w:rPr>
                <w:sz w:val="18"/>
              </w:rPr>
              <w:t>水性油墨</w:t>
            </w:r>
          </w:p>
        </w:tc>
        <w:tc>
          <w:tcPr>
            <w:tcW w:w="2290" w:type="dxa"/>
            <w:tcBorders>
              <w:top w:val="single" w:sz="4" w:space="0" w:color="000000"/>
              <w:left w:val="single" w:sz="4" w:space="0" w:color="000000"/>
              <w:bottom w:val="single" w:sz="12" w:space="0" w:color="000000"/>
              <w:right w:val="single" w:sz="4" w:space="0" w:color="000000"/>
            </w:tcBorders>
          </w:tcPr>
          <w:p>
            <w:pPr>
              <w:pStyle w:val="TableParagraph"/>
              <w:spacing w:before="13"/>
              <w:ind w:left="836" w:right="813"/>
              <w:jc w:val="center"/>
              <w:rPr>
                <w:sz w:val="18"/>
              </w:rPr>
            </w:pPr>
            <w:r>
              <w:rPr>
                <w:rFonts w:ascii="Times New Roman" w:eastAsia="Times New Roman"/>
                <w:sz w:val="18"/>
              </w:rPr>
              <w:t>18kg/</w:t>
            </w:r>
            <w:r>
              <w:rPr>
                <w:sz w:val="18"/>
              </w:rPr>
              <w:t>桶</w:t>
            </w:r>
          </w:p>
        </w:tc>
        <w:tc>
          <w:tcPr>
            <w:tcW w:w="427" w:type="dxa"/>
            <w:tcBorders>
              <w:top w:val="single" w:sz="4" w:space="0" w:color="000000"/>
              <w:left w:val="single" w:sz="4" w:space="0" w:color="000000"/>
              <w:bottom w:val="single" w:sz="12" w:space="0" w:color="000000"/>
              <w:right w:val="single" w:sz="4" w:space="0" w:color="000000"/>
            </w:tcBorders>
          </w:tcPr>
          <w:p>
            <w:pPr>
              <w:pStyle w:val="TableParagraph"/>
              <w:spacing w:before="28"/>
              <w:ind w:left="107" w:right="88"/>
              <w:jc w:val="center"/>
              <w:rPr>
                <w:rFonts w:ascii="Times New Roman"/>
                <w:sz w:val="18"/>
              </w:rPr>
            </w:pPr>
            <w:r>
              <w:rPr>
                <w:rFonts w:ascii="Times New Roman"/>
                <w:sz w:val="18"/>
              </w:rPr>
              <w:t>t/a</w:t>
            </w:r>
          </w:p>
        </w:tc>
        <w:tc>
          <w:tcPr>
            <w:tcW w:w="542" w:type="dxa"/>
            <w:tcBorders>
              <w:top w:val="single" w:sz="4" w:space="0" w:color="000000"/>
              <w:left w:val="single" w:sz="4" w:space="0" w:color="000000"/>
              <w:bottom w:val="single" w:sz="12" w:space="0" w:color="000000"/>
              <w:right w:val="single" w:sz="4" w:space="0" w:color="000000"/>
            </w:tcBorders>
          </w:tcPr>
          <w:p>
            <w:pPr>
              <w:pStyle w:val="TableParagraph"/>
              <w:spacing w:before="13"/>
              <w:ind w:right="164"/>
              <w:jc w:val="right"/>
              <w:rPr>
                <w:sz w:val="18"/>
              </w:rPr>
            </w:pPr>
            <w:r>
              <w:rPr>
                <w:sz w:val="18"/>
              </w:rPr>
              <w:t>液</w:t>
            </w:r>
          </w:p>
        </w:tc>
        <w:tc>
          <w:tcPr>
            <w:tcW w:w="825" w:type="dxa"/>
            <w:tcBorders>
              <w:top w:val="single" w:sz="4" w:space="0" w:color="000000"/>
              <w:left w:val="single" w:sz="4" w:space="0" w:color="000000"/>
              <w:bottom w:val="single" w:sz="12" w:space="0" w:color="000000"/>
              <w:right w:val="single" w:sz="4" w:space="0" w:color="000000"/>
            </w:tcBorders>
          </w:tcPr>
          <w:p>
            <w:pPr>
              <w:pStyle w:val="TableParagraph"/>
              <w:spacing w:before="28"/>
              <w:ind w:left="128" w:right="102"/>
              <w:jc w:val="center"/>
              <w:rPr>
                <w:rFonts w:ascii="Times New Roman"/>
                <w:sz w:val="18"/>
              </w:rPr>
            </w:pPr>
            <w:r>
              <w:rPr>
                <w:rFonts w:ascii="Times New Roman"/>
                <w:sz w:val="18"/>
              </w:rPr>
              <w:t>10</w:t>
            </w:r>
          </w:p>
        </w:tc>
        <w:tc>
          <w:tcPr>
            <w:tcW w:w="970" w:type="dxa"/>
            <w:tcBorders>
              <w:top w:val="single" w:sz="4" w:space="0" w:color="000000"/>
              <w:left w:val="single" w:sz="4" w:space="0" w:color="000000"/>
              <w:bottom w:val="single" w:sz="12" w:space="0" w:color="000000"/>
              <w:right w:val="single" w:sz="4" w:space="0" w:color="000000"/>
            </w:tcBorders>
          </w:tcPr>
          <w:p>
            <w:pPr>
              <w:pStyle w:val="TableParagraph"/>
              <w:spacing w:before="28"/>
              <w:ind w:left="199" w:right="176"/>
              <w:jc w:val="center"/>
              <w:rPr>
                <w:rFonts w:ascii="Times New Roman"/>
                <w:sz w:val="18"/>
              </w:rPr>
            </w:pPr>
            <w:r>
              <w:rPr>
                <w:rFonts w:ascii="Times New Roman"/>
                <w:sz w:val="18"/>
              </w:rPr>
              <w:t>10</w:t>
            </w:r>
          </w:p>
        </w:tc>
        <w:tc>
          <w:tcPr>
            <w:tcW w:w="833" w:type="dxa"/>
            <w:tcBorders>
              <w:top w:val="single" w:sz="4" w:space="0" w:color="000000"/>
              <w:left w:val="single" w:sz="4" w:space="0" w:color="000000"/>
              <w:bottom w:val="single" w:sz="12" w:space="0" w:color="000000"/>
              <w:right w:val="single" w:sz="4" w:space="0" w:color="000000"/>
            </w:tcBorders>
          </w:tcPr>
          <w:p>
            <w:pPr>
              <w:pStyle w:val="TableParagraph"/>
              <w:spacing w:before="28"/>
              <w:ind w:left="20"/>
              <w:jc w:val="center"/>
              <w:rPr>
                <w:rFonts w:ascii="Times New Roman"/>
                <w:sz w:val="18"/>
              </w:rPr>
            </w:pPr>
            <w:r>
              <w:rPr>
                <w:rFonts w:ascii="Times New Roman"/>
                <w:sz w:val="18"/>
              </w:rPr>
              <w:t>0</w:t>
            </w:r>
          </w:p>
        </w:tc>
        <w:tc>
          <w:tcPr>
            <w:tcW w:w="694" w:type="dxa"/>
            <w:vMerge/>
            <w:tcBorders>
              <w:top w:val="nil"/>
              <w:left w:val="single" w:sz="4" w:space="0" w:color="000000"/>
              <w:bottom w:val="single" w:sz="12" w:space="0" w:color="000000"/>
              <w:right w:val="single" w:sz="4" w:space="0" w:color="000000"/>
            </w:tcBorders>
          </w:tcPr>
          <w:p>
            <w:pPr>
              <w:rPr>
                <w:sz w:val="2"/>
                <w:szCs w:val="2"/>
              </w:rPr>
            </w:pPr>
          </w:p>
        </w:tc>
        <w:tc>
          <w:tcPr>
            <w:tcW w:w="116" w:type="dxa"/>
            <w:vMerge/>
            <w:tcBorders>
              <w:top w:val="nil"/>
              <w:left w:val="single" w:sz="4" w:space="0" w:color="000000"/>
            </w:tcBorders>
          </w:tcPr>
          <w:p>
            <w:pPr>
              <w:rPr>
                <w:sz w:val="2"/>
                <w:szCs w:val="2"/>
              </w:rPr>
            </w:pPr>
          </w:p>
        </w:tc>
      </w:tr>
    </w:tbl>
    <w:p>
      <w:pPr>
        <w:rPr>
          <w:sz w:val="2"/>
          <w:szCs w:val="2"/>
        </w:rPr>
      </w:pPr>
      <w:r>
        <w:pict>
          <v:shape id="_x0000_s1144" o:spid="_x0000_s1143" type="#_x0000_t202" style="width:420.7pt;height:93.15pt;margin-top:97.55pt;margin-left:98.05pt;mso-height-relative:page;mso-position-horizontal-relative:page;mso-position-vertical-relative:page;mso-width-relative:page;position:absolute;z-index:25167052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912"/>
                    <w:gridCol w:w="879"/>
                    <w:gridCol w:w="1258"/>
                    <w:gridCol w:w="1570"/>
                    <w:gridCol w:w="967"/>
                    <w:gridCol w:w="869"/>
                    <w:gridCol w:w="880"/>
                    <w:gridCol w:w="1062"/>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37"/>
                    </w:trPr>
                    <w:tc>
                      <w:tcPr>
                        <w:tcW w:w="912" w:type="dxa"/>
                        <w:vMerge w:val="restart"/>
                      </w:tcPr>
                      <w:p>
                        <w:pPr>
                          <w:pStyle w:val="TableParagraph"/>
                          <w:spacing w:before="110" w:line="244" w:lineRule="auto"/>
                          <w:ind w:left="366" w:right="170" w:hanging="180"/>
                          <w:rPr>
                            <w:b/>
                            <w:sz w:val="18"/>
                          </w:rPr>
                        </w:pPr>
                        <w:r>
                          <w:rPr>
                            <w:b/>
                            <w:sz w:val="18"/>
                          </w:rPr>
                          <w:t>行业类别</w:t>
                        </w:r>
                      </w:p>
                    </w:tc>
                    <w:tc>
                      <w:tcPr>
                        <w:tcW w:w="879" w:type="dxa"/>
                        <w:vMerge w:val="restart"/>
                      </w:tcPr>
                      <w:p>
                        <w:pPr>
                          <w:pStyle w:val="TableParagraph"/>
                          <w:spacing w:before="110" w:line="244" w:lineRule="auto"/>
                          <w:ind w:left="256" w:right="157" w:hanging="89"/>
                          <w:rPr>
                            <w:b/>
                            <w:sz w:val="18"/>
                          </w:rPr>
                        </w:pPr>
                        <w:r>
                          <w:rPr>
                            <w:b/>
                            <w:sz w:val="18"/>
                          </w:rPr>
                          <w:t>生产线名称</w:t>
                        </w:r>
                      </w:p>
                    </w:tc>
                    <w:tc>
                      <w:tcPr>
                        <w:tcW w:w="1258" w:type="dxa"/>
                        <w:vMerge w:val="restart"/>
                      </w:tcPr>
                      <w:p>
                        <w:pPr>
                          <w:pStyle w:val="TableParagraph"/>
                          <w:spacing w:before="9"/>
                          <w:rPr>
                            <w:b/>
                            <w:sz w:val="17"/>
                          </w:rPr>
                        </w:pPr>
                      </w:p>
                      <w:p>
                        <w:pPr>
                          <w:pStyle w:val="TableParagraph"/>
                          <w:spacing w:before="1"/>
                          <w:ind w:left="266"/>
                          <w:rPr>
                            <w:b/>
                            <w:sz w:val="18"/>
                          </w:rPr>
                        </w:pPr>
                        <w:r>
                          <w:rPr>
                            <w:b/>
                            <w:sz w:val="18"/>
                          </w:rPr>
                          <w:t>产品名称</w:t>
                        </w:r>
                      </w:p>
                    </w:tc>
                    <w:tc>
                      <w:tcPr>
                        <w:tcW w:w="1570" w:type="dxa"/>
                        <w:vMerge w:val="restart"/>
                      </w:tcPr>
                      <w:p>
                        <w:pPr>
                          <w:pStyle w:val="TableParagraph"/>
                          <w:spacing w:before="9"/>
                          <w:rPr>
                            <w:b/>
                            <w:sz w:val="17"/>
                          </w:rPr>
                        </w:pPr>
                      </w:p>
                      <w:p>
                        <w:pPr>
                          <w:pStyle w:val="TableParagraph"/>
                          <w:spacing w:before="1"/>
                          <w:ind w:left="424"/>
                          <w:rPr>
                            <w:b/>
                            <w:sz w:val="18"/>
                          </w:rPr>
                        </w:pPr>
                        <w:r>
                          <w:rPr>
                            <w:b/>
                            <w:sz w:val="18"/>
                          </w:rPr>
                          <w:t>产品规格</w:t>
                        </w:r>
                      </w:p>
                    </w:tc>
                    <w:tc>
                      <w:tcPr>
                        <w:tcW w:w="2716" w:type="dxa"/>
                        <w:gridSpan w:val="3"/>
                      </w:tcPr>
                      <w:p>
                        <w:pPr>
                          <w:pStyle w:val="TableParagraph"/>
                          <w:spacing w:before="52"/>
                          <w:ind w:left="716"/>
                          <w:rPr>
                            <w:b/>
                            <w:sz w:val="18"/>
                          </w:rPr>
                        </w:pPr>
                        <w:r>
                          <w:rPr>
                            <w:b/>
                            <w:sz w:val="18"/>
                          </w:rPr>
                          <w:t>生产能力（</w:t>
                        </w:r>
                        <w:r>
                          <w:rPr>
                            <w:rFonts w:ascii="Times New Roman" w:eastAsia="Times New Roman"/>
                            <w:b/>
                            <w:sz w:val="18"/>
                          </w:rPr>
                          <w:t>t/a</w:t>
                        </w:r>
                        <w:r>
                          <w:rPr>
                            <w:b/>
                            <w:sz w:val="18"/>
                          </w:rPr>
                          <w:t>）</w:t>
                        </w:r>
                      </w:p>
                    </w:tc>
                    <w:tc>
                      <w:tcPr>
                        <w:tcW w:w="1062" w:type="dxa"/>
                        <w:vMerge w:val="restart"/>
                      </w:tcPr>
                      <w:p>
                        <w:pPr>
                          <w:pStyle w:val="TableParagraph"/>
                          <w:spacing w:before="110" w:line="244" w:lineRule="auto"/>
                          <w:ind w:left="262" w:right="156" w:hanging="92"/>
                          <w:rPr>
                            <w:b/>
                            <w:sz w:val="18"/>
                          </w:rPr>
                        </w:pPr>
                        <w:r>
                          <w:rPr>
                            <w:b/>
                            <w:sz w:val="18"/>
                          </w:rPr>
                          <w:t>设计年生产时间</w:t>
                        </w:r>
                      </w:p>
                    </w:tc>
                  </w:tr>
                  <w:tr>
                    <w:tblPrEx>
                      <w:tblW w:w="0" w:type="auto"/>
                      <w:tblInd w:w="5" w:type="dxa"/>
                      <w:tblLayout w:type="fixed"/>
                      <w:tblCellMar>
                        <w:top w:w="0" w:type="dxa"/>
                        <w:left w:w="0" w:type="dxa"/>
                        <w:bottom w:w="0" w:type="dxa"/>
                        <w:right w:w="0" w:type="dxa"/>
                      </w:tblCellMar>
                    </w:tblPrEx>
                    <w:trPr>
                      <w:trHeight w:val="340"/>
                    </w:trPr>
                    <w:tc>
                      <w:tcPr>
                        <w:tcW w:w="912" w:type="dxa"/>
                        <w:vMerge/>
                        <w:tcBorders>
                          <w:top w:val="nil"/>
                        </w:tcBorders>
                      </w:tcPr>
                      <w:p>
                        <w:pPr>
                          <w:rPr>
                            <w:sz w:val="2"/>
                            <w:szCs w:val="2"/>
                          </w:rPr>
                        </w:pPr>
                      </w:p>
                    </w:tc>
                    <w:tc>
                      <w:tcPr>
                        <w:tcW w:w="879" w:type="dxa"/>
                        <w:vMerge/>
                        <w:tcBorders>
                          <w:top w:val="nil"/>
                        </w:tcBorders>
                      </w:tcPr>
                      <w:p>
                        <w:pPr>
                          <w:rPr>
                            <w:sz w:val="2"/>
                            <w:szCs w:val="2"/>
                          </w:rPr>
                        </w:pPr>
                      </w:p>
                    </w:tc>
                    <w:tc>
                      <w:tcPr>
                        <w:tcW w:w="1258" w:type="dxa"/>
                        <w:vMerge/>
                        <w:tcBorders>
                          <w:top w:val="nil"/>
                        </w:tcBorders>
                      </w:tcPr>
                      <w:p>
                        <w:pPr>
                          <w:rPr>
                            <w:sz w:val="2"/>
                            <w:szCs w:val="2"/>
                          </w:rPr>
                        </w:pPr>
                      </w:p>
                    </w:tc>
                    <w:tc>
                      <w:tcPr>
                        <w:tcW w:w="1570" w:type="dxa"/>
                        <w:vMerge/>
                        <w:tcBorders>
                          <w:top w:val="nil"/>
                        </w:tcBorders>
                      </w:tcPr>
                      <w:p>
                        <w:pPr>
                          <w:rPr>
                            <w:sz w:val="2"/>
                            <w:szCs w:val="2"/>
                          </w:rPr>
                        </w:pPr>
                      </w:p>
                    </w:tc>
                    <w:tc>
                      <w:tcPr>
                        <w:tcW w:w="967" w:type="dxa"/>
                      </w:tcPr>
                      <w:p>
                        <w:pPr>
                          <w:pStyle w:val="TableParagraph"/>
                          <w:spacing w:before="55"/>
                          <w:ind w:left="169"/>
                          <w:rPr>
                            <w:rFonts w:ascii="Times New Roman" w:eastAsia="Times New Roman"/>
                            <w:b/>
                            <w:sz w:val="18"/>
                          </w:rPr>
                        </w:pPr>
                        <w:r>
                          <w:rPr>
                            <w:b/>
                            <w:sz w:val="18"/>
                          </w:rPr>
                          <w:t>扩建前</w:t>
                        </w:r>
                        <w:r>
                          <w:rPr>
                            <w:rFonts w:ascii="Times New Roman" w:eastAsia="Times New Roman"/>
                            <w:b/>
                            <w:sz w:val="18"/>
                          </w:rPr>
                          <w:t>*</w:t>
                        </w:r>
                      </w:p>
                    </w:tc>
                    <w:tc>
                      <w:tcPr>
                        <w:tcW w:w="869" w:type="dxa"/>
                      </w:tcPr>
                      <w:p>
                        <w:pPr>
                          <w:pStyle w:val="TableParagraph"/>
                          <w:spacing w:before="55"/>
                          <w:ind w:left="144" w:right="131"/>
                          <w:jc w:val="center"/>
                          <w:rPr>
                            <w:b/>
                            <w:sz w:val="18"/>
                          </w:rPr>
                        </w:pPr>
                        <w:r>
                          <w:rPr>
                            <w:b/>
                            <w:sz w:val="18"/>
                          </w:rPr>
                          <w:t>扩建后</w:t>
                        </w:r>
                      </w:p>
                    </w:tc>
                    <w:tc>
                      <w:tcPr>
                        <w:tcW w:w="880" w:type="dxa"/>
                      </w:tcPr>
                      <w:p>
                        <w:pPr>
                          <w:pStyle w:val="TableParagraph"/>
                          <w:spacing w:before="55"/>
                          <w:ind w:left="108" w:right="95"/>
                          <w:jc w:val="center"/>
                          <w:rPr>
                            <w:b/>
                            <w:sz w:val="18"/>
                          </w:rPr>
                        </w:pPr>
                        <w:r>
                          <w:rPr>
                            <w:b/>
                            <w:sz w:val="18"/>
                          </w:rPr>
                          <w:t>增量</w:t>
                        </w:r>
                      </w:p>
                    </w:tc>
                    <w:tc>
                      <w:tcPr>
                        <w:tcW w:w="1062"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568"/>
                    </w:trPr>
                    <w:tc>
                      <w:tcPr>
                        <w:tcW w:w="912" w:type="dxa"/>
                        <w:vMerge w:val="restart"/>
                      </w:tcPr>
                      <w:p>
                        <w:pPr>
                          <w:pStyle w:val="TableParagraph"/>
                          <w:spacing w:before="119" w:line="207" w:lineRule="exact"/>
                          <w:ind w:left="158"/>
                          <w:rPr>
                            <w:rFonts w:ascii="Times New Roman"/>
                            <w:sz w:val="18"/>
                          </w:rPr>
                        </w:pPr>
                        <w:r>
                          <w:rPr>
                            <w:rFonts w:ascii="Times New Roman"/>
                            <w:sz w:val="18"/>
                          </w:rPr>
                          <w:t>[C2319]</w:t>
                        </w:r>
                      </w:p>
                      <w:p>
                        <w:pPr>
                          <w:pStyle w:val="TableParagraph"/>
                          <w:spacing w:line="242" w:lineRule="auto"/>
                          <w:ind w:left="186" w:right="173"/>
                          <w:jc w:val="both"/>
                          <w:rPr>
                            <w:sz w:val="18"/>
                          </w:rPr>
                        </w:pPr>
                        <w:r>
                          <w:rPr>
                            <w:sz w:val="18"/>
                          </w:rPr>
                          <w:t>包装装潢及其他印刷</w:t>
                        </w:r>
                      </w:p>
                    </w:tc>
                    <w:tc>
                      <w:tcPr>
                        <w:tcW w:w="879" w:type="dxa"/>
                      </w:tcPr>
                      <w:p>
                        <w:pPr>
                          <w:pStyle w:val="TableParagraph"/>
                          <w:spacing w:before="50" w:line="244" w:lineRule="auto"/>
                          <w:ind w:left="258" w:right="159" w:hanging="92"/>
                          <w:rPr>
                            <w:sz w:val="18"/>
                          </w:rPr>
                        </w:pPr>
                        <w:r>
                          <w:rPr>
                            <w:sz w:val="18"/>
                          </w:rPr>
                          <w:t>卷膜生产线</w:t>
                        </w:r>
                      </w:p>
                    </w:tc>
                    <w:tc>
                      <w:tcPr>
                        <w:tcW w:w="1258" w:type="dxa"/>
                      </w:tcPr>
                      <w:p>
                        <w:pPr>
                          <w:pStyle w:val="TableParagraph"/>
                          <w:spacing w:before="50" w:line="244" w:lineRule="auto"/>
                          <w:ind w:left="448" w:right="168" w:hanging="272"/>
                          <w:rPr>
                            <w:sz w:val="18"/>
                          </w:rPr>
                        </w:pPr>
                        <w:r>
                          <w:rPr>
                            <w:sz w:val="18"/>
                          </w:rPr>
                          <w:t>食品包装封口膜</w:t>
                        </w:r>
                      </w:p>
                    </w:tc>
                    <w:tc>
                      <w:tcPr>
                        <w:tcW w:w="1570" w:type="dxa"/>
                      </w:tcPr>
                      <w:p>
                        <w:pPr>
                          <w:pStyle w:val="TableParagraph"/>
                          <w:spacing w:before="64" w:line="242" w:lineRule="auto"/>
                          <w:ind w:left="241" w:right="149" w:hanging="20"/>
                          <w:rPr>
                            <w:rFonts w:ascii="Times New Roman" w:eastAsia="Times New Roman"/>
                            <w:sz w:val="18"/>
                          </w:rPr>
                        </w:pPr>
                        <w:r>
                          <w:rPr>
                            <w:sz w:val="18"/>
                          </w:rPr>
                          <w:t xml:space="preserve">企标 </w:t>
                        </w:r>
                        <w:r>
                          <w:rPr>
                            <w:rFonts w:ascii="Times New Roman" w:eastAsia="Times New Roman"/>
                            <w:sz w:val="18"/>
                          </w:rPr>
                          <w:t>Q/320922 SWY001-2017</w:t>
                        </w:r>
                      </w:p>
                    </w:tc>
                    <w:tc>
                      <w:tcPr>
                        <w:tcW w:w="967" w:type="dxa"/>
                      </w:tcPr>
                      <w:p>
                        <w:pPr>
                          <w:pStyle w:val="TableParagraph"/>
                          <w:spacing w:before="179"/>
                          <w:ind w:left="260"/>
                          <w:rPr>
                            <w:rFonts w:ascii="Times New Roman"/>
                            <w:sz w:val="18"/>
                          </w:rPr>
                        </w:pPr>
                        <w:r>
                          <w:rPr>
                            <w:rFonts w:ascii="Times New Roman"/>
                            <w:sz w:val="18"/>
                          </w:rPr>
                          <w:t>150t/a</w:t>
                        </w:r>
                      </w:p>
                    </w:tc>
                    <w:tc>
                      <w:tcPr>
                        <w:tcW w:w="869" w:type="dxa"/>
                      </w:tcPr>
                      <w:p>
                        <w:pPr>
                          <w:pStyle w:val="TableParagraph"/>
                          <w:spacing w:before="179"/>
                          <w:ind w:left="144" w:right="130"/>
                          <w:jc w:val="center"/>
                          <w:rPr>
                            <w:rFonts w:ascii="Times New Roman"/>
                            <w:sz w:val="18"/>
                          </w:rPr>
                        </w:pPr>
                        <w:r>
                          <w:rPr>
                            <w:rFonts w:ascii="Times New Roman"/>
                            <w:sz w:val="18"/>
                          </w:rPr>
                          <w:t>250t/a</w:t>
                        </w:r>
                      </w:p>
                    </w:tc>
                    <w:tc>
                      <w:tcPr>
                        <w:tcW w:w="880" w:type="dxa"/>
                      </w:tcPr>
                      <w:p>
                        <w:pPr>
                          <w:pStyle w:val="TableParagraph"/>
                          <w:spacing w:before="179"/>
                          <w:ind w:left="108" w:right="95"/>
                          <w:jc w:val="center"/>
                          <w:rPr>
                            <w:rFonts w:ascii="Times New Roman"/>
                            <w:sz w:val="18"/>
                          </w:rPr>
                        </w:pPr>
                        <w:r>
                          <w:rPr>
                            <w:rFonts w:ascii="Times New Roman"/>
                            <w:sz w:val="18"/>
                          </w:rPr>
                          <w:t>100t/a</w:t>
                        </w:r>
                      </w:p>
                    </w:tc>
                    <w:tc>
                      <w:tcPr>
                        <w:tcW w:w="1062" w:type="dxa"/>
                        <w:vMerge w:val="restart"/>
                      </w:tcPr>
                      <w:p>
                        <w:pPr>
                          <w:pStyle w:val="TableParagraph"/>
                          <w:spacing w:before="8"/>
                          <w:rPr>
                            <w:b/>
                            <w:sz w:val="28"/>
                          </w:rPr>
                        </w:pPr>
                      </w:p>
                      <w:p>
                        <w:pPr>
                          <w:pStyle w:val="TableParagraph"/>
                          <w:spacing w:line="207" w:lineRule="exact"/>
                          <w:ind w:left="333" w:right="318"/>
                          <w:jc w:val="center"/>
                          <w:rPr>
                            <w:rFonts w:ascii="Times New Roman"/>
                            <w:sz w:val="18"/>
                          </w:rPr>
                        </w:pPr>
                        <w:r>
                          <w:rPr>
                            <w:rFonts w:ascii="Times New Roman"/>
                            <w:sz w:val="18"/>
                          </w:rPr>
                          <w:t>2400</w:t>
                        </w:r>
                      </w:p>
                      <w:p>
                        <w:pPr>
                          <w:pStyle w:val="TableParagraph"/>
                          <w:spacing w:line="207" w:lineRule="exact"/>
                          <w:ind w:left="333" w:right="317"/>
                          <w:jc w:val="center"/>
                          <w:rPr>
                            <w:rFonts w:ascii="Times New Roman"/>
                            <w:sz w:val="18"/>
                          </w:rPr>
                        </w:pPr>
                        <w:r>
                          <w:rPr>
                            <w:rFonts w:ascii="Times New Roman"/>
                            <w:sz w:val="18"/>
                          </w:rPr>
                          <w:t>h/a</w:t>
                        </w:r>
                      </w:p>
                    </w:tc>
                  </w:tr>
                  <w:tr>
                    <w:tblPrEx>
                      <w:tblW w:w="0" w:type="auto"/>
                      <w:tblInd w:w="5" w:type="dxa"/>
                      <w:tblLayout w:type="fixed"/>
                      <w:tblCellMar>
                        <w:top w:w="0" w:type="dxa"/>
                        <w:left w:w="0" w:type="dxa"/>
                        <w:bottom w:w="0" w:type="dxa"/>
                        <w:right w:w="0" w:type="dxa"/>
                      </w:tblCellMar>
                    </w:tblPrEx>
                    <w:trPr>
                      <w:trHeight w:val="566"/>
                    </w:trPr>
                    <w:tc>
                      <w:tcPr>
                        <w:tcW w:w="912" w:type="dxa"/>
                        <w:vMerge/>
                        <w:tcBorders>
                          <w:top w:val="nil"/>
                        </w:tcBorders>
                      </w:tcPr>
                      <w:p>
                        <w:pPr>
                          <w:rPr>
                            <w:sz w:val="2"/>
                            <w:szCs w:val="2"/>
                          </w:rPr>
                        </w:pPr>
                      </w:p>
                    </w:tc>
                    <w:tc>
                      <w:tcPr>
                        <w:tcW w:w="879" w:type="dxa"/>
                      </w:tcPr>
                      <w:p>
                        <w:pPr>
                          <w:pStyle w:val="TableParagraph"/>
                          <w:spacing w:before="50" w:line="242" w:lineRule="auto"/>
                          <w:ind w:left="258" w:right="159" w:hanging="92"/>
                          <w:rPr>
                            <w:sz w:val="18"/>
                          </w:rPr>
                        </w:pPr>
                        <w:r>
                          <w:rPr>
                            <w:sz w:val="18"/>
                          </w:rPr>
                          <w:t>片膜生产线</w:t>
                        </w:r>
                      </w:p>
                    </w:tc>
                    <w:tc>
                      <w:tcPr>
                        <w:tcW w:w="1258" w:type="dxa"/>
                      </w:tcPr>
                      <w:p>
                        <w:pPr>
                          <w:pStyle w:val="TableParagraph"/>
                          <w:spacing w:before="11"/>
                          <w:rPr>
                            <w:b/>
                            <w:sz w:val="12"/>
                          </w:rPr>
                        </w:pPr>
                      </w:p>
                      <w:p>
                        <w:pPr>
                          <w:pStyle w:val="TableParagraph"/>
                          <w:ind w:left="177"/>
                          <w:rPr>
                            <w:sz w:val="18"/>
                          </w:rPr>
                        </w:pPr>
                        <w:r>
                          <w:rPr>
                            <w:sz w:val="18"/>
                          </w:rPr>
                          <w:t>单片压花膜</w:t>
                        </w:r>
                      </w:p>
                    </w:tc>
                    <w:tc>
                      <w:tcPr>
                        <w:tcW w:w="1570" w:type="dxa"/>
                      </w:tcPr>
                      <w:p>
                        <w:pPr>
                          <w:pStyle w:val="TableParagraph"/>
                          <w:spacing w:before="62" w:line="244" w:lineRule="auto"/>
                          <w:ind w:left="241" w:right="149" w:hanging="20"/>
                          <w:rPr>
                            <w:rFonts w:ascii="Times New Roman" w:eastAsia="Times New Roman"/>
                            <w:sz w:val="18"/>
                          </w:rPr>
                        </w:pPr>
                        <w:r>
                          <w:rPr>
                            <w:sz w:val="18"/>
                          </w:rPr>
                          <w:t xml:space="preserve">企标 </w:t>
                        </w:r>
                        <w:r>
                          <w:rPr>
                            <w:rFonts w:ascii="Times New Roman" w:eastAsia="Times New Roman"/>
                            <w:sz w:val="18"/>
                          </w:rPr>
                          <w:t>Q/320922 SWY001-2017</w:t>
                        </w:r>
                      </w:p>
                    </w:tc>
                    <w:tc>
                      <w:tcPr>
                        <w:tcW w:w="967" w:type="dxa"/>
                      </w:tcPr>
                      <w:p>
                        <w:pPr>
                          <w:pStyle w:val="TableParagraph"/>
                          <w:spacing w:before="165"/>
                          <w:ind w:left="109"/>
                          <w:rPr>
                            <w:rFonts w:ascii="Times New Roman" w:eastAsia="Times New Roman"/>
                            <w:sz w:val="18"/>
                          </w:rPr>
                        </w:pPr>
                        <w:r>
                          <w:rPr>
                            <w:rFonts w:ascii="Times New Roman" w:eastAsia="Times New Roman"/>
                            <w:sz w:val="18"/>
                          </w:rPr>
                          <w:t xml:space="preserve">1.5 </w:t>
                        </w:r>
                        <w:r>
                          <w:rPr>
                            <w:sz w:val="18"/>
                          </w:rPr>
                          <w:t>亿片</w:t>
                        </w:r>
                        <w:r>
                          <w:rPr>
                            <w:rFonts w:ascii="Times New Roman" w:eastAsia="Times New Roman"/>
                            <w:sz w:val="18"/>
                          </w:rPr>
                          <w:t>/a</w:t>
                        </w:r>
                      </w:p>
                    </w:tc>
                    <w:tc>
                      <w:tcPr>
                        <w:tcW w:w="869" w:type="dxa"/>
                      </w:tcPr>
                      <w:p>
                        <w:pPr>
                          <w:pStyle w:val="TableParagraph"/>
                          <w:spacing w:before="62"/>
                          <w:ind w:left="124"/>
                          <w:rPr>
                            <w:sz w:val="18"/>
                          </w:rPr>
                        </w:pPr>
                        <w:r>
                          <w:rPr>
                            <w:rFonts w:ascii="Times New Roman" w:eastAsia="Times New Roman"/>
                            <w:sz w:val="18"/>
                          </w:rPr>
                          <w:t xml:space="preserve">2.5 </w:t>
                        </w:r>
                        <w:r>
                          <w:rPr>
                            <w:sz w:val="18"/>
                          </w:rPr>
                          <w:t>亿片</w:t>
                        </w:r>
                      </w:p>
                      <w:p>
                        <w:pPr>
                          <w:pStyle w:val="TableParagraph"/>
                          <w:spacing w:before="4"/>
                          <w:ind w:left="371"/>
                          <w:rPr>
                            <w:rFonts w:ascii="Times New Roman"/>
                            <w:sz w:val="18"/>
                          </w:rPr>
                        </w:pPr>
                        <w:r>
                          <w:rPr>
                            <w:rFonts w:ascii="Times New Roman"/>
                            <w:sz w:val="18"/>
                          </w:rPr>
                          <w:t>/a</w:t>
                        </w:r>
                      </w:p>
                    </w:tc>
                    <w:tc>
                      <w:tcPr>
                        <w:tcW w:w="880" w:type="dxa"/>
                      </w:tcPr>
                      <w:p>
                        <w:pPr>
                          <w:pStyle w:val="TableParagraph"/>
                          <w:spacing w:before="165"/>
                          <w:ind w:left="108" w:right="97"/>
                          <w:jc w:val="center"/>
                          <w:rPr>
                            <w:rFonts w:ascii="Times New Roman" w:eastAsia="Times New Roman"/>
                            <w:sz w:val="18"/>
                          </w:rPr>
                        </w:pPr>
                        <w:r>
                          <w:rPr>
                            <w:rFonts w:ascii="Times New Roman" w:eastAsia="Times New Roman"/>
                            <w:sz w:val="18"/>
                          </w:rPr>
                          <w:t xml:space="preserve">1 </w:t>
                        </w:r>
                        <w:r>
                          <w:rPr>
                            <w:sz w:val="18"/>
                          </w:rPr>
                          <w:t>亿片</w:t>
                        </w:r>
                        <w:r>
                          <w:rPr>
                            <w:rFonts w:ascii="Times New Roman" w:eastAsia="Times New Roman"/>
                            <w:sz w:val="18"/>
                          </w:rPr>
                          <w:t>/a</w:t>
                        </w:r>
                      </w:p>
                    </w:tc>
                    <w:tc>
                      <w:tcPr>
                        <w:tcW w:w="1062" w:type="dxa"/>
                        <w:vMerge/>
                        <w:tcBorders>
                          <w:top w:val="nil"/>
                        </w:tcBorders>
                      </w:tcPr>
                      <w:p>
                        <w:pPr>
                          <w:rPr>
                            <w:sz w:val="2"/>
                            <w:szCs w:val="2"/>
                          </w:rPr>
                        </w:pPr>
                      </w:p>
                    </w:tc>
                  </w:tr>
                </w:tbl>
                <w:p>
                  <w:pPr>
                    <w:pStyle w:val="BodyText"/>
                  </w:pPr>
                </w:p>
              </w:txbxContent>
            </v:textbox>
          </v:shape>
        </w:pict>
      </w:r>
      <w:r>
        <w:pict>
          <v:shape id="_x0000_s1145" o:spid="_x0000_s1144" type="#_x0000_t202" style="width:420.7pt;height:331.75pt;margin-top:260.2pt;margin-left:98.05pt;mso-height-relative:page;mso-position-horizontal-relative:page;mso-position-vertical-relative:page;mso-width-relative:page;position:absolute;z-index:251671552"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696"/>
                    <w:gridCol w:w="770"/>
                    <w:gridCol w:w="953"/>
                    <w:gridCol w:w="1327"/>
                    <w:gridCol w:w="2343"/>
                    <w:gridCol w:w="771"/>
                    <w:gridCol w:w="770"/>
                    <w:gridCol w:w="768"/>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53"/>
                    </w:trPr>
                    <w:tc>
                      <w:tcPr>
                        <w:tcW w:w="696" w:type="dxa"/>
                        <w:vMerge w:val="restart"/>
                      </w:tcPr>
                      <w:p>
                        <w:pPr>
                          <w:pStyle w:val="TableParagraph"/>
                          <w:spacing w:before="26" w:line="242" w:lineRule="auto"/>
                          <w:ind w:left="167" w:right="151"/>
                          <w:rPr>
                            <w:b/>
                            <w:sz w:val="18"/>
                          </w:rPr>
                        </w:pPr>
                        <w:r>
                          <w:rPr>
                            <w:b/>
                            <w:sz w:val="18"/>
                          </w:rPr>
                          <w:t>生产车间</w:t>
                        </w:r>
                      </w:p>
                    </w:tc>
                    <w:tc>
                      <w:tcPr>
                        <w:tcW w:w="770" w:type="dxa"/>
                        <w:vMerge w:val="restart"/>
                      </w:tcPr>
                      <w:p>
                        <w:pPr>
                          <w:pStyle w:val="TableParagraph"/>
                          <w:spacing w:before="26" w:line="242" w:lineRule="auto"/>
                          <w:ind w:left="114" w:right="100"/>
                          <w:rPr>
                            <w:b/>
                            <w:sz w:val="18"/>
                          </w:rPr>
                        </w:pPr>
                        <w:r>
                          <w:rPr>
                            <w:b/>
                            <w:sz w:val="18"/>
                          </w:rPr>
                          <w:t>主要生产单元</w:t>
                        </w:r>
                      </w:p>
                    </w:tc>
                    <w:tc>
                      <w:tcPr>
                        <w:tcW w:w="953" w:type="dxa"/>
                      </w:tcPr>
                      <w:p>
                        <w:pPr>
                          <w:pStyle w:val="TableParagraph"/>
                          <w:spacing w:before="9" w:line="225" w:lineRule="exact"/>
                          <w:ind w:left="95" w:right="82"/>
                          <w:jc w:val="center"/>
                          <w:rPr>
                            <w:b/>
                            <w:sz w:val="18"/>
                          </w:rPr>
                        </w:pPr>
                        <w:r>
                          <w:rPr>
                            <w:b/>
                            <w:sz w:val="18"/>
                          </w:rPr>
                          <w:t>主要</w:t>
                        </w:r>
                      </w:p>
                    </w:tc>
                    <w:tc>
                      <w:tcPr>
                        <w:tcW w:w="1327" w:type="dxa"/>
                        <w:vMerge w:val="restart"/>
                      </w:tcPr>
                      <w:p>
                        <w:pPr>
                          <w:pStyle w:val="TableParagraph"/>
                          <w:spacing w:before="141"/>
                          <w:ind w:left="302"/>
                          <w:rPr>
                            <w:b/>
                            <w:sz w:val="18"/>
                          </w:rPr>
                        </w:pPr>
                        <w:r>
                          <w:rPr>
                            <w:b/>
                            <w:sz w:val="18"/>
                          </w:rPr>
                          <w:t>设备名称</w:t>
                        </w:r>
                      </w:p>
                    </w:tc>
                    <w:tc>
                      <w:tcPr>
                        <w:tcW w:w="2343" w:type="dxa"/>
                        <w:vMerge w:val="restart"/>
                      </w:tcPr>
                      <w:p>
                        <w:pPr>
                          <w:pStyle w:val="TableParagraph"/>
                          <w:spacing w:before="141"/>
                          <w:ind w:left="96" w:right="87"/>
                          <w:jc w:val="center"/>
                          <w:rPr>
                            <w:b/>
                            <w:sz w:val="18"/>
                          </w:rPr>
                        </w:pPr>
                        <w:r>
                          <w:rPr>
                            <w:b/>
                            <w:sz w:val="18"/>
                          </w:rPr>
                          <w:t>规格型号</w:t>
                        </w:r>
                      </w:p>
                    </w:tc>
                    <w:tc>
                      <w:tcPr>
                        <w:tcW w:w="2309" w:type="dxa"/>
                        <w:gridSpan w:val="3"/>
                      </w:tcPr>
                      <w:p>
                        <w:pPr>
                          <w:pStyle w:val="TableParagraph"/>
                          <w:spacing w:before="9" w:line="225" w:lineRule="exact"/>
                          <w:ind w:left="586"/>
                          <w:rPr>
                            <w:b/>
                            <w:sz w:val="18"/>
                          </w:rPr>
                        </w:pPr>
                        <w:r>
                          <w:rPr>
                            <w:b/>
                            <w:sz w:val="18"/>
                          </w:rPr>
                          <w:t>数量（台</w:t>
                        </w:r>
                        <w:r>
                          <w:rPr>
                            <w:rFonts w:ascii="Times New Roman" w:eastAsia="Times New Roman"/>
                            <w:b/>
                            <w:sz w:val="18"/>
                          </w:rPr>
                          <w:t>/</w:t>
                        </w:r>
                        <w:r>
                          <w:rPr>
                            <w:b/>
                            <w:sz w:val="18"/>
                          </w:rPr>
                          <w:t>套）</w:t>
                        </w:r>
                      </w:p>
                    </w:tc>
                  </w:tr>
                  <w:tr>
                    <w:tblPrEx>
                      <w:tblW w:w="0" w:type="auto"/>
                      <w:tblInd w:w="5" w:type="dxa"/>
                      <w:tblLayout w:type="fixed"/>
                      <w:tblCellMar>
                        <w:top w:w="0" w:type="dxa"/>
                        <w:left w:w="0" w:type="dxa"/>
                        <w:bottom w:w="0" w:type="dxa"/>
                        <w:right w:w="0" w:type="dxa"/>
                      </w:tblCellMar>
                    </w:tblPrEx>
                    <w:trPr>
                      <w:trHeight w:val="253"/>
                    </w:trPr>
                    <w:tc>
                      <w:tcPr>
                        <w:tcW w:w="696" w:type="dxa"/>
                        <w:vMerge/>
                        <w:tcBorders>
                          <w:top w:val="nil"/>
                        </w:tcBorders>
                      </w:tcPr>
                      <w:p>
                        <w:pPr>
                          <w:rPr>
                            <w:sz w:val="2"/>
                            <w:szCs w:val="2"/>
                          </w:rPr>
                        </w:pPr>
                      </w:p>
                    </w:tc>
                    <w:tc>
                      <w:tcPr>
                        <w:tcW w:w="770" w:type="dxa"/>
                        <w:vMerge/>
                        <w:tcBorders>
                          <w:top w:val="nil"/>
                        </w:tcBorders>
                      </w:tcPr>
                      <w:p>
                        <w:pPr>
                          <w:rPr>
                            <w:sz w:val="2"/>
                            <w:szCs w:val="2"/>
                          </w:rPr>
                        </w:pPr>
                      </w:p>
                    </w:tc>
                    <w:tc>
                      <w:tcPr>
                        <w:tcW w:w="953" w:type="dxa"/>
                      </w:tcPr>
                      <w:p>
                        <w:pPr>
                          <w:pStyle w:val="TableParagraph"/>
                          <w:spacing w:before="12" w:line="222" w:lineRule="exact"/>
                          <w:ind w:left="95" w:right="82"/>
                          <w:jc w:val="center"/>
                          <w:rPr>
                            <w:b/>
                            <w:sz w:val="18"/>
                          </w:rPr>
                        </w:pPr>
                        <w:r>
                          <w:rPr>
                            <w:b/>
                            <w:sz w:val="18"/>
                          </w:rPr>
                          <w:t>工艺</w:t>
                        </w:r>
                      </w:p>
                    </w:tc>
                    <w:tc>
                      <w:tcPr>
                        <w:tcW w:w="1327" w:type="dxa"/>
                        <w:vMerge/>
                        <w:tcBorders>
                          <w:top w:val="nil"/>
                        </w:tcBorders>
                      </w:tcPr>
                      <w:p>
                        <w:pPr>
                          <w:rPr>
                            <w:sz w:val="2"/>
                            <w:szCs w:val="2"/>
                          </w:rPr>
                        </w:pPr>
                      </w:p>
                    </w:tc>
                    <w:tc>
                      <w:tcPr>
                        <w:tcW w:w="2343" w:type="dxa"/>
                        <w:vMerge/>
                        <w:tcBorders>
                          <w:top w:val="nil"/>
                        </w:tcBorders>
                      </w:tcPr>
                      <w:p>
                        <w:pPr>
                          <w:rPr>
                            <w:sz w:val="2"/>
                            <w:szCs w:val="2"/>
                          </w:rPr>
                        </w:pPr>
                      </w:p>
                    </w:tc>
                    <w:tc>
                      <w:tcPr>
                        <w:tcW w:w="771" w:type="dxa"/>
                      </w:tcPr>
                      <w:p>
                        <w:pPr>
                          <w:pStyle w:val="TableParagraph"/>
                          <w:spacing w:before="12" w:line="222" w:lineRule="exact"/>
                          <w:ind w:left="42" w:right="35"/>
                          <w:jc w:val="center"/>
                          <w:rPr>
                            <w:b/>
                            <w:sz w:val="18"/>
                          </w:rPr>
                        </w:pPr>
                        <w:r>
                          <w:rPr>
                            <w:b/>
                            <w:sz w:val="18"/>
                          </w:rPr>
                          <w:t>扩建前</w:t>
                        </w:r>
                      </w:p>
                    </w:tc>
                    <w:tc>
                      <w:tcPr>
                        <w:tcW w:w="770" w:type="dxa"/>
                      </w:tcPr>
                      <w:p>
                        <w:pPr>
                          <w:pStyle w:val="TableParagraph"/>
                          <w:spacing w:before="12" w:line="222" w:lineRule="exact"/>
                          <w:ind w:left="92" w:right="84"/>
                          <w:jc w:val="center"/>
                          <w:rPr>
                            <w:b/>
                            <w:sz w:val="18"/>
                          </w:rPr>
                        </w:pPr>
                        <w:r>
                          <w:rPr>
                            <w:b/>
                            <w:sz w:val="18"/>
                          </w:rPr>
                          <w:t>扩建后</w:t>
                        </w:r>
                      </w:p>
                    </w:tc>
                    <w:tc>
                      <w:tcPr>
                        <w:tcW w:w="768" w:type="dxa"/>
                      </w:tcPr>
                      <w:p>
                        <w:pPr>
                          <w:pStyle w:val="TableParagraph"/>
                          <w:spacing w:before="12" w:line="222" w:lineRule="exact"/>
                          <w:ind w:left="95" w:right="79"/>
                          <w:jc w:val="center"/>
                          <w:rPr>
                            <w:b/>
                            <w:sz w:val="18"/>
                          </w:rPr>
                        </w:pPr>
                        <w:r>
                          <w:rPr>
                            <w:b/>
                            <w:sz w:val="18"/>
                          </w:rPr>
                          <w:t>变化量</w:t>
                        </w:r>
                      </w:p>
                    </w:tc>
                  </w:tr>
                  <w:tr>
                    <w:tblPrEx>
                      <w:tblW w:w="0" w:type="auto"/>
                      <w:tblInd w:w="5" w:type="dxa"/>
                      <w:tblLayout w:type="fixed"/>
                      <w:tblCellMar>
                        <w:top w:w="0" w:type="dxa"/>
                        <w:left w:w="0" w:type="dxa"/>
                        <w:bottom w:w="0" w:type="dxa"/>
                        <w:right w:w="0" w:type="dxa"/>
                      </w:tblCellMar>
                    </w:tblPrEx>
                    <w:trPr>
                      <w:trHeight w:val="256"/>
                    </w:trPr>
                    <w:tc>
                      <w:tcPr>
                        <w:tcW w:w="696" w:type="dxa"/>
                        <w:vMerge w:val="restart"/>
                      </w:tcPr>
                      <w:p>
                        <w:pPr>
                          <w:pStyle w:val="TableParagraph"/>
                          <w:rPr>
                            <w:b/>
                            <w:sz w:val="20"/>
                          </w:rPr>
                        </w:pPr>
                      </w:p>
                      <w:p>
                        <w:pPr>
                          <w:pStyle w:val="TableParagraph"/>
                          <w:rPr>
                            <w:b/>
                            <w:sz w:val="20"/>
                          </w:rPr>
                        </w:pPr>
                      </w:p>
                      <w:p>
                        <w:pPr>
                          <w:pStyle w:val="TableParagraph"/>
                          <w:rPr>
                            <w:b/>
                            <w:sz w:val="20"/>
                          </w:rPr>
                        </w:pPr>
                      </w:p>
                      <w:p>
                        <w:pPr>
                          <w:pStyle w:val="TableParagraph"/>
                          <w:rPr>
                            <w:b/>
                            <w:sz w:val="19"/>
                          </w:rPr>
                        </w:pPr>
                      </w:p>
                      <w:p>
                        <w:pPr>
                          <w:pStyle w:val="TableParagraph"/>
                          <w:ind w:left="304" w:right="289"/>
                          <w:jc w:val="center"/>
                          <w:rPr>
                            <w:rFonts w:ascii="Times New Roman"/>
                            <w:sz w:val="18"/>
                          </w:rPr>
                        </w:pPr>
                        <w:r>
                          <w:rPr>
                            <w:rFonts w:ascii="Times New Roman"/>
                            <w:sz w:val="18"/>
                          </w:rPr>
                          <w:t>1 #</w:t>
                        </w:r>
                      </w:p>
                      <w:p>
                        <w:pPr>
                          <w:pStyle w:val="TableParagraph"/>
                          <w:spacing w:before="1" w:line="242" w:lineRule="auto"/>
                          <w:ind w:left="258" w:right="245"/>
                          <w:jc w:val="center"/>
                          <w:rPr>
                            <w:sz w:val="18"/>
                          </w:rPr>
                        </w:pPr>
                        <w:r>
                          <w:rPr>
                            <w:sz w:val="18"/>
                          </w:rPr>
                          <w:t>车间</w:t>
                        </w:r>
                      </w:p>
                    </w:tc>
                    <w:tc>
                      <w:tcPr>
                        <w:tcW w:w="770" w:type="dxa"/>
                        <w:vMerge w:val="restart"/>
                      </w:tcPr>
                      <w:p>
                        <w:pPr>
                          <w:pStyle w:val="TableParagraph"/>
                          <w:spacing w:before="144"/>
                          <w:ind w:left="206"/>
                          <w:rPr>
                            <w:sz w:val="18"/>
                          </w:rPr>
                        </w:pPr>
                        <w:r>
                          <w:rPr>
                            <w:sz w:val="18"/>
                          </w:rPr>
                          <w:t>印刷</w:t>
                        </w:r>
                      </w:p>
                    </w:tc>
                    <w:tc>
                      <w:tcPr>
                        <w:tcW w:w="953" w:type="dxa"/>
                      </w:tcPr>
                      <w:p>
                        <w:pPr>
                          <w:pStyle w:val="TableParagraph"/>
                          <w:spacing w:before="12" w:line="225" w:lineRule="exact"/>
                          <w:ind w:left="95" w:right="87"/>
                          <w:jc w:val="center"/>
                          <w:rPr>
                            <w:sz w:val="18"/>
                          </w:rPr>
                        </w:pPr>
                        <w:r>
                          <w:rPr>
                            <w:sz w:val="18"/>
                          </w:rPr>
                          <w:t>铝箔印刷</w:t>
                        </w:r>
                      </w:p>
                    </w:tc>
                    <w:tc>
                      <w:tcPr>
                        <w:tcW w:w="1327" w:type="dxa"/>
                      </w:tcPr>
                      <w:p>
                        <w:pPr>
                          <w:pStyle w:val="TableParagraph"/>
                          <w:spacing w:before="12" w:line="225" w:lineRule="exact"/>
                          <w:ind w:left="102" w:right="91"/>
                          <w:jc w:val="center"/>
                          <w:rPr>
                            <w:sz w:val="18"/>
                          </w:rPr>
                        </w:pPr>
                        <w:r>
                          <w:rPr>
                            <w:sz w:val="18"/>
                          </w:rPr>
                          <w:t>铝箔印刷机</w:t>
                        </w:r>
                      </w:p>
                    </w:tc>
                    <w:tc>
                      <w:tcPr>
                        <w:tcW w:w="2343" w:type="dxa"/>
                      </w:tcPr>
                      <w:p>
                        <w:pPr>
                          <w:pStyle w:val="TableParagraph"/>
                          <w:spacing w:before="26"/>
                          <w:ind w:left="98" w:right="87"/>
                          <w:jc w:val="center"/>
                          <w:rPr>
                            <w:rFonts w:ascii="Times New Roman"/>
                            <w:sz w:val="18"/>
                          </w:rPr>
                        </w:pPr>
                        <w:r>
                          <w:rPr>
                            <w:rFonts w:ascii="Times New Roman"/>
                            <w:sz w:val="18"/>
                          </w:rPr>
                          <w:t>KYA-62000A</w:t>
                        </w:r>
                      </w:p>
                    </w:tc>
                    <w:tc>
                      <w:tcPr>
                        <w:tcW w:w="771" w:type="dxa"/>
                      </w:tcPr>
                      <w:p>
                        <w:pPr>
                          <w:pStyle w:val="TableParagraph"/>
                          <w:spacing w:before="26"/>
                          <w:ind w:left="8"/>
                          <w:jc w:val="center"/>
                          <w:rPr>
                            <w:rFonts w:ascii="Times New Roman"/>
                            <w:sz w:val="18"/>
                          </w:rPr>
                        </w:pPr>
                        <w:r>
                          <w:rPr>
                            <w:rFonts w:ascii="Times New Roman"/>
                            <w:sz w:val="18"/>
                          </w:rPr>
                          <w:t>0</w:t>
                        </w:r>
                      </w:p>
                    </w:tc>
                    <w:tc>
                      <w:tcPr>
                        <w:tcW w:w="770" w:type="dxa"/>
                      </w:tcPr>
                      <w:p>
                        <w:pPr>
                          <w:pStyle w:val="TableParagraph"/>
                          <w:spacing w:before="26"/>
                          <w:ind w:left="7"/>
                          <w:jc w:val="center"/>
                          <w:rPr>
                            <w:rFonts w:ascii="Times New Roman"/>
                            <w:sz w:val="18"/>
                          </w:rPr>
                        </w:pPr>
                        <w:r>
                          <w:rPr>
                            <w:rFonts w:ascii="Times New Roman"/>
                            <w:sz w:val="18"/>
                          </w:rPr>
                          <w:t>3</w:t>
                        </w:r>
                      </w:p>
                    </w:tc>
                    <w:tc>
                      <w:tcPr>
                        <w:tcW w:w="768" w:type="dxa"/>
                      </w:tcPr>
                      <w:p>
                        <w:pPr>
                          <w:pStyle w:val="TableParagraph"/>
                          <w:spacing w:before="26"/>
                          <w:ind w:left="93" w:right="79"/>
                          <w:jc w:val="center"/>
                          <w:rPr>
                            <w:rFonts w:ascii="Times New Roman"/>
                            <w:sz w:val="18"/>
                          </w:rPr>
                        </w:pPr>
                        <w:r>
                          <w:rPr>
                            <w:rFonts w:ascii="Times New Roman"/>
                            <w:sz w:val="18"/>
                          </w:rPr>
                          <w:t>+3</w:t>
                        </w:r>
                      </w:p>
                    </w:tc>
                  </w:tr>
                  <w:tr>
                    <w:tblPrEx>
                      <w:tblW w:w="0" w:type="auto"/>
                      <w:tblInd w:w="5" w:type="dxa"/>
                      <w:tblLayout w:type="fixed"/>
                      <w:tblCellMar>
                        <w:top w:w="0" w:type="dxa"/>
                        <w:left w:w="0" w:type="dxa"/>
                        <w:bottom w:w="0" w:type="dxa"/>
                        <w:right w:w="0" w:type="dxa"/>
                      </w:tblCellMar>
                    </w:tblPrEx>
                    <w:trPr>
                      <w:trHeight w:val="253"/>
                    </w:trPr>
                    <w:tc>
                      <w:tcPr>
                        <w:tcW w:w="696" w:type="dxa"/>
                        <w:vMerge/>
                        <w:tcBorders>
                          <w:top w:val="nil"/>
                        </w:tcBorders>
                      </w:tcPr>
                      <w:p>
                        <w:pPr>
                          <w:rPr>
                            <w:sz w:val="2"/>
                            <w:szCs w:val="2"/>
                          </w:rPr>
                        </w:pPr>
                      </w:p>
                    </w:tc>
                    <w:tc>
                      <w:tcPr>
                        <w:tcW w:w="770" w:type="dxa"/>
                        <w:vMerge/>
                        <w:tcBorders>
                          <w:top w:val="nil"/>
                        </w:tcBorders>
                      </w:tcPr>
                      <w:p>
                        <w:pPr>
                          <w:rPr>
                            <w:sz w:val="2"/>
                            <w:szCs w:val="2"/>
                          </w:rPr>
                        </w:pPr>
                      </w:p>
                    </w:tc>
                    <w:tc>
                      <w:tcPr>
                        <w:tcW w:w="953" w:type="dxa"/>
                      </w:tcPr>
                      <w:p>
                        <w:pPr>
                          <w:pStyle w:val="TableParagraph"/>
                          <w:spacing w:before="9" w:line="225" w:lineRule="exact"/>
                          <w:ind w:left="95" w:right="87"/>
                          <w:jc w:val="center"/>
                          <w:rPr>
                            <w:sz w:val="18"/>
                          </w:rPr>
                        </w:pPr>
                        <w:r>
                          <w:rPr>
                            <w:sz w:val="18"/>
                          </w:rPr>
                          <w:t>塑料印刷</w:t>
                        </w:r>
                      </w:p>
                    </w:tc>
                    <w:tc>
                      <w:tcPr>
                        <w:tcW w:w="1327" w:type="dxa"/>
                      </w:tcPr>
                      <w:p>
                        <w:pPr>
                          <w:pStyle w:val="TableParagraph"/>
                          <w:spacing w:before="9" w:line="225" w:lineRule="exact"/>
                          <w:ind w:left="102" w:right="94"/>
                          <w:jc w:val="center"/>
                          <w:rPr>
                            <w:sz w:val="18"/>
                          </w:rPr>
                        </w:pPr>
                        <w:r>
                          <w:rPr>
                            <w:sz w:val="18"/>
                          </w:rPr>
                          <w:t>塑料膜印刷机</w:t>
                        </w:r>
                      </w:p>
                    </w:tc>
                    <w:tc>
                      <w:tcPr>
                        <w:tcW w:w="2343" w:type="dxa"/>
                      </w:tcPr>
                      <w:p>
                        <w:pPr>
                          <w:pStyle w:val="TableParagraph"/>
                          <w:spacing w:before="23"/>
                          <w:ind w:left="97" w:right="87"/>
                          <w:jc w:val="center"/>
                          <w:rPr>
                            <w:rFonts w:ascii="Times New Roman"/>
                            <w:sz w:val="18"/>
                          </w:rPr>
                        </w:pPr>
                        <w:r>
                          <w:rPr>
                            <w:rFonts w:ascii="Times New Roman"/>
                            <w:sz w:val="18"/>
                          </w:rPr>
                          <w:t>KYA-81050</w:t>
                        </w:r>
                      </w:p>
                    </w:tc>
                    <w:tc>
                      <w:tcPr>
                        <w:tcW w:w="771" w:type="dxa"/>
                      </w:tcPr>
                      <w:p>
                        <w:pPr>
                          <w:pStyle w:val="TableParagraph"/>
                          <w:spacing w:before="23"/>
                          <w:ind w:left="8"/>
                          <w:jc w:val="center"/>
                          <w:rPr>
                            <w:rFonts w:ascii="Times New Roman"/>
                            <w:sz w:val="18"/>
                          </w:rPr>
                        </w:pPr>
                        <w:r>
                          <w:rPr>
                            <w:rFonts w:ascii="Times New Roman"/>
                            <w:sz w:val="18"/>
                          </w:rPr>
                          <w:t>0</w:t>
                        </w:r>
                      </w:p>
                    </w:tc>
                    <w:tc>
                      <w:tcPr>
                        <w:tcW w:w="770" w:type="dxa"/>
                      </w:tcPr>
                      <w:p>
                        <w:pPr>
                          <w:pStyle w:val="TableParagraph"/>
                          <w:spacing w:before="23"/>
                          <w:ind w:left="7"/>
                          <w:jc w:val="center"/>
                          <w:rPr>
                            <w:rFonts w:ascii="Times New Roman"/>
                            <w:sz w:val="18"/>
                          </w:rPr>
                        </w:pPr>
                        <w:r>
                          <w:rPr>
                            <w:rFonts w:ascii="Times New Roman"/>
                            <w:sz w:val="18"/>
                          </w:rPr>
                          <w:t>3</w:t>
                        </w:r>
                      </w:p>
                    </w:tc>
                    <w:tc>
                      <w:tcPr>
                        <w:tcW w:w="768" w:type="dxa"/>
                      </w:tcPr>
                      <w:p>
                        <w:pPr>
                          <w:pStyle w:val="TableParagraph"/>
                          <w:spacing w:before="23"/>
                          <w:ind w:left="93" w:right="79"/>
                          <w:jc w:val="center"/>
                          <w:rPr>
                            <w:rFonts w:ascii="Times New Roman"/>
                            <w:sz w:val="18"/>
                          </w:rPr>
                        </w:pPr>
                        <w:r>
                          <w:rPr>
                            <w:rFonts w:ascii="Times New Roman"/>
                            <w:sz w:val="18"/>
                          </w:rPr>
                          <w:t>+3</w:t>
                        </w:r>
                      </w:p>
                    </w:tc>
                  </w:tr>
                  <w:tr>
                    <w:tblPrEx>
                      <w:tblW w:w="0" w:type="auto"/>
                      <w:tblInd w:w="5" w:type="dxa"/>
                      <w:tblLayout w:type="fixed"/>
                      <w:tblCellMar>
                        <w:top w:w="0" w:type="dxa"/>
                        <w:left w:w="0" w:type="dxa"/>
                        <w:bottom w:w="0" w:type="dxa"/>
                        <w:right w:w="0" w:type="dxa"/>
                      </w:tblCellMar>
                    </w:tblPrEx>
                    <w:trPr>
                      <w:trHeight w:val="256"/>
                    </w:trPr>
                    <w:tc>
                      <w:tcPr>
                        <w:tcW w:w="696" w:type="dxa"/>
                        <w:vMerge/>
                        <w:tcBorders>
                          <w:top w:val="nil"/>
                        </w:tcBorders>
                      </w:tcPr>
                      <w:p>
                        <w:pPr>
                          <w:rPr>
                            <w:sz w:val="2"/>
                            <w:szCs w:val="2"/>
                          </w:rPr>
                        </w:pPr>
                      </w:p>
                    </w:tc>
                    <w:tc>
                      <w:tcPr>
                        <w:tcW w:w="770" w:type="dxa"/>
                        <w:vMerge w:val="restart"/>
                      </w:tcPr>
                      <w:p>
                        <w:pPr>
                          <w:pStyle w:val="TableParagraph"/>
                          <w:spacing w:before="144"/>
                          <w:ind w:left="206"/>
                          <w:rPr>
                            <w:sz w:val="18"/>
                          </w:rPr>
                        </w:pPr>
                        <w:r>
                          <w:rPr>
                            <w:sz w:val="18"/>
                          </w:rPr>
                          <w:t>复合</w:t>
                        </w:r>
                      </w:p>
                    </w:tc>
                    <w:tc>
                      <w:tcPr>
                        <w:tcW w:w="953" w:type="dxa"/>
                      </w:tcPr>
                      <w:p>
                        <w:pPr>
                          <w:pStyle w:val="TableParagraph"/>
                          <w:spacing w:before="11" w:line="225" w:lineRule="exact"/>
                          <w:ind w:left="95" w:right="87"/>
                          <w:jc w:val="center"/>
                          <w:rPr>
                            <w:sz w:val="18"/>
                          </w:rPr>
                        </w:pPr>
                        <w:r>
                          <w:rPr>
                            <w:sz w:val="18"/>
                          </w:rPr>
                          <w:t>铝箔复合</w:t>
                        </w:r>
                      </w:p>
                    </w:tc>
                    <w:tc>
                      <w:tcPr>
                        <w:tcW w:w="1327" w:type="dxa"/>
                      </w:tcPr>
                      <w:p>
                        <w:pPr>
                          <w:pStyle w:val="TableParagraph"/>
                          <w:spacing w:before="11" w:line="225" w:lineRule="exact"/>
                          <w:ind w:left="102" w:right="91"/>
                          <w:jc w:val="center"/>
                          <w:rPr>
                            <w:sz w:val="18"/>
                          </w:rPr>
                        </w:pPr>
                        <w:r>
                          <w:rPr>
                            <w:sz w:val="18"/>
                          </w:rPr>
                          <w:t>铝箔复合机</w:t>
                        </w:r>
                      </w:p>
                    </w:tc>
                    <w:tc>
                      <w:tcPr>
                        <w:tcW w:w="2343" w:type="dxa"/>
                      </w:tcPr>
                      <w:p>
                        <w:pPr>
                          <w:pStyle w:val="TableParagraph"/>
                          <w:spacing w:before="23"/>
                          <w:ind w:left="99" w:right="87"/>
                          <w:jc w:val="center"/>
                          <w:rPr>
                            <w:rFonts w:ascii="Times New Roman"/>
                            <w:sz w:val="18"/>
                          </w:rPr>
                        </w:pPr>
                        <w:r>
                          <w:rPr>
                            <w:rFonts w:ascii="Times New Roman"/>
                            <w:sz w:val="18"/>
                          </w:rPr>
                          <w:t>KGF-1050E</w:t>
                        </w:r>
                      </w:p>
                    </w:tc>
                    <w:tc>
                      <w:tcPr>
                        <w:tcW w:w="771" w:type="dxa"/>
                      </w:tcPr>
                      <w:p>
                        <w:pPr>
                          <w:pStyle w:val="TableParagraph"/>
                          <w:spacing w:before="23"/>
                          <w:ind w:left="8"/>
                          <w:jc w:val="center"/>
                          <w:rPr>
                            <w:rFonts w:ascii="Times New Roman"/>
                            <w:sz w:val="18"/>
                          </w:rPr>
                        </w:pPr>
                        <w:r>
                          <w:rPr>
                            <w:rFonts w:ascii="Times New Roman"/>
                            <w:sz w:val="18"/>
                          </w:rPr>
                          <w:t>0</w:t>
                        </w:r>
                      </w:p>
                    </w:tc>
                    <w:tc>
                      <w:tcPr>
                        <w:tcW w:w="770" w:type="dxa"/>
                      </w:tcPr>
                      <w:p>
                        <w:pPr>
                          <w:pStyle w:val="TableParagraph"/>
                          <w:spacing w:before="23"/>
                          <w:ind w:left="7"/>
                          <w:jc w:val="center"/>
                          <w:rPr>
                            <w:rFonts w:ascii="Times New Roman"/>
                            <w:sz w:val="18"/>
                          </w:rPr>
                        </w:pPr>
                        <w:r>
                          <w:rPr>
                            <w:rFonts w:ascii="Times New Roman"/>
                            <w:sz w:val="18"/>
                          </w:rPr>
                          <w:t>3</w:t>
                        </w:r>
                      </w:p>
                    </w:tc>
                    <w:tc>
                      <w:tcPr>
                        <w:tcW w:w="768" w:type="dxa"/>
                      </w:tcPr>
                      <w:p>
                        <w:pPr>
                          <w:pStyle w:val="TableParagraph"/>
                          <w:spacing w:before="23"/>
                          <w:ind w:left="93" w:right="79"/>
                          <w:jc w:val="center"/>
                          <w:rPr>
                            <w:rFonts w:ascii="Times New Roman"/>
                            <w:sz w:val="18"/>
                          </w:rPr>
                        </w:pPr>
                        <w:r>
                          <w:rPr>
                            <w:rFonts w:ascii="Times New Roman"/>
                            <w:sz w:val="18"/>
                          </w:rPr>
                          <w:t>+3</w:t>
                        </w:r>
                      </w:p>
                    </w:tc>
                  </w:tr>
                  <w:tr>
                    <w:tblPrEx>
                      <w:tblW w:w="0" w:type="auto"/>
                      <w:tblInd w:w="5" w:type="dxa"/>
                      <w:tblLayout w:type="fixed"/>
                      <w:tblCellMar>
                        <w:top w:w="0" w:type="dxa"/>
                        <w:left w:w="0" w:type="dxa"/>
                        <w:bottom w:w="0" w:type="dxa"/>
                        <w:right w:w="0" w:type="dxa"/>
                      </w:tblCellMar>
                    </w:tblPrEx>
                    <w:trPr>
                      <w:trHeight w:val="254"/>
                    </w:trPr>
                    <w:tc>
                      <w:tcPr>
                        <w:tcW w:w="696" w:type="dxa"/>
                        <w:vMerge/>
                        <w:tcBorders>
                          <w:top w:val="nil"/>
                        </w:tcBorders>
                      </w:tcPr>
                      <w:p>
                        <w:pPr>
                          <w:rPr>
                            <w:sz w:val="2"/>
                            <w:szCs w:val="2"/>
                          </w:rPr>
                        </w:pPr>
                      </w:p>
                    </w:tc>
                    <w:tc>
                      <w:tcPr>
                        <w:tcW w:w="770" w:type="dxa"/>
                        <w:vMerge/>
                        <w:tcBorders>
                          <w:top w:val="nil"/>
                        </w:tcBorders>
                      </w:tcPr>
                      <w:p>
                        <w:pPr>
                          <w:rPr>
                            <w:sz w:val="2"/>
                            <w:szCs w:val="2"/>
                          </w:rPr>
                        </w:pPr>
                      </w:p>
                    </w:tc>
                    <w:tc>
                      <w:tcPr>
                        <w:tcW w:w="953" w:type="dxa"/>
                      </w:tcPr>
                      <w:p>
                        <w:pPr>
                          <w:pStyle w:val="TableParagraph"/>
                          <w:spacing w:before="9" w:line="225" w:lineRule="exact"/>
                          <w:ind w:left="95" w:right="87"/>
                          <w:jc w:val="center"/>
                          <w:rPr>
                            <w:sz w:val="18"/>
                          </w:rPr>
                        </w:pPr>
                        <w:r>
                          <w:rPr>
                            <w:sz w:val="18"/>
                          </w:rPr>
                          <w:t>塑料复合</w:t>
                        </w:r>
                      </w:p>
                    </w:tc>
                    <w:tc>
                      <w:tcPr>
                        <w:tcW w:w="1327" w:type="dxa"/>
                      </w:tcPr>
                      <w:p>
                        <w:pPr>
                          <w:pStyle w:val="TableParagraph"/>
                          <w:spacing w:before="9" w:line="225" w:lineRule="exact"/>
                          <w:ind w:left="102" w:right="91"/>
                          <w:jc w:val="center"/>
                          <w:rPr>
                            <w:sz w:val="18"/>
                          </w:rPr>
                        </w:pPr>
                        <w:r>
                          <w:rPr>
                            <w:sz w:val="18"/>
                          </w:rPr>
                          <w:t>普通复合机</w:t>
                        </w:r>
                      </w:p>
                    </w:tc>
                    <w:tc>
                      <w:tcPr>
                        <w:tcW w:w="2343" w:type="dxa"/>
                      </w:tcPr>
                      <w:p>
                        <w:pPr>
                          <w:pStyle w:val="TableParagraph"/>
                          <w:spacing w:before="23"/>
                          <w:ind w:left="99" w:right="86"/>
                          <w:jc w:val="center"/>
                          <w:rPr>
                            <w:rFonts w:ascii="Times New Roman"/>
                            <w:sz w:val="18"/>
                          </w:rPr>
                        </w:pPr>
                        <w:r>
                          <w:rPr>
                            <w:rFonts w:ascii="Times New Roman"/>
                            <w:sz w:val="18"/>
                          </w:rPr>
                          <w:t>KGF-1000A</w:t>
                        </w:r>
                      </w:p>
                    </w:tc>
                    <w:tc>
                      <w:tcPr>
                        <w:tcW w:w="771" w:type="dxa"/>
                      </w:tcPr>
                      <w:p>
                        <w:pPr>
                          <w:pStyle w:val="TableParagraph"/>
                          <w:spacing w:before="23"/>
                          <w:ind w:left="8"/>
                          <w:jc w:val="center"/>
                          <w:rPr>
                            <w:rFonts w:ascii="Times New Roman"/>
                            <w:sz w:val="18"/>
                          </w:rPr>
                        </w:pPr>
                        <w:r>
                          <w:rPr>
                            <w:rFonts w:ascii="Times New Roman"/>
                            <w:sz w:val="18"/>
                          </w:rPr>
                          <w:t>0</w:t>
                        </w:r>
                      </w:p>
                    </w:tc>
                    <w:tc>
                      <w:tcPr>
                        <w:tcW w:w="770" w:type="dxa"/>
                      </w:tcPr>
                      <w:p>
                        <w:pPr>
                          <w:pStyle w:val="TableParagraph"/>
                          <w:spacing w:before="23"/>
                          <w:ind w:left="7"/>
                          <w:jc w:val="center"/>
                          <w:rPr>
                            <w:rFonts w:ascii="Times New Roman"/>
                            <w:sz w:val="18"/>
                          </w:rPr>
                        </w:pPr>
                        <w:r>
                          <w:rPr>
                            <w:rFonts w:ascii="Times New Roman"/>
                            <w:sz w:val="18"/>
                          </w:rPr>
                          <w:t>6</w:t>
                        </w:r>
                      </w:p>
                    </w:tc>
                    <w:tc>
                      <w:tcPr>
                        <w:tcW w:w="768" w:type="dxa"/>
                      </w:tcPr>
                      <w:p>
                        <w:pPr>
                          <w:pStyle w:val="TableParagraph"/>
                          <w:spacing w:before="23"/>
                          <w:ind w:left="93" w:right="79"/>
                          <w:jc w:val="center"/>
                          <w:rPr>
                            <w:rFonts w:ascii="Times New Roman"/>
                            <w:sz w:val="18"/>
                          </w:rPr>
                        </w:pPr>
                        <w:r>
                          <w:rPr>
                            <w:rFonts w:ascii="Times New Roman"/>
                            <w:sz w:val="18"/>
                          </w:rPr>
                          <w:t>+6</w:t>
                        </w:r>
                      </w:p>
                    </w:tc>
                  </w:tr>
                  <w:tr>
                    <w:tblPrEx>
                      <w:tblW w:w="0" w:type="auto"/>
                      <w:tblInd w:w="5" w:type="dxa"/>
                      <w:tblLayout w:type="fixed"/>
                      <w:tblCellMar>
                        <w:top w:w="0" w:type="dxa"/>
                        <w:left w:w="0" w:type="dxa"/>
                        <w:bottom w:w="0" w:type="dxa"/>
                        <w:right w:w="0" w:type="dxa"/>
                      </w:tblCellMar>
                    </w:tblPrEx>
                    <w:trPr>
                      <w:trHeight w:val="253"/>
                    </w:trPr>
                    <w:tc>
                      <w:tcPr>
                        <w:tcW w:w="696" w:type="dxa"/>
                        <w:vMerge/>
                        <w:tcBorders>
                          <w:top w:val="nil"/>
                        </w:tcBorders>
                      </w:tcPr>
                      <w:p>
                        <w:pPr>
                          <w:rPr>
                            <w:sz w:val="2"/>
                            <w:szCs w:val="2"/>
                          </w:rPr>
                        </w:pPr>
                      </w:p>
                    </w:tc>
                    <w:tc>
                      <w:tcPr>
                        <w:tcW w:w="770" w:type="dxa"/>
                      </w:tcPr>
                      <w:p>
                        <w:pPr>
                          <w:pStyle w:val="TableParagraph"/>
                          <w:spacing w:before="11" w:line="222" w:lineRule="exact"/>
                          <w:ind w:left="92" w:right="80"/>
                          <w:jc w:val="center"/>
                          <w:rPr>
                            <w:sz w:val="18"/>
                          </w:rPr>
                        </w:pPr>
                        <w:r>
                          <w:rPr>
                            <w:sz w:val="18"/>
                          </w:rPr>
                          <w:t>固化</w:t>
                        </w:r>
                      </w:p>
                    </w:tc>
                    <w:tc>
                      <w:tcPr>
                        <w:tcW w:w="953" w:type="dxa"/>
                      </w:tcPr>
                      <w:p>
                        <w:pPr>
                          <w:pStyle w:val="TableParagraph"/>
                          <w:spacing w:before="11" w:line="222" w:lineRule="exact"/>
                          <w:ind w:left="95" w:right="87"/>
                          <w:jc w:val="center"/>
                          <w:rPr>
                            <w:sz w:val="18"/>
                          </w:rPr>
                        </w:pPr>
                        <w:r>
                          <w:rPr>
                            <w:sz w:val="18"/>
                          </w:rPr>
                          <w:t>固化</w:t>
                        </w:r>
                      </w:p>
                    </w:tc>
                    <w:tc>
                      <w:tcPr>
                        <w:tcW w:w="1327" w:type="dxa"/>
                      </w:tcPr>
                      <w:p>
                        <w:pPr>
                          <w:pStyle w:val="TableParagraph"/>
                          <w:spacing w:before="11" w:line="222" w:lineRule="exact"/>
                          <w:ind w:left="102" w:right="91"/>
                          <w:jc w:val="center"/>
                          <w:rPr>
                            <w:sz w:val="18"/>
                          </w:rPr>
                        </w:pPr>
                        <w:r>
                          <w:rPr>
                            <w:sz w:val="18"/>
                          </w:rPr>
                          <w:t>固化间</w:t>
                        </w:r>
                      </w:p>
                    </w:tc>
                    <w:tc>
                      <w:tcPr>
                        <w:tcW w:w="2343" w:type="dxa"/>
                      </w:tcPr>
                      <w:p>
                        <w:pPr>
                          <w:pStyle w:val="TableParagraph"/>
                          <w:spacing w:line="234" w:lineRule="exact"/>
                          <w:ind w:left="98" w:right="87"/>
                          <w:jc w:val="center"/>
                          <w:rPr>
                            <w:rFonts w:ascii="Times New Roman" w:hAnsi="Times New Roman"/>
                            <w:sz w:val="12"/>
                          </w:rPr>
                        </w:pPr>
                        <w:r>
                          <w:rPr>
                            <w:rFonts w:ascii="Times New Roman" w:hAnsi="Times New Roman"/>
                            <w:sz w:val="18"/>
                          </w:rPr>
                          <w:t>12</w:t>
                        </w:r>
                        <w:r>
                          <w:rPr>
                            <w:rFonts w:ascii="等线" w:hAnsi="等线"/>
                            <w:sz w:val="18"/>
                          </w:rPr>
                          <w:t>×</w:t>
                        </w:r>
                        <w:r>
                          <w:rPr>
                            <w:rFonts w:ascii="Times New Roman" w:hAnsi="Times New Roman"/>
                            <w:sz w:val="18"/>
                          </w:rPr>
                          <w:t>4</w:t>
                        </w:r>
                        <w:r>
                          <w:rPr>
                            <w:rFonts w:ascii="等线" w:hAnsi="等线"/>
                            <w:sz w:val="18"/>
                          </w:rPr>
                          <w:t>×</w:t>
                        </w:r>
                        <w:r>
                          <w:rPr>
                            <w:rFonts w:ascii="Times New Roman" w:hAnsi="Times New Roman"/>
                            <w:sz w:val="18"/>
                          </w:rPr>
                          <w:t>2.5m</w:t>
                        </w:r>
                        <w:r>
                          <w:rPr>
                            <w:rFonts w:ascii="Times New Roman" w:hAnsi="Times New Roman"/>
                            <w:position w:val="6"/>
                            <w:sz w:val="12"/>
                          </w:rPr>
                          <w:t>3</w:t>
                        </w:r>
                      </w:p>
                    </w:tc>
                    <w:tc>
                      <w:tcPr>
                        <w:tcW w:w="771" w:type="dxa"/>
                      </w:tcPr>
                      <w:p>
                        <w:pPr>
                          <w:pStyle w:val="TableParagraph"/>
                          <w:spacing w:before="23"/>
                          <w:ind w:left="8"/>
                          <w:jc w:val="center"/>
                          <w:rPr>
                            <w:rFonts w:ascii="Times New Roman"/>
                            <w:sz w:val="18"/>
                          </w:rPr>
                        </w:pPr>
                        <w:r>
                          <w:rPr>
                            <w:rFonts w:ascii="Times New Roman"/>
                            <w:sz w:val="18"/>
                          </w:rPr>
                          <w:t>0</w:t>
                        </w:r>
                      </w:p>
                    </w:tc>
                    <w:tc>
                      <w:tcPr>
                        <w:tcW w:w="770" w:type="dxa"/>
                      </w:tcPr>
                      <w:p>
                        <w:pPr>
                          <w:pStyle w:val="TableParagraph"/>
                          <w:spacing w:before="23"/>
                          <w:ind w:left="7"/>
                          <w:jc w:val="center"/>
                          <w:rPr>
                            <w:rFonts w:ascii="Times New Roman"/>
                            <w:sz w:val="18"/>
                          </w:rPr>
                        </w:pPr>
                        <w:r>
                          <w:rPr>
                            <w:rFonts w:ascii="Times New Roman"/>
                            <w:sz w:val="18"/>
                          </w:rPr>
                          <w:t>1</w:t>
                        </w:r>
                      </w:p>
                    </w:tc>
                    <w:tc>
                      <w:tcPr>
                        <w:tcW w:w="768" w:type="dxa"/>
                      </w:tcPr>
                      <w:p>
                        <w:pPr>
                          <w:pStyle w:val="TableParagraph"/>
                          <w:spacing w:before="23"/>
                          <w:ind w:left="93" w:right="79"/>
                          <w:jc w:val="center"/>
                          <w:rPr>
                            <w:rFonts w:ascii="Times New Roman"/>
                            <w:sz w:val="18"/>
                          </w:rPr>
                        </w:pPr>
                        <w:r>
                          <w:rPr>
                            <w:rFonts w:ascii="Times New Roman"/>
                            <w:sz w:val="18"/>
                          </w:rPr>
                          <w:t>+1</w:t>
                        </w:r>
                      </w:p>
                    </w:tc>
                  </w:tr>
                  <w:tr>
                    <w:tblPrEx>
                      <w:tblW w:w="0" w:type="auto"/>
                      <w:tblInd w:w="5" w:type="dxa"/>
                      <w:tblLayout w:type="fixed"/>
                      <w:tblCellMar>
                        <w:top w:w="0" w:type="dxa"/>
                        <w:left w:w="0" w:type="dxa"/>
                        <w:bottom w:w="0" w:type="dxa"/>
                        <w:right w:w="0" w:type="dxa"/>
                      </w:tblCellMar>
                    </w:tblPrEx>
                    <w:trPr>
                      <w:trHeight w:val="256"/>
                    </w:trPr>
                    <w:tc>
                      <w:tcPr>
                        <w:tcW w:w="696" w:type="dxa"/>
                        <w:vMerge/>
                        <w:tcBorders>
                          <w:top w:val="nil"/>
                        </w:tcBorders>
                      </w:tcPr>
                      <w:p>
                        <w:pPr>
                          <w:rPr>
                            <w:sz w:val="2"/>
                            <w:szCs w:val="2"/>
                          </w:rPr>
                        </w:pPr>
                      </w:p>
                    </w:tc>
                    <w:tc>
                      <w:tcPr>
                        <w:tcW w:w="770" w:type="dxa"/>
                        <w:vMerge w:val="restart"/>
                      </w:tcPr>
                      <w:p>
                        <w:pPr>
                          <w:pStyle w:val="TableParagraph"/>
                          <w:spacing w:before="9"/>
                          <w:rPr>
                            <w:b/>
                            <w:sz w:val="21"/>
                          </w:rPr>
                        </w:pPr>
                      </w:p>
                      <w:p>
                        <w:pPr>
                          <w:pStyle w:val="TableParagraph"/>
                          <w:ind w:left="206"/>
                          <w:rPr>
                            <w:sz w:val="18"/>
                          </w:rPr>
                        </w:pPr>
                        <w:r>
                          <w:rPr>
                            <w:sz w:val="18"/>
                          </w:rPr>
                          <w:t>裁切</w:t>
                        </w:r>
                      </w:p>
                    </w:tc>
                    <w:tc>
                      <w:tcPr>
                        <w:tcW w:w="953" w:type="dxa"/>
                      </w:tcPr>
                      <w:p>
                        <w:pPr>
                          <w:pStyle w:val="TableParagraph"/>
                          <w:spacing w:before="12" w:line="225" w:lineRule="exact"/>
                          <w:ind w:left="95" w:right="87"/>
                          <w:jc w:val="center"/>
                          <w:rPr>
                            <w:sz w:val="18"/>
                          </w:rPr>
                        </w:pPr>
                        <w:r>
                          <w:rPr>
                            <w:sz w:val="18"/>
                          </w:rPr>
                          <w:t>模切</w:t>
                        </w:r>
                      </w:p>
                    </w:tc>
                    <w:tc>
                      <w:tcPr>
                        <w:tcW w:w="1327" w:type="dxa"/>
                      </w:tcPr>
                      <w:p>
                        <w:pPr>
                          <w:pStyle w:val="TableParagraph"/>
                          <w:spacing w:before="12" w:line="225" w:lineRule="exact"/>
                          <w:ind w:left="102" w:right="91"/>
                          <w:jc w:val="center"/>
                          <w:rPr>
                            <w:sz w:val="18"/>
                          </w:rPr>
                        </w:pPr>
                        <w:r>
                          <w:rPr>
                            <w:sz w:val="18"/>
                          </w:rPr>
                          <w:t>膜切机</w:t>
                        </w:r>
                      </w:p>
                    </w:tc>
                    <w:tc>
                      <w:tcPr>
                        <w:tcW w:w="2343" w:type="dxa"/>
                      </w:tcPr>
                      <w:p>
                        <w:pPr>
                          <w:pStyle w:val="TableParagraph"/>
                          <w:spacing w:before="26"/>
                          <w:ind w:left="99" w:right="87"/>
                          <w:jc w:val="center"/>
                          <w:rPr>
                            <w:rFonts w:ascii="Times New Roman"/>
                            <w:sz w:val="18"/>
                          </w:rPr>
                        </w:pPr>
                        <w:r>
                          <w:rPr>
                            <w:rFonts w:ascii="Times New Roman"/>
                            <w:sz w:val="18"/>
                          </w:rPr>
                          <w:t>KMQ-2000</w:t>
                        </w:r>
                      </w:p>
                    </w:tc>
                    <w:tc>
                      <w:tcPr>
                        <w:tcW w:w="771" w:type="dxa"/>
                      </w:tcPr>
                      <w:p>
                        <w:pPr>
                          <w:pStyle w:val="TableParagraph"/>
                          <w:spacing w:before="26"/>
                          <w:ind w:left="8"/>
                          <w:jc w:val="center"/>
                          <w:rPr>
                            <w:rFonts w:ascii="Times New Roman"/>
                            <w:sz w:val="18"/>
                          </w:rPr>
                        </w:pPr>
                        <w:r>
                          <w:rPr>
                            <w:rFonts w:ascii="Times New Roman"/>
                            <w:sz w:val="18"/>
                          </w:rPr>
                          <w:t>0</w:t>
                        </w:r>
                      </w:p>
                    </w:tc>
                    <w:tc>
                      <w:tcPr>
                        <w:tcW w:w="770" w:type="dxa"/>
                      </w:tcPr>
                      <w:p>
                        <w:pPr>
                          <w:pStyle w:val="TableParagraph"/>
                          <w:spacing w:before="26"/>
                          <w:ind w:left="92" w:right="79"/>
                          <w:jc w:val="center"/>
                          <w:rPr>
                            <w:rFonts w:ascii="Times New Roman"/>
                            <w:sz w:val="18"/>
                          </w:rPr>
                        </w:pPr>
                        <w:r>
                          <w:rPr>
                            <w:rFonts w:ascii="Times New Roman"/>
                            <w:sz w:val="18"/>
                          </w:rPr>
                          <w:t>15</w:t>
                        </w:r>
                      </w:p>
                    </w:tc>
                    <w:tc>
                      <w:tcPr>
                        <w:tcW w:w="768" w:type="dxa"/>
                      </w:tcPr>
                      <w:p>
                        <w:pPr>
                          <w:pStyle w:val="TableParagraph"/>
                          <w:spacing w:before="26"/>
                          <w:ind w:left="94" w:right="79"/>
                          <w:jc w:val="center"/>
                          <w:rPr>
                            <w:rFonts w:ascii="Times New Roman"/>
                            <w:sz w:val="18"/>
                          </w:rPr>
                        </w:pPr>
                        <w:r>
                          <w:rPr>
                            <w:rFonts w:ascii="Times New Roman"/>
                            <w:sz w:val="18"/>
                          </w:rPr>
                          <w:t>+15</w:t>
                        </w:r>
                      </w:p>
                    </w:tc>
                  </w:tr>
                  <w:tr>
                    <w:tblPrEx>
                      <w:tblW w:w="0" w:type="auto"/>
                      <w:tblInd w:w="5" w:type="dxa"/>
                      <w:tblLayout w:type="fixed"/>
                      <w:tblCellMar>
                        <w:top w:w="0" w:type="dxa"/>
                        <w:left w:w="0" w:type="dxa"/>
                        <w:bottom w:w="0" w:type="dxa"/>
                        <w:right w:w="0" w:type="dxa"/>
                      </w:tblCellMar>
                    </w:tblPrEx>
                    <w:trPr>
                      <w:trHeight w:val="254"/>
                    </w:trPr>
                    <w:tc>
                      <w:tcPr>
                        <w:tcW w:w="696" w:type="dxa"/>
                        <w:vMerge/>
                        <w:tcBorders>
                          <w:top w:val="nil"/>
                        </w:tcBorders>
                      </w:tcPr>
                      <w:p>
                        <w:pPr>
                          <w:rPr>
                            <w:sz w:val="2"/>
                            <w:szCs w:val="2"/>
                          </w:rPr>
                        </w:pPr>
                      </w:p>
                    </w:tc>
                    <w:tc>
                      <w:tcPr>
                        <w:tcW w:w="770" w:type="dxa"/>
                        <w:vMerge/>
                        <w:tcBorders>
                          <w:top w:val="nil"/>
                        </w:tcBorders>
                      </w:tcPr>
                      <w:p>
                        <w:pPr>
                          <w:rPr>
                            <w:sz w:val="2"/>
                            <w:szCs w:val="2"/>
                          </w:rPr>
                        </w:pPr>
                      </w:p>
                    </w:tc>
                    <w:tc>
                      <w:tcPr>
                        <w:tcW w:w="953" w:type="dxa"/>
                        <w:vMerge w:val="restart"/>
                      </w:tcPr>
                      <w:p>
                        <w:pPr>
                          <w:pStyle w:val="TableParagraph"/>
                          <w:spacing w:before="143"/>
                          <w:ind w:left="295"/>
                          <w:rPr>
                            <w:sz w:val="18"/>
                          </w:rPr>
                        </w:pPr>
                        <w:r>
                          <w:rPr>
                            <w:sz w:val="18"/>
                          </w:rPr>
                          <w:t>分切</w:t>
                        </w:r>
                      </w:p>
                    </w:tc>
                    <w:tc>
                      <w:tcPr>
                        <w:tcW w:w="1327" w:type="dxa"/>
                        <w:vMerge w:val="restart"/>
                      </w:tcPr>
                      <w:p>
                        <w:pPr>
                          <w:pStyle w:val="TableParagraph"/>
                          <w:spacing w:before="143"/>
                          <w:ind w:left="394"/>
                          <w:rPr>
                            <w:sz w:val="18"/>
                          </w:rPr>
                        </w:pPr>
                        <w:r>
                          <w:rPr>
                            <w:sz w:val="18"/>
                          </w:rPr>
                          <w:t>分切机</w:t>
                        </w:r>
                      </w:p>
                    </w:tc>
                    <w:tc>
                      <w:tcPr>
                        <w:tcW w:w="2343" w:type="dxa"/>
                      </w:tcPr>
                      <w:p>
                        <w:pPr>
                          <w:pStyle w:val="TableParagraph"/>
                          <w:spacing w:before="23"/>
                          <w:ind w:left="99" w:right="87"/>
                          <w:jc w:val="center"/>
                          <w:rPr>
                            <w:rFonts w:ascii="Times New Roman"/>
                            <w:sz w:val="18"/>
                          </w:rPr>
                        </w:pPr>
                        <w:r>
                          <w:rPr>
                            <w:rFonts w:ascii="Times New Roman"/>
                            <w:sz w:val="18"/>
                          </w:rPr>
                          <w:t>KQL-1100</w:t>
                        </w:r>
                      </w:p>
                    </w:tc>
                    <w:tc>
                      <w:tcPr>
                        <w:tcW w:w="771" w:type="dxa"/>
                      </w:tcPr>
                      <w:p>
                        <w:pPr>
                          <w:pStyle w:val="TableParagraph"/>
                          <w:spacing w:before="23"/>
                          <w:ind w:left="8"/>
                          <w:jc w:val="center"/>
                          <w:rPr>
                            <w:rFonts w:ascii="Times New Roman"/>
                            <w:sz w:val="18"/>
                          </w:rPr>
                        </w:pPr>
                        <w:r>
                          <w:rPr>
                            <w:rFonts w:ascii="Times New Roman"/>
                            <w:sz w:val="18"/>
                          </w:rPr>
                          <w:t>0</w:t>
                        </w:r>
                      </w:p>
                    </w:tc>
                    <w:tc>
                      <w:tcPr>
                        <w:tcW w:w="770" w:type="dxa"/>
                      </w:tcPr>
                      <w:p>
                        <w:pPr>
                          <w:pStyle w:val="TableParagraph"/>
                          <w:spacing w:before="23"/>
                          <w:ind w:left="7"/>
                          <w:jc w:val="center"/>
                          <w:rPr>
                            <w:rFonts w:ascii="Times New Roman"/>
                            <w:sz w:val="18"/>
                          </w:rPr>
                        </w:pPr>
                        <w:r>
                          <w:rPr>
                            <w:rFonts w:ascii="Times New Roman"/>
                            <w:sz w:val="18"/>
                          </w:rPr>
                          <w:t>9</w:t>
                        </w:r>
                      </w:p>
                    </w:tc>
                    <w:tc>
                      <w:tcPr>
                        <w:tcW w:w="768" w:type="dxa"/>
                      </w:tcPr>
                      <w:p>
                        <w:pPr>
                          <w:pStyle w:val="TableParagraph"/>
                          <w:spacing w:before="23"/>
                          <w:ind w:left="93" w:right="79"/>
                          <w:jc w:val="center"/>
                          <w:rPr>
                            <w:rFonts w:ascii="Times New Roman"/>
                            <w:sz w:val="18"/>
                          </w:rPr>
                        </w:pPr>
                        <w:r>
                          <w:rPr>
                            <w:rFonts w:ascii="Times New Roman"/>
                            <w:sz w:val="18"/>
                          </w:rPr>
                          <w:t>+9</w:t>
                        </w:r>
                      </w:p>
                    </w:tc>
                  </w:tr>
                  <w:tr>
                    <w:tblPrEx>
                      <w:tblW w:w="0" w:type="auto"/>
                      <w:tblInd w:w="5" w:type="dxa"/>
                      <w:tblLayout w:type="fixed"/>
                      <w:tblCellMar>
                        <w:top w:w="0" w:type="dxa"/>
                        <w:left w:w="0" w:type="dxa"/>
                        <w:bottom w:w="0" w:type="dxa"/>
                        <w:right w:w="0" w:type="dxa"/>
                      </w:tblCellMar>
                    </w:tblPrEx>
                    <w:trPr>
                      <w:trHeight w:val="256"/>
                    </w:trPr>
                    <w:tc>
                      <w:tcPr>
                        <w:tcW w:w="696" w:type="dxa"/>
                        <w:vMerge/>
                        <w:tcBorders>
                          <w:top w:val="nil"/>
                        </w:tcBorders>
                      </w:tcPr>
                      <w:p>
                        <w:pPr>
                          <w:rPr>
                            <w:sz w:val="2"/>
                            <w:szCs w:val="2"/>
                          </w:rPr>
                        </w:pPr>
                      </w:p>
                    </w:tc>
                    <w:tc>
                      <w:tcPr>
                        <w:tcW w:w="770" w:type="dxa"/>
                        <w:vMerge/>
                        <w:tcBorders>
                          <w:top w:val="nil"/>
                        </w:tcBorders>
                      </w:tcPr>
                      <w:p>
                        <w:pPr>
                          <w:rPr>
                            <w:sz w:val="2"/>
                            <w:szCs w:val="2"/>
                          </w:rPr>
                        </w:pPr>
                      </w:p>
                    </w:tc>
                    <w:tc>
                      <w:tcPr>
                        <w:tcW w:w="953" w:type="dxa"/>
                        <w:vMerge/>
                        <w:tcBorders>
                          <w:top w:val="nil"/>
                        </w:tcBorders>
                      </w:tcPr>
                      <w:p>
                        <w:pPr>
                          <w:rPr>
                            <w:sz w:val="2"/>
                            <w:szCs w:val="2"/>
                          </w:rPr>
                        </w:pPr>
                      </w:p>
                    </w:tc>
                    <w:tc>
                      <w:tcPr>
                        <w:tcW w:w="1327" w:type="dxa"/>
                        <w:vMerge/>
                        <w:tcBorders>
                          <w:top w:val="nil"/>
                        </w:tcBorders>
                      </w:tcPr>
                      <w:p>
                        <w:pPr>
                          <w:rPr>
                            <w:sz w:val="2"/>
                            <w:szCs w:val="2"/>
                          </w:rPr>
                        </w:pPr>
                      </w:p>
                    </w:tc>
                    <w:tc>
                      <w:tcPr>
                        <w:tcW w:w="2343" w:type="dxa"/>
                      </w:tcPr>
                      <w:p>
                        <w:pPr>
                          <w:pStyle w:val="TableParagraph"/>
                          <w:spacing w:before="23"/>
                          <w:ind w:left="96" w:right="87"/>
                          <w:jc w:val="center"/>
                          <w:rPr>
                            <w:rFonts w:ascii="Times New Roman"/>
                            <w:sz w:val="18"/>
                          </w:rPr>
                        </w:pPr>
                        <w:r>
                          <w:rPr>
                            <w:rFonts w:ascii="Times New Roman"/>
                            <w:sz w:val="18"/>
                          </w:rPr>
                          <w:t>KGQ-H</w:t>
                        </w:r>
                      </w:p>
                    </w:tc>
                    <w:tc>
                      <w:tcPr>
                        <w:tcW w:w="771" w:type="dxa"/>
                      </w:tcPr>
                      <w:p>
                        <w:pPr>
                          <w:pStyle w:val="TableParagraph"/>
                          <w:spacing w:before="23"/>
                          <w:ind w:left="8"/>
                          <w:jc w:val="center"/>
                          <w:rPr>
                            <w:rFonts w:ascii="Times New Roman"/>
                            <w:sz w:val="18"/>
                          </w:rPr>
                        </w:pPr>
                        <w:r>
                          <w:rPr>
                            <w:rFonts w:ascii="Times New Roman"/>
                            <w:sz w:val="18"/>
                          </w:rPr>
                          <w:t>0</w:t>
                        </w:r>
                      </w:p>
                    </w:tc>
                    <w:tc>
                      <w:tcPr>
                        <w:tcW w:w="770" w:type="dxa"/>
                      </w:tcPr>
                      <w:p>
                        <w:pPr>
                          <w:pStyle w:val="TableParagraph"/>
                          <w:spacing w:before="23"/>
                          <w:ind w:left="7"/>
                          <w:jc w:val="center"/>
                          <w:rPr>
                            <w:rFonts w:ascii="Times New Roman"/>
                            <w:sz w:val="18"/>
                          </w:rPr>
                        </w:pPr>
                        <w:r>
                          <w:rPr>
                            <w:rFonts w:ascii="Times New Roman"/>
                            <w:sz w:val="18"/>
                          </w:rPr>
                          <w:t>9</w:t>
                        </w:r>
                      </w:p>
                    </w:tc>
                    <w:tc>
                      <w:tcPr>
                        <w:tcW w:w="768" w:type="dxa"/>
                      </w:tcPr>
                      <w:p>
                        <w:pPr>
                          <w:pStyle w:val="TableParagraph"/>
                          <w:spacing w:before="23"/>
                          <w:ind w:left="93" w:right="79"/>
                          <w:jc w:val="center"/>
                          <w:rPr>
                            <w:rFonts w:ascii="Times New Roman"/>
                            <w:sz w:val="18"/>
                          </w:rPr>
                        </w:pPr>
                        <w:r>
                          <w:rPr>
                            <w:rFonts w:ascii="Times New Roman"/>
                            <w:sz w:val="18"/>
                          </w:rPr>
                          <w:t>+9</w:t>
                        </w:r>
                      </w:p>
                    </w:tc>
                  </w:tr>
                  <w:tr>
                    <w:tblPrEx>
                      <w:tblW w:w="0" w:type="auto"/>
                      <w:tblInd w:w="5" w:type="dxa"/>
                      <w:tblLayout w:type="fixed"/>
                      <w:tblCellMar>
                        <w:top w:w="0" w:type="dxa"/>
                        <w:left w:w="0" w:type="dxa"/>
                        <w:bottom w:w="0" w:type="dxa"/>
                        <w:right w:w="0" w:type="dxa"/>
                      </w:tblCellMar>
                    </w:tblPrEx>
                    <w:trPr>
                      <w:trHeight w:val="253"/>
                    </w:trPr>
                    <w:tc>
                      <w:tcPr>
                        <w:tcW w:w="696" w:type="dxa"/>
                        <w:vMerge/>
                        <w:tcBorders>
                          <w:top w:val="nil"/>
                        </w:tcBorders>
                      </w:tcPr>
                      <w:p>
                        <w:pPr>
                          <w:rPr>
                            <w:sz w:val="2"/>
                            <w:szCs w:val="2"/>
                          </w:rPr>
                        </w:pPr>
                      </w:p>
                    </w:tc>
                    <w:tc>
                      <w:tcPr>
                        <w:tcW w:w="770" w:type="dxa"/>
                      </w:tcPr>
                      <w:p>
                        <w:pPr>
                          <w:pStyle w:val="TableParagraph"/>
                          <w:spacing w:before="9" w:line="225" w:lineRule="exact"/>
                          <w:ind w:left="92" w:right="80"/>
                          <w:jc w:val="center"/>
                          <w:rPr>
                            <w:sz w:val="18"/>
                          </w:rPr>
                        </w:pPr>
                        <w:r>
                          <w:rPr>
                            <w:sz w:val="18"/>
                          </w:rPr>
                          <w:t>检验</w:t>
                        </w:r>
                      </w:p>
                    </w:tc>
                    <w:tc>
                      <w:tcPr>
                        <w:tcW w:w="953" w:type="dxa"/>
                      </w:tcPr>
                      <w:p>
                        <w:pPr>
                          <w:pStyle w:val="TableParagraph"/>
                          <w:spacing w:before="9" w:line="225" w:lineRule="exact"/>
                          <w:ind w:left="95" w:right="87"/>
                          <w:jc w:val="center"/>
                          <w:rPr>
                            <w:sz w:val="18"/>
                          </w:rPr>
                        </w:pPr>
                        <w:r>
                          <w:rPr>
                            <w:sz w:val="18"/>
                          </w:rPr>
                          <w:t>品检</w:t>
                        </w:r>
                      </w:p>
                    </w:tc>
                    <w:tc>
                      <w:tcPr>
                        <w:tcW w:w="1327" w:type="dxa"/>
                      </w:tcPr>
                      <w:p>
                        <w:pPr>
                          <w:pStyle w:val="TableParagraph"/>
                          <w:spacing w:before="9" w:line="225" w:lineRule="exact"/>
                          <w:ind w:left="102" w:right="91"/>
                          <w:jc w:val="center"/>
                          <w:rPr>
                            <w:sz w:val="18"/>
                          </w:rPr>
                        </w:pPr>
                        <w:r>
                          <w:rPr>
                            <w:sz w:val="18"/>
                          </w:rPr>
                          <w:t>检品机</w:t>
                        </w:r>
                      </w:p>
                    </w:tc>
                    <w:tc>
                      <w:tcPr>
                        <w:tcW w:w="2343" w:type="dxa"/>
                      </w:tcPr>
                      <w:p>
                        <w:pPr>
                          <w:pStyle w:val="TableParagraph"/>
                          <w:spacing w:before="23"/>
                          <w:ind w:left="99" w:right="87"/>
                          <w:jc w:val="center"/>
                          <w:rPr>
                            <w:rFonts w:ascii="Times New Roman"/>
                            <w:sz w:val="18"/>
                          </w:rPr>
                        </w:pPr>
                        <w:r>
                          <w:rPr>
                            <w:rFonts w:ascii="Times New Roman"/>
                            <w:sz w:val="18"/>
                          </w:rPr>
                          <w:t>KJF-H</w:t>
                        </w:r>
                      </w:p>
                    </w:tc>
                    <w:tc>
                      <w:tcPr>
                        <w:tcW w:w="771" w:type="dxa"/>
                      </w:tcPr>
                      <w:p>
                        <w:pPr>
                          <w:pStyle w:val="TableParagraph"/>
                          <w:spacing w:before="23"/>
                          <w:ind w:left="8"/>
                          <w:jc w:val="center"/>
                          <w:rPr>
                            <w:rFonts w:ascii="Times New Roman"/>
                            <w:sz w:val="18"/>
                          </w:rPr>
                        </w:pPr>
                        <w:r>
                          <w:rPr>
                            <w:rFonts w:ascii="Times New Roman"/>
                            <w:sz w:val="18"/>
                          </w:rPr>
                          <w:t>0</w:t>
                        </w:r>
                      </w:p>
                    </w:tc>
                    <w:tc>
                      <w:tcPr>
                        <w:tcW w:w="770" w:type="dxa"/>
                      </w:tcPr>
                      <w:p>
                        <w:pPr>
                          <w:pStyle w:val="TableParagraph"/>
                          <w:spacing w:before="23"/>
                          <w:ind w:left="92" w:right="79"/>
                          <w:jc w:val="center"/>
                          <w:rPr>
                            <w:rFonts w:ascii="Times New Roman"/>
                            <w:sz w:val="18"/>
                          </w:rPr>
                        </w:pPr>
                        <w:r>
                          <w:rPr>
                            <w:rFonts w:ascii="Times New Roman"/>
                            <w:sz w:val="18"/>
                          </w:rPr>
                          <w:t>10</w:t>
                        </w:r>
                      </w:p>
                    </w:tc>
                    <w:tc>
                      <w:tcPr>
                        <w:tcW w:w="768" w:type="dxa"/>
                      </w:tcPr>
                      <w:p>
                        <w:pPr>
                          <w:pStyle w:val="TableParagraph"/>
                          <w:spacing w:before="23"/>
                          <w:ind w:left="94" w:right="79"/>
                          <w:jc w:val="center"/>
                          <w:rPr>
                            <w:rFonts w:ascii="Times New Roman"/>
                            <w:sz w:val="18"/>
                          </w:rPr>
                        </w:pPr>
                        <w:r>
                          <w:rPr>
                            <w:rFonts w:ascii="Times New Roman"/>
                            <w:sz w:val="18"/>
                          </w:rPr>
                          <w:t>+10</w:t>
                        </w:r>
                      </w:p>
                    </w:tc>
                  </w:tr>
                  <w:tr>
                    <w:tblPrEx>
                      <w:tblW w:w="0" w:type="auto"/>
                      <w:tblInd w:w="5" w:type="dxa"/>
                      <w:tblLayout w:type="fixed"/>
                      <w:tblCellMar>
                        <w:top w:w="0" w:type="dxa"/>
                        <w:left w:w="0" w:type="dxa"/>
                        <w:bottom w:w="0" w:type="dxa"/>
                        <w:right w:w="0" w:type="dxa"/>
                      </w:tblCellMar>
                    </w:tblPrEx>
                    <w:trPr>
                      <w:trHeight w:val="256"/>
                    </w:trPr>
                    <w:tc>
                      <w:tcPr>
                        <w:tcW w:w="696" w:type="dxa"/>
                        <w:vMerge/>
                        <w:tcBorders>
                          <w:top w:val="nil"/>
                        </w:tcBorders>
                      </w:tcPr>
                      <w:p>
                        <w:pPr>
                          <w:rPr>
                            <w:sz w:val="2"/>
                            <w:szCs w:val="2"/>
                          </w:rPr>
                        </w:pPr>
                      </w:p>
                    </w:tc>
                    <w:tc>
                      <w:tcPr>
                        <w:tcW w:w="770" w:type="dxa"/>
                        <w:vMerge w:val="restart"/>
                      </w:tcPr>
                      <w:p>
                        <w:pPr>
                          <w:pStyle w:val="TableParagraph"/>
                          <w:spacing w:before="144"/>
                          <w:ind w:left="206"/>
                          <w:rPr>
                            <w:sz w:val="18"/>
                          </w:rPr>
                        </w:pPr>
                        <w:r>
                          <w:rPr>
                            <w:sz w:val="18"/>
                          </w:rPr>
                          <w:t>辅助</w:t>
                        </w:r>
                      </w:p>
                    </w:tc>
                    <w:tc>
                      <w:tcPr>
                        <w:tcW w:w="953" w:type="dxa"/>
                      </w:tcPr>
                      <w:p>
                        <w:pPr>
                          <w:pStyle w:val="TableParagraph"/>
                          <w:spacing w:before="12" w:line="225" w:lineRule="exact"/>
                          <w:ind w:left="95" w:right="87"/>
                          <w:jc w:val="center"/>
                          <w:rPr>
                            <w:sz w:val="18"/>
                          </w:rPr>
                        </w:pPr>
                        <w:r>
                          <w:rPr>
                            <w:sz w:val="18"/>
                          </w:rPr>
                          <w:t>配料</w:t>
                        </w:r>
                      </w:p>
                    </w:tc>
                    <w:tc>
                      <w:tcPr>
                        <w:tcW w:w="1327" w:type="dxa"/>
                      </w:tcPr>
                      <w:p>
                        <w:pPr>
                          <w:pStyle w:val="TableParagraph"/>
                          <w:spacing w:before="12" w:line="225" w:lineRule="exact"/>
                          <w:ind w:left="102" w:right="91"/>
                          <w:jc w:val="center"/>
                          <w:rPr>
                            <w:sz w:val="18"/>
                          </w:rPr>
                        </w:pPr>
                        <w:r>
                          <w:rPr>
                            <w:sz w:val="18"/>
                          </w:rPr>
                          <w:t>配料间</w:t>
                        </w:r>
                      </w:p>
                    </w:tc>
                    <w:tc>
                      <w:tcPr>
                        <w:tcW w:w="2343" w:type="dxa"/>
                      </w:tcPr>
                      <w:p>
                        <w:pPr>
                          <w:pStyle w:val="TableParagraph"/>
                          <w:spacing w:line="237" w:lineRule="exact"/>
                          <w:ind w:left="98" w:right="87"/>
                          <w:jc w:val="center"/>
                          <w:rPr>
                            <w:rFonts w:ascii="Times New Roman" w:hAnsi="Times New Roman"/>
                            <w:sz w:val="12"/>
                          </w:rPr>
                        </w:pPr>
                        <w:r>
                          <w:rPr>
                            <w:rFonts w:ascii="Times New Roman" w:hAnsi="Times New Roman"/>
                            <w:sz w:val="18"/>
                          </w:rPr>
                          <w:t>12</w:t>
                        </w:r>
                        <w:r>
                          <w:rPr>
                            <w:rFonts w:ascii="等线" w:hAnsi="等线"/>
                            <w:sz w:val="18"/>
                          </w:rPr>
                          <w:t>×</w:t>
                        </w:r>
                        <w:r>
                          <w:rPr>
                            <w:rFonts w:ascii="Times New Roman" w:hAnsi="Times New Roman"/>
                            <w:sz w:val="18"/>
                          </w:rPr>
                          <w:t>4</w:t>
                        </w:r>
                        <w:r>
                          <w:rPr>
                            <w:rFonts w:ascii="等线" w:hAnsi="等线"/>
                            <w:sz w:val="18"/>
                          </w:rPr>
                          <w:t>×</w:t>
                        </w:r>
                        <w:r>
                          <w:rPr>
                            <w:rFonts w:ascii="Times New Roman" w:hAnsi="Times New Roman"/>
                            <w:sz w:val="18"/>
                          </w:rPr>
                          <w:t>2.5m</w:t>
                        </w:r>
                        <w:r>
                          <w:rPr>
                            <w:rFonts w:ascii="Times New Roman" w:hAnsi="Times New Roman"/>
                            <w:position w:val="6"/>
                            <w:sz w:val="12"/>
                          </w:rPr>
                          <w:t>3</w:t>
                        </w:r>
                      </w:p>
                    </w:tc>
                    <w:tc>
                      <w:tcPr>
                        <w:tcW w:w="771" w:type="dxa"/>
                      </w:tcPr>
                      <w:p>
                        <w:pPr>
                          <w:pStyle w:val="TableParagraph"/>
                          <w:spacing w:before="24"/>
                          <w:ind w:left="8"/>
                          <w:jc w:val="center"/>
                          <w:rPr>
                            <w:rFonts w:ascii="Times New Roman"/>
                            <w:sz w:val="18"/>
                          </w:rPr>
                        </w:pPr>
                        <w:r>
                          <w:rPr>
                            <w:rFonts w:ascii="Times New Roman"/>
                            <w:sz w:val="18"/>
                          </w:rPr>
                          <w:t>0</w:t>
                        </w:r>
                      </w:p>
                    </w:tc>
                    <w:tc>
                      <w:tcPr>
                        <w:tcW w:w="770" w:type="dxa"/>
                      </w:tcPr>
                      <w:p>
                        <w:pPr>
                          <w:pStyle w:val="TableParagraph"/>
                          <w:spacing w:before="24"/>
                          <w:ind w:left="7"/>
                          <w:jc w:val="center"/>
                          <w:rPr>
                            <w:rFonts w:ascii="Times New Roman"/>
                            <w:sz w:val="18"/>
                          </w:rPr>
                        </w:pPr>
                        <w:r>
                          <w:rPr>
                            <w:rFonts w:ascii="Times New Roman"/>
                            <w:sz w:val="18"/>
                          </w:rPr>
                          <w:t>1</w:t>
                        </w:r>
                      </w:p>
                    </w:tc>
                    <w:tc>
                      <w:tcPr>
                        <w:tcW w:w="768" w:type="dxa"/>
                      </w:tcPr>
                      <w:p>
                        <w:pPr>
                          <w:pStyle w:val="TableParagraph"/>
                          <w:spacing w:before="24"/>
                          <w:ind w:left="93" w:right="79"/>
                          <w:jc w:val="center"/>
                          <w:rPr>
                            <w:rFonts w:ascii="Times New Roman"/>
                            <w:sz w:val="18"/>
                          </w:rPr>
                        </w:pPr>
                        <w:r>
                          <w:rPr>
                            <w:rFonts w:ascii="Times New Roman"/>
                            <w:sz w:val="18"/>
                          </w:rPr>
                          <w:t>+1</w:t>
                        </w:r>
                      </w:p>
                    </w:tc>
                  </w:tr>
                  <w:tr>
                    <w:tblPrEx>
                      <w:tblW w:w="0" w:type="auto"/>
                      <w:tblInd w:w="5" w:type="dxa"/>
                      <w:tblLayout w:type="fixed"/>
                      <w:tblCellMar>
                        <w:top w:w="0" w:type="dxa"/>
                        <w:left w:w="0" w:type="dxa"/>
                        <w:bottom w:w="0" w:type="dxa"/>
                        <w:right w:w="0" w:type="dxa"/>
                      </w:tblCellMar>
                    </w:tblPrEx>
                    <w:trPr>
                      <w:trHeight w:val="253"/>
                    </w:trPr>
                    <w:tc>
                      <w:tcPr>
                        <w:tcW w:w="696" w:type="dxa"/>
                        <w:vMerge/>
                        <w:tcBorders>
                          <w:top w:val="nil"/>
                        </w:tcBorders>
                      </w:tcPr>
                      <w:p>
                        <w:pPr>
                          <w:rPr>
                            <w:sz w:val="2"/>
                            <w:szCs w:val="2"/>
                          </w:rPr>
                        </w:pPr>
                      </w:p>
                    </w:tc>
                    <w:tc>
                      <w:tcPr>
                        <w:tcW w:w="770" w:type="dxa"/>
                        <w:vMerge/>
                        <w:tcBorders>
                          <w:top w:val="nil"/>
                        </w:tcBorders>
                      </w:tcPr>
                      <w:p>
                        <w:pPr>
                          <w:rPr>
                            <w:sz w:val="2"/>
                            <w:szCs w:val="2"/>
                          </w:rPr>
                        </w:pPr>
                      </w:p>
                    </w:tc>
                    <w:tc>
                      <w:tcPr>
                        <w:tcW w:w="953" w:type="dxa"/>
                      </w:tcPr>
                      <w:p>
                        <w:pPr>
                          <w:pStyle w:val="TableParagraph"/>
                          <w:spacing w:before="9" w:line="225" w:lineRule="exact"/>
                          <w:ind w:left="95" w:right="87"/>
                          <w:jc w:val="center"/>
                          <w:rPr>
                            <w:sz w:val="18"/>
                          </w:rPr>
                        </w:pPr>
                        <w:r>
                          <w:rPr>
                            <w:sz w:val="18"/>
                          </w:rPr>
                          <w:t>压缩空气</w:t>
                        </w:r>
                      </w:p>
                    </w:tc>
                    <w:tc>
                      <w:tcPr>
                        <w:tcW w:w="1327" w:type="dxa"/>
                      </w:tcPr>
                      <w:p>
                        <w:pPr>
                          <w:pStyle w:val="TableParagraph"/>
                          <w:spacing w:before="9" w:line="225" w:lineRule="exact"/>
                          <w:ind w:left="102" w:right="91"/>
                          <w:jc w:val="center"/>
                          <w:rPr>
                            <w:sz w:val="18"/>
                          </w:rPr>
                        </w:pPr>
                        <w:r>
                          <w:rPr>
                            <w:sz w:val="18"/>
                          </w:rPr>
                          <w:t>空压机</w:t>
                        </w:r>
                      </w:p>
                    </w:tc>
                    <w:tc>
                      <w:tcPr>
                        <w:tcW w:w="2343" w:type="dxa"/>
                      </w:tcPr>
                      <w:p>
                        <w:pPr>
                          <w:pStyle w:val="TableParagraph"/>
                          <w:spacing w:before="9" w:line="225" w:lineRule="exact"/>
                          <w:ind w:left="99" w:right="87"/>
                          <w:jc w:val="center"/>
                          <w:rPr>
                            <w:rFonts w:ascii="Times New Roman" w:eastAsia="Times New Roman"/>
                            <w:sz w:val="18"/>
                          </w:rPr>
                        </w:pPr>
                        <w:r>
                          <w:rPr>
                            <w:sz w:val="18"/>
                          </w:rPr>
                          <w:t xml:space="preserve">螺杆式，供气量 </w:t>
                        </w:r>
                        <w:r>
                          <w:rPr>
                            <w:rFonts w:ascii="Times New Roman" w:eastAsia="Times New Roman"/>
                            <w:sz w:val="18"/>
                          </w:rPr>
                          <w:t>2.3m</w:t>
                        </w:r>
                        <w:r>
                          <w:rPr>
                            <w:rFonts w:ascii="Times New Roman" w:eastAsia="Times New Roman"/>
                            <w:position w:val="6"/>
                            <w:sz w:val="12"/>
                          </w:rPr>
                          <w:t>3</w:t>
                        </w:r>
                        <w:r>
                          <w:rPr>
                            <w:rFonts w:ascii="Times New Roman" w:eastAsia="Times New Roman"/>
                            <w:sz w:val="18"/>
                          </w:rPr>
                          <w:t>/min</w:t>
                        </w:r>
                      </w:p>
                    </w:tc>
                    <w:tc>
                      <w:tcPr>
                        <w:tcW w:w="771" w:type="dxa"/>
                      </w:tcPr>
                      <w:p>
                        <w:pPr>
                          <w:pStyle w:val="TableParagraph"/>
                          <w:spacing w:before="23"/>
                          <w:ind w:left="8"/>
                          <w:jc w:val="center"/>
                          <w:rPr>
                            <w:rFonts w:ascii="Times New Roman"/>
                            <w:sz w:val="18"/>
                          </w:rPr>
                        </w:pPr>
                        <w:r>
                          <w:rPr>
                            <w:rFonts w:ascii="Times New Roman"/>
                            <w:sz w:val="18"/>
                          </w:rPr>
                          <w:t>0</w:t>
                        </w:r>
                      </w:p>
                    </w:tc>
                    <w:tc>
                      <w:tcPr>
                        <w:tcW w:w="770" w:type="dxa"/>
                      </w:tcPr>
                      <w:p>
                        <w:pPr>
                          <w:pStyle w:val="TableParagraph"/>
                          <w:spacing w:before="23"/>
                          <w:ind w:left="7"/>
                          <w:jc w:val="center"/>
                          <w:rPr>
                            <w:rFonts w:ascii="Times New Roman"/>
                            <w:sz w:val="18"/>
                          </w:rPr>
                        </w:pPr>
                        <w:r>
                          <w:rPr>
                            <w:rFonts w:ascii="Times New Roman"/>
                            <w:sz w:val="18"/>
                          </w:rPr>
                          <w:t>2</w:t>
                        </w:r>
                      </w:p>
                    </w:tc>
                    <w:tc>
                      <w:tcPr>
                        <w:tcW w:w="768" w:type="dxa"/>
                      </w:tcPr>
                      <w:p>
                        <w:pPr>
                          <w:pStyle w:val="TableParagraph"/>
                          <w:spacing w:before="23"/>
                          <w:ind w:left="93" w:right="79"/>
                          <w:jc w:val="center"/>
                          <w:rPr>
                            <w:rFonts w:ascii="Times New Roman"/>
                            <w:sz w:val="18"/>
                          </w:rPr>
                        </w:pPr>
                        <w:r>
                          <w:rPr>
                            <w:rFonts w:ascii="Times New Roman"/>
                            <w:sz w:val="18"/>
                          </w:rPr>
                          <w:t>+2</w:t>
                        </w:r>
                      </w:p>
                    </w:tc>
                  </w:tr>
                  <w:tr>
                    <w:tblPrEx>
                      <w:tblW w:w="0" w:type="auto"/>
                      <w:tblInd w:w="5" w:type="dxa"/>
                      <w:tblLayout w:type="fixed"/>
                      <w:tblCellMar>
                        <w:top w:w="0" w:type="dxa"/>
                        <w:left w:w="0" w:type="dxa"/>
                        <w:bottom w:w="0" w:type="dxa"/>
                        <w:right w:w="0" w:type="dxa"/>
                      </w:tblCellMar>
                    </w:tblPrEx>
                    <w:trPr>
                      <w:trHeight w:val="254"/>
                    </w:trPr>
                    <w:tc>
                      <w:tcPr>
                        <w:tcW w:w="696" w:type="dxa"/>
                        <w:vMerge w:val="restart"/>
                      </w:tcPr>
                      <w:p>
                        <w:pPr>
                          <w:pStyle w:val="TableParagraph"/>
                          <w:rPr>
                            <w:b/>
                            <w:sz w:val="20"/>
                          </w:rPr>
                        </w:pPr>
                      </w:p>
                      <w:p>
                        <w:pPr>
                          <w:pStyle w:val="TableParagraph"/>
                          <w:rPr>
                            <w:b/>
                            <w:sz w:val="20"/>
                          </w:rPr>
                        </w:pPr>
                      </w:p>
                      <w:p>
                        <w:pPr>
                          <w:pStyle w:val="TableParagraph"/>
                          <w:rPr>
                            <w:b/>
                            <w:sz w:val="20"/>
                          </w:rPr>
                        </w:pPr>
                      </w:p>
                      <w:p>
                        <w:pPr>
                          <w:pStyle w:val="TableParagraph"/>
                          <w:spacing w:before="4"/>
                          <w:rPr>
                            <w:b/>
                            <w:sz w:val="29"/>
                          </w:rPr>
                        </w:pPr>
                      </w:p>
                      <w:p>
                        <w:pPr>
                          <w:pStyle w:val="TableParagraph"/>
                          <w:ind w:left="304" w:right="289"/>
                          <w:jc w:val="center"/>
                          <w:rPr>
                            <w:rFonts w:ascii="Times New Roman"/>
                            <w:sz w:val="18"/>
                          </w:rPr>
                        </w:pPr>
                        <w:r>
                          <w:rPr>
                            <w:rFonts w:ascii="Times New Roman"/>
                            <w:sz w:val="18"/>
                          </w:rPr>
                          <w:t>2 #</w:t>
                        </w:r>
                      </w:p>
                      <w:p>
                        <w:pPr>
                          <w:pStyle w:val="TableParagraph"/>
                          <w:spacing w:before="1" w:line="242" w:lineRule="auto"/>
                          <w:ind w:left="258" w:right="245"/>
                          <w:jc w:val="center"/>
                          <w:rPr>
                            <w:sz w:val="18"/>
                          </w:rPr>
                        </w:pPr>
                        <w:r>
                          <w:rPr>
                            <w:sz w:val="18"/>
                          </w:rPr>
                          <w:t>车间</w:t>
                        </w:r>
                      </w:p>
                    </w:tc>
                    <w:tc>
                      <w:tcPr>
                        <w:tcW w:w="770" w:type="dxa"/>
                        <w:vMerge w:val="restart"/>
                      </w:tcPr>
                      <w:p>
                        <w:pPr>
                          <w:pStyle w:val="TableParagraph"/>
                          <w:spacing w:before="144"/>
                          <w:ind w:left="206"/>
                          <w:rPr>
                            <w:sz w:val="18"/>
                          </w:rPr>
                        </w:pPr>
                        <w:r>
                          <w:rPr>
                            <w:sz w:val="18"/>
                          </w:rPr>
                          <w:t>印刷</w:t>
                        </w:r>
                      </w:p>
                    </w:tc>
                    <w:tc>
                      <w:tcPr>
                        <w:tcW w:w="953" w:type="dxa"/>
                      </w:tcPr>
                      <w:p>
                        <w:pPr>
                          <w:pStyle w:val="TableParagraph"/>
                          <w:spacing w:before="12" w:line="222" w:lineRule="exact"/>
                          <w:ind w:left="95" w:right="87"/>
                          <w:jc w:val="center"/>
                          <w:rPr>
                            <w:sz w:val="18"/>
                          </w:rPr>
                        </w:pPr>
                        <w:r>
                          <w:rPr>
                            <w:sz w:val="18"/>
                          </w:rPr>
                          <w:t>铝箔印刷</w:t>
                        </w:r>
                      </w:p>
                    </w:tc>
                    <w:tc>
                      <w:tcPr>
                        <w:tcW w:w="1327" w:type="dxa"/>
                      </w:tcPr>
                      <w:p>
                        <w:pPr>
                          <w:pStyle w:val="TableParagraph"/>
                          <w:spacing w:before="12" w:line="222" w:lineRule="exact"/>
                          <w:ind w:left="102" w:right="91"/>
                          <w:jc w:val="center"/>
                          <w:rPr>
                            <w:sz w:val="18"/>
                          </w:rPr>
                        </w:pPr>
                        <w:r>
                          <w:rPr>
                            <w:sz w:val="18"/>
                          </w:rPr>
                          <w:t>铝箔印刷机</w:t>
                        </w:r>
                      </w:p>
                    </w:tc>
                    <w:tc>
                      <w:tcPr>
                        <w:tcW w:w="2343" w:type="dxa"/>
                      </w:tcPr>
                      <w:p>
                        <w:pPr>
                          <w:pStyle w:val="TableParagraph"/>
                          <w:spacing w:before="23"/>
                          <w:ind w:left="98" w:right="87"/>
                          <w:jc w:val="center"/>
                          <w:rPr>
                            <w:rFonts w:ascii="Times New Roman"/>
                            <w:sz w:val="18"/>
                          </w:rPr>
                        </w:pPr>
                        <w:r>
                          <w:rPr>
                            <w:rFonts w:ascii="Times New Roman"/>
                            <w:sz w:val="18"/>
                          </w:rPr>
                          <w:t>KYA-62000A</w:t>
                        </w:r>
                      </w:p>
                    </w:tc>
                    <w:tc>
                      <w:tcPr>
                        <w:tcW w:w="771" w:type="dxa"/>
                      </w:tcPr>
                      <w:p>
                        <w:pPr>
                          <w:pStyle w:val="TableParagraph"/>
                          <w:spacing w:before="23"/>
                          <w:ind w:left="8"/>
                          <w:jc w:val="center"/>
                          <w:rPr>
                            <w:rFonts w:ascii="Times New Roman"/>
                            <w:sz w:val="18"/>
                          </w:rPr>
                        </w:pPr>
                        <w:r>
                          <w:rPr>
                            <w:rFonts w:ascii="Times New Roman"/>
                            <w:sz w:val="18"/>
                          </w:rPr>
                          <w:t>4</w:t>
                        </w:r>
                      </w:p>
                    </w:tc>
                    <w:tc>
                      <w:tcPr>
                        <w:tcW w:w="770" w:type="dxa"/>
                      </w:tcPr>
                      <w:p>
                        <w:pPr>
                          <w:pStyle w:val="TableParagraph"/>
                          <w:spacing w:before="23"/>
                          <w:ind w:left="7"/>
                          <w:jc w:val="center"/>
                          <w:rPr>
                            <w:rFonts w:ascii="Times New Roman"/>
                            <w:sz w:val="18"/>
                          </w:rPr>
                        </w:pPr>
                        <w:r>
                          <w:rPr>
                            <w:rFonts w:ascii="Times New Roman"/>
                            <w:sz w:val="18"/>
                          </w:rPr>
                          <w:t>4</w:t>
                        </w:r>
                      </w:p>
                    </w:tc>
                    <w:tc>
                      <w:tcPr>
                        <w:tcW w:w="768" w:type="dxa"/>
                      </w:tcPr>
                      <w:p>
                        <w:pPr>
                          <w:pStyle w:val="TableParagraph"/>
                          <w:spacing w:before="23"/>
                          <w:ind w:left="15"/>
                          <w:jc w:val="center"/>
                          <w:rPr>
                            <w:rFonts w:ascii="Times New Roman"/>
                            <w:sz w:val="18"/>
                          </w:rPr>
                        </w:pPr>
                        <w:r>
                          <w:rPr>
                            <w:rFonts w:ascii="Times New Roman"/>
                            <w:sz w:val="18"/>
                          </w:rPr>
                          <w:t>0</w:t>
                        </w:r>
                      </w:p>
                    </w:tc>
                  </w:tr>
                  <w:tr>
                    <w:tblPrEx>
                      <w:tblW w:w="0" w:type="auto"/>
                      <w:tblInd w:w="5" w:type="dxa"/>
                      <w:tblLayout w:type="fixed"/>
                      <w:tblCellMar>
                        <w:top w:w="0" w:type="dxa"/>
                        <w:left w:w="0" w:type="dxa"/>
                        <w:bottom w:w="0" w:type="dxa"/>
                        <w:right w:w="0" w:type="dxa"/>
                      </w:tblCellMar>
                    </w:tblPrEx>
                    <w:trPr>
                      <w:trHeight w:val="256"/>
                    </w:trPr>
                    <w:tc>
                      <w:tcPr>
                        <w:tcW w:w="696" w:type="dxa"/>
                        <w:vMerge/>
                        <w:tcBorders>
                          <w:top w:val="nil"/>
                        </w:tcBorders>
                      </w:tcPr>
                      <w:p>
                        <w:pPr>
                          <w:rPr>
                            <w:sz w:val="2"/>
                            <w:szCs w:val="2"/>
                          </w:rPr>
                        </w:pPr>
                      </w:p>
                    </w:tc>
                    <w:tc>
                      <w:tcPr>
                        <w:tcW w:w="770" w:type="dxa"/>
                        <w:vMerge/>
                        <w:tcBorders>
                          <w:top w:val="nil"/>
                        </w:tcBorders>
                      </w:tcPr>
                      <w:p>
                        <w:pPr>
                          <w:rPr>
                            <w:sz w:val="2"/>
                            <w:szCs w:val="2"/>
                          </w:rPr>
                        </w:pPr>
                      </w:p>
                    </w:tc>
                    <w:tc>
                      <w:tcPr>
                        <w:tcW w:w="953" w:type="dxa"/>
                      </w:tcPr>
                      <w:p>
                        <w:pPr>
                          <w:pStyle w:val="TableParagraph"/>
                          <w:spacing w:before="11" w:line="225" w:lineRule="exact"/>
                          <w:ind w:left="95" w:right="87"/>
                          <w:jc w:val="center"/>
                          <w:rPr>
                            <w:sz w:val="18"/>
                          </w:rPr>
                        </w:pPr>
                        <w:r>
                          <w:rPr>
                            <w:sz w:val="18"/>
                          </w:rPr>
                          <w:t>塑料印刷</w:t>
                        </w:r>
                      </w:p>
                    </w:tc>
                    <w:tc>
                      <w:tcPr>
                        <w:tcW w:w="1327" w:type="dxa"/>
                      </w:tcPr>
                      <w:p>
                        <w:pPr>
                          <w:pStyle w:val="TableParagraph"/>
                          <w:spacing w:before="11" w:line="225" w:lineRule="exact"/>
                          <w:ind w:left="102" w:right="94"/>
                          <w:jc w:val="center"/>
                          <w:rPr>
                            <w:sz w:val="18"/>
                          </w:rPr>
                        </w:pPr>
                        <w:r>
                          <w:rPr>
                            <w:sz w:val="18"/>
                          </w:rPr>
                          <w:t>塑料膜印刷机</w:t>
                        </w:r>
                      </w:p>
                    </w:tc>
                    <w:tc>
                      <w:tcPr>
                        <w:tcW w:w="2343" w:type="dxa"/>
                      </w:tcPr>
                      <w:p>
                        <w:pPr>
                          <w:pStyle w:val="TableParagraph"/>
                          <w:spacing w:before="26"/>
                          <w:ind w:left="97" w:right="87"/>
                          <w:jc w:val="center"/>
                          <w:rPr>
                            <w:rFonts w:ascii="Times New Roman"/>
                            <w:sz w:val="18"/>
                          </w:rPr>
                        </w:pPr>
                        <w:r>
                          <w:rPr>
                            <w:rFonts w:ascii="Times New Roman"/>
                            <w:sz w:val="18"/>
                          </w:rPr>
                          <w:t>KYA-81050</w:t>
                        </w:r>
                      </w:p>
                    </w:tc>
                    <w:tc>
                      <w:tcPr>
                        <w:tcW w:w="771" w:type="dxa"/>
                      </w:tcPr>
                      <w:p>
                        <w:pPr>
                          <w:pStyle w:val="TableParagraph"/>
                          <w:spacing w:before="26"/>
                          <w:ind w:left="8"/>
                          <w:jc w:val="center"/>
                          <w:rPr>
                            <w:rFonts w:ascii="Times New Roman"/>
                            <w:sz w:val="18"/>
                          </w:rPr>
                        </w:pPr>
                        <w:r>
                          <w:rPr>
                            <w:rFonts w:ascii="Times New Roman"/>
                            <w:sz w:val="18"/>
                          </w:rPr>
                          <w:t>4</w:t>
                        </w:r>
                      </w:p>
                    </w:tc>
                    <w:tc>
                      <w:tcPr>
                        <w:tcW w:w="770" w:type="dxa"/>
                      </w:tcPr>
                      <w:p>
                        <w:pPr>
                          <w:pStyle w:val="TableParagraph"/>
                          <w:spacing w:before="26"/>
                          <w:ind w:left="7"/>
                          <w:jc w:val="center"/>
                          <w:rPr>
                            <w:rFonts w:ascii="Times New Roman"/>
                            <w:sz w:val="18"/>
                          </w:rPr>
                        </w:pPr>
                        <w:r>
                          <w:rPr>
                            <w:rFonts w:ascii="Times New Roman"/>
                            <w:sz w:val="18"/>
                          </w:rPr>
                          <w:t>4</w:t>
                        </w:r>
                      </w:p>
                    </w:tc>
                    <w:tc>
                      <w:tcPr>
                        <w:tcW w:w="768" w:type="dxa"/>
                      </w:tcPr>
                      <w:p>
                        <w:pPr>
                          <w:pStyle w:val="TableParagraph"/>
                          <w:spacing w:before="26"/>
                          <w:ind w:left="15"/>
                          <w:jc w:val="center"/>
                          <w:rPr>
                            <w:rFonts w:ascii="Times New Roman"/>
                            <w:sz w:val="18"/>
                          </w:rPr>
                        </w:pPr>
                        <w:r>
                          <w:rPr>
                            <w:rFonts w:ascii="Times New Roman"/>
                            <w:sz w:val="18"/>
                          </w:rPr>
                          <w:t>0</w:t>
                        </w:r>
                      </w:p>
                    </w:tc>
                  </w:tr>
                  <w:tr>
                    <w:tblPrEx>
                      <w:tblW w:w="0" w:type="auto"/>
                      <w:tblInd w:w="5" w:type="dxa"/>
                      <w:tblLayout w:type="fixed"/>
                      <w:tblCellMar>
                        <w:top w:w="0" w:type="dxa"/>
                        <w:left w:w="0" w:type="dxa"/>
                        <w:bottom w:w="0" w:type="dxa"/>
                        <w:right w:w="0" w:type="dxa"/>
                      </w:tblCellMar>
                    </w:tblPrEx>
                    <w:trPr>
                      <w:trHeight w:val="253"/>
                    </w:trPr>
                    <w:tc>
                      <w:tcPr>
                        <w:tcW w:w="696" w:type="dxa"/>
                        <w:vMerge/>
                        <w:tcBorders>
                          <w:top w:val="nil"/>
                        </w:tcBorders>
                      </w:tcPr>
                      <w:p>
                        <w:pPr>
                          <w:rPr>
                            <w:sz w:val="2"/>
                            <w:szCs w:val="2"/>
                          </w:rPr>
                        </w:pPr>
                      </w:p>
                    </w:tc>
                    <w:tc>
                      <w:tcPr>
                        <w:tcW w:w="770" w:type="dxa"/>
                        <w:vMerge w:val="restart"/>
                      </w:tcPr>
                      <w:p>
                        <w:pPr>
                          <w:pStyle w:val="TableParagraph"/>
                          <w:spacing w:before="6"/>
                          <w:rPr>
                            <w:b/>
                            <w:sz w:val="21"/>
                          </w:rPr>
                        </w:pPr>
                      </w:p>
                      <w:p>
                        <w:pPr>
                          <w:pStyle w:val="TableParagraph"/>
                          <w:ind w:left="206"/>
                          <w:rPr>
                            <w:sz w:val="18"/>
                          </w:rPr>
                        </w:pPr>
                        <w:r>
                          <w:rPr>
                            <w:sz w:val="18"/>
                          </w:rPr>
                          <w:t>复合</w:t>
                        </w:r>
                      </w:p>
                    </w:tc>
                    <w:tc>
                      <w:tcPr>
                        <w:tcW w:w="953" w:type="dxa"/>
                      </w:tcPr>
                      <w:p>
                        <w:pPr>
                          <w:pStyle w:val="TableParagraph"/>
                          <w:spacing w:before="9" w:line="225" w:lineRule="exact"/>
                          <w:ind w:left="95" w:right="87"/>
                          <w:jc w:val="center"/>
                          <w:rPr>
                            <w:sz w:val="18"/>
                          </w:rPr>
                        </w:pPr>
                        <w:r>
                          <w:rPr>
                            <w:sz w:val="18"/>
                          </w:rPr>
                          <w:t>铝箔复合</w:t>
                        </w:r>
                      </w:p>
                    </w:tc>
                    <w:tc>
                      <w:tcPr>
                        <w:tcW w:w="1327" w:type="dxa"/>
                      </w:tcPr>
                      <w:p>
                        <w:pPr>
                          <w:pStyle w:val="TableParagraph"/>
                          <w:spacing w:before="9" w:line="225" w:lineRule="exact"/>
                          <w:ind w:left="102" w:right="91"/>
                          <w:jc w:val="center"/>
                          <w:rPr>
                            <w:sz w:val="18"/>
                          </w:rPr>
                        </w:pPr>
                        <w:r>
                          <w:rPr>
                            <w:sz w:val="18"/>
                          </w:rPr>
                          <w:t>铝箔复合机</w:t>
                        </w:r>
                      </w:p>
                    </w:tc>
                    <w:tc>
                      <w:tcPr>
                        <w:tcW w:w="2343" w:type="dxa"/>
                      </w:tcPr>
                      <w:p>
                        <w:pPr>
                          <w:pStyle w:val="TableParagraph"/>
                          <w:spacing w:before="23"/>
                          <w:ind w:left="99" w:right="87"/>
                          <w:jc w:val="center"/>
                          <w:rPr>
                            <w:rFonts w:ascii="Times New Roman"/>
                            <w:sz w:val="18"/>
                          </w:rPr>
                        </w:pPr>
                        <w:r>
                          <w:rPr>
                            <w:rFonts w:ascii="Times New Roman"/>
                            <w:sz w:val="18"/>
                          </w:rPr>
                          <w:t>KGF-1050E</w:t>
                        </w:r>
                      </w:p>
                    </w:tc>
                    <w:tc>
                      <w:tcPr>
                        <w:tcW w:w="771" w:type="dxa"/>
                      </w:tcPr>
                      <w:p>
                        <w:pPr>
                          <w:pStyle w:val="TableParagraph"/>
                          <w:spacing w:before="23"/>
                          <w:ind w:left="42" w:right="30"/>
                          <w:jc w:val="center"/>
                          <w:rPr>
                            <w:rFonts w:ascii="Times New Roman"/>
                            <w:sz w:val="18"/>
                          </w:rPr>
                        </w:pPr>
                        <w:r>
                          <w:rPr>
                            <w:rFonts w:ascii="Times New Roman"/>
                            <w:sz w:val="18"/>
                          </w:rPr>
                          <w:t>10</w:t>
                        </w:r>
                      </w:p>
                    </w:tc>
                    <w:tc>
                      <w:tcPr>
                        <w:tcW w:w="770" w:type="dxa"/>
                      </w:tcPr>
                      <w:p>
                        <w:pPr>
                          <w:pStyle w:val="TableParagraph"/>
                          <w:spacing w:before="23"/>
                          <w:ind w:left="92" w:right="79"/>
                          <w:jc w:val="center"/>
                          <w:rPr>
                            <w:rFonts w:ascii="Times New Roman"/>
                            <w:sz w:val="18"/>
                          </w:rPr>
                        </w:pPr>
                        <w:r>
                          <w:rPr>
                            <w:rFonts w:ascii="Times New Roman"/>
                            <w:sz w:val="18"/>
                          </w:rPr>
                          <w:t>10</w:t>
                        </w:r>
                      </w:p>
                    </w:tc>
                    <w:tc>
                      <w:tcPr>
                        <w:tcW w:w="768" w:type="dxa"/>
                      </w:tcPr>
                      <w:p>
                        <w:pPr>
                          <w:pStyle w:val="TableParagraph"/>
                          <w:spacing w:before="23"/>
                          <w:ind w:left="15"/>
                          <w:jc w:val="center"/>
                          <w:rPr>
                            <w:rFonts w:ascii="Times New Roman"/>
                            <w:sz w:val="18"/>
                          </w:rPr>
                        </w:pPr>
                        <w:r>
                          <w:rPr>
                            <w:rFonts w:ascii="Times New Roman"/>
                            <w:sz w:val="18"/>
                          </w:rPr>
                          <w:t>0</w:t>
                        </w:r>
                      </w:p>
                    </w:tc>
                  </w:tr>
                  <w:tr>
                    <w:tblPrEx>
                      <w:tblW w:w="0" w:type="auto"/>
                      <w:tblInd w:w="5" w:type="dxa"/>
                      <w:tblLayout w:type="fixed"/>
                      <w:tblCellMar>
                        <w:top w:w="0" w:type="dxa"/>
                        <w:left w:w="0" w:type="dxa"/>
                        <w:bottom w:w="0" w:type="dxa"/>
                        <w:right w:w="0" w:type="dxa"/>
                      </w:tblCellMar>
                    </w:tblPrEx>
                    <w:trPr>
                      <w:trHeight w:val="256"/>
                    </w:trPr>
                    <w:tc>
                      <w:tcPr>
                        <w:tcW w:w="696" w:type="dxa"/>
                        <w:vMerge/>
                        <w:tcBorders>
                          <w:top w:val="nil"/>
                        </w:tcBorders>
                      </w:tcPr>
                      <w:p>
                        <w:pPr>
                          <w:rPr>
                            <w:sz w:val="2"/>
                            <w:szCs w:val="2"/>
                          </w:rPr>
                        </w:pPr>
                      </w:p>
                    </w:tc>
                    <w:tc>
                      <w:tcPr>
                        <w:tcW w:w="770" w:type="dxa"/>
                        <w:vMerge/>
                        <w:tcBorders>
                          <w:top w:val="nil"/>
                        </w:tcBorders>
                      </w:tcPr>
                      <w:p>
                        <w:pPr>
                          <w:rPr>
                            <w:sz w:val="2"/>
                            <w:szCs w:val="2"/>
                          </w:rPr>
                        </w:pPr>
                      </w:p>
                    </w:tc>
                    <w:tc>
                      <w:tcPr>
                        <w:tcW w:w="953" w:type="dxa"/>
                      </w:tcPr>
                      <w:p>
                        <w:pPr>
                          <w:pStyle w:val="TableParagraph"/>
                          <w:spacing w:before="12" w:line="225" w:lineRule="exact"/>
                          <w:ind w:left="95" w:right="87"/>
                          <w:jc w:val="center"/>
                          <w:rPr>
                            <w:sz w:val="18"/>
                          </w:rPr>
                        </w:pPr>
                        <w:r>
                          <w:rPr>
                            <w:sz w:val="18"/>
                          </w:rPr>
                          <w:t>塑料复合</w:t>
                        </w:r>
                      </w:p>
                    </w:tc>
                    <w:tc>
                      <w:tcPr>
                        <w:tcW w:w="1327" w:type="dxa"/>
                      </w:tcPr>
                      <w:p>
                        <w:pPr>
                          <w:pStyle w:val="TableParagraph"/>
                          <w:spacing w:before="12" w:line="225" w:lineRule="exact"/>
                          <w:ind w:left="102" w:right="91"/>
                          <w:jc w:val="center"/>
                          <w:rPr>
                            <w:sz w:val="18"/>
                          </w:rPr>
                        </w:pPr>
                        <w:r>
                          <w:rPr>
                            <w:sz w:val="18"/>
                          </w:rPr>
                          <w:t>普通复合机</w:t>
                        </w:r>
                      </w:p>
                    </w:tc>
                    <w:tc>
                      <w:tcPr>
                        <w:tcW w:w="2343" w:type="dxa"/>
                      </w:tcPr>
                      <w:p>
                        <w:pPr>
                          <w:pStyle w:val="TableParagraph"/>
                          <w:spacing w:before="23"/>
                          <w:ind w:left="99" w:right="86"/>
                          <w:jc w:val="center"/>
                          <w:rPr>
                            <w:rFonts w:ascii="Times New Roman"/>
                            <w:sz w:val="18"/>
                          </w:rPr>
                        </w:pPr>
                        <w:r>
                          <w:rPr>
                            <w:rFonts w:ascii="Times New Roman"/>
                            <w:sz w:val="18"/>
                          </w:rPr>
                          <w:t>KGF-1000A</w:t>
                        </w:r>
                      </w:p>
                    </w:tc>
                    <w:tc>
                      <w:tcPr>
                        <w:tcW w:w="771" w:type="dxa"/>
                      </w:tcPr>
                      <w:p>
                        <w:pPr>
                          <w:pStyle w:val="TableParagraph"/>
                          <w:spacing w:before="23"/>
                          <w:ind w:left="42" w:right="30"/>
                          <w:jc w:val="center"/>
                          <w:rPr>
                            <w:rFonts w:ascii="Times New Roman"/>
                            <w:sz w:val="18"/>
                          </w:rPr>
                        </w:pPr>
                        <w:r>
                          <w:rPr>
                            <w:rFonts w:ascii="Times New Roman"/>
                            <w:sz w:val="18"/>
                          </w:rPr>
                          <w:t>10</w:t>
                        </w:r>
                      </w:p>
                    </w:tc>
                    <w:tc>
                      <w:tcPr>
                        <w:tcW w:w="770" w:type="dxa"/>
                      </w:tcPr>
                      <w:p>
                        <w:pPr>
                          <w:pStyle w:val="TableParagraph"/>
                          <w:spacing w:before="23"/>
                          <w:ind w:left="92" w:right="79"/>
                          <w:jc w:val="center"/>
                          <w:rPr>
                            <w:rFonts w:ascii="Times New Roman"/>
                            <w:sz w:val="18"/>
                          </w:rPr>
                        </w:pPr>
                        <w:r>
                          <w:rPr>
                            <w:rFonts w:ascii="Times New Roman"/>
                            <w:sz w:val="18"/>
                          </w:rPr>
                          <w:t>10</w:t>
                        </w:r>
                      </w:p>
                    </w:tc>
                    <w:tc>
                      <w:tcPr>
                        <w:tcW w:w="768" w:type="dxa"/>
                      </w:tcPr>
                      <w:p>
                        <w:pPr>
                          <w:pStyle w:val="TableParagraph"/>
                          <w:spacing w:before="23"/>
                          <w:ind w:left="15"/>
                          <w:jc w:val="center"/>
                          <w:rPr>
                            <w:rFonts w:ascii="Times New Roman"/>
                            <w:sz w:val="18"/>
                          </w:rPr>
                        </w:pPr>
                        <w:r>
                          <w:rPr>
                            <w:rFonts w:ascii="Times New Roman"/>
                            <w:sz w:val="18"/>
                          </w:rPr>
                          <w:t>0</w:t>
                        </w:r>
                      </w:p>
                    </w:tc>
                  </w:tr>
                  <w:tr>
                    <w:tblPrEx>
                      <w:tblW w:w="0" w:type="auto"/>
                      <w:tblInd w:w="5" w:type="dxa"/>
                      <w:tblLayout w:type="fixed"/>
                      <w:tblCellMar>
                        <w:top w:w="0" w:type="dxa"/>
                        <w:left w:w="0" w:type="dxa"/>
                        <w:bottom w:w="0" w:type="dxa"/>
                        <w:right w:w="0" w:type="dxa"/>
                      </w:tblCellMar>
                    </w:tblPrEx>
                    <w:trPr>
                      <w:trHeight w:val="253"/>
                    </w:trPr>
                    <w:tc>
                      <w:tcPr>
                        <w:tcW w:w="696" w:type="dxa"/>
                        <w:vMerge/>
                        <w:tcBorders>
                          <w:top w:val="nil"/>
                        </w:tcBorders>
                      </w:tcPr>
                      <w:p>
                        <w:pPr>
                          <w:rPr>
                            <w:sz w:val="2"/>
                            <w:szCs w:val="2"/>
                          </w:rPr>
                        </w:pPr>
                      </w:p>
                    </w:tc>
                    <w:tc>
                      <w:tcPr>
                        <w:tcW w:w="770" w:type="dxa"/>
                        <w:vMerge/>
                        <w:tcBorders>
                          <w:top w:val="nil"/>
                        </w:tcBorders>
                      </w:tcPr>
                      <w:p>
                        <w:pPr>
                          <w:rPr>
                            <w:sz w:val="2"/>
                            <w:szCs w:val="2"/>
                          </w:rPr>
                        </w:pPr>
                      </w:p>
                    </w:tc>
                    <w:tc>
                      <w:tcPr>
                        <w:tcW w:w="953" w:type="dxa"/>
                      </w:tcPr>
                      <w:p>
                        <w:pPr>
                          <w:pStyle w:val="TableParagraph"/>
                          <w:spacing w:before="9" w:line="225" w:lineRule="exact"/>
                          <w:ind w:left="95" w:right="87"/>
                          <w:jc w:val="center"/>
                          <w:rPr>
                            <w:sz w:val="18"/>
                          </w:rPr>
                        </w:pPr>
                        <w:r>
                          <w:rPr>
                            <w:sz w:val="18"/>
                          </w:rPr>
                          <w:t>涂布</w:t>
                        </w:r>
                      </w:p>
                    </w:tc>
                    <w:tc>
                      <w:tcPr>
                        <w:tcW w:w="1327" w:type="dxa"/>
                      </w:tcPr>
                      <w:p>
                        <w:pPr>
                          <w:pStyle w:val="TableParagraph"/>
                          <w:spacing w:before="9" w:line="225" w:lineRule="exact"/>
                          <w:ind w:left="102" w:right="91"/>
                          <w:jc w:val="center"/>
                          <w:rPr>
                            <w:sz w:val="18"/>
                          </w:rPr>
                        </w:pPr>
                        <w:r>
                          <w:rPr>
                            <w:sz w:val="18"/>
                          </w:rPr>
                          <w:t>涂布机</w:t>
                        </w:r>
                      </w:p>
                    </w:tc>
                    <w:tc>
                      <w:tcPr>
                        <w:tcW w:w="2343" w:type="dxa"/>
                      </w:tcPr>
                      <w:p>
                        <w:pPr>
                          <w:pStyle w:val="TableParagraph"/>
                          <w:spacing w:before="23"/>
                          <w:ind w:left="93" w:right="87"/>
                          <w:jc w:val="center"/>
                          <w:rPr>
                            <w:rFonts w:ascii="Times New Roman"/>
                            <w:sz w:val="18"/>
                          </w:rPr>
                        </w:pPr>
                        <w:r>
                          <w:rPr>
                            <w:rFonts w:ascii="Times New Roman"/>
                            <w:sz w:val="18"/>
                          </w:rPr>
                          <w:t>KGF-T</w:t>
                        </w:r>
                      </w:p>
                    </w:tc>
                    <w:tc>
                      <w:tcPr>
                        <w:tcW w:w="771" w:type="dxa"/>
                      </w:tcPr>
                      <w:p>
                        <w:pPr>
                          <w:pStyle w:val="TableParagraph"/>
                          <w:spacing w:before="23"/>
                          <w:ind w:left="42" w:right="30"/>
                          <w:jc w:val="center"/>
                          <w:rPr>
                            <w:rFonts w:ascii="Times New Roman"/>
                            <w:sz w:val="18"/>
                          </w:rPr>
                        </w:pPr>
                        <w:r>
                          <w:rPr>
                            <w:rFonts w:ascii="Times New Roman"/>
                            <w:sz w:val="18"/>
                          </w:rPr>
                          <w:t>15</w:t>
                        </w:r>
                      </w:p>
                    </w:tc>
                    <w:tc>
                      <w:tcPr>
                        <w:tcW w:w="770" w:type="dxa"/>
                      </w:tcPr>
                      <w:p>
                        <w:pPr>
                          <w:pStyle w:val="TableParagraph"/>
                          <w:spacing w:before="23"/>
                          <w:ind w:left="92" w:right="79"/>
                          <w:jc w:val="center"/>
                          <w:rPr>
                            <w:rFonts w:ascii="Times New Roman"/>
                            <w:sz w:val="18"/>
                          </w:rPr>
                        </w:pPr>
                        <w:r>
                          <w:rPr>
                            <w:rFonts w:ascii="Times New Roman"/>
                            <w:sz w:val="18"/>
                          </w:rPr>
                          <w:t>15</w:t>
                        </w:r>
                      </w:p>
                    </w:tc>
                    <w:tc>
                      <w:tcPr>
                        <w:tcW w:w="768" w:type="dxa"/>
                      </w:tcPr>
                      <w:p>
                        <w:pPr>
                          <w:pStyle w:val="TableParagraph"/>
                          <w:spacing w:before="23"/>
                          <w:ind w:left="15"/>
                          <w:jc w:val="center"/>
                          <w:rPr>
                            <w:rFonts w:ascii="Times New Roman"/>
                            <w:sz w:val="18"/>
                          </w:rPr>
                        </w:pPr>
                        <w:r>
                          <w:rPr>
                            <w:rFonts w:ascii="Times New Roman"/>
                            <w:sz w:val="18"/>
                          </w:rPr>
                          <w:t>0</w:t>
                        </w:r>
                      </w:p>
                    </w:tc>
                  </w:tr>
                  <w:tr>
                    <w:tblPrEx>
                      <w:tblW w:w="0" w:type="auto"/>
                      <w:tblInd w:w="5" w:type="dxa"/>
                      <w:tblLayout w:type="fixed"/>
                      <w:tblCellMar>
                        <w:top w:w="0" w:type="dxa"/>
                        <w:left w:w="0" w:type="dxa"/>
                        <w:bottom w:w="0" w:type="dxa"/>
                        <w:right w:w="0" w:type="dxa"/>
                      </w:tblCellMar>
                    </w:tblPrEx>
                    <w:trPr>
                      <w:trHeight w:val="254"/>
                    </w:trPr>
                    <w:tc>
                      <w:tcPr>
                        <w:tcW w:w="696" w:type="dxa"/>
                        <w:vMerge/>
                        <w:tcBorders>
                          <w:top w:val="nil"/>
                        </w:tcBorders>
                      </w:tcPr>
                      <w:p>
                        <w:pPr>
                          <w:rPr>
                            <w:sz w:val="2"/>
                            <w:szCs w:val="2"/>
                          </w:rPr>
                        </w:pPr>
                      </w:p>
                    </w:tc>
                    <w:tc>
                      <w:tcPr>
                        <w:tcW w:w="770" w:type="dxa"/>
                      </w:tcPr>
                      <w:p>
                        <w:pPr>
                          <w:pStyle w:val="TableParagraph"/>
                          <w:spacing w:before="11" w:line="222" w:lineRule="exact"/>
                          <w:ind w:left="92" w:right="80"/>
                          <w:jc w:val="center"/>
                          <w:rPr>
                            <w:sz w:val="18"/>
                          </w:rPr>
                        </w:pPr>
                        <w:r>
                          <w:rPr>
                            <w:sz w:val="18"/>
                          </w:rPr>
                          <w:t>固化</w:t>
                        </w:r>
                      </w:p>
                    </w:tc>
                    <w:tc>
                      <w:tcPr>
                        <w:tcW w:w="953" w:type="dxa"/>
                      </w:tcPr>
                      <w:p>
                        <w:pPr>
                          <w:pStyle w:val="TableParagraph"/>
                          <w:spacing w:before="11" w:line="222" w:lineRule="exact"/>
                          <w:ind w:left="95" w:right="87"/>
                          <w:jc w:val="center"/>
                          <w:rPr>
                            <w:sz w:val="18"/>
                          </w:rPr>
                        </w:pPr>
                        <w:r>
                          <w:rPr>
                            <w:sz w:val="18"/>
                          </w:rPr>
                          <w:t>固化</w:t>
                        </w:r>
                      </w:p>
                    </w:tc>
                    <w:tc>
                      <w:tcPr>
                        <w:tcW w:w="1327" w:type="dxa"/>
                      </w:tcPr>
                      <w:p>
                        <w:pPr>
                          <w:pStyle w:val="TableParagraph"/>
                          <w:spacing w:before="11" w:line="222" w:lineRule="exact"/>
                          <w:ind w:left="102" w:right="91"/>
                          <w:jc w:val="center"/>
                          <w:rPr>
                            <w:sz w:val="18"/>
                          </w:rPr>
                        </w:pPr>
                        <w:r>
                          <w:rPr>
                            <w:sz w:val="18"/>
                          </w:rPr>
                          <w:t>固化间</w:t>
                        </w:r>
                      </w:p>
                    </w:tc>
                    <w:tc>
                      <w:tcPr>
                        <w:tcW w:w="2343" w:type="dxa"/>
                      </w:tcPr>
                      <w:p>
                        <w:pPr>
                          <w:pStyle w:val="TableParagraph"/>
                          <w:spacing w:line="234" w:lineRule="exact"/>
                          <w:ind w:left="98" w:right="87"/>
                          <w:jc w:val="center"/>
                          <w:rPr>
                            <w:rFonts w:ascii="Times New Roman" w:hAnsi="Times New Roman"/>
                            <w:sz w:val="12"/>
                          </w:rPr>
                        </w:pPr>
                        <w:r>
                          <w:rPr>
                            <w:rFonts w:ascii="Times New Roman" w:hAnsi="Times New Roman"/>
                            <w:sz w:val="18"/>
                          </w:rPr>
                          <w:t>12</w:t>
                        </w:r>
                        <w:r>
                          <w:rPr>
                            <w:rFonts w:ascii="等线" w:hAnsi="等线"/>
                            <w:sz w:val="18"/>
                          </w:rPr>
                          <w:t>×</w:t>
                        </w:r>
                        <w:r>
                          <w:rPr>
                            <w:rFonts w:ascii="Times New Roman" w:hAnsi="Times New Roman"/>
                            <w:sz w:val="18"/>
                          </w:rPr>
                          <w:t>4</w:t>
                        </w:r>
                        <w:r>
                          <w:rPr>
                            <w:rFonts w:ascii="等线" w:hAnsi="等线"/>
                            <w:sz w:val="18"/>
                          </w:rPr>
                          <w:t>×</w:t>
                        </w:r>
                        <w:r>
                          <w:rPr>
                            <w:rFonts w:ascii="Times New Roman" w:hAnsi="Times New Roman"/>
                            <w:sz w:val="18"/>
                          </w:rPr>
                          <w:t>2.5m</w:t>
                        </w:r>
                        <w:r>
                          <w:rPr>
                            <w:rFonts w:ascii="Times New Roman" w:hAnsi="Times New Roman"/>
                            <w:position w:val="6"/>
                            <w:sz w:val="12"/>
                          </w:rPr>
                          <w:t>3</w:t>
                        </w:r>
                      </w:p>
                    </w:tc>
                    <w:tc>
                      <w:tcPr>
                        <w:tcW w:w="771" w:type="dxa"/>
                      </w:tcPr>
                      <w:p>
                        <w:pPr>
                          <w:pStyle w:val="TableParagraph"/>
                          <w:spacing w:before="23"/>
                          <w:ind w:left="8"/>
                          <w:jc w:val="center"/>
                          <w:rPr>
                            <w:rFonts w:ascii="Times New Roman"/>
                            <w:sz w:val="18"/>
                          </w:rPr>
                        </w:pPr>
                        <w:r>
                          <w:rPr>
                            <w:rFonts w:ascii="Times New Roman"/>
                            <w:sz w:val="18"/>
                          </w:rPr>
                          <w:t>1</w:t>
                        </w:r>
                      </w:p>
                    </w:tc>
                    <w:tc>
                      <w:tcPr>
                        <w:tcW w:w="770" w:type="dxa"/>
                      </w:tcPr>
                      <w:p>
                        <w:pPr>
                          <w:pStyle w:val="TableParagraph"/>
                          <w:spacing w:before="23"/>
                          <w:ind w:left="7"/>
                          <w:jc w:val="center"/>
                          <w:rPr>
                            <w:rFonts w:ascii="Times New Roman"/>
                            <w:sz w:val="18"/>
                          </w:rPr>
                        </w:pPr>
                        <w:r>
                          <w:rPr>
                            <w:rFonts w:ascii="Times New Roman"/>
                            <w:sz w:val="18"/>
                          </w:rPr>
                          <w:t>1</w:t>
                        </w:r>
                      </w:p>
                    </w:tc>
                    <w:tc>
                      <w:tcPr>
                        <w:tcW w:w="768" w:type="dxa"/>
                      </w:tcPr>
                      <w:p>
                        <w:pPr>
                          <w:pStyle w:val="TableParagraph"/>
                          <w:spacing w:before="23"/>
                          <w:ind w:left="15"/>
                          <w:jc w:val="center"/>
                          <w:rPr>
                            <w:rFonts w:ascii="Times New Roman"/>
                            <w:sz w:val="18"/>
                          </w:rPr>
                        </w:pPr>
                        <w:r>
                          <w:rPr>
                            <w:rFonts w:ascii="Times New Roman"/>
                            <w:sz w:val="18"/>
                          </w:rPr>
                          <w:t>0</w:t>
                        </w:r>
                      </w:p>
                    </w:tc>
                  </w:tr>
                  <w:tr>
                    <w:tblPrEx>
                      <w:tblW w:w="0" w:type="auto"/>
                      <w:tblInd w:w="5" w:type="dxa"/>
                      <w:tblLayout w:type="fixed"/>
                      <w:tblCellMar>
                        <w:top w:w="0" w:type="dxa"/>
                        <w:left w:w="0" w:type="dxa"/>
                        <w:bottom w:w="0" w:type="dxa"/>
                        <w:right w:w="0" w:type="dxa"/>
                      </w:tblCellMar>
                    </w:tblPrEx>
                    <w:trPr>
                      <w:trHeight w:val="256"/>
                    </w:trPr>
                    <w:tc>
                      <w:tcPr>
                        <w:tcW w:w="696" w:type="dxa"/>
                        <w:vMerge/>
                        <w:tcBorders>
                          <w:top w:val="nil"/>
                        </w:tcBorders>
                      </w:tcPr>
                      <w:p>
                        <w:pPr>
                          <w:rPr>
                            <w:sz w:val="2"/>
                            <w:szCs w:val="2"/>
                          </w:rPr>
                        </w:pPr>
                      </w:p>
                    </w:tc>
                    <w:tc>
                      <w:tcPr>
                        <w:tcW w:w="770" w:type="dxa"/>
                        <w:vMerge w:val="restart"/>
                      </w:tcPr>
                      <w:p>
                        <w:pPr>
                          <w:pStyle w:val="TableParagraph"/>
                          <w:spacing w:before="9"/>
                          <w:rPr>
                            <w:b/>
                            <w:sz w:val="21"/>
                          </w:rPr>
                        </w:pPr>
                      </w:p>
                      <w:p>
                        <w:pPr>
                          <w:pStyle w:val="TableParagraph"/>
                          <w:ind w:left="206"/>
                          <w:rPr>
                            <w:sz w:val="18"/>
                          </w:rPr>
                        </w:pPr>
                        <w:r>
                          <w:rPr>
                            <w:sz w:val="18"/>
                          </w:rPr>
                          <w:t>裁切</w:t>
                        </w:r>
                      </w:p>
                    </w:tc>
                    <w:tc>
                      <w:tcPr>
                        <w:tcW w:w="953" w:type="dxa"/>
                      </w:tcPr>
                      <w:p>
                        <w:pPr>
                          <w:pStyle w:val="TableParagraph"/>
                          <w:spacing w:before="11" w:line="225" w:lineRule="exact"/>
                          <w:ind w:left="95" w:right="87"/>
                          <w:jc w:val="center"/>
                          <w:rPr>
                            <w:sz w:val="18"/>
                          </w:rPr>
                        </w:pPr>
                        <w:r>
                          <w:rPr>
                            <w:sz w:val="18"/>
                          </w:rPr>
                          <w:t>模切</w:t>
                        </w:r>
                      </w:p>
                    </w:tc>
                    <w:tc>
                      <w:tcPr>
                        <w:tcW w:w="1327" w:type="dxa"/>
                      </w:tcPr>
                      <w:p>
                        <w:pPr>
                          <w:pStyle w:val="TableParagraph"/>
                          <w:spacing w:before="11" w:line="225" w:lineRule="exact"/>
                          <w:ind w:left="102" w:right="91"/>
                          <w:jc w:val="center"/>
                          <w:rPr>
                            <w:sz w:val="18"/>
                          </w:rPr>
                        </w:pPr>
                        <w:r>
                          <w:rPr>
                            <w:sz w:val="18"/>
                          </w:rPr>
                          <w:t>膜切机</w:t>
                        </w:r>
                      </w:p>
                    </w:tc>
                    <w:tc>
                      <w:tcPr>
                        <w:tcW w:w="2343" w:type="dxa"/>
                      </w:tcPr>
                      <w:p>
                        <w:pPr>
                          <w:pStyle w:val="TableParagraph"/>
                          <w:spacing w:before="26"/>
                          <w:ind w:left="99" w:right="87"/>
                          <w:jc w:val="center"/>
                          <w:rPr>
                            <w:rFonts w:ascii="Times New Roman"/>
                            <w:sz w:val="18"/>
                          </w:rPr>
                        </w:pPr>
                        <w:r>
                          <w:rPr>
                            <w:rFonts w:ascii="Times New Roman"/>
                            <w:sz w:val="18"/>
                          </w:rPr>
                          <w:t>KMQ-2000</w:t>
                        </w:r>
                      </w:p>
                    </w:tc>
                    <w:tc>
                      <w:tcPr>
                        <w:tcW w:w="771" w:type="dxa"/>
                      </w:tcPr>
                      <w:p>
                        <w:pPr>
                          <w:pStyle w:val="TableParagraph"/>
                          <w:spacing w:before="26"/>
                          <w:ind w:left="42" w:right="30"/>
                          <w:jc w:val="center"/>
                          <w:rPr>
                            <w:rFonts w:ascii="Times New Roman"/>
                            <w:sz w:val="18"/>
                          </w:rPr>
                        </w:pPr>
                        <w:r>
                          <w:rPr>
                            <w:rFonts w:ascii="Times New Roman"/>
                            <w:sz w:val="18"/>
                          </w:rPr>
                          <w:t>16</w:t>
                        </w:r>
                      </w:p>
                    </w:tc>
                    <w:tc>
                      <w:tcPr>
                        <w:tcW w:w="770" w:type="dxa"/>
                      </w:tcPr>
                      <w:p>
                        <w:pPr>
                          <w:pStyle w:val="TableParagraph"/>
                          <w:spacing w:before="26"/>
                          <w:ind w:left="92" w:right="79"/>
                          <w:jc w:val="center"/>
                          <w:rPr>
                            <w:rFonts w:ascii="Times New Roman"/>
                            <w:sz w:val="18"/>
                          </w:rPr>
                        </w:pPr>
                        <w:r>
                          <w:rPr>
                            <w:rFonts w:ascii="Times New Roman"/>
                            <w:sz w:val="18"/>
                          </w:rPr>
                          <w:t>16</w:t>
                        </w:r>
                      </w:p>
                    </w:tc>
                    <w:tc>
                      <w:tcPr>
                        <w:tcW w:w="768" w:type="dxa"/>
                      </w:tcPr>
                      <w:p>
                        <w:pPr>
                          <w:pStyle w:val="TableParagraph"/>
                          <w:spacing w:before="26"/>
                          <w:ind w:left="15"/>
                          <w:jc w:val="center"/>
                          <w:rPr>
                            <w:rFonts w:ascii="Times New Roman"/>
                            <w:sz w:val="18"/>
                          </w:rPr>
                        </w:pPr>
                        <w:r>
                          <w:rPr>
                            <w:rFonts w:ascii="Times New Roman"/>
                            <w:sz w:val="18"/>
                          </w:rPr>
                          <w:t>0</w:t>
                        </w:r>
                      </w:p>
                    </w:tc>
                  </w:tr>
                  <w:tr>
                    <w:tblPrEx>
                      <w:tblW w:w="0" w:type="auto"/>
                      <w:tblInd w:w="5" w:type="dxa"/>
                      <w:tblLayout w:type="fixed"/>
                      <w:tblCellMar>
                        <w:top w:w="0" w:type="dxa"/>
                        <w:left w:w="0" w:type="dxa"/>
                        <w:bottom w:w="0" w:type="dxa"/>
                        <w:right w:w="0" w:type="dxa"/>
                      </w:tblCellMar>
                    </w:tblPrEx>
                    <w:trPr>
                      <w:trHeight w:val="254"/>
                    </w:trPr>
                    <w:tc>
                      <w:tcPr>
                        <w:tcW w:w="696" w:type="dxa"/>
                        <w:vMerge/>
                        <w:tcBorders>
                          <w:top w:val="nil"/>
                        </w:tcBorders>
                      </w:tcPr>
                      <w:p>
                        <w:pPr>
                          <w:rPr>
                            <w:sz w:val="2"/>
                            <w:szCs w:val="2"/>
                          </w:rPr>
                        </w:pPr>
                      </w:p>
                    </w:tc>
                    <w:tc>
                      <w:tcPr>
                        <w:tcW w:w="770" w:type="dxa"/>
                        <w:vMerge/>
                        <w:tcBorders>
                          <w:top w:val="nil"/>
                        </w:tcBorders>
                      </w:tcPr>
                      <w:p>
                        <w:pPr>
                          <w:rPr>
                            <w:sz w:val="2"/>
                            <w:szCs w:val="2"/>
                          </w:rPr>
                        </w:pPr>
                      </w:p>
                    </w:tc>
                    <w:tc>
                      <w:tcPr>
                        <w:tcW w:w="953" w:type="dxa"/>
                        <w:vMerge w:val="restart"/>
                      </w:tcPr>
                      <w:p>
                        <w:pPr>
                          <w:pStyle w:val="TableParagraph"/>
                          <w:spacing w:before="144"/>
                          <w:ind w:left="295"/>
                          <w:rPr>
                            <w:sz w:val="18"/>
                          </w:rPr>
                        </w:pPr>
                        <w:r>
                          <w:rPr>
                            <w:sz w:val="18"/>
                          </w:rPr>
                          <w:t>分切</w:t>
                        </w:r>
                      </w:p>
                    </w:tc>
                    <w:tc>
                      <w:tcPr>
                        <w:tcW w:w="1327" w:type="dxa"/>
                        <w:vMerge w:val="restart"/>
                      </w:tcPr>
                      <w:p>
                        <w:pPr>
                          <w:pStyle w:val="TableParagraph"/>
                          <w:spacing w:before="144"/>
                          <w:ind w:left="394"/>
                          <w:rPr>
                            <w:sz w:val="18"/>
                          </w:rPr>
                        </w:pPr>
                        <w:r>
                          <w:rPr>
                            <w:sz w:val="18"/>
                          </w:rPr>
                          <w:t>分切机</w:t>
                        </w:r>
                      </w:p>
                    </w:tc>
                    <w:tc>
                      <w:tcPr>
                        <w:tcW w:w="2343" w:type="dxa"/>
                      </w:tcPr>
                      <w:p>
                        <w:pPr>
                          <w:pStyle w:val="TableParagraph"/>
                          <w:spacing w:before="23"/>
                          <w:ind w:left="99" w:right="87"/>
                          <w:jc w:val="center"/>
                          <w:rPr>
                            <w:rFonts w:ascii="Times New Roman"/>
                            <w:sz w:val="18"/>
                          </w:rPr>
                        </w:pPr>
                        <w:r>
                          <w:rPr>
                            <w:rFonts w:ascii="Times New Roman"/>
                            <w:sz w:val="18"/>
                          </w:rPr>
                          <w:t>KQL-1100</w:t>
                        </w:r>
                      </w:p>
                    </w:tc>
                    <w:tc>
                      <w:tcPr>
                        <w:tcW w:w="771" w:type="dxa"/>
                      </w:tcPr>
                      <w:p>
                        <w:pPr>
                          <w:pStyle w:val="TableParagraph"/>
                          <w:spacing w:before="23"/>
                          <w:ind w:left="42" w:right="30"/>
                          <w:jc w:val="center"/>
                          <w:rPr>
                            <w:rFonts w:ascii="Times New Roman"/>
                            <w:sz w:val="18"/>
                          </w:rPr>
                        </w:pPr>
                        <w:r>
                          <w:rPr>
                            <w:rFonts w:ascii="Times New Roman"/>
                            <w:sz w:val="18"/>
                          </w:rPr>
                          <w:t>16</w:t>
                        </w:r>
                      </w:p>
                    </w:tc>
                    <w:tc>
                      <w:tcPr>
                        <w:tcW w:w="770" w:type="dxa"/>
                      </w:tcPr>
                      <w:p>
                        <w:pPr>
                          <w:pStyle w:val="TableParagraph"/>
                          <w:spacing w:before="23"/>
                          <w:ind w:left="92" w:right="79"/>
                          <w:jc w:val="center"/>
                          <w:rPr>
                            <w:rFonts w:ascii="Times New Roman"/>
                            <w:sz w:val="18"/>
                          </w:rPr>
                        </w:pPr>
                        <w:r>
                          <w:rPr>
                            <w:rFonts w:ascii="Times New Roman"/>
                            <w:sz w:val="18"/>
                          </w:rPr>
                          <w:t>16</w:t>
                        </w:r>
                      </w:p>
                    </w:tc>
                    <w:tc>
                      <w:tcPr>
                        <w:tcW w:w="768" w:type="dxa"/>
                      </w:tcPr>
                      <w:p>
                        <w:pPr>
                          <w:pStyle w:val="TableParagraph"/>
                          <w:spacing w:before="23"/>
                          <w:ind w:left="15"/>
                          <w:jc w:val="center"/>
                          <w:rPr>
                            <w:rFonts w:ascii="Times New Roman"/>
                            <w:sz w:val="18"/>
                          </w:rPr>
                        </w:pPr>
                        <w:r>
                          <w:rPr>
                            <w:rFonts w:ascii="Times New Roman"/>
                            <w:sz w:val="18"/>
                          </w:rPr>
                          <w:t>0</w:t>
                        </w:r>
                      </w:p>
                    </w:tc>
                  </w:tr>
                  <w:tr>
                    <w:tblPrEx>
                      <w:tblW w:w="0" w:type="auto"/>
                      <w:tblInd w:w="5" w:type="dxa"/>
                      <w:tblLayout w:type="fixed"/>
                      <w:tblCellMar>
                        <w:top w:w="0" w:type="dxa"/>
                        <w:left w:w="0" w:type="dxa"/>
                        <w:bottom w:w="0" w:type="dxa"/>
                        <w:right w:w="0" w:type="dxa"/>
                      </w:tblCellMar>
                    </w:tblPrEx>
                    <w:trPr>
                      <w:trHeight w:val="256"/>
                    </w:trPr>
                    <w:tc>
                      <w:tcPr>
                        <w:tcW w:w="696" w:type="dxa"/>
                        <w:vMerge/>
                        <w:tcBorders>
                          <w:top w:val="nil"/>
                        </w:tcBorders>
                      </w:tcPr>
                      <w:p>
                        <w:pPr>
                          <w:rPr>
                            <w:sz w:val="2"/>
                            <w:szCs w:val="2"/>
                          </w:rPr>
                        </w:pPr>
                      </w:p>
                    </w:tc>
                    <w:tc>
                      <w:tcPr>
                        <w:tcW w:w="770" w:type="dxa"/>
                        <w:vMerge/>
                        <w:tcBorders>
                          <w:top w:val="nil"/>
                        </w:tcBorders>
                      </w:tcPr>
                      <w:p>
                        <w:pPr>
                          <w:rPr>
                            <w:sz w:val="2"/>
                            <w:szCs w:val="2"/>
                          </w:rPr>
                        </w:pPr>
                      </w:p>
                    </w:tc>
                    <w:tc>
                      <w:tcPr>
                        <w:tcW w:w="953" w:type="dxa"/>
                        <w:vMerge/>
                        <w:tcBorders>
                          <w:top w:val="nil"/>
                        </w:tcBorders>
                      </w:tcPr>
                      <w:p>
                        <w:pPr>
                          <w:rPr>
                            <w:sz w:val="2"/>
                            <w:szCs w:val="2"/>
                          </w:rPr>
                        </w:pPr>
                      </w:p>
                    </w:tc>
                    <w:tc>
                      <w:tcPr>
                        <w:tcW w:w="1327" w:type="dxa"/>
                        <w:vMerge/>
                        <w:tcBorders>
                          <w:top w:val="nil"/>
                        </w:tcBorders>
                      </w:tcPr>
                      <w:p>
                        <w:pPr>
                          <w:rPr>
                            <w:sz w:val="2"/>
                            <w:szCs w:val="2"/>
                          </w:rPr>
                        </w:pPr>
                      </w:p>
                    </w:tc>
                    <w:tc>
                      <w:tcPr>
                        <w:tcW w:w="2343" w:type="dxa"/>
                      </w:tcPr>
                      <w:p>
                        <w:pPr>
                          <w:pStyle w:val="TableParagraph"/>
                          <w:spacing w:before="23"/>
                          <w:ind w:left="96" w:right="87"/>
                          <w:jc w:val="center"/>
                          <w:rPr>
                            <w:rFonts w:ascii="Times New Roman"/>
                            <w:sz w:val="18"/>
                          </w:rPr>
                        </w:pPr>
                        <w:r>
                          <w:rPr>
                            <w:rFonts w:ascii="Times New Roman"/>
                            <w:sz w:val="18"/>
                          </w:rPr>
                          <w:t>KGQ-H</w:t>
                        </w:r>
                      </w:p>
                    </w:tc>
                    <w:tc>
                      <w:tcPr>
                        <w:tcW w:w="771" w:type="dxa"/>
                      </w:tcPr>
                      <w:p>
                        <w:pPr>
                          <w:pStyle w:val="TableParagraph"/>
                          <w:spacing w:before="23"/>
                          <w:ind w:left="42" w:right="30"/>
                          <w:jc w:val="center"/>
                          <w:rPr>
                            <w:rFonts w:ascii="Times New Roman"/>
                            <w:sz w:val="18"/>
                          </w:rPr>
                        </w:pPr>
                        <w:r>
                          <w:rPr>
                            <w:rFonts w:ascii="Times New Roman"/>
                            <w:sz w:val="18"/>
                          </w:rPr>
                          <w:t>15</w:t>
                        </w:r>
                      </w:p>
                    </w:tc>
                    <w:tc>
                      <w:tcPr>
                        <w:tcW w:w="770" w:type="dxa"/>
                      </w:tcPr>
                      <w:p>
                        <w:pPr>
                          <w:pStyle w:val="TableParagraph"/>
                          <w:spacing w:before="23"/>
                          <w:ind w:left="92" w:right="79"/>
                          <w:jc w:val="center"/>
                          <w:rPr>
                            <w:rFonts w:ascii="Times New Roman"/>
                            <w:sz w:val="18"/>
                          </w:rPr>
                        </w:pPr>
                        <w:r>
                          <w:rPr>
                            <w:rFonts w:ascii="Times New Roman"/>
                            <w:sz w:val="18"/>
                          </w:rPr>
                          <w:t>15</w:t>
                        </w:r>
                      </w:p>
                    </w:tc>
                    <w:tc>
                      <w:tcPr>
                        <w:tcW w:w="768" w:type="dxa"/>
                      </w:tcPr>
                      <w:p>
                        <w:pPr>
                          <w:pStyle w:val="TableParagraph"/>
                          <w:spacing w:before="23"/>
                          <w:ind w:left="15"/>
                          <w:jc w:val="center"/>
                          <w:rPr>
                            <w:rFonts w:ascii="Times New Roman"/>
                            <w:sz w:val="18"/>
                          </w:rPr>
                        </w:pPr>
                        <w:r>
                          <w:rPr>
                            <w:rFonts w:ascii="Times New Roman"/>
                            <w:sz w:val="18"/>
                          </w:rPr>
                          <w:t>0</w:t>
                        </w:r>
                      </w:p>
                    </w:tc>
                  </w:tr>
                  <w:tr>
                    <w:tblPrEx>
                      <w:tblW w:w="0" w:type="auto"/>
                      <w:tblInd w:w="5" w:type="dxa"/>
                      <w:tblLayout w:type="fixed"/>
                      <w:tblCellMar>
                        <w:top w:w="0" w:type="dxa"/>
                        <w:left w:w="0" w:type="dxa"/>
                        <w:bottom w:w="0" w:type="dxa"/>
                        <w:right w:w="0" w:type="dxa"/>
                      </w:tblCellMar>
                    </w:tblPrEx>
                    <w:trPr>
                      <w:trHeight w:val="254"/>
                    </w:trPr>
                    <w:tc>
                      <w:tcPr>
                        <w:tcW w:w="696" w:type="dxa"/>
                        <w:vMerge/>
                        <w:tcBorders>
                          <w:top w:val="nil"/>
                        </w:tcBorders>
                      </w:tcPr>
                      <w:p>
                        <w:pPr>
                          <w:rPr>
                            <w:sz w:val="2"/>
                            <w:szCs w:val="2"/>
                          </w:rPr>
                        </w:pPr>
                      </w:p>
                    </w:tc>
                    <w:tc>
                      <w:tcPr>
                        <w:tcW w:w="770" w:type="dxa"/>
                      </w:tcPr>
                      <w:p>
                        <w:pPr>
                          <w:pStyle w:val="TableParagraph"/>
                          <w:spacing w:before="9" w:line="225" w:lineRule="exact"/>
                          <w:ind w:left="92" w:right="80"/>
                          <w:jc w:val="center"/>
                          <w:rPr>
                            <w:sz w:val="18"/>
                          </w:rPr>
                        </w:pPr>
                        <w:r>
                          <w:rPr>
                            <w:sz w:val="18"/>
                          </w:rPr>
                          <w:t>检验</w:t>
                        </w:r>
                      </w:p>
                    </w:tc>
                    <w:tc>
                      <w:tcPr>
                        <w:tcW w:w="953" w:type="dxa"/>
                      </w:tcPr>
                      <w:p>
                        <w:pPr>
                          <w:pStyle w:val="TableParagraph"/>
                          <w:spacing w:before="9" w:line="225" w:lineRule="exact"/>
                          <w:ind w:left="95" w:right="87"/>
                          <w:jc w:val="center"/>
                          <w:rPr>
                            <w:sz w:val="18"/>
                          </w:rPr>
                        </w:pPr>
                        <w:r>
                          <w:rPr>
                            <w:sz w:val="18"/>
                          </w:rPr>
                          <w:t>品检</w:t>
                        </w:r>
                      </w:p>
                    </w:tc>
                    <w:tc>
                      <w:tcPr>
                        <w:tcW w:w="1327" w:type="dxa"/>
                      </w:tcPr>
                      <w:p>
                        <w:pPr>
                          <w:pStyle w:val="TableParagraph"/>
                          <w:spacing w:before="9" w:line="225" w:lineRule="exact"/>
                          <w:ind w:left="102" w:right="91"/>
                          <w:jc w:val="center"/>
                          <w:rPr>
                            <w:sz w:val="18"/>
                          </w:rPr>
                        </w:pPr>
                        <w:r>
                          <w:rPr>
                            <w:sz w:val="18"/>
                          </w:rPr>
                          <w:t>检品机</w:t>
                        </w:r>
                      </w:p>
                    </w:tc>
                    <w:tc>
                      <w:tcPr>
                        <w:tcW w:w="2343" w:type="dxa"/>
                      </w:tcPr>
                      <w:p>
                        <w:pPr>
                          <w:pStyle w:val="TableParagraph"/>
                          <w:spacing w:before="23"/>
                          <w:ind w:left="99" w:right="87"/>
                          <w:jc w:val="center"/>
                          <w:rPr>
                            <w:rFonts w:ascii="Times New Roman"/>
                            <w:sz w:val="18"/>
                          </w:rPr>
                        </w:pPr>
                        <w:r>
                          <w:rPr>
                            <w:rFonts w:ascii="Times New Roman"/>
                            <w:sz w:val="18"/>
                          </w:rPr>
                          <w:t>KJF-H</w:t>
                        </w:r>
                      </w:p>
                    </w:tc>
                    <w:tc>
                      <w:tcPr>
                        <w:tcW w:w="771" w:type="dxa"/>
                      </w:tcPr>
                      <w:p>
                        <w:pPr>
                          <w:pStyle w:val="TableParagraph"/>
                          <w:spacing w:before="23"/>
                          <w:ind w:left="42" w:right="30"/>
                          <w:jc w:val="center"/>
                          <w:rPr>
                            <w:rFonts w:ascii="Times New Roman"/>
                            <w:sz w:val="18"/>
                          </w:rPr>
                        </w:pPr>
                        <w:r>
                          <w:rPr>
                            <w:rFonts w:ascii="Times New Roman"/>
                            <w:sz w:val="18"/>
                          </w:rPr>
                          <w:t>15</w:t>
                        </w:r>
                      </w:p>
                    </w:tc>
                    <w:tc>
                      <w:tcPr>
                        <w:tcW w:w="770" w:type="dxa"/>
                      </w:tcPr>
                      <w:p>
                        <w:pPr>
                          <w:pStyle w:val="TableParagraph"/>
                          <w:spacing w:before="23"/>
                          <w:ind w:left="92" w:right="79"/>
                          <w:jc w:val="center"/>
                          <w:rPr>
                            <w:rFonts w:ascii="Times New Roman"/>
                            <w:sz w:val="18"/>
                          </w:rPr>
                        </w:pPr>
                        <w:r>
                          <w:rPr>
                            <w:rFonts w:ascii="Times New Roman"/>
                            <w:sz w:val="18"/>
                          </w:rPr>
                          <w:t>15</w:t>
                        </w:r>
                      </w:p>
                    </w:tc>
                    <w:tc>
                      <w:tcPr>
                        <w:tcW w:w="768" w:type="dxa"/>
                      </w:tcPr>
                      <w:p>
                        <w:pPr>
                          <w:pStyle w:val="TableParagraph"/>
                          <w:spacing w:before="23"/>
                          <w:ind w:left="15"/>
                          <w:jc w:val="center"/>
                          <w:rPr>
                            <w:rFonts w:ascii="Times New Roman"/>
                            <w:sz w:val="18"/>
                          </w:rPr>
                        </w:pPr>
                        <w:r>
                          <w:rPr>
                            <w:rFonts w:ascii="Times New Roman"/>
                            <w:sz w:val="18"/>
                          </w:rPr>
                          <w:t>0</w:t>
                        </w:r>
                      </w:p>
                    </w:tc>
                  </w:tr>
                  <w:tr>
                    <w:tblPrEx>
                      <w:tblW w:w="0" w:type="auto"/>
                      <w:tblInd w:w="5" w:type="dxa"/>
                      <w:tblLayout w:type="fixed"/>
                      <w:tblCellMar>
                        <w:top w:w="0" w:type="dxa"/>
                        <w:left w:w="0" w:type="dxa"/>
                        <w:bottom w:w="0" w:type="dxa"/>
                        <w:right w:w="0" w:type="dxa"/>
                      </w:tblCellMar>
                    </w:tblPrEx>
                    <w:trPr>
                      <w:trHeight w:val="256"/>
                    </w:trPr>
                    <w:tc>
                      <w:tcPr>
                        <w:tcW w:w="696" w:type="dxa"/>
                        <w:vMerge/>
                        <w:tcBorders>
                          <w:top w:val="nil"/>
                        </w:tcBorders>
                      </w:tcPr>
                      <w:p>
                        <w:pPr>
                          <w:rPr>
                            <w:sz w:val="2"/>
                            <w:szCs w:val="2"/>
                          </w:rPr>
                        </w:pPr>
                      </w:p>
                    </w:tc>
                    <w:tc>
                      <w:tcPr>
                        <w:tcW w:w="770" w:type="dxa"/>
                        <w:vMerge w:val="restart"/>
                      </w:tcPr>
                      <w:p>
                        <w:pPr>
                          <w:pStyle w:val="TableParagraph"/>
                          <w:spacing w:before="144"/>
                          <w:ind w:left="206"/>
                          <w:rPr>
                            <w:sz w:val="18"/>
                          </w:rPr>
                        </w:pPr>
                        <w:r>
                          <w:rPr>
                            <w:sz w:val="18"/>
                          </w:rPr>
                          <w:t>辅助</w:t>
                        </w:r>
                      </w:p>
                    </w:tc>
                    <w:tc>
                      <w:tcPr>
                        <w:tcW w:w="953" w:type="dxa"/>
                      </w:tcPr>
                      <w:p>
                        <w:pPr>
                          <w:pStyle w:val="TableParagraph"/>
                          <w:spacing w:before="12" w:line="225" w:lineRule="exact"/>
                          <w:ind w:left="95" w:right="87"/>
                          <w:jc w:val="center"/>
                          <w:rPr>
                            <w:sz w:val="18"/>
                          </w:rPr>
                        </w:pPr>
                        <w:r>
                          <w:rPr>
                            <w:sz w:val="18"/>
                          </w:rPr>
                          <w:t>配料</w:t>
                        </w:r>
                      </w:p>
                    </w:tc>
                    <w:tc>
                      <w:tcPr>
                        <w:tcW w:w="1327" w:type="dxa"/>
                      </w:tcPr>
                      <w:p>
                        <w:pPr>
                          <w:pStyle w:val="TableParagraph"/>
                          <w:spacing w:before="12" w:line="225" w:lineRule="exact"/>
                          <w:ind w:left="102" w:right="91"/>
                          <w:jc w:val="center"/>
                          <w:rPr>
                            <w:sz w:val="18"/>
                          </w:rPr>
                        </w:pPr>
                        <w:r>
                          <w:rPr>
                            <w:sz w:val="18"/>
                          </w:rPr>
                          <w:t>配料间</w:t>
                        </w:r>
                      </w:p>
                    </w:tc>
                    <w:tc>
                      <w:tcPr>
                        <w:tcW w:w="2343" w:type="dxa"/>
                      </w:tcPr>
                      <w:p>
                        <w:pPr>
                          <w:pStyle w:val="TableParagraph"/>
                          <w:spacing w:line="237" w:lineRule="exact"/>
                          <w:ind w:left="98" w:right="87"/>
                          <w:jc w:val="center"/>
                          <w:rPr>
                            <w:rFonts w:ascii="Times New Roman" w:hAnsi="Times New Roman"/>
                            <w:sz w:val="12"/>
                          </w:rPr>
                        </w:pPr>
                        <w:r>
                          <w:rPr>
                            <w:rFonts w:ascii="Times New Roman" w:hAnsi="Times New Roman"/>
                            <w:sz w:val="18"/>
                          </w:rPr>
                          <w:t>12</w:t>
                        </w:r>
                        <w:r>
                          <w:rPr>
                            <w:rFonts w:ascii="等线" w:hAnsi="等线"/>
                            <w:sz w:val="18"/>
                          </w:rPr>
                          <w:t>×</w:t>
                        </w:r>
                        <w:r>
                          <w:rPr>
                            <w:rFonts w:ascii="Times New Roman" w:hAnsi="Times New Roman"/>
                            <w:sz w:val="18"/>
                          </w:rPr>
                          <w:t>4</w:t>
                        </w:r>
                        <w:r>
                          <w:rPr>
                            <w:rFonts w:ascii="等线" w:hAnsi="等线"/>
                            <w:sz w:val="18"/>
                          </w:rPr>
                          <w:t>×</w:t>
                        </w:r>
                        <w:r>
                          <w:rPr>
                            <w:rFonts w:ascii="Times New Roman" w:hAnsi="Times New Roman"/>
                            <w:sz w:val="18"/>
                          </w:rPr>
                          <w:t>2.5m</w:t>
                        </w:r>
                        <w:r>
                          <w:rPr>
                            <w:rFonts w:ascii="Times New Roman" w:hAnsi="Times New Roman"/>
                            <w:position w:val="6"/>
                            <w:sz w:val="12"/>
                          </w:rPr>
                          <w:t>3</w:t>
                        </w:r>
                      </w:p>
                    </w:tc>
                    <w:tc>
                      <w:tcPr>
                        <w:tcW w:w="771" w:type="dxa"/>
                      </w:tcPr>
                      <w:p>
                        <w:pPr>
                          <w:pStyle w:val="TableParagraph"/>
                          <w:spacing w:before="24"/>
                          <w:ind w:left="8"/>
                          <w:jc w:val="center"/>
                          <w:rPr>
                            <w:rFonts w:ascii="Times New Roman"/>
                            <w:sz w:val="18"/>
                          </w:rPr>
                        </w:pPr>
                        <w:r>
                          <w:rPr>
                            <w:rFonts w:ascii="Times New Roman"/>
                            <w:sz w:val="18"/>
                          </w:rPr>
                          <w:t>1</w:t>
                        </w:r>
                      </w:p>
                    </w:tc>
                    <w:tc>
                      <w:tcPr>
                        <w:tcW w:w="770" w:type="dxa"/>
                      </w:tcPr>
                      <w:p>
                        <w:pPr>
                          <w:pStyle w:val="TableParagraph"/>
                          <w:spacing w:before="24"/>
                          <w:ind w:left="7"/>
                          <w:jc w:val="center"/>
                          <w:rPr>
                            <w:rFonts w:ascii="Times New Roman"/>
                            <w:sz w:val="18"/>
                          </w:rPr>
                        </w:pPr>
                        <w:r>
                          <w:rPr>
                            <w:rFonts w:ascii="Times New Roman"/>
                            <w:sz w:val="18"/>
                          </w:rPr>
                          <w:t>1</w:t>
                        </w:r>
                      </w:p>
                    </w:tc>
                    <w:tc>
                      <w:tcPr>
                        <w:tcW w:w="768" w:type="dxa"/>
                      </w:tcPr>
                      <w:p>
                        <w:pPr>
                          <w:pStyle w:val="TableParagraph"/>
                          <w:spacing w:before="24"/>
                          <w:ind w:left="15"/>
                          <w:jc w:val="center"/>
                          <w:rPr>
                            <w:rFonts w:ascii="Times New Roman"/>
                            <w:sz w:val="18"/>
                          </w:rPr>
                        </w:pPr>
                        <w:r>
                          <w:rPr>
                            <w:rFonts w:ascii="Times New Roman"/>
                            <w:sz w:val="18"/>
                          </w:rPr>
                          <w:t>0</w:t>
                        </w:r>
                      </w:p>
                    </w:tc>
                  </w:tr>
                  <w:tr>
                    <w:tblPrEx>
                      <w:tblW w:w="0" w:type="auto"/>
                      <w:tblInd w:w="5" w:type="dxa"/>
                      <w:tblLayout w:type="fixed"/>
                      <w:tblCellMar>
                        <w:top w:w="0" w:type="dxa"/>
                        <w:left w:w="0" w:type="dxa"/>
                        <w:bottom w:w="0" w:type="dxa"/>
                        <w:right w:w="0" w:type="dxa"/>
                      </w:tblCellMar>
                    </w:tblPrEx>
                    <w:trPr>
                      <w:trHeight w:val="254"/>
                    </w:trPr>
                    <w:tc>
                      <w:tcPr>
                        <w:tcW w:w="696" w:type="dxa"/>
                        <w:vMerge/>
                        <w:tcBorders>
                          <w:top w:val="nil"/>
                        </w:tcBorders>
                      </w:tcPr>
                      <w:p>
                        <w:pPr>
                          <w:rPr>
                            <w:sz w:val="2"/>
                            <w:szCs w:val="2"/>
                          </w:rPr>
                        </w:pPr>
                      </w:p>
                    </w:tc>
                    <w:tc>
                      <w:tcPr>
                        <w:tcW w:w="770" w:type="dxa"/>
                        <w:vMerge/>
                        <w:tcBorders>
                          <w:top w:val="nil"/>
                        </w:tcBorders>
                      </w:tcPr>
                      <w:p>
                        <w:pPr>
                          <w:rPr>
                            <w:sz w:val="2"/>
                            <w:szCs w:val="2"/>
                          </w:rPr>
                        </w:pPr>
                      </w:p>
                    </w:tc>
                    <w:tc>
                      <w:tcPr>
                        <w:tcW w:w="953" w:type="dxa"/>
                      </w:tcPr>
                      <w:p>
                        <w:pPr>
                          <w:pStyle w:val="TableParagraph"/>
                          <w:spacing w:before="9" w:line="225" w:lineRule="exact"/>
                          <w:ind w:left="95" w:right="87"/>
                          <w:jc w:val="center"/>
                          <w:rPr>
                            <w:sz w:val="18"/>
                          </w:rPr>
                        </w:pPr>
                        <w:r>
                          <w:rPr>
                            <w:sz w:val="18"/>
                          </w:rPr>
                          <w:t>压缩空气</w:t>
                        </w:r>
                      </w:p>
                    </w:tc>
                    <w:tc>
                      <w:tcPr>
                        <w:tcW w:w="1327" w:type="dxa"/>
                      </w:tcPr>
                      <w:p>
                        <w:pPr>
                          <w:pStyle w:val="TableParagraph"/>
                          <w:spacing w:before="9" w:line="225" w:lineRule="exact"/>
                          <w:ind w:left="102" w:right="91"/>
                          <w:jc w:val="center"/>
                          <w:rPr>
                            <w:sz w:val="18"/>
                          </w:rPr>
                        </w:pPr>
                        <w:r>
                          <w:rPr>
                            <w:sz w:val="18"/>
                          </w:rPr>
                          <w:t>空压机</w:t>
                        </w:r>
                      </w:p>
                    </w:tc>
                    <w:tc>
                      <w:tcPr>
                        <w:tcW w:w="2343" w:type="dxa"/>
                      </w:tcPr>
                      <w:p>
                        <w:pPr>
                          <w:pStyle w:val="TableParagraph"/>
                          <w:spacing w:before="9" w:line="225" w:lineRule="exact"/>
                          <w:ind w:left="99" w:right="87"/>
                          <w:jc w:val="center"/>
                          <w:rPr>
                            <w:rFonts w:ascii="Times New Roman" w:eastAsia="Times New Roman"/>
                            <w:sz w:val="18"/>
                          </w:rPr>
                        </w:pPr>
                        <w:r>
                          <w:rPr>
                            <w:sz w:val="18"/>
                          </w:rPr>
                          <w:t xml:space="preserve">螺杆式，供气量 </w:t>
                        </w:r>
                        <w:r>
                          <w:rPr>
                            <w:rFonts w:ascii="Times New Roman" w:eastAsia="Times New Roman"/>
                            <w:sz w:val="18"/>
                          </w:rPr>
                          <w:t>2.3m</w:t>
                        </w:r>
                        <w:r>
                          <w:rPr>
                            <w:rFonts w:ascii="Times New Roman" w:eastAsia="Times New Roman"/>
                            <w:position w:val="6"/>
                            <w:sz w:val="12"/>
                          </w:rPr>
                          <w:t>3</w:t>
                        </w:r>
                        <w:r>
                          <w:rPr>
                            <w:rFonts w:ascii="Times New Roman" w:eastAsia="Times New Roman"/>
                            <w:sz w:val="18"/>
                          </w:rPr>
                          <w:t>/min</w:t>
                        </w:r>
                      </w:p>
                    </w:tc>
                    <w:tc>
                      <w:tcPr>
                        <w:tcW w:w="771" w:type="dxa"/>
                      </w:tcPr>
                      <w:p>
                        <w:pPr>
                          <w:pStyle w:val="TableParagraph"/>
                          <w:spacing w:before="23"/>
                          <w:ind w:left="8"/>
                          <w:jc w:val="center"/>
                          <w:rPr>
                            <w:rFonts w:ascii="Times New Roman"/>
                            <w:sz w:val="18"/>
                          </w:rPr>
                        </w:pPr>
                        <w:r>
                          <w:rPr>
                            <w:rFonts w:ascii="Times New Roman"/>
                            <w:sz w:val="18"/>
                          </w:rPr>
                          <w:t>3</w:t>
                        </w:r>
                      </w:p>
                    </w:tc>
                    <w:tc>
                      <w:tcPr>
                        <w:tcW w:w="770" w:type="dxa"/>
                      </w:tcPr>
                      <w:p>
                        <w:pPr>
                          <w:pStyle w:val="TableParagraph"/>
                          <w:spacing w:before="23"/>
                          <w:ind w:left="7"/>
                          <w:jc w:val="center"/>
                          <w:rPr>
                            <w:rFonts w:ascii="Times New Roman"/>
                            <w:sz w:val="18"/>
                          </w:rPr>
                        </w:pPr>
                        <w:r>
                          <w:rPr>
                            <w:rFonts w:ascii="Times New Roman"/>
                            <w:sz w:val="18"/>
                          </w:rPr>
                          <w:t>3</w:t>
                        </w:r>
                      </w:p>
                    </w:tc>
                    <w:tc>
                      <w:tcPr>
                        <w:tcW w:w="768" w:type="dxa"/>
                      </w:tcPr>
                      <w:p>
                        <w:pPr>
                          <w:pStyle w:val="TableParagraph"/>
                          <w:spacing w:before="23"/>
                          <w:ind w:left="15"/>
                          <w:jc w:val="center"/>
                          <w:rPr>
                            <w:rFonts w:ascii="Times New Roman"/>
                            <w:sz w:val="18"/>
                          </w:rPr>
                        </w:pPr>
                        <w:r>
                          <w:rPr>
                            <w:rFonts w:ascii="Times New Roman"/>
                            <w:sz w:val="18"/>
                          </w:rPr>
                          <w:t>0</w:t>
                        </w:r>
                      </w:p>
                    </w:tc>
                  </w:tr>
                </w:tbl>
                <w:p>
                  <w:pPr>
                    <w:pStyle w:val="BodyText"/>
                  </w:pPr>
                </w:p>
              </w:txbxContent>
            </v:textbox>
          </v:shape>
        </w:pict>
      </w:r>
      <w:r>
        <w:pict>
          <v:shape id="_x0000_s1146" o:spid="_x0000_s1145" type="#_x0000_t202" style="width:420pt;height:92.9pt;margin-top:97.65pt;margin-left:98.25pt;mso-height-relative:page;mso-position-horizontal-relative:page;mso-position-vertical-relative:page;mso-width-relative:page;position:absolute;z-index:251672576" coordsize="21600,21600" filled="f" stroked="f">
            <v:stroke joinstyle="miter"/>
            <v:textbox inset="0,0,0,0">
              <w:txbxContent>
                <w:tbl>
                  <w:tblPr>
                    <w:tblStyle w:val="TableNormal"/>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915"/>
                    <w:gridCol w:w="877"/>
                    <w:gridCol w:w="1258"/>
                    <w:gridCol w:w="1573"/>
                    <w:gridCol w:w="965"/>
                    <w:gridCol w:w="870"/>
                    <w:gridCol w:w="878"/>
                    <w:gridCol w:w="1068"/>
                  </w:tblGrid>
                  <w:tr>
                    <w:tblPrEx>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350"/>
                    </w:trPr>
                    <w:tc>
                      <w:tcPr>
                        <w:tcW w:w="915" w:type="dxa"/>
                        <w:vMerge w:val="restart"/>
                      </w:tcPr>
                      <w:p>
                        <w:pPr>
                          <w:pStyle w:val="TableParagraph"/>
                          <w:rPr>
                            <w:rFonts w:ascii="Times New Roman"/>
                            <w:sz w:val="18"/>
                          </w:rPr>
                        </w:pPr>
                      </w:p>
                    </w:tc>
                    <w:tc>
                      <w:tcPr>
                        <w:tcW w:w="877" w:type="dxa"/>
                        <w:vMerge w:val="restart"/>
                      </w:tcPr>
                      <w:p>
                        <w:pPr>
                          <w:pStyle w:val="TableParagraph"/>
                          <w:rPr>
                            <w:rFonts w:ascii="Times New Roman"/>
                            <w:sz w:val="18"/>
                          </w:rPr>
                        </w:pPr>
                      </w:p>
                    </w:tc>
                    <w:tc>
                      <w:tcPr>
                        <w:tcW w:w="1258" w:type="dxa"/>
                        <w:vMerge w:val="restart"/>
                      </w:tcPr>
                      <w:p>
                        <w:pPr>
                          <w:pStyle w:val="TableParagraph"/>
                          <w:rPr>
                            <w:rFonts w:ascii="Times New Roman"/>
                            <w:sz w:val="18"/>
                          </w:rPr>
                        </w:pPr>
                      </w:p>
                    </w:tc>
                    <w:tc>
                      <w:tcPr>
                        <w:tcW w:w="1573" w:type="dxa"/>
                        <w:vMerge w:val="restart"/>
                      </w:tcPr>
                      <w:p>
                        <w:pPr>
                          <w:pStyle w:val="TableParagraph"/>
                          <w:rPr>
                            <w:rFonts w:ascii="Times New Roman"/>
                            <w:sz w:val="18"/>
                          </w:rPr>
                        </w:pPr>
                      </w:p>
                    </w:tc>
                    <w:tc>
                      <w:tcPr>
                        <w:tcW w:w="2713" w:type="dxa"/>
                        <w:gridSpan w:val="3"/>
                      </w:tcPr>
                      <w:p>
                        <w:pPr>
                          <w:pStyle w:val="TableParagraph"/>
                          <w:rPr>
                            <w:rFonts w:ascii="Times New Roman"/>
                            <w:sz w:val="18"/>
                          </w:rPr>
                        </w:pPr>
                      </w:p>
                    </w:tc>
                    <w:tc>
                      <w:tcPr>
                        <w:tcW w:w="1068" w:type="dxa"/>
                        <w:vMerge w:val="restart"/>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350"/>
                    </w:trPr>
                    <w:tc>
                      <w:tcPr>
                        <w:tcW w:w="915" w:type="dxa"/>
                        <w:vMerge/>
                        <w:tcBorders>
                          <w:top w:val="nil"/>
                        </w:tcBorders>
                      </w:tcPr>
                      <w:p>
                        <w:pPr>
                          <w:rPr>
                            <w:sz w:val="2"/>
                            <w:szCs w:val="2"/>
                          </w:rPr>
                        </w:pPr>
                      </w:p>
                    </w:tc>
                    <w:tc>
                      <w:tcPr>
                        <w:tcW w:w="877" w:type="dxa"/>
                        <w:vMerge/>
                        <w:tcBorders>
                          <w:top w:val="nil"/>
                        </w:tcBorders>
                      </w:tcPr>
                      <w:p>
                        <w:pPr>
                          <w:rPr>
                            <w:sz w:val="2"/>
                            <w:szCs w:val="2"/>
                          </w:rPr>
                        </w:pPr>
                      </w:p>
                    </w:tc>
                    <w:tc>
                      <w:tcPr>
                        <w:tcW w:w="1258" w:type="dxa"/>
                        <w:vMerge/>
                        <w:tcBorders>
                          <w:top w:val="nil"/>
                        </w:tcBorders>
                      </w:tcPr>
                      <w:p>
                        <w:pPr>
                          <w:rPr>
                            <w:sz w:val="2"/>
                            <w:szCs w:val="2"/>
                          </w:rPr>
                        </w:pPr>
                      </w:p>
                    </w:tc>
                    <w:tc>
                      <w:tcPr>
                        <w:tcW w:w="1573" w:type="dxa"/>
                        <w:vMerge/>
                        <w:tcBorders>
                          <w:top w:val="nil"/>
                        </w:tcBorders>
                      </w:tcPr>
                      <w:p>
                        <w:pPr>
                          <w:rPr>
                            <w:sz w:val="2"/>
                            <w:szCs w:val="2"/>
                          </w:rPr>
                        </w:pPr>
                      </w:p>
                    </w:tc>
                    <w:tc>
                      <w:tcPr>
                        <w:tcW w:w="965" w:type="dxa"/>
                      </w:tcPr>
                      <w:p>
                        <w:pPr>
                          <w:pStyle w:val="TableParagraph"/>
                          <w:rPr>
                            <w:rFonts w:ascii="Times New Roman"/>
                            <w:sz w:val="18"/>
                          </w:rPr>
                        </w:pPr>
                      </w:p>
                    </w:tc>
                    <w:tc>
                      <w:tcPr>
                        <w:tcW w:w="870" w:type="dxa"/>
                      </w:tcPr>
                      <w:p>
                        <w:pPr>
                          <w:pStyle w:val="TableParagraph"/>
                          <w:rPr>
                            <w:rFonts w:ascii="Times New Roman"/>
                            <w:sz w:val="18"/>
                          </w:rPr>
                        </w:pPr>
                      </w:p>
                    </w:tc>
                    <w:tc>
                      <w:tcPr>
                        <w:tcW w:w="878" w:type="dxa"/>
                      </w:tcPr>
                      <w:p>
                        <w:pPr>
                          <w:pStyle w:val="TableParagraph"/>
                          <w:rPr>
                            <w:rFonts w:ascii="Times New Roman"/>
                            <w:sz w:val="18"/>
                          </w:rPr>
                        </w:pPr>
                      </w:p>
                    </w:tc>
                    <w:tc>
                      <w:tcPr>
                        <w:tcW w:w="1068" w:type="dxa"/>
                        <w:vMerge/>
                        <w:tcBorders>
                          <w:top w:val="nil"/>
                        </w:tcBorders>
                      </w:tcPr>
                      <w:p>
                        <w:pPr>
                          <w:rPr>
                            <w:sz w:val="2"/>
                            <w:szCs w:val="2"/>
                          </w:rPr>
                        </w:pPr>
                      </w:p>
                    </w:tc>
                  </w:tr>
                  <w:tr>
                    <w:tblPrEx>
                      <w:tblW w:w="0" w:type="auto"/>
                      <w:tblInd w:w="7" w:type="dxa"/>
                      <w:tblLayout w:type="fixed"/>
                      <w:tblCellMar>
                        <w:top w:w="0" w:type="dxa"/>
                        <w:left w:w="0" w:type="dxa"/>
                        <w:bottom w:w="0" w:type="dxa"/>
                        <w:right w:w="0" w:type="dxa"/>
                      </w:tblCellMar>
                    </w:tblPrEx>
                    <w:trPr>
                      <w:trHeight w:val="578"/>
                    </w:trPr>
                    <w:tc>
                      <w:tcPr>
                        <w:tcW w:w="915" w:type="dxa"/>
                        <w:vMerge w:val="restart"/>
                      </w:tcPr>
                      <w:p>
                        <w:pPr>
                          <w:pStyle w:val="TableParagraph"/>
                          <w:rPr>
                            <w:rFonts w:ascii="Times New Roman"/>
                            <w:sz w:val="18"/>
                          </w:rPr>
                        </w:pPr>
                      </w:p>
                    </w:tc>
                    <w:tc>
                      <w:tcPr>
                        <w:tcW w:w="877" w:type="dxa"/>
                      </w:tcPr>
                      <w:p>
                        <w:pPr>
                          <w:pStyle w:val="TableParagraph"/>
                          <w:rPr>
                            <w:rFonts w:ascii="Times New Roman"/>
                            <w:sz w:val="18"/>
                          </w:rPr>
                        </w:pPr>
                      </w:p>
                    </w:tc>
                    <w:tc>
                      <w:tcPr>
                        <w:tcW w:w="1258" w:type="dxa"/>
                      </w:tcPr>
                      <w:p>
                        <w:pPr>
                          <w:pStyle w:val="TableParagraph"/>
                          <w:rPr>
                            <w:rFonts w:ascii="Times New Roman"/>
                            <w:sz w:val="18"/>
                          </w:rPr>
                        </w:pPr>
                      </w:p>
                    </w:tc>
                    <w:tc>
                      <w:tcPr>
                        <w:tcW w:w="1573" w:type="dxa"/>
                      </w:tcPr>
                      <w:p>
                        <w:pPr>
                          <w:pStyle w:val="TableParagraph"/>
                          <w:rPr>
                            <w:rFonts w:ascii="Times New Roman"/>
                            <w:sz w:val="18"/>
                          </w:rPr>
                        </w:pPr>
                      </w:p>
                    </w:tc>
                    <w:tc>
                      <w:tcPr>
                        <w:tcW w:w="965" w:type="dxa"/>
                      </w:tcPr>
                      <w:p>
                        <w:pPr>
                          <w:pStyle w:val="TableParagraph"/>
                          <w:rPr>
                            <w:rFonts w:ascii="Times New Roman"/>
                            <w:sz w:val="18"/>
                          </w:rPr>
                        </w:pPr>
                      </w:p>
                    </w:tc>
                    <w:tc>
                      <w:tcPr>
                        <w:tcW w:w="870" w:type="dxa"/>
                      </w:tcPr>
                      <w:p>
                        <w:pPr>
                          <w:pStyle w:val="TableParagraph"/>
                          <w:rPr>
                            <w:rFonts w:ascii="Times New Roman"/>
                            <w:sz w:val="18"/>
                          </w:rPr>
                        </w:pPr>
                      </w:p>
                    </w:tc>
                    <w:tc>
                      <w:tcPr>
                        <w:tcW w:w="878" w:type="dxa"/>
                      </w:tcPr>
                      <w:p>
                        <w:pPr>
                          <w:pStyle w:val="TableParagraph"/>
                          <w:rPr>
                            <w:rFonts w:ascii="Times New Roman"/>
                            <w:sz w:val="18"/>
                          </w:rPr>
                        </w:pPr>
                      </w:p>
                    </w:tc>
                    <w:tc>
                      <w:tcPr>
                        <w:tcW w:w="1068" w:type="dxa"/>
                        <w:vMerge w:val="restart"/>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578"/>
                    </w:trPr>
                    <w:tc>
                      <w:tcPr>
                        <w:tcW w:w="915" w:type="dxa"/>
                        <w:vMerge/>
                        <w:tcBorders>
                          <w:top w:val="nil"/>
                        </w:tcBorders>
                      </w:tcPr>
                      <w:p>
                        <w:pPr>
                          <w:rPr>
                            <w:sz w:val="2"/>
                            <w:szCs w:val="2"/>
                          </w:rPr>
                        </w:pPr>
                      </w:p>
                    </w:tc>
                    <w:tc>
                      <w:tcPr>
                        <w:tcW w:w="877" w:type="dxa"/>
                      </w:tcPr>
                      <w:p>
                        <w:pPr>
                          <w:pStyle w:val="TableParagraph"/>
                          <w:rPr>
                            <w:rFonts w:ascii="Times New Roman"/>
                            <w:sz w:val="18"/>
                          </w:rPr>
                        </w:pPr>
                      </w:p>
                    </w:tc>
                    <w:tc>
                      <w:tcPr>
                        <w:tcW w:w="1258" w:type="dxa"/>
                      </w:tcPr>
                      <w:p>
                        <w:pPr>
                          <w:pStyle w:val="TableParagraph"/>
                          <w:rPr>
                            <w:rFonts w:ascii="Times New Roman"/>
                            <w:sz w:val="18"/>
                          </w:rPr>
                        </w:pPr>
                      </w:p>
                    </w:tc>
                    <w:tc>
                      <w:tcPr>
                        <w:tcW w:w="1573" w:type="dxa"/>
                      </w:tcPr>
                      <w:p>
                        <w:pPr>
                          <w:pStyle w:val="TableParagraph"/>
                          <w:rPr>
                            <w:rFonts w:ascii="Times New Roman"/>
                            <w:sz w:val="18"/>
                          </w:rPr>
                        </w:pPr>
                      </w:p>
                    </w:tc>
                    <w:tc>
                      <w:tcPr>
                        <w:tcW w:w="965" w:type="dxa"/>
                      </w:tcPr>
                      <w:p>
                        <w:pPr>
                          <w:pStyle w:val="TableParagraph"/>
                          <w:rPr>
                            <w:rFonts w:ascii="Times New Roman"/>
                            <w:sz w:val="18"/>
                          </w:rPr>
                        </w:pPr>
                      </w:p>
                    </w:tc>
                    <w:tc>
                      <w:tcPr>
                        <w:tcW w:w="870" w:type="dxa"/>
                      </w:tcPr>
                      <w:p>
                        <w:pPr>
                          <w:pStyle w:val="TableParagraph"/>
                          <w:rPr>
                            <w:rFonts w:ascii="Times New Roman"/>
                            <w:sz w:val="18"/>
                          </w:rPr>
                        </w:pPr>
                      </w:p>
                    </w:tc>
                    <w:tc>
                      <w:tcPr>
                        <w:tcW w:w="878" w:type="dxa"/>
                      </w:tcPr>
                      <w:p>
                        <w:pPr>
                          <w:pStyle w:val="TableParagraph"/>
                          <w:rPr>
                            <w:rFonts w:ascii="Times New Roman"/>
                            <w:sz w:val="18"/>
                          </w:rPr>
                        </w:pPr>
                      </w:p>
                    </w:tc>
                    <w:tc>
                      <w:tcPr>
                        <w:tcW w:w="1068" w:type="dxa"/>
                        <w:vMerge/>
                        <w:tcBorders>
                          <w:top w:val="nil"/>
                        </w:tcBorders>
                      </w:tcPr>
                      <w:p>
                        <w:pPr>
                          <w:rPr>
                            <w:sz w:val="2"/>
                            <w:szCs w:val="2"/>
                          </w:rPr>
                        </w:pPr>
                      </w:p>
                    </w:tc>
                  </w:tr>
                </w:tbl>
                <w:p>
                  <w:pPr>
                    <w:pStyle w:val="BodyText"/>
                  </w:pPr>
                </w:p>
              </w:txbxContent>
            </v:textbox>
          </v:shape>
        </w:pict>
      </w:r>
      <w:r>
        <w:pict>
          <v:shape id="_x0000_s1147" o:spid="_x0000_s1146" type="#_x0000_t202" style="width:420pt;height:331.5pt;margin-top:260.3pt;margin-left:98.25pt;mso-height-relative:page;mso-position-horizontal-relative:page;mso-position-vertical-relative:page;mso-width-relative:page;position:absolute;z-index:251673600" coordsize="21600,21600" filled="f" stroked="f">
            <v:stroke joinstyle="miter"/>
            <v:textbox inset="0,0,0,0">
              <w:txbxContent>
                <w:tbl>
                  <w:tblPr>
                    <w:tblStyle w:val="TableNormal"/>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701"/>
                    <w:gridCol w:w="771"/>
                    <w:gridCol w:w="947"/>
                    <w:gridCol w:w="1334"/>
                    <w:gridCol w:w="2342"/>
                    <w:gridCol w:w="769"/>
                    <w:gridCol w:w="771"/>
                    <w:gridCol w:w="769"/>
                  </w:tblGrid>
                  <w:tr>
                    <w:tblPrEx>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266"/>
                    </w:trPr>
                    <w:tc>
                      <w:tcPr>
                        <w:tcW w:w="701" w:type="dxa"/>
                        <w:vMerge w:val="restart"/>
                      </w:tcPr>
                      <w:p>
                        <w:pPr>
                          <w:pStyle w:val="TableParagraph"/>
                          <w:rPr>
                            <w:rFonts w:ascii="Times New Roman"/>
                            <w:sz w:val="18"/>
                          </w:rPr>
                        </w:pPr>
                      </w:p>
                    </w:tc>
                    <w:tc>
                      <w:tcPr>
                        <w:tcW w:w="771" w:type="dxa"/>
                        <w:vMerge w:val="restart"/>
                      </w:tcPr>
                      <w:p>
                        <w:pPr>
                          <w:pStyle w:val="TableParagraph"/>
                          <w:rPr>
                            <w:rFonts w:ascii="Times New Roman"/>
                            <w:sz w:val="18"/>
                          </w:rPr>
                        </w:pPr>
                      </w:p>
                    </w:tc>
                    <w:tc>
                      <w:tcPr>
                        <w:tcW w:w="947" w:type="dxa"/>
                      </w:tcPr>
                      <w:p>
                        <w:pPr>
                          <w:pStyle w:val="TableParagraph"/>
                          <w:rPr>
                            <w:rFonts w:ascii="Times New Roman"/>
                            <w:sz w:val="18"/>
                          </w:rPr>
                        </w:pPr>
                      </w:p>
                    </w:tc>
                    <w:tc>
                      <w:tcPr>
                        <w:tcW w:w="1334" w:type="dxa"/>
                        <w:vMerge w:val="restart"/>
                      </w:tcPr>
                      <w:p>
                        <w:pPr>
                          <w:pStyle w:val="TableParagraph"/>
                          <w:rPr>
                            <w:rFonts w:ascii="Times New Roman"/>
                            <w:sz w:val="18"/>
                          </w:rPr>
                        </w:pPr>
                      </w:p>
                    </w:tc>
                    <w:tc>
                      <w:tcPr>
                        <w:tcW w:w="2342" w:type="dxa"/>
                        <w:vMerge w:val="restart"/>
                      </w:tcPr>
                      <w:p>
                        <w:pPr>
                          <w:pStyle w:val="TableParagraph"/>
                          <w:rPr>
                            <w:rFonts w:ascii="Times New Roman"/>
                            <w:sz w:val="18"/>
                          </w:rPr>
                        </w:pPr>
                      </w:p>
                    </w:tc>
                    <w:tc>
                      <w:tcPr>
                        <w:tcW w:w="2309" w:type="dxa"/>
                        <w:gridSpan w:val="3"/>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3"/>
                    </w:trPr>
                    <w:tc>
                      <w:tcPr>
                        <w:tcW w:w="701" w:type="dxa"/>
                        <w:vMerge/>
                        <w:tcBorders>
                          <w:top w:val="nil"/>
                        </w:tcBorders>
                      </w:tcPr>
                      <w:p>
                        <w:pPr>
                          <w:rPr>
                            <w:sz w:val="2"/>
                            <w:szCs w:val="2"/>
                          </w:rPr>
                        </w:pPr>
                      </w:p>
                    </w:tc>
                    <w:tc>
                      <w:tcPr>
                        <w:tcW w:w="771" w:type="dxa"/>
                        <w:vMerge/>
                        <w:tcBorders>
                          <w:top w:val="nil"/>
                        </w:tcBorders>
                      </w:tcPr>
                      <w:p>
                        <w:pPr>
                          <w:rPr>
                            <w:sz w:val="2"/>
                            <w:szCs w:val="2"/>
                          </w:rPr>
                        </w:pPr>
                      </w:p>
                    </w:tc>
                    <w:tc>
                      <w:tcPr>
                        <w:tcW w:w="947" w:type="dxa"/>
                      </w:tcPr>
                      <w:p>
                        <w:pPr>
                          <w:pStyle w:val="TableParagraph"/>
                          <w:rPr>
                            <w:rFonts w:ascii="Times New Roman"/>
                            <w:sz w:val="18"/>
                          </w:rPr>
                        </w:pPr>
                      </w:p>
                    </w:tc>
                    <w:tc>
                      <w:tcPr>
                        <w:tcW w:w="1334" w:type="dxa"/>
                        <w:vMerge/>
                        <w:tcBorders>
                          <w:top w:val="nil"/>
                        </w:tcBorders>
                      </w:tcPr>
                      <w:p>
                        <w:pPr>
                          <w:rPr>
                            <w:sz w:val="2"/>
                            <w:szCs w:val="2"/>
                          </w:rPr>
                        </w:pPr>
                      </w:p>
                    </w:tc>
                    <w:tc>
                      <w:tcPr>
                        <w:tcW w:w="2342" w:type="dxa"/>
                        <w:vMerge/>
                        <w:tcBorders>
                          <w:top w:val="nil"/>
                        </w:tcBorders>
                      </w:tcPr>
                      <w:p>
                        <w:pPr>
                          <w:rPr>
                            <w:sz w:val="2"/>
                            <w:szCs w:val="2"/>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6"/>
                    </w:trPr>
                    <w:tc>
                      <w:tcPr>
                        <w:tcW w:w="701" w:type="dxa"/>
                        <w:vMerge w:val="restart"/>
                      </w:tcPr>
                      <w:p>
                        <w:pPr>
                          <w:pStyle w:val="TableParagraph"/>
                          <w:rPr>
                            <w:rFonts w:ascii="Times New Roman"/>
                            <w:sz w:val="18"/>
                          </w:rPr>
                        </w:pPr>
                      </w:p>
                    </w:tc>
                    <w:tc>
                      <w:tcPr>
                        <w:tcW w:w="771" w:type="dxa"/>
                        <w:vMerge w:val="restart"/>
                      </w:tcPr>
                      <w:p>
                        <w:pPr>
                          <w:pStyle w:val="TableParagraph"/>
                          <w:rPr>
                            <w:rFonts w:ascii="Times New Roman"/>
                            <w:sz w:val="18"/>
                          </w:rPr>
                        </w:pPr>
                      </w:p>
                    </w:tc>
                    <w:tc>
                      <w:tcPr>
                        <w:tcW w:w="947" w:type="dxa"/>
                      </w:tcPr>
                      <w:p>
                        <w:pPr>
                          <w:pStyle w:val="TableParagraph"/>
                          <w:rPr>
                            <w:rFonts w:ascii="Times New Roman"/>
                            <w:sz w:val="18"/>
                          </w:rPr>
                        </w:pPr>
                      </w:p>
                    </w:tc>
                    <w:tc>
                      <w:tcPr>
                        <w:tcW w:w="1334" w:type="dxa"/>
                      </w:tcPr>
                      <w:p>
                        <w:pPr>
                          <w:pStyle w:val="TableParagraph"/>
                          <w:rPr>
                            <w:rFonts w:ascii="Times New Roman"/>
                            <w:sz w:val="18"/>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3"/>
                    </w:trPr>
                    <w:tc>
                      <w:tcPr>
                        <w:tcW w:w="701" w:type="dxa"/>
                        <w:vMerge/>
                        <w:tcBorders>
                          <w:top w:val="nil"/>
                        </w:tcBorders>
                      </w:tcPr>
                      <w:p>
                        <w:pPr>
                          <w:rPr>
                            <w:sz w:val="2"/>
                            <w:szCs w:val="2"/>
                          </w:rPr>
                        </w:pPr>
                      </w:p>
                    </w:tc>
                    <w:tc>
                      <w:tcPr>
                        <w:tcW w:w="771" w:type="dxa"/>
                        <w:vMerge/>
                        <w:tcBorders>
                          <w:top w:val="nil"/>
                        </w:tcBorders>
                      </w:tcPr>
                      <w:p>
                        <w:pPr>
                          <w:rPr>
                            <w:sz w:val="2"/>
                            <w:szCs w:val="2"/>
                          </w:rPr>
                        </w:pPr>
                      </w:p>
                    </w:tc>
                    <w:tc>
                      <w:tcPr>
                        <w:tcW w:w="947" w:type="dxa"/>
                      </w:tcPr>
                      <w:p>
                        <w:pPr>
                          <w:pStyle w:val="TableParagraph"/>
                          <w:rPr>
                            <w:rFonts w:ascii="Times New Roman"/>
                            <w:sz w:val="18"/>
                          </w:rPr>
                        </w:pPr>
                      </w:p>
                    </w:tc>
                    <w:tc>
                      <w:tcPr>
                        <w:tcW w:w="1334" w:type="dxa"/>
                      </w:tcPr>
                      <w:p>
                        <w:pPr>
                          <w:pStyle w:val="TableParagraph"/>
                          <w:rPr>
                            <w:rFonts w:ascii="Times New Roman"/>
                            <w:sz w:val="18"/>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6"/>
                    </w:trPr>
                    <w:tc>
                      <w:tcPr>
                        <w:tcW w:w="701" w:type="dxa"/>
                        <w:vMerge/>
                        <w:tcBorders>
                          <w:top w:val="nil"/>
                        </w:tcBorders>
                      </w:tcPr>
                      <w:p>
                        <w:pPr>
                          <w:rPr>
                            <w:sz w:val="2"/>
                            <w:szCs w:val="2"/>
                          </w:rPr>
                        </w:pPr>
                      </w:p>
                    </w:tc>
                    <w:tc>
                      <w:tcPr>
                        <w:tcW w:w="771" w:type="dxa"/>
                        <w:vMerge w:val="restart"/>
                      </w:tcPr>
                      <w:p>
                        <w:pPr>
                          <w:pStyle w:val="TableParagraph"/>
                          <w:rPr>
                            <w:rFonts w:ascii="Times New Roman"/>
                            <w:sz w:val="18"/>
                          </w:rPr>
                        </w:pPr>
                      </w:p>
                    </w:tc>
                    <w:tc>
                      <w:tcPr>
                        <w:tcW w:w="947" w:type="dxa"/>
                      </w:tcPr>
                      <w:p>
                        <w:pPr>
                          <w:pStyle w:val="TableParagraph"/>
                          <w:rPr>
                            <w:rFonts w:ascii="Times New Roman"/>
                            <w:sz w:val="18"/>
                          </w:rPr>
                        </w:pPr>
                      </w:p>
                    </w:tc>
                    <w:tc>
                      <w:tcPr>
                        <w:tcW w:w="1334" w:type="dxa"/>
                      </w:tcPr>
                      <w:p>
                        <w:pPr>
                          <w:pStyle w:val="TableParagraph"/>
                          <w:rPr>
                            <w:rFonts w:ascii="Times New Roman"/>
                            <w:sz w:val="18"/>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4"/>
                    </w:trPr>
                    <w:tc>
                      <w:tcPr>
                        <w:tcW w:w="701" w:type="dxa"/>
                        <w:vMerge/>
                        <w:tcBorders>
                          <w:top w:val="nil"/>
                        </w:tcBorders>
                      </w:tcPr>
                      <w:p>
                        <w:pPr>
                          <w:rPr>
                            <w:sz w:val="2"/>
                            <w:szCs w:val="2"/>
                          </w:rPr>
                        </w:pPr>
                      </w:p>
                    </w:tc>
                    <w:tc>
                      <w:tcPr>
                        <w:tcW w:w="771" w:type="dxa"/>
                        <w:vMerge/>
                        <w:tcBorders>
                          <w:top w:val="nil"/>
                        </w:tcBorders>
                      </w:tcPr>
                      <w:p>
                        <w:pPr>
                          <w:rPr>
                            <w:sz w:val="2"/>
                            <w:szCs w:val="2"/>
                          </w:rPr>
                        </w:pPr>
                      </w:p>
                    </w:tc>
                    <w:tc>
                      <w:tcPr>
                        <w:tcW w:w="947" w:type="dxa"/>
                      </w:tcPr>
                      <w:p>
                        <w:pPr>
                          <w:pStyle w:val="TableParagraph"/>
                          <w:rPr>
                            <w:rFonts w:ascii="Times New Roman"/>
                            <w:sz w:val="18"/>
                          </w:rPr>
                        </w:pPr>
                      </w:p>
                    </w:tc>
                    <w:tc>
                      <w:tcPr>
                        <w:tcW w:w="1334" w:type="dxa"/>
                      </w:tcPr>
                      <w:p>
                        <w:pPr>
                          <w:pStyle w:val="TableParagraph"/>
                          <w:rPr>
                            <w:rFonts w:ascii="Times New Roman"/>
                            <w:sz w:val="18"/>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3"/>
                    </w:trPr>
                    <w:tc>
                      <w:tcPr>
                        <w:tcW w:w="701" w:type="dxa"/>
                        <w:vMerge/>
                        <w:tcBorders>
                          <w:top w:val="nil"/>
                        </w:tcBorders>
                      </w:tcPr>
                      <w:p>
                        <w:pPr>
                          <w:rPr>
                            <w:sz w:val="2"/>
                            <w:szCs w:val="2"/>
                          </w:rPr>
                        </w:pPr>
                      </w:p>
                    </w:tc>
                    <w:tc>
                      <w:tcPr>
                        <w:tcW w:w="771" w:type="dxa"/>
                      </w:tcPr>
                      <w:p>
                        <w:pPr>
                          <w:pStyle w:val="TableParagraph"/>
                          <w:rPr>
                            <w:rFonts w:ascii="Times New Roman"/>
                            <w:sz w:val="18"/>
                          </w:rPr>
                        </w:pPr>
                      </w:p>
                    </w:tc>
                    <w:tc>
                      <w:tcPr>
                        <w:tcW w:w="947" w:type="dxa"/>
                      </w:tcPr>
                      <w:p>
                        <w:pPr>
                          <w:pStyle w:val="TableParagraph"/>
                          <w:rPr>
                            <w:rFonts w:ascii="Times New Roman"/>
                            <w:sz w:val="18"/>
                          </w:rPr>
                        </w:pPr>
                      </w:p>
                    </w:tc>
                    <w:tc>
                      <w:tcPr>
                        <w:tcW w:w="1334" w:type="dxa"/>
                      </w:tcPr>
                      <w:p>
                        <w:pPr>
                          <w:pStyle w:val="TableParagraph"/>
                          <w:rPr>
                            <w:rFonts w:ascii="Times New Roman"/>
                            <w:sz w:val="18"/>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6"/>
                    </w:trPr>
                    <w:tc>
                      <w:tcPr>
                        <w:tcW w:w="701" w:type="dxa"/>
                        <w:vMerge/>
                        <w:tcBorders>
                          <w:top w:val="nil"/>
                        </w:tcBorders>
                      </w:tcPr>
                      <w:p>
                        <w:pPr>
                          <w:rPr>
                            <w:sz w:val="2"/>
                            <w:szCs w:val="2"/>
                          </w:rPr>
                        </w:pPr>
                      </w:p>
                    </w:tc>
                    <w:tc>
                      <w:tcPr>
                        <w:tcW w:w="771" w:type="dxa"/>
                        <w:vMerge w:val="restart"/>
                      </w:tcPr>
                      <w:p>
                        <w:pPr>
                          <w:pStyle w:val="TableParagraph"/>
                          <w:rPr>
                            <w:rFonts w:ascii="Times New Roman"/>
                            <w:sz w:val="18"/>
                          </w:rPr>
                        </w:pPr>
                      </w:p>
                    </w:tc>
                    <w:tc>
                      <w:tcPr>
                        <w:tcW w:w="947" w:type="dxa"/>
                      </w:tcPr>
                      <w:p>
                        <w:pPr>
                          <w:pStyle w:val="TableParagraph"/>
                          <w:rPr>
                            <w:rFonts w:ascii="Times New Roman"/>
                            <w:sz w:val="18"/>
                          </w:rPr>
                        </w:pPr>
                      </w:p>
                    </w:tc>
                    <w:tc>
                      <w:tcPr>
                        <w:tcW w:w="1334" w:type="dxa"/>
                      </w:tcPr>
                      <w:p>
                        <w:pPr>
                          <w:pStyle w:val="TableParagraph"/>
                          <w:rPr>
                            <w:rFonts w:ascii="Times New Roman"/>
                            <w:sz w:val="18"/>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4"/>
                    </w:trPr>
                    <w:tc>
                      <w:tcPr>
                        <w:tcW w:w="701" w:type="dxa"/>
                        <w:vMerge/>
                        <w:tcBorders>
                          <w:top w:val="nil"/>
                        </w:tcBorders>
                      </w:tcPr>
                      <w:p>
                        <w:pPr>
                          <w:rPr>
                            <w:sz w:val="2"/>
                            <w:szCs w:val="2"/>
                          </w:rPr>
                        </w:pPr>
                      </w:p>
                    </w:tc>
                    <w:tc>
                      <w:tcPr>
                        <w:tcW w:w="771" w:type="dxa"/>
                        <w:vMerge/>
                        <w:tcBorders>
                          <w:top w:val="nil"/>
                        </w:tcBorders>
                      </w:tcPr>
                      <w:p>
                        <w:pPr>
                          <w:rPr>
                            <w:sz w:val="2"/>
                            <w:szCs w:val="2"/>
                          </w:rPr>
                        </w:pPr>
                      </w:p>
                    </w:tc>
                    <w:tc>
                      <w:tcPr>
                        <w:tcW w:w="947" w:type="dxa"/>
                        <w:vMerge w:val="restart"/>
                      </w:tcPr>
                      <w:p>
                        <w:pPr>
                          <w:pStyle w:val="TableParagraph"/>
                          <w:rPr>
                            <w:rFonts w:ascii="Times New Roman"/>
                            <w:sz w:val="18"/>
                          </w:rPr>
                        </w:pPr>
                      </w:p>
                    </w:tc>
                    <w:tc>
                      <w:tcPr>
                        <w:tcW w:w="1334" w:type="dxa"/>
                        <w:vMerge w:val="restart"/>
                      </w:tcPr>
                      <w:p>
                        <w:pPr>
                          <w:pStyle w:val="TableParagraph"/>
                          <w:rPr>
                            <w:rFonts w:ascii="Times New Roman"/>
                            <w:sz w:val="18"/>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6"/>
                    </w:trPr>
                    <w:tc>
                      <w:tcPr>
                        <w:tcW w:w="701" w:type="dxa"/>
                        <w:vMerge/>
                        <w:tcBorders>
                          <w:top w:val="nil"/>
                        </w:tcBorders>
                      </w:tcPr>
                      <w:p>
                        <w:pPr>
                          <w:rPr>
                            <w:sz w:val="2"/>
                            <w:szCs w:val="2"/>
                          </w:rPr>
                        </w:pPr>
                      </w:p>
                    </w:tc>
                    <w:tc>
                      <w:tcPr>
                        <w:tcW w:w="771" w:type="dxa"/>
                        <w:vMerge/>
                        <w:tcBorders>
                          <w:top w:val="nil"/>
                        </w:tcBorders>
                      </w:tcPr>
                      <w:p>
                        <w:pPr>
                          <w:rPr>
                            <w:sz w:val="2"/>
                            <w:szCs w:val="2"/>
                          </w:rPr>
                        </w:pPr>
                      </w:p>
                    </w:tc>
                    <w:tc>
                      <w:tcPr>
                        <w:tcW w:w="947" w:type="dxa"/>
                        <w:vMerge/>
                        <w:tcBorders>
                          <w:top w:val="nil"/>
                        </w:tcBorders>
                      </w:tcPr>
                      <w:p>
                        <w:pPr>
                          <w:rPr>
                            <w:sz w:val="2"/>
                            <w:szCs w:val="2"/>
                          </w:rPr>
                        </w:pPr>
                      </w:p>
                    </w:tc>
                    <w:tc>
                      <w:tcPr>
                        <w:tcW w:w="1334" w:type="dxa"/>
                        <w:vMerge/>
                        <w:tcBorders>
                          <w:top w:val="nil"/>
                        </w:tcBorders>
                      </w:tcPr>
                      <w:p>
                        <w:pPr>
                          <w:rPr>
                            <w:sz w:val="2"/>
                            <w:szCs w:val="2"/>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3"/>
                    </w:trPr>
                    <w:tc>
                      <w:tcPr>
                        <w:tcW w:w="701" w:type="dxa"/>
                        <w:vMerge/>
                        <w:tcBorders>
                          <w:top w:val="nil"/>
                        </w:tcBorders>
                      </w:tcPr>
                      <w:p>
                        <w:pPr>
                          <w:rPr>
                            <w:sz w:val="2"/>
                            <w:szCs w:val="2"/>
                          </w:rPr>
                        </w:pPr>
                      </w:p>
                    </w:tc>
                    <w:tc>
                      <w:tcPr>
                        <w:tcW w:w="771" w:type="dxa"/>
                      </w:tcPr>
                      <w:p>
                        <w:pPr>
                          <w:pStyle w:val="TableParagraph"/>
                          <w:rPr>
                            <w:rFonts w:ascii="Times New Roman"/>
                            <w:sz w:val="18"/>
                          </w:rPr>
                        </w:pPr>
                      </w:p>
                    </w:tc>
                    <w:tc>
                      <w:tcPr>
                        <w:tcW w:w="947" w:type="dxa"/>
                      </w:tcPr>
                      <w:p>
                        <w:pPr>
                          <w:pStyle w:val="TableParagraph"/>
                          <w:rPr>
                            <w:rFonts w:ascii="Times New Roman"/>
                            <w:sz w:val="18"/>
                          </w:rPr>
                        </w:pPr>
                      </w:p>
                    </w:tc>
                    <w:tc>
                      <w:tcPr>
                        <w:tcW w:w="1334" w:type="dxa"/>
                      </w:tcPr>
                      <w:p>
                        <w:pPr>
                          <w:pStyle w:val="TableParagraph"/>
                          <w:rPr>
                            <w:rFonts w:ascii="Times New Roman"/>
                            <w:sz w:val="18"/>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6"/>
                    </w:trPr>
                    <w:tc>
                      <w:tcPr>
                        <w:tcW w:w="701" w:type="dxa"/>
                        <w:vMerge/>
                        <w:tcBorders>
                          <w:top w:val="nil"/>
                        </w:tcBorders>
                      </w:tcPr>
                      <w:p>
                        <w:pPr>
                          <w:rPr>
                            <w:sz w:val="2"/>
                            <w:szCs w:val="2"/>
                          </w:rPr>
                        </w:pPr>
                      </w:p>
                    </w:tc>
                    <w:tc>
                      <w:tcPr>
                        <w:tcW w:w="771" w:type="dxa"/>
                        <w:vMerge w:val="restart"/>
                      </w:tcPr>
                      <w:p>
                        <w:pPr>
                          <w:pStyle w:val="TableParagraph"/>
                          <w:rPr>
                            <w:rFonts w:ascii="Times New Roman"/>
                            <w:sz w:val="18"/>
                          </w:rPr>
                        </w:pPr>
                      </w:p>
                    </w:tc>
                    <w:tc>
                      <w:tcPr>
                        <w:tcW w:w="947" w:type="dxa"/>
                      </w:tcPr>
                      <w:p>
                        <w:pPr>
                          <w:pStyle w:val="TableParagraph"/>
                          <w:rPr>
                            <w:rFonts w:ascii="Times New Roman"/>
                            <w:sz w:val="18"/>
                          </w:rPr>
                        </w:pPr>
                      </w:p>
                    </w:tc>
                    <w:tc>
                      <w:tcPr>
                        <w:tcW w:w="1334" w:type="dxa"/>
                      </w:tcPr>
                      <w:p>
                        <w:pPr>
                          <w:pStyle w:val="TableParagraph"/>
                          <w:rPr>
                            <w:rFonts w:ascii="Times New Roman"/>
                            <w:sz w:val="18"/>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3"/>
                    </w:trPr>
                    <w:tc>
                      <w:tcPr>
                        <w:tcW w:w="701" w:type="dxa"/>
                        <w:vMerge/>
                        <w:tcBorders>
                          <w:top w:val="nil"/>
                        </w:tcBorders>
                      </w:tcPr>
                      <w:p>
                        <w:pPr>
                          <w:rPr>
                            <w:sz w:val="2"/>
                            <w:szCs w:val="2"/>
                          </w:rPr>
                        </w:pPr>
                      </w:p>
                    </w:tc>
                    <w:tc>
                      <w:tcPr>
                        <w:tcW w:w="771" w:type="dxa"/>
                        <w:vMerge/>
                        <w:tcBorders>
                          <w:top w:val="nil"/>
                        </w:tcBorders>
                      </w:tcPr>
                      <w:p>
                        <w:pPr>
                          <w:rPr>
                            <w:sz w:val="2"/>
                            <w:szCs w:val="2"/>
                          </w:rPr>
                        </w:pPr>
                      </w:p>
                    </w:tc>
                    <w:tc>
                      <w:tcPr>
                        <w:tcW w:w="947" w:type="dxa"/>
                      </w:tcPr>
                      <w:p>
                        <w:pPr>
                          <w:pStyle w:val="TableParagraph"/>
                          <w:rPr>
                            <w:rFonts w:ascii="Times New Roman"/>
                            <w:sz w:val="18"/>
                          </w:rPr>
                        </w:pPr>
                      </w:p>
                    </w:tc>
                    <w:tc>
                      <w:tcPr>
                        <w:tcW w:w="1334" w:type="dxa"/>
                      </w:tcPr>
                      <w:p>
                        <w:pPr>
                          <w:pStyle w:val="TableParagraph"/>
                          <w:rPr>
                            <w:rFonts w:ascii="Times New Roman"/>
                            <w:sz w:val="18"/>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4"/>
                    </w:trPr>
                    <w:tc>
                      <w:tcPr>
                        <w:tcW w:w="701" w:type="dxa"/>
                        <w:vMerge w:val="restart"/>
                      </w:tcPr>
                      <w:p>
                        <w:pPr>
                          <w:pStyle w:val="TableParagraph"/>
                          <w:rPr>
                            <w:rFonts w:ascii="Times New Roman"/>
                            <w:sz w:val="18"/>
                          </w:rPr>
                        </w:pPr>
                      </w:p>
                    </w:tc>
                    <w:tc>
                      <w:tcPr>
                        <w:tcW w:w="771" w:type="dxa"/>
                        <w:vMerge w:val="restart"/>
                      </w:tcPr>
                      <w:p>
                        <w:pPr>
                          <w:pStyle w:val="TableParagraph"/>
                          <w:rPr>
                            <w:rFonts w:ascii="Times New Roman"/>
                            <w:sz w:val="18"/>
                          </w:rPr>
                        </w:pPr>
                      </w:p>
                    </w:tc>
                    <w:tc>
                      <w:tcPr>
                        <w:tcW w:w="947" w:type="dxa"/>
                      </w:tcPr>
                      <w:p>
                        <w:pPr>
                          <w:pStyle w:val="TableParagraph"/>
                          <w:rPr>
                            <w:rFonts w:ascii="Times New Roman"/>
                            <w:sz w:val="18"/>
                          </w:rPr>
                        </w:pPr>
                      </w:p>
                    </w:tc>
                    <w:tc>
                      <w:tcPr>
                        <w:tcW w:w="1334" w:type="dxa"/>
                      </w:tcPr>
                      <w:p>
                        <w:pPr>
                          <w:pStyle w:val="TableParagraph"/>
                          <w:rPr>
                            <w:rFonts w:ascii="Times New Roman"/>
                            <w:sz w:val="18"/>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6"/>
                    </w:trPr>
                    <w:tc>
                      <w:tcPr>
                        <w:tcW w:w="701" w:type="dxa"/>
                        <w:vMerge/>
                        <w:tcBorders>
                          <w:top w:val="nil"/>
                        </w:tcBorders>
                      </w:tcPr>
                      <w:p>
                        <w:pPr>
                          <w:rPr>
                            <w:sz w:val="2"/>
                            <w:szCs w:val="2"/>
                          </w:rPr>
                        </w:pPr>
                      </w:p>
                    </w:tc>
                    <w:tc>
                      <w:tcPr>
                        <w:tcW w:w="771" w:type="dxa"/>
                        <w:vMerge/>
                        <w:tcBorders>
                          <w:top w:val="nil"/>
                        </w:tcBorders>
                      </w:tcPr>
                      <w:p>
                        <w:pPr>
                          <w:rPr>
                            <w:sz w:val="2"/>
                            <w:szCs w:val="2"/>
                          </w:rPr>
                        </w:pPr>
                      </w:p>
                    </w:tc>
                    <w:tc>
                      <w:tcPr>
                        <w:tcW w:w="947" w:type="dxa"/>
                      </w:tcPr>
                      <w:p>
                        <w:pPr>
                          <w:pStyle w:val="TableParagraph"/>
                          <w:rPr>
                            <w:rFonts w:ascii="Times New Roman"/>
                            <w:sz w:val="18"/>
                          </w:rPr>
                        </w:pPr>
                      </w:p>
                    </w:tc>
                    <w:tc>
                      <w:tcPr>
                        <w:tcW w:w="1334" w:type="dxa"/>
                      </w:tcPr>
                      <w:p>
                        <w:pPr>
                          <w:pStyle w:val="TableParagraph"/>
                          <w:rPr>
                            <w:rFonts w:ascii="Times New Roman"/>
                            <w:sz w:val="18"/>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3"/>
                    </w:trPr>
                    <w:tc>
                      <w:tcPr>
                        <w:tcW w:w="701" w:type="dxa"/>
                        <w:vMerge/>
                        <w:tcBorders>
                          <w:top w:val="nil"/>
                        </w:tcBorders>
                      </w:tcPr>
                      <w:p>
                        <w:pPr>
                          <w:rPr>
                            <w:sz w:val="2"/>
                            <w:szCs w:val="2"/>
                          </w:rPr>
                        </w:pPr>
                      </w:p>
                    </w:tc>
                    <w:tc>
                      <w:tcPr>
                        <w:tcW w:w="771" w:type="dxa"/>
                        <w:vMerge w:val="restart"/>
                      </w:tcPr>
                      <w:p>
                        <w:pPr>
                          <w:pStyle w:val="TableParagraph"/>
                          <w:rPr>
                            <w:rFonts w:ascii="Times New Roman"/>
                            <w:sz w:val="18"/>
                          </w:rPr>
                        </w:pPr>
                      </w:p>
                    </w:tc>
                    <w:tc>
                      <w:tcPr>
                        <w:tcW w:w="947" w:type="dxa"/>
                      </w:tcPr>
                      <w:p>
                        <w:pPr>
                          <w:pStyle w:val="TableParagraph"/>
                          <w:rPr>
                            <w:rFonts w:ascii="Times New Roman"/>
                            <w:sz w:val="18"/>
                          </w:rPr>
                        </w:pPr>
                      </w:p>
                    </w:tc>
                    <w:tc>
                      <w:tcPr>
                        <w:tcW w:w="1334" w:type="dxa"/>
                      </w:tcPr>
                      <w:p>
                        <w:pPr>
                          <w:pStyle w:val="TableParagraph"/>
                          <w:rPr>
                            <w:rFonts w:ascii="Times New Roman"/>
                            <w:sz w:val="18"/>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6"/>
                    </w:trPr>
                    <w:tc>
                      <w:tcPr>
                        <w:tcW w:w="701" w:type="dxa"/>
                        <w:vMerge/>
                        <w:tcBorders>
                          <w:top w:val="nil"/>
                        </w:tcBorders>
                      </w:tcPr>
                      <w:p>
                        <w:pPr>
                          <w:rPr>
                            <w:sz w:val="2"/>
                            <w:szCs w:val="2"/>
                          </w:rPr>
                        </w:pPr>
                      </w:p>
                    </w:tc>
                    <w:tc>
                      <w:tcPr>
                        <w:tcW w:w="771" w:type="dxa"/>
                        <w:vMerge/>
                        <w:tcBorders>
                          <w:top w:val="nil"/>
                        </w:tcBorders>
                      </w:tcPr>
                      <w:p>
                        <w:pPr>
                          <w:rPr>
                            <w:sz w:val="2"/>
                            <w:szCs w:val="2"/>
                          </w:rPr>
                        </w:pPr>
                      </w:p>
                    </w:tc>
                    <w:tc>
                      <w:tcPr>
                        <w:tcW w:w="947" w:type="dxa"/>
                      </w:tcPr>
                      <w:p>
                        <w:pPr>
                          <w:pStyle w:val="TableParagraph"/>
                          <w:rPr>
                            <w:rFonts w:ascii="Times New Roman"/>
                            <w:sz w:val="18"/>
                          </w:rPr>
                        </w:pPr>
                      </w:p>
                    </w:tc>
                    <w:tc>
                      <w:tcPr>
                        <w:tcW w:w="1334" w:type="dxa"/>
                      </w:tcPr>
                      <w:p>
                        <w:pPr>
                          <w:pStyle w:val="TableParagraph"/>
                          <w:rPr>
                            <w:rFonts w:ascii="Times New Roman"/>
                            <w:sz w:val="18"/>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3"/>
                    </w:trPr>
                    <w:tc>
                      <w:tcPr>
                        <w:tcW w:w="701" w:type="dxa"/>
                        <w:vMerge/>
                        <w:tcBorders>
                          <w:top w:val="nil"/>
                        </w:tcBorders>
                      </w:tcPr>
                      <w:p>
                        <w:pPr>
                          <w:rPr>
                            <w:sz w:val="2"/>
                            <w:szCs w:val="2"/>
                          </w:rPr>
                        </w:pPr>
                      </w:p>
                    </w:tc>
                    <w:tc>
                      <w:tcPr>
                        <w:tcW w:w="771" w:type="dxa"/>
                        <w:vMerge/>
                        <w:tcBorders>
                          <w:top w:val="nil"/>
                        </w:tcBorders>
                      </w:tcPr>
                      <w:p>
                        <w:pPr>
                          <w:rPr>
                            <w:sz w:val="2"/>
                            <w:szCs w:val="2"/>
                          </w:rPr>
                        </w:pPr>
                      </w:p>
                    </w:tc>
                    <w:tc>
                      <w:tcPr>
                        <w:tcW w:w="947" w:type="dxa"/>
                      </w:tcPr>
                      <w:p>
                        <w:pPr>
                          <w:pStyle w:val="TableParagraph"/>
                          <w:rPr>
                            <w:rFonts w:ascii="Times New Roman"/>
                            <w:sz w:val="18"/>
                          </w:rPr>
                        </w:pPr>
                      </w:p>
                    </w:tc>
                    <w:tc>
                      <w:tcPr>
                        <w:tcW w:w="1334" w:type="dxa"/>
                      </w:tcPr>
                      <w:p>
                        <w:pPr>
                          <w:pStyle w:val="TableParagraph"/>
                          <w:rPr>
                            <w:rFonts w:ascii="Times New Roman"/>
                            <w:sz w:val="18"/>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4"/>
                    </w:trPr>
                    <w:tc>
                      <w:tcPr>
                        <w:tcW w:w="701" w:type="dxa"/>
                        <w:vMerge/>
                        <w:tcBorders>
                          <w:top w:val="nil"/>
                        </w:tcBorders>
                      </w:tcPr>
                      <w:p>
                        <w:pPr>
                          <w:rPr>
                            <w:sz w:val="2"/>
                            <w:szCs w:val="2"/>
                          </w:rPr>
                        </w:pPr>
                      </w:p>
                    </w:tc>
                    <w:tc>
                      <w:tcPr>
                        <w:tcW w:w="771" w:type="dxa"/>
                      </w:tcPr>
                      <w:p>
                        <w:pPr>
                          <w:pStyle w:val="TableParagraph"/>
                          <w:rPr>
                            <w:rFonts w:ascii="Times New Roman"/>
                            <w:sz w:val="18"/>
                          </w:rPr>
                        </w:pPr>
                      </w:p>
                    </w:tc>
                    <w:tc>
                      <w:tcPr>
                        <w:tcW w:w="947" w:type="dxa"/>
                      </w:tcPr>
                      <w:p>
                        <w:pPr>
                          <w:pStyle w:val="TableParagraph"/>
                          <w:rPr>
                            <w:rFonts w:ascii="Times New Roman"/>
                            <w:sz w:val="18"/>
                          </w:rPr>
                        </w:pPr>
                      </w:p>
                    </w:tc>
                    <w:tc>
                      <w:tcPr>
                        <w:tcW w:w="1334" w:type="dxa"/>
                      </w:tcPr>
                      <w:p>
                        <w:pPr>
                          <w:pStyle w:val="TableParagraph"/>
                          <w:rPr>
                            <w:rFonts w:ascii="Times New Roman"/>
                            <w:sz w:val="18"/>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6"/>
                    </w:trPr>
                    <w:tc>
                      <w:tcPr>
                        <w:tcW w:w="701" w:type="dxa"/>
                        <w:vMerge/>
                        <w:tcBorders>
                          <w:top w:val="nil"/>
                        </w:tcBorders>
                      </w:tcPr>
                      <w:p>
                        <w:pPr>
                          <w:rPr>
                            <w:sz w:val="2"/>
                            <w:szCs w:val="2"/>
                          </w:rPr>
                        </w:pPr>
                      </w:p>
                    </w:tc>
                    <w:tc>
                      <w:tcPr>
                        <w:tcW w:w="771" w:type="dxa"/>
                        <w:vMerge w:val="restart"/>
                      </w:tcPr>
                      <w:p>
                        <w:pPr>
                          <w:pStyle w:val="TableParagraph"/>
                          <w:rPr>
                            <w:rFonts w:ascii="Times New Roman"/>
                            <w:sz w:val="18"/>
                          </w:rPr>
                        </w:pPr>
                      </w:p>
                    </w:tc>
                    <w:tc>
                      <w:tcPr>
                        <w:tcW w:w="947" w:type="dxa"/>
                      </w:tcPr>
                      <w:p>
                        <w:pPr>
                          <w:pStyle w:val="TableParagraph"/>
                          <w:rPr>
                            <w:rFonts w:ascii="Times New Roman"/>
                            <w:sz w:val="18"/>
                          </w:rPr>
                        </w:pPr>
                      </w:p>
                    </w:tc>
                    <w:tc>
                      <w:tcPr>
                        <w:tcW w:w="1334" w:type="dxa"/>
                      </w:tcPr>
                      <w:p>
                        <w:pPr>
                          <w:pStyle w:val="TableParagraph"/>
                          <w:rPr>
                            <w:rFonts w:ascii="Times New Roman"/>
                            <w:sz w:val="18"/>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4"/>
                    </w:trPr>
                    <w:tc>
                      <w:tcPr>
                        <w:tcW w:w="701" w:type="dxa"/>
                        <w:vMerge/>
                        <w:tcBorders>
                          <w:top w:val="nil"/>
                        </w:tcBorders>
                      </w:tcPr>
                      <w:p>
                        <w:pPr>
                          <w:rPr>
                            <w:sz w:val="2"/>
                            <w:szCs w:val="2"/>
                          </w:rPr>
                        </w:pPr>
                      </w:p>
                    </w:tc>
                    <w:tc>
                      <w:tcPr>
                        <w:tcW w:w="771" w:type="dxa"/>
                        <w:vMerge/>
                        <w:tcBorders>
                          <w:top w:val="nil"/>
                        </w:tcBorders>
                      </w:tcPr>
                      <w:p>
                        <w:pPr>
                          <w:rPr>
                            <w:sz w:val="2"/>
                            <w:szCs w:val="2"/>
                          </w:rPr>
                        </w:pPr>
                      </w:p>
                    </w:tc>
                    <w:tc>
                      <w:tcPr>
                        <w:tcW w:w="947" w:type="dxa"/>
                        <w:vMerge w:val="restart"/>
                      </w:tcPr>
                      <w:p>
                        <w:pPr>
                          <w:pStyle w:val="TableParagraph"/>
                          <w:rPr>
                            <w:rFonts w:ascii="Times New Roman"/>
                            <w:sz w:val="18"/>
                          </w:rPr>
                        </w:pPr>
                      </w:p>
                    </w:tc>
                    <w:tc>
                      <w:tcPr>
                        <w:tcW w:w="1334" w:type="dxa"/>
                        <w:vMerge w:val="restart"/>
                      </w:tcPr>
                      <w:p>
                        <w:pPr>
                          <w:pStyle w:val="TableParagraph"/>
                          <w:rPr>
                            <w:rFonts w:ascii="Times New Roman"/>
                            <w:sz w:val="18"/>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6"/>
                    </w:trPr>
                    <w:tc>
                      <w:tcPr>
                        <w:tcW w:w="701" w:type="dxa"/>
                        <w:vMerge/>
                        <w:tcBorders>
                          <w:top w:val="nil"/>
                        </w:tcBorders>
                      </w:tcPr>
                      <w:p>
                        <w:pPr>
                          <w:rPr>
                            <w:sz w:val="2"/>
                            <w:szCs w:val="2"/>
                          </w:rPr>
                        </w:pPr>
                      </w:p>
                    </w:tc>
                    <w:tc>
                      <w:tcPr>
                        <w:tcW w:w="771" w:type="dxa"/>
                        <w:vMerge/>
                        <w:tcBorders>
                          <w:top w:val="nil"/>
                        </w:tcBorders>
                      </w:tcPr>
                      <w:p>
                        <w:pPr>
                          <w:rPr>
                            <w:sz w:val="2"/>
                            <w:szCs w:val="2"/>
                          </w:rPr>
                        </w:pPr>
                      </w:p>
                    </w:tc>
                    <w:tc>
                      <w:tcPr>
                        <w:tcW w:w="947" w:type="dxa"/>
                        <w:vMerge/>
                        <w:tcBorders>
                          <w:top w:val="nil"/>
                        </w:tcBorders>
                      </w:tcPr>
                      <w:p>
                        <w:pPr>
                          <w:rPr>
                            <w:sz w:val="2"/>
                            <w:szCs w:val="2"/>
                          </w:rPr>
                        </w:pPr>
                      </w:p>
                    </w:tc>
                    <w:tc>
                      <w:tcPr>
                        <w:tcW w:w="1334" w:type="dxa"/>
                        <w:vMerge/>
                        <w:tcBorders>
                          <w:top w:val="nil"/>
                        </w:tcBorders>
                      </w:tcPr>
                      <w:p>
                        <w:pPr>
                          <w:rPr>
                            <w:sz w:val="2"/>
                            <w:szCs w:val="2"/>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4"/>
                    </w:trPr>
                    <w:tc>
                      <w:tcPr>
                        <w:tcW w:w="701" w:type="dxa"/>
                        <w:vMerge/>
                        <w:tcBorders>
                          <w:top w:val="nil"/>
                        </w:tcBorders>
                      </w:tcPr>
                      <w:p>
                        <w:pPr>
                          <w:rPr>
                            <w:sz w:val="2"/>
                            <w:szCs w:val="2"/>
                          </w:rPr>
                        </w:pPr>
                      </w:p>
                    </w:tc>
                    <w:tc>
                      <w:tcPr>
                        <w:tcW w:w="771" w:type="dxa"/>
                      </w:tcPr>
                      <w:p>
                        <w:pPr>
                          <w:pStyle w:val="TableParagraph"/>
                          <w:rPr>
                            <w:rFonts w:ascii="Times New Roman"/>
                            <w:sz w:val="18"/>
                          </w:rPr>
                        </w:pPr>
                      </w:p>
                    </w:tc>
                    <w:tc>
                      <w:tcPr>
                        <w:tcW w:w="947" w:type="dxa"/>
                      </w:tcPr>
                      <w:p>
                        <w:pPr>
                          <w:pStyle w:val="TableParagraph"/>
                          <w:rPr>
                            <w:rFonts w:ascii="Times New Roman"/>
                            <w:sz w:val="18"/>
                          </w:rPr>
                        </w:pPr>
                      </w:p>
                    </w:tc>
                    <w:tc>
                      <w:tcPr>
                        <w:tcW w:w="1334" w:type="dxa"/>
                      </w:tcPr>
                      <w:p>
                        <w:pPr>
                          <w:pStyle w:val="TableParagraph"/>
                          <w:rPr>
                            <w:rFonts w:ascii="Times New Roman"/>
                            <w:sz w:val="18"/>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6"/>
                    </w:trPr>
                    <w:tc>
                      <w:tcPr>
                        <w:tcW w:w="701" w:type="dxa"/>
                        <w:vMerge/>
                        <w:tcBorders>
                          <w:top w:val="nil"/>
                        </w:tcBorders>
                      </w:tcPr>
                      <w:p>
                        <w:pPr>
                          <w:rPr>
                            <w:sz w:val="2"/>
                            <w:szCs w:val="2"/>
                          </w:rPr>
                        </w:pPr>
                      </w:p>
                    </w:tc>
                    <w:tc>
                      <w:tcPr>
                        <w:tcW w:w="771" w:type="dxa"/>
                        <w:vMerge w:val="restart"/>
                      </w:tcPr>
                      <w:p>
                        <w:pPr>
                          <w:pStyle w:val="TableParagraph"/>
                          <w:rPr>
                            <w:rFonts w:ascii="Times New Roman"/>
                            <w:sz w:val="18"/>
                          </w:rPr>
                        </w:pPr>
                      </w:p>
                    </w:tc>
                    <w:tc>
                      <w:tcPr>
                        <w:tcW w:w="947" w:type="dxa"/>
                      </w:tcPr>
                      <w:p>
                        <w:pPr>
                          <w:pStyle w:val="TableParagraph"/>
                          <w:rPr>
                            <w:rFonts w:ascii="Times New Roman"/>
                            <w:sz w:val="18"/>
                          </w:rPr>
                        </w:pPr>
                      </w:p>
                    </w:tc>
                    <w:tc>
                      <w:tcPr>
                        <w:tcW w:w="1334" w:type="dxa"/>
                      </w:tcPr>
                      <w:p>
                        <w:pPr>
                          <w:pStyle w:val="TableParagraph"/>
                          <w:rPr>
                            <w:rFonts w:ascii="Times New Roman"/>
                            <w:sz w:val="18"/>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66"/>
                    </w:trPr>
                    <w:tc>
                      <w:tcPr>
                        <w:tcW w:w="701" w:type="dxa"/>
                        <w:vMerge/>
                        <w:tcBorders>
                          <w:top w:val="nil"/>
                        </w:tcBorders>
                      </w:tcPr>
                      <w:p>
                        <w:pPr>
                          <w:rPr>
                            <w:sz w:val="2"/>
                            <w:szCs w:val="2"/>
                          </w:rPr>
                        </w:pPr>
                      </w:p>
                    </w:tc>
                    <w:tc>
                      <w:tcPr>
                        <w:tcW w:w="771" w:type="dxa"/>
                        <w:vMerge/>
                        <w:tcBorders>
                          <w:top w:val="nil"/>
                        </w:tcBorders>
                      </w:tcPr>
                      <w:p>
                        <w:pPr>
                          <w:rPr>
                            <w:sz w:val="2"/>
                            <w:szCs w:val="2"/>
                          </w:rPr>
                        </w:pPr>
                      </w:p>
                    </w:tc>
                    <w:tc>
                      <w:tcPr>
                        <w:tcW w:w="947" w:type="dxa"/>
                      </w:tcPr>
                      <w:p>
                        <w:pPr>
                          <w:pStyle w:val="TableParagraph"/>
                          <w:rPr>
                            <w:rFonts w:ascii="Times New Roman"/>
                            <w:sz w:val="18"/>
                          </w:rPr>
                        </w:pPr>
                      </w:p>
                    </w:tc>
                    <w:tc>
                      <w:tcPr>
                        <w:tcW w:w="1334" w:type="dxa"/>
                      </w:tcPr>
                      <w:p>
                        <w:pPr>
                          <w:pStyle w:val="TableParagraph"/>
                          <w:rPr>
                            <w:rFonts w:ascii="Times New Roman"/>
                            <w:sz w:val="18"/>
                          </w:rPr>
                        </w:pPr>
                      </w:p>
                    </w:tc>
                    <w:tc>
                      <w:tcPr>
                        <w:tcW w:w="2342" w:type="dxa"/>
                      </w:tcPr>
                      <w:p>
                        <w:pPr>
                          <w:pStyle w:val="TableParagraph"/>
                          <w:rPr>
                            <w:rFonts w:ascii="Times New Roman"/>
                            <w:sz w:val="18"/>
                          </w:rPr>
                        </w:pPr>
                      </w:p>
                    </w:tc>
                    <w:tc>
                      <w:tcPr>
                        <w:tcW w:w="769" w:type="dxa"/>
                      </w:tcPr>
                      <w:p>
                        <w:pPr>
                          <w:pStyle w:val="TableParagraph"/>
                          <w:rPr>
                            <w:rFonts w:ascii="Times New Roman"/>
                            <w:sz w:val="18"/>
                          </w:rPr>
                        </w:pPr>
                      </w:p>
                    </w:tc>
                    <w:tc>
                      <w:tcPr>
                        <w:tcW w:w="771" w:type="dxa"/>
                      </w:tcPr>
                      <w:p>
                        <w:pPr>
                          <w:pStyle w:val="TableParagraph"/>
                          <w:rPr>
                            <w:rFonts w:ascii="Times New Roman"/>
                            <w:sz w:val="18"/>
                          </w:rPr>
                        </w:pPr>
                      </w:p>
                    </w:tc>
                    <w:tc>
                      <w:tcPr>
                        <w:tcW w:w="769" w:type="dxa"/>
                      </w:tcPr>
                      <w:p>
                        <w:pPr>
                          <w:pStyle w:val="TableParagraph"/>
                          <w:rPr>
                            <w:rFonts w:ascii="Times New Roman"/>
                            <w:sz w:val="18"/>
                          </w:rPr>
                        </w:pPr>
                      </w:p>
                    </w:tc>
                  </w:tr>
                </w:tbl>
                <w:p>
                  <w:pPr>
                    <w:pStyle w:val="BodyText"/>
                  </w:pPr>
                </w:p>
              </w:txbxContent>
            </v:textbox>
          </v:shape>
        </w:pict>
      </w:r>
    </w:p>
    <w:p>
      <w:pPr>
        <w:spacing w:after="0"/>
        <w:rPr>
          <w:sz w:val="2"/>
          <w:szCs w:val="2"/>
        </w:rPr>
        <w:sectPr>
          <w:footerReference w:type="default" r:id="rId23"/>
          <w:pgSz w:w="11910" w:h="16840"/>
          <w:pgMar w:top="1400" w:right="1140" w:bottom="960" w:left="1140" w:header="0" w:footer="768" w:gutter="0"/>
          <w:pgNumType w:start="17"/>
          <w:cols w:num="1" w:space="720"/>
        </w:sectPr>
      </w:pPr>
    </w:p>
    <w:tbl>
      <w:tblPr>
        <w:tblStyle w:val="TableNormal"/>
        <w:tblW w:w="0" w:type="auto"/>
        <w:tblInd w:w="2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27"/>
        <w:gridCol w:w="110"/>
        <w:gridCol w:w="434"/>
        <w:gridCol w:w="1383"/>
        <w:gridCol w:w="626"/>
        <w:gridCol w:w="1663"/>
        <w:gridCol w:w="427"/>
        <w:gridCol w:w="542"/>
        <w:gridCol w:w="825"/>
        <w:gridCol w:w="970"/>
        <w:gridCol w:w="833"/>
        <w:gridCol w:w="694"/>
        <w:gridCol w:w="116"/>
      </w:tblGrid>
      <w:tr>
        <w:tblPrEx>
          <w:tblW w:w="0" w:type="auto"/>
          <w:tblInd w:w="2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77"/>
        </w:trPr>
        <w:tc>
          <w:tcPr>
            <w:tcW w:w="427" w:type="dxa"/>
            <w:vMerge w:val="restart"/>
            <w:tcBorders>
              <w:right w:val="single" w:sz="4" w:space="0" w:color="000000"/>
            </w:tcBorders>
          </w:tcPr>
          <w:p>
            <w:pPr>
              <w:pStyle w:val="TableParagraph"/>
              <w:rPr>
                <w:rFonts w:ascii="Times New Roman"/>
                <w:sz w:val="18"/>
              </w:rPr>
            </w:pPr>
          </w:p>
        </w:tc>
        <w:tc>
          <w:tcPr>
            <w:tcW w:w="110" w:type="dxa"/>
            <w:vMerge w:val="restart"/>
            <w:tcBorders>
              <w:left w:val="single" w:sz="4" w:space="0" w:color="000000"/>
              <w:bottom w:val="nil"/>
              <w:right w:val="single" w:sz="4" w:space="0" w:color="000000"/>
            </w:tcBorders>
          </w:tcPr>
          <w:p>
            <w:pPr>
              <w:pStyle w:val="TableParagraph"/>
              <w:rPr>
                <w:rFonts w:ascii="Times New Roman"/>
                <w:sz w:val="18"/>
              </w:rPr>
            </w:pPr>
          </w:p>
        </w:tc>
        <w:tc>
          <w:tcPr>
            <w:tcW w:w="434" w:type="dxa"/>
            <w:tcBorders>
              <w:top w:val="single" w:sz="12" w:space="0" w:color="000000"/>
              <w:left w:val="single" w:sz="4" w:space="0" w:color="000000"/>
              <w:bottom w:val="single" w:sz="4" w:space="0" w:color="000000"/>
              <w:right w:val="single" w:sz="4" w:space="0" w:color="000000"/>
            </w:tcBorders>
          </w:tcPr>
          <w:p>
            <w:pPr>
              <w:pStyle w:val="TableParagraph"/>
              <w:spacing w:before="24" w:line="233" w:lineRule="exact"/>
              <w:ind w:left="23"/>
              <w:jc w:val="center"/>
              <w:rPr>
                <w:rFonts w:ascii="Times New Roman"/>
                <w:sz w:val="21"/>
              </w:rPr>
            </w:pPr>
            <w:r>
              <w:rPr>
                <w:rFonts w:ascii="Times New Roman"/>
                <w:w w:val="100"/>
                <w:sz w:val="21"/>
              </w:rPr>
              <w:t>5</w:t>
            </w:r>
          </w:p>
        </w:tc>
        <w:tc>
          <w:tcPr>
            <w:tcW w:w="1383" w:type="dxa"/>
            <w:tcBorders>
              <w:top w:val="single" w:sz="12" w:space="0" w:color="000000"/>
              <w:left w:val="single" w:sz="4" w:space="0" w:color="000000"/>
              <w:bottom w:val="single" w:sz="4" w:space="0" w:color="000000"/>
              <w:right w:val="single" w:sz="4" w:space="0" w:color="000000"/>
            </w:tcBorders>
          </w:tcPr>
          <w:p>
            <w:pPr>
              <w:pStyle w:val="TableParagraph"/>
              <w:spacing w:before="26"/>
              <w:ind w:left="139" w:right="114"/>
              <w:jc w:val="center"/>
              <w:rPr>
                <w:sz w:val="18"/>
              </w:rPr>
            </w:pPr>
            <w:r>
              <w:rPr>
                <w:sz w:val="18"/>
              </w:rPr>
              <w:t>无溶剂胶粘剂</w:t>
            </w:r>
          </w:p>
        </w:tc>
        <w:tc>
          <w:tcPr>
            <w:tcW w:w="2289" w:type="dxa"/>
            <w:gridSpan w:val="2"/>
            <w:tcBorders>
              <w:top w:val="single" w:sz="12" w:space="0" w:color="000000"/>
              <w:left w:val="single" w:sz="4" w:space="0" w:color="000000"/>
              <w:bottom w:val="single" w:sz="4" w:space="0" w:color="000000"/>
              <w:right w:val="single" w:sz="4" w:space="0" w:color="000000"/>
            </w:tcBorders>
          </w:tcPr>
          <w:p>
            <w:pPr>
              <w:pStyle w:val="TableParagraph"/>
              <w:spacing w:before="26"/>
              <w:ind w:left="161" w:right="137"/>
              <w:jc w:val="center"/>
              <w:rPr>
                <w:sz w:val="18"/>
              </w:rPr>
            </w:pPr>
            <w:r>
              <w:rPr>
                <w:rFonts w:ascii="Times New Roman" w:eastAsia="Times New Roman"/>
                <w:sz w:val="18"/>
              </w:rPr>
              <w:t>18kg/</w:t>
            </w:r>
            <w:r>
              <w:rPr>
                <w:sz w:val="18"/>
              </w:rPr>
              <w:t>桶</w:t>
            </w:r>
          </w:p>
        </w:tc>
        <w:tc>
          <w:tcPr>
            <w:tcW w:w="427" w:type="dxa"/>
            <w:tcBorders>
              <w:top w:val="single" w:sz="12" w:space="0" w:color="000000"/>
              <w:left w:val="single" w:sz="4" w:space="0" w:color="000000"/>
              <w:bottom w:val="single" w:sz="4" w:space="0" w:color="000000"/>
              <w:right w:val="single" w:sz="4" w:space="0" w:color="000000"/>
            </w:tcBorders>
          </w:tcPr>
          <w:p>
            <w:pPr>
              <w:pStyle w:val="TableParagraph"/>
              <w:spacing w:before="38"/>
              <w:ind w:left="108" w:right="87"/>
              <w:jc w:val="center"/>
              <w:rPr>
                <w:rFonts w:ascii="Times New Roman"/>
                <w:sz w:val="18"/>
              </w:rPr>
            </w:pPr>
            <w:r>
              <w:rPr>
                <w:rFonts w:ascii="Times New Roman"/>
                <w:sz w:val="18"/>
              </w:rPr>
              <w:t>t/a</w:t>
            </w:r>
          </w:p>
        </w:tc>
        <w:tc>
          <w:tcPr>
            <w:tcW w:w="542" w:type="dxa"/>
            <w:tcBorders>
              <w:top w:val="single" w:sz="12" w:space="0" w:color="000000"/>
              <w:left w:val="single" w:sz="4" w:space="0" w:color="000000"/>
              <w:bottom w:val="single" w:sz="4" w:space="0" w:color="000000"/>
              <w:right w:val="single" w:sz="4" w:space="0" w:color="000000"/>
            </w:tcBorders>
          </w:tcPr>
          <w:p>
            <w:pPr>
              <w:pStyle w:val="TableParagraph"/>
              <w:spacing w:before="26"/>
              <w:ind w:right="163"/>
              <w:jc w:val="right"/>
              <w:rPr>
                <w:sz w:val="18"/>
              </w:rPr>
            </w:pPr>
            <w:r>
              <w:rPr>
                <w:sz w:val="18"/>
              </w:rPr>
              <w:t>固</w:t>
            </w:r>
          </w:p>
        </w:tc>
        <w:tc>
          <w:tcPr>
            <w:tcW w:w="825" w:type="dxa"/>
            <w:tcBorders>
              <w:top w:val="single" w:sz="12" w:space="0" w:color="000000"/>
              <w:left w:val="single" w:sz="4" w:space="0" w:color="000000"/>
              <w:bottom w:val="single" w:sz="4" w:space="0" w:color="000000"/>
              <w:right w:val="single" w:sz="4" w:space="0" w:color="000000"/>
            </w:tcBorders>
          </w:tcPr>
          <w:p>
            <w:pPr>
              <w:pStyle w:val="TableParagraph"/>
              <w:spacing w:before="38"/>
              <w:ind w:left="28"/>
              <w:jc w:val="center"/>
              <w:rPr>
                <w:rFonts w:ascii="Times New Roman"/>
                <w:sz w:val="18"/>
              </w:rPr>
            </w:pPr>
            <w:r>
              <w:rPr>
                <w:rFonts w:ascii="Times New Roman"/>
                <w:sz w:val="18"/>
              </w:rPr>
              <w:t>8</w:t>
            </w:r>
          </w:p>
        </w:tc>
        <w:tc>
          <w:tcPr>
            <w:tcW w:w="970" w:type="dxa"/>
            <w:tcBorders>
              <w:top w:val="single" w:sz="12" w:space="0" w:color="000000"/>
              <w:left w:val="single" w:sz="4" w:space="0" w:color="000000"/>
              <w:bottom w:val="single" w:sz="4" w:space="0" w:color="000000"/>
              <w:right w:val="single" w:sz="4" w:space="0" w:color="000000"/>
            </w:tcBorders>
          </w:tcPr>
          <w:p>
            <w:pPr>
              <w:pStyle w:val="TableParagraph"/>
              <w:spacing w:before="38"/>
              <w:ind w:left="446"/>
              <w:rPr>
                <w:rFonts w:ascii="Times New Roman"/>
                <w:sz w:val="18"/>
              </w:rPr>
            </w:pPr>
            <w:r>
              <w:rPr>
                <w:rFonts w:ascii="Times New Roman"/>
                <w:sz w:val="18"/>
              </w:rPr>
              <w:t>8</w:t>
            </w:r>
          </w:p>
        </w:tc>
        <w:tc>
          <w:tcPr>
            <w:tcW w:w="833" w:type="dxa"/>
            <w:tcBorders>
              <w:top w:val="single" w:sz="12" w:space="0" w:color="000000"/>
              <w:left w:val="single" w:sz="4" w:space="0" w:color="000000"/>
              <w:bottom w:val="single" w:sz="4" w:space="0" w:color="000000"/>
              <w:right w:val="single" w:sz="4" w:space="0" w:color="000000"/>
            </w:tcBorders>
          </w:tcPr>
          <w:p>
            <w:pPr>
              <w:pStyle w:val="TableParagraph"/>
              <w:spacing w:before="38"/>
              <w:ind w:left="22"/>
              <w:jc w:val="center"/>
              <w:rPr>
                <w:rFonts w:ascii="Times New Roman"/>
                <w:sz w:val="18"/>
              </w:rPr>
            </w:pPr>
            <w:r>
              <w:rPr>
                <w:rFonts w:ascii="Times New Roman"/>
                <w:sz w:val="18"/>
              </w:rPr>
              <w:t>0</w:t>
            </w:r>
          </w:p>
        </w:tc>
        <w:tc>
          <w:tcPr>
            <w:tcW w:w="694"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116" w:type="dxa"/>
            <w:tcBorders>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272"/>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bottom w:val="nil"/>
              <w:right w:val="single" w:sz="4" w:space="0" w:color="000000"/>
            </w:tcBorders>
          </w:tcPr>
          <w:p>
            <w:pPr>
              <w:rPr>
                <w:sz w:val="2"/>
                <w:szCs w:val="2"/>
              </w:rPr>
            </w:pPr>
          </w:p>
        </w:tc>
        <w:tc>
          <w:tcPr>
            <w:tcW w:w="434" w:type="dxa"/>
            <w:tcBorders>
              <w:top w:val="single" w:sz="4" w:space="0" w:color="000000"/>
              <w:left w:val="single" w:sz="4" w:space="0" w:color="000000"/>
              <w:bottom w:val="single" w:sz="4" w:space="0" w:color="000000"/>
              <w:right w:val="single" w:sz="4" w:space="0" w:color="000000"/>
            </w:tcBorders>
          </w:tcPr>
          <w:p>
            <w:pPr>
              <w:pStyle w:val="TableParagraph"/>
              <w:spacing w:before="19" w:line="233" w:lineRule="exact"/>
              <w:ind w:left="23"/>
              <w:jc w:val="center"/>
              <w:rPr>
                <w:rFonts w:ascii="Times New Roman"/>
                <w:sz w:val="21"/>
              </w:rPr>
            </w:pPr>
            <w:r>
              <w:rPr>
                <w:rFonts w:ascii="Times New Roman"/>
                <w:w w:val="100"/>
                <w:sz w:val="21"/>
              </w:rPr>
              <w:t>6</w:t>
            </w:r>
          </w:p>
        </w:tc>
        <w:tc>
          <w:tcPr>
            <w:tcW w:w="1383" w:type="dxa"/>
            <w:tcBorders>
              <w:top w:val="single" w:sz="4" w:space="0" w:color="000000"/>
              <w:left w:val="single" w:sz="4" w:space="0" w:color="000000"/>
              <w:bottom w:val="single" w:sz="4" w:space="0" w:color="000000"/>
              <w:right w:val="single" w:sz="4" w:space="0" w:color="000000"/>
            </w:tcBorders>
          </w:tcPr>
          <w:p>
            <w:pPr>
              <w:pStyle w:val="TableParagraph"/>
              <w:spacing w:before="21"/>
              <w:ind w:left="139" w:right="114"/>
              <w:jc w:val="center"/>
              <w:rPr>
                <w:sz w:val="18"/>
              </w:rPr>
            </w:pPr>
            <w:r>
              <w:rPr>
                <w:sz w:val="18"/>
              </w:rPr>
              <w:t>凹版印刷油墨</w:t>
            </w:r>
          </w:p>
        </w:tc>
        <w:tc>
          <w:tcPr>
            <w:tcW w:w="228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1"/>
              <w:ind w:left="161" w:right="137"/>
              <w:jc w:val="center"/>
              <w:rPr>
                <w:sz w:val="18"/>
              </w:rPr>
            </w:pPr>
            <w:r>
              <w:rPr>
                <w:rFonts w:ascii="Times New Roman" w:eastAsia="Times New Roman"/>
                <w:sz w:val="18"/>
              </w:rPr>
              <w:t>18kg/</w:t>
            </w:r>
            <w:r>
              <w:rPr>
                <w:sz w:val="18"/>
              </w:rPr>
              <w:t>桶</w:t>
            </w:r>
          </w:p>
        </w:tc>
        <w:tc>
          <w:tcPr>
            <w:tcW w:w="427" w:type="dxa"/>
            <w:tcBorders>
              <w:top w:val="single" w:sz="4" w:space="0" w:color="000000"/>
              <w:left w:val="single" w:sz="4" w:space="0" w:color="000000"/>
              <w:bottom w:val="single" w:sz="4" w:space="0" w:color="000000"/>
              <w:right w:val="single" w:sz="4" w:space="0" w:color="000000"/>
            </w:tcBorders>
          </w:tcPr>
          <w:p>
            <w:pPr>
              <w:pStyle w:val="TableParagraph"/>
              <w:spacing w:before="33"/>
              <w:ind w:left="108" w:right="87"/>
              <w:jc w:val="center"/>
              <w:rPr>
                <w:rFonts w:ascii="Times New Roman"/>
                <w:sz w:val="18"/>
              </w:rPr>
            </w:pPr>
            <w:r>
              <w:rPr>
                <w:rFonts w:ascii="Times New Roman"/>
                <w:sz w:val="18"/>
              </w:rPr>
              <w:t>t/a</w:t>
            </w:r>
          </w:p>
        </w:tc>
        <w:tc>
          <w:tcPr>
            <w:tcW w:w="542" w:type="dxa"/>
            <w:tcBorders>
              <w:top w:val="single" w:sz="4" w:space="0" w:color="000000"/>
              <w:left w:val="single" w:sz="4" w:space="0" w:color="000000"/>
              <w:bottom w:val="single" w:sz="4" w:space="0" w:color="000000"/>
              <w:right w:val="single" w:sz="4" w:space="0" w:color="000000"/>
            </w:tcBorders>
          </w:tcPr>
          <w:p>
            <w:pPr>
              <w:pStyle w:val="TableParagraph"/>
              <w:spacing w:before="21"/>
              <w:ind w:right="163"/>
              <w:jc w:val="right"/>
              <w:rPr>
                <w:sz w:val="18"/>
              </w:rPr>
            </w:pPr>
            <w:r>
              <w:rPr>
                <w:sz w:val="18"/>
              </w:rPr>
              <w:t>液</w:t>
            </w:r>
          </w:p>
        </w:tc>
        <w:tc>
          <w:tcPr>
            <w:tcW w:w="825" w:type="dxa"/>
            <w:tcBorders>
              <w:top w:val="single" w:sz="4" w:space="0" w:color="000000"/>
              <w:left w:val="single" w:sz="4" w:space="0" w:color="000000"/>
              <w:bottom w:val="single" w:sz="4" w:space="0" w:color="000000"/>
              <w:right w:val="single" w:sz="4" w:space="0" w:color="000000"/>
            </w:tcBorders>
          </w:tcPr>
          <w:p>
            <w:pPr>
              <w:pStyle w:val="TableParagraph"/>
              <w:spacing w:before="33"/>
              <w:ind w:left="28"/>
              <w:jc w:val="center"/>
              <w:rPr>
                <w:rFonts w:ascii="Times New Roman"/>
                <w:sz w:val="18"/>
              </w:rPr>
            </w:pPr>
            <w:r>
              <w:rPr>
                <w:rFonts w:ascii="Times New Roman"/>
                <w:sz w:val="18"/>
              </w:rPr>
              <w:t>0</w:t>
            </w:r>
          </w:p>
        </w:tc>
        <w:tc>
          <w:tcPr>
            <w:tcW w:w="970" w:type="dxa"/>
            <w:tcBorders>
              <w:top w:val="single" w:sz="4" w:space="0" w:color="000000"/>
              <w:left w:val="single" w:sz="4" w:space="0" w:color="000000"/>
              <w:bottom w:val="single" w:sz="4" w:space="0" w:color="000000"/>
              <w:right w:val="single" w:sz="4" w:space="0" w:color="000000"/>
            </w:tcBorders>
          </w:tcPr>
          <w:p>
            <w:pPr>
              <w:pStyle w:val="TableParagraph"/>
              <w:spacing w:before="33"/>
              <w:ind w:left="379"/>
              <w:rPr>
                <w:rFonts w:ascii="Times New Roman"/>
                <w:sz w:val="18"/>
              </w:rPr>
            </w:pPr>
            <w:r>
              <w:rPr>
                <w:rFonts w:ascii="Times New Roman"/>
                <w:sz w:val="18"/>
              </w:rPr>
              <w:t>7.5</w:t>
            </w:r>
          </w:p>
        </w:tc>
        <w:tc>
          <w:tcPr>
            <w:tcW w:w="833" w:type="dxa"/>
            <w:tcBorders>
              <w:top w:val="single" w:sz="4" w:space="0" w:color="000000"/>
              <w:left w:val="single" w:sz="4" w:space="0" w:color="000000"/>
              <w:bottom w:val="single" w:sz="4" w:space="0" w:color="000000"/>
              <w:right w:val="single" w:sz="4" w:space="0" w:color="000000"/>
            </w:tcBorders>
          </w:tcPr>
          <w:p>
            <w:pPr>
              <w:pStyle w:val="TableParagraph"/>
              <w:spacing w:before="33"/>
              <w:ind w:left="128" w:right="104"/>
              <w:jc w:val="center"/>
              <w:rPr>
                <w:rFonts w:ascii="Times New Roman"/>
                <w:sz w:val="18"/>
              </w:rPr>
            </w:pPr>
            <w:r>
              <w:rPr>
                <w:rFonts w:ascii="Times New Roman"/>
                <w:sz w:val="18"/>
              </w:rPr>
              <w:t>+7.5</w:t>
            </w:r>
          </w:p>
        </w:tc>
        <w:tc>
          <w:tcPr>
            <w:tcW w:w="694"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spacing w:before="9"/>
              <w:rPr>
                <w:b/>
                <w:sz w:val="25"/>
              </w:rPr>
            </w:pPr>
          </w:p>
          <w:p>
            <w:pPr>
              <w:pStyle w:val="TableParagraph"/>
              <w:spacing w:before="1" w:line="242" w:lineRule="auto"/>
              <w:ind w:left="175" w:right="146"/>
              <w:rPr>
                <w:sz w:val="18"/>
              </w:rPr>
            </w:pPr>
            <w:r>
              <w:rPr>
                <w:sz w:val="18"/>
              </w:rPr>
              <w:t>甲类仓库</w:t>
            </w:r>
          </w:p>
        </w:tc>
        <w:tc>
          <w:tcPr>
            <w:tcW w:w="116" w:type="dxa"/>
            <w:vMerge w:val="restart"/>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272"/>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bottom w:val="nil"/>
              <w:right w:val="single" w:sz="4" w:space="0" w:color="000000"/>
            </w:tcBorders>
          </w:tcPr>
          <w:p>
            <w:pPr>
              <w:rPr>
                <w:sz w:val="2"/>
                <w:szCs w:val="2"/>
              </w:rPr>
            </w:pPr>
          </w:p>
        </w:tc>
        <w:tc>
          <w:tcPr>
            <w:tcW w:w="434" w:type="dxa"/>
            <w:tcBorders>
              <w:top w:val="single" w:sz="4" w:space="0" w:color="000000"/>
              <w:left w:val="single" w:sz="4" w:space="0" w:color="000000"/>
              <w:bottom w:val="single" w:sz="4" w:space="0" w:color="000000"/>
              <w:right w:val="single" w:sz="4" w:space="0" w:color="000000"/>
            </w:tcBorders>
          </w:tcPr>
          <w:p>
            <w:pPr>
              <w:pStyle w:val="TableParagraph"/>
              <w:spacing w:before="19" w:line="233" w:lineRule="exact"/>
              <w:ind w:left="23"/>
              <w:jc w:val="center"/>
              <w:rPr>
                <w:rFonts w:ascii="Times New Roman"/>
                <w:sz w:val="21"/>
              </w:rPr>
            </w:pPr>
            <w:r>
              <w:rPr>
                <w:rFonts w:ascii="Times New Roman"/>
                <w:w w:val="100"/>
                <w:sz w:val="21"/>
              </w:rPr>
              <w:t>7</w:t>
            </w:r>
          </w:p>
        </w:tc>
        <w:tc>
          <w:tcPr>
            <w:tcW w:w="1383"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
              <w:rPr>
                <w:b/>
                <w:sz w:val="13"/>
              </w:rPr>
            </w:pPr>
          </w:p>
          <w:p>
            <w:pPr>
              <w:pStyle w:val="TableParagraph"/>
              <w:ind w:left="427"/>
              <w:rPr>
                <w:sz w:val="18"/>
              </w:rPr>
            </w:pPr>
            <w:r>
              <w:rPr>
                <w:sz w:val="18"/>
              </w:rPr>
              <w:t>胶粘剂</w:t>
            </w:r>
          </w:p>
        </w:tc>
        <w:tc>
          <w:tcPr>
            <w:tcW w:w="626"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64" w:line="207" w:lineRule="exact"/>
              <w:ind w:left="97" w:right="69"/>
              <w:jc w:val="center"/>
              <w:rPr>
                <w:rFonts w:ascii="Times New Roman"/>
                <w:sz w:val="18"/>
              </w:rPr>
            </w:pPr>
            <w:r>
              <w:rPr>
                <w:rFonts w:ascii="Times New Roman"/>
                <w:sz w:val="18"/>
              </w:rPr>
              <w:t>18kg/</w:t>
            </w:r>
          </w:p>
          <w:p>
            <w:pPr>
              <w:pStyle w:val="TableParagraph"/>
              <w:spacing w:line="230" w:lineRule="exact"/>
              <w:ind w:left="26"/>
              <w:jc w:val="center"/>
              <w:rPr>
                <w:sz w:val="18"/>
              </w:rPr>
            </w:pPr>
            <w:r>
              <w:rPr>
                <w:sz w:val="18"/>
              </w:rPr>
              <w:t>桶</w:t>
            </w:r>
          </w:p>
        </w:tc>
        <w:tc>
          <w:tcPr>
            <w:tcW w:w="1663" w:type="dxa"/>
            <w:tcBorders>
              <w:top w:val="single" w:sz="4" w:space="0" w:color="000000"/>
              <w:left w:val="single" w:sz="4" w:space="0" w:color="000000"/>
              <w:bottom w:val="single" w:sz="4" w:space="0" w:color="000000"/>
              <w:right w:val="single" w:sz="4" w:space="0" w:color="000000"/>
            </w:tcBorders>
          </w:tcPr>
          <w:p>
            <w:pPr>
              <w:pStyle w:val="TableParagraph"/>
              <w:spacing w:before="21"/>
              <w:ind w:left="128" w:right="102"/>
              <w:jc w:val="center"/>
              <w:rPr>
                <w:sz w:val="18"/>
              </w:rPr>
            </w:pPr>
            <w:r>
              <w:rPr>
                <w:rFonts w:ascii="Times New Roman" w:eastAsia="Times New Roman"/>
                <w:sz w:val="18"/>
              </w:rPr>
              <w:t>7755A</w:t>
            </w:r>
            <w:r>
              <w:rPr>
                <w:sz w:val="18"/>
              </w:rPr>
              <w:t>（主剂）</w:t>
            </w:r>
          </w:p>
        </w:tc>
        <w:tc>
          <w:tcPr>
            <w:tcW w:w="427" w:type="dxa"/>
            <w:tcBorders>
              <w:top w:val="single" w:sz="4" w:space="0" w:color="000000"/>
              <w:left w:val="single" w:sz="4" w:space="0" w:color="000000"/>
              <w:bottom w:val="single" w:sz="4" w:space="0" w:color="000000"/>
              <w:right w:val="single" w:sz="4" w:space="0" w:color="000000"/>
            </w:tcBorders>
          </w:tcPr>
          <w:p>
            <w:pPr>
              <w:pStyle w:val="TableParagraph"/>
              <w:spacing w:before="33"/>
              <w:ind w:left="108" w:right="87"/>
              <w:jc w:val="center"/>
              <w:rPr>
                <w:rFonts w:ascii="Times New Roman"/>
                <w:sz w:val="18"/>
              </w:rPr>
            </w:pPr>
            <w:r>
              <w:rPr>
                <w:rFonts w:ascii="Times New Roman"/>
                <w:sz w:val="18"/>
              </w:rPr>
              <w:t>t/a</w:t>
            </w:r>
          </w:p>
        </w:tc>
        <w:tc>
          <w:tcPr>
            <w:tcW w:w="542" w:type="dxa"/>
            <w:tcBorders>
              <w:top w:val="single" w:sz="4" w:space="0" w:color="000000"/>
              <w:left w:val="single" w:sz="4" w:space="0" w:color="000000"/>
              <w:bottom w:val="single" w:sz="4" w:space="0" w:color="000000"/>
              <w:right w:val="single" w:sz="4" w:space="0" w:color="000000"/>
            </w:tcBorders>
          </w:tcPr>
          <w:p>
            <w:pPr>
              <w:pStyle w:val="TableParagraph"/>
              <w:spacing w:before="21"/>
              <w:ind w:right="163"/>
              <w:jc w:val="right"/>
              <w:rPr>
                <w:sz w:val="18"/>
              </w:rPr>
            </w:pPr>
            <w:r>
              <w:rPr>
                <w:sz w:val="18"/>
              </w:rPr>
              <w:t>液</w:t>
            </w:r>
          </w:p>
        </w:tc>
        <w:tc>
          <w:tcPr>
            <w:tcW w:w="825" w:type="dxa"/>
            <w:tcBorders>
              <w:top w:val="single" w:sz="4" w:space="0" w:color="000000"/>
              <w:left w:val="single" w:sz="4" w:space="0" w:color="000000"/>
              <w:bottom w:val="single" w:sz="4" w:space="0" w:color="000000"/>
              <w:right w:val="single" w:sz="4" w:space="0" w:color="000000"/>
            </w:tcBorders>
          </w:tcPr>
          <w:p>
            <w:pPr>
              <w:pStyle w:val="TableParagraph"/>
              <w:spacing w:before="33"/>
              <w:ind w:left="28"/>
              <w:jc w:val="center"/>
              <w:rPr>
                <w:rFonts w:ascii="Times New Roman"/>
                <w:sz w:val="18"/>
              </w:rPr>
            </w:pPr>
            <w:r>
              <w:rPr>
                <w:rFonts w:ascii="Times New Roman"/>
                <w:sz w:val="18"/>
              </w:rPr>
              <w:t>0</w:t>
            </w:r>
          </w:p>
        </w:tc>
        <w:tc>
          <w:tcPr>
            <w:tcW w:w="970" w:type="dxa"/>
            <w:tcBorders>
              <w:top w:val="single" w:sz="4" w:space="0" w:color="000000"/>
              <w:left w:val="single" w:sz="4" w:space="0" w:color="000000"/>
              <w:bottom w:val="single" w:sz="4" w:space="0" w:color="000000"/>
              <w:right w:val="single" w:sz="4" w:space="0" w:color="000000"/>
            </w:tcBorders>
          </w:tcPr>
          <w:p>
            <w:pPr>
              <w:pStyle w:val="TableParagraph"/>
              <w:spacing w:before="33"/>
              <w:ind w:left="379"/>
              <w:rPr>
                <w:rFonts w:ascii="Times New Roman"/>
                <w:sz w:val="18"/>
              </w:rPr>
            </w:pPr>
            <w:r>
              <w:rPr>
                <w:rFonts w:ascii="Times New Roman"/>
                <w:sz w:val="18"/>
              </w:rPr>
              <w:t>3.0</w:t>
            </w:r>
          </w:p>
        </w:tc>
        <w:tc>
          <w:tcPr>
            <w:tcW w:w="833" w:type="dxa"/>
            <w:tcBorders>
              <w:top w:val="single" w:sz="4" w:space="0" w:color="000000"/>
              <w:left w:val="single" w:sz="4" w:space="0" w:color="000000"/>
              <w:bottom w:val="single" w:sz="4" w:space="0" w:color="000000"/>
              <w:right w:val="single" w:sz="4" w:space="0" w:color="000000"/>
            </w:tcBorders>
          </w:tcPr>
          <w:p>
            <w:pPr>
              <w:pStyle w:val="TableParagraph"/>
              <w:spacing w:before="33"/>
              <w:ind w:left="128" w:right="103"/>
              <w:jc w:val="center"/>
              <w:rPr>
                <w:rFonts w:ascii="Times New Roman"/>
                <w:sz w:val="18"/>
              </w:rPr>
            </w:pPr>
            <w:r>
              <w:rPr>
                <w:rFonts w:ascii="Times New Roman"/>
                <w:sz w:val="18"/>
              </w:rPr>
              <w:t>+3.0</w:t>
            </w:r>
          </w:p>
        </w:tc>
        <w:tc>
          <w:tcPr>
            <w:tcW w:w="694" w:type="dxa"/>
            <w:vMerge/>
            <w:tcBorders>
              <w:top w:val="nil"/>
              <w:left w:val="single" w:sz="4" w:space="0" w:color="000000"/>
              <w:bottom w:val="single" w:sz="4" w:space="0" w:color="000000"/>
              <w:right w:val="single" w:sz="4" w:space="0" w:color="000000"/>
            </w:tcBorders>
          </w:tcPr>
          <w:p>
            <w:pPr>
              <w:rPr>
                <w:sz w:val="2"/>
                <w:szCs w:val="2"/>
              </w:rPr>
            </w:pPr>
          </w:p>
        </w:tc>
        <w:tc>
          <w:tcPr>
            <w:tcW w:w="116" w:type="dxa"/>
            <w:vMerge/>
            <w:tcBorders>
              <w:top w:val="nil"/>
              <w:left w:val="single" w:sz="4" w:space="0" w:color="000000"/>
              <w:bottom w:val="nil"/>
            </w:tcBorders>
          </w:tcPr>
          <w:p>
            <w:pPr>
              <w:rPr>
                <w:sz w:val="2"/>
                <w:szCs w:val="2"/>
              </w:rPr>
            </w:pPr>
          </w:p>
        </w:tc>
      </w:tr>
      <w:tr>
        <w:tblPrEx>
          <w:tblW w:w="0" w:type="auto"/>
          <w:tblInd w:w="298" w:type="dxa"/>
          <w:tblLayout w:type="fixed"/>
          <w:tblCellMar>
            <w:top w:w="0" w:type="dxa"/>
            <w:left w:w="0" w:type="dxa"/>
            <w:bottom w:w="0" w:type="dxa"/>
            <w:right w:w="0" w:type="dxa"/>
          </w:tblCellMar>
        </w:tblPrEx>
        <w:trPr>
          <w:trHeight w:val="272"/>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bottom w:val="nil"/>
              <w:right w:val="single" w:sz="4" w:space="0" w:color="000000"/>
            </w:tcBorders>
          </w:tcPr>
          <w:p>
            <w:pPr>
              <w:rPr>
                <w:sz w:val="2"/>
                <w:szCs w:val="2"/>
              </w:rPr>
            </w:pPr>
          </w:p>
        </w:tc>
        <w:tc>
          <w:tcPr>
            <w:tcW w:w="434" w:type="dxa"/>
            <w:tcBorders>
              <w:top w:val="single" w:sz="4" w:space="0" w:color="000000"/>
              <w:left w:val="single" w:sz="4" w:space="0" w:color="000000"/>
              <w:bottom w:val="single" w:sz="4" w:space="0" w:color="000000"/>
              <w:right w:val="single" w:sz="4" w:space="0" w:color="000000"/>
            </w:tcBorders>
          </w:tcPr>
          <w:p>
            <w:pPr>
              <w:pStyle w:val="TableParagraph"/>
              <w:spacing w:before="19" w:line="233" w:lineRule="exact"/>
              <w:ind w:left="23"/>
              <w:jc w:val="center"/>
              <w:rPr>
                <w:rFonts w:ascii="Times New Roman"/>
                <w:sz w:val="21"/>
              </w:rPr>
            </w:pPr>
            <w:r>
              <w:rPr>
                <w:rFonts w:ascii="Times New Roman"/>
                <w:w w:val="100"/>
                <w:sz w:val="21"/>
              </w:rPr>
              <w:t>8</w:t>
            </w:r>
          </w:p>
        </w:tc>
        <w:tc>
          <w:tcPr>
            <w:tcW w:w="1383" w:type="dxa"/>
            <w:vMerge/>
            <w:tcBorders>
              <w:top w:val="nil"/>
              <w:left w:val="single" w:sz="4" w:space="0" w:color="000000"/>
              <w:bottom w:val="single" w:sz="4" w:space="0" w:color="000000"/>
              <w:right w:val="single" w:sz="4" w:space="0" w:color="000000"/>
            </w:tcBorders>
          </w:tcPr>
          <w:p>
            <w:pPr>
              <w:rPr>
                <w:sz w:val="2"/>
                <w:szCs w:val="2"/>
              </w:rPr>
            </w:pPr>
          </w:p>
        </w:tc>
        <w:tc>
          <w:tcPr>
            <w:tcW w:w="626" w:type="dxa"/>
            <w:vMerge/>
            <w:tcBorders>
              <w:top w:val="nil"/>
              <w:left w:val="single" w:sz="4" w:space="0" w:color="000000"/>
              <w:bottom w:val="single" w:sz="4" w:space="0" w:color="000000"/>
              <w:right w:val="single" w:sz="4" w:space="0" w:color="000000"/>
            </w:tcBorders>
          </w:tcPr>
          <w:p>
            <w:pPr>
              <w:rPr>
                <w:sz w:val="2"/>
                <w:szCs w:val="2"/>
              </w:rPr>
            </w:pPr>
          </w:p>
        </w:tc>
        <w:tc>
          <w:tcPr>
            <w:tcW w:w="1663" w:type="dxa"/>
            <w:tcBorders>
              <w:top w:val="single" w:sz="4" w:space="0" w:color="000000"/>
              <w:left w:val="single" w:sz="4" w:space="0" w:color="000000"/>
              <w:bottom w:val="single" w:sz="4" w:space="0" w:color="000000"/>
              <w:right w:val="single" w:sz="4" w:space="0" w:color="000000"/>
            </w:tcBorders>
          </w:tcPr>
          <w:p>
            <w:pPr>
              <w:pStyle w:val="TableParagraph"/>
              <w:spacing w:before="21"/>
              <w:ind w:left="128" w:right="104"/>
              <w:jc w:val="center"/>
              <w:rPr>
                <w:sz w:val="18"/>
              </w:rPr>
            </w:pPr>
            <w:r>
              <w:rPr>
                <w:rFonts w:ascii="Times New Roman" w:eastAsia="Times New Roman"/>
                <w:sz w:val="18"/>
              </w:rPr>
              <w:t>7755B</w:t>
            </w:r>
            <w:r>
              <w:rPr>
                <w:sz w:val="18"/>
              </w:rPr>
              <w:t>（固化剂）</w:t>
            </w:r>
          </w:p>
        </w:tc>
        <w:tc>
          <w:tcPr>
            <w:tcW w:w="427" w:type="dxa"/>
            <w:tcBorders>
              <w:top w:val="single" w:sz="4" w:space="0" w:color="000000"/>
              <w:left w:val="single" w:sz="4" w:space="0" w:color="000000"/>
              <w:bottom w:val="single" w:sz="4" w:space="0" w:color="000000"/>
              <w:right w:val="single" w:sz="4" w:space="0" w:color="000000"/>
            </w:tcBorders>
          </w:tcPr>
          <w:p>
            <w:pPr>
              <w:pStyle w:val="TableParagraph"/>
              <w:spacing w:before="33"/>
              <w:ind w:left="108" w:right="87"/>
              <w:jc w:val="center"/>
              <w:rPr>
                <w:rFonts w:ascii="Times New Roman"/>
                <w:sz w:val="18"/>
              </w:rPr>
            </w:pPr>
            <w:r>
              <w:rPr>
                <w:rFonts w:ascii="Times New Roman"/>
                <w:sz w:val="18"/>
              </w:rPr>
              <w:t>t/a</w:t>
            </w:r>
          </w:p>
        </w:tc>
        <w:tc>
          <w:tcPr>
            <w:tcW w:w="542" w:type="dxa"/>
            <w:tcBorders>
              <w:top w:val="single" w:sz="4" w:space="0" w:color="000000"/>
              <w:left w:val="single" w:sz="4" w:space="0" w:color="000000"/>
              <w:bottom w:val="single" w:sz="4" w:space="0" w:color="000000"/>
              <w:right w:val="single" w:sz="4" w:space="0" w:color="000000"/>
            </w:tcBorders>
          </w:tcPr>
          <w:p>
            <w:pPr>
              <w:pStyle w:val="TableParagraph"/>
              <w:spacing w:before="21"/>
              <w:ind w:right="163"/>
              <w:jc w:val="right"/>
              <w:rPr>
                <w:sz w:val="18"/>
              </w:rPr>
            </w:pPr>
            <w:r>
              <w:rPr>
                <w:sz w:val="18"/>
              </w:rPr>
              <w:t>固</w:t>
            </w:r>
          </w:p>
        </w:tc>
        <w:tc>
          <w:tcPr>
            <w:tcW w:w="825" w:type="dxa"/>
            <w:tcBorders>
              <w:top w:val="single" w:sz="4" w:space="0" w:color="000000"/>
              <w:left w:val="single" w:sz="4" w:space="0" w:color="000000"/>
              <w:bottom w:val="single" w:sz="4" w:space="0" w:color="000000"/>
              <w:right w:val="single" w:sz="4" w:space="0" w:color="000000"/>
            </w:tcBorders>
          </w:tcPr>
          <w:p>
            <w:pPr>
              <w:pStyle w:val="TableParagraph"/>
              <w:spacing w:before="33"/>
              <w:ind w:left="28"/>
              <w:jc w:val="center"/>
              <w:rPr>
                <w:rFonts w:ascii="Times New Roman"/>
                <w:sz w:val="18"/>
              </w:rPr>
            </w:pPr>
            <w:r>
              <w:rPr>
                <w:rFonts w:ascii="Times New Roman"/>
                <w:sz w:val="18"/>
              </w:rPr>
              <w:t>0</w:t>
            </w:r>
          </w:p>
        </w:tc>
        <w:tc>
          <w:tcPr>
            <w:tcW w:w="970" w:type="dxa"/>
            <w:tcBorders>
              <w:top w:val="single" w:sz="4" w:space="0" w:color="000000"/>
              <w:left w:val="single" w:sz="4" w:space="0" w:color="000000"/>
              <w:bottom w:val="single" w:sz="4" w:space="0" w:color="000000"/>
              <w:right w:val="single" w:sz="4" w:space="0" w:color="000000"/>
            </w:tcBorders>
          </w:tcPr>
          <w:p>
            <w:pPr>
              <w:pStyle w:val="TableParagraph"/>
              <w:spacing w:before="33"/>
              <w:ind w:left="379"/>
              <w:rPr>
                <w:rFonts w:ascii="Times New Roman"/>
                <w:sz w:val="18"/>
              </w:rPr>
            </w:pPr>
            <w:r>
              <w:rPr>
                <w:rFonts w:ascii="Times New Roman"/>
                <w:sz w:val="18"/>
              </w:rPr>
              <w:t>1.0</w:t>
            </w:r>
          </w:p>
        </w:tc>
        <w:tc>
          <w:tcPr>
            <w:tcW w:w="833" w:type="dxa"/>
            <w:tcBorders>
              <w:top w:val="single" w:sz="4" w:space="0" w:color="000000"/>
              <w:left w:val="single" w:sz="4" w:space="0" w:color="000000"/>
              <w:bottom w:val="single" w:sz="4" w:space="0" w:color="000000"/>
              <w:right w:val="single" w:sz="4" w:space="0" w:color="000000"/>
            </w:tcBorders>
          </w:tcPr>
          <w:p>
            <w:pPr>
              <w:pStyle w:val="TableParagraph"/>
              <w:spacing w:before="33"/>
              <w:ind w:left="128" w:right="103"/>
              <w:jc w:val="center"/>
              <w:rPr>
                <w:rFonts w:ascii="Times New Roman"/>
                <w:sz w:val="18"/>
              </w:rPr>
            </w:pPr>
            <w:r>
              <w:rPr>
                <w:rFonts w:ascii="Times New Roman"/>
                <w:sz w:val="18"/>
              </w:rPr>
              <w:t>+1.0</w:t>
            </w:r>
          </w:p>
        </w:tc>
        <w:tc>
          <w:tcPr>
            <w:tcW w:w="694" w:type="dxa"/>
            <w:vMerge/>
            <w:tcBorders>
              <w:top w:val="nil"/>
              <w:left w:val="single" w:sz="4" w:space="0" w:color="000000"/>
              <w:bottom w:val="single" w:sz="4" w:space="0" w:color="000000"/>
              <w:right w:val="single" w:sz="4" w:space="0" w:color="000000"/>
            </w:tcBorders>
          </w:tcPr>
          <w:p>
            <w:pPr>
              <w:rPr>
                <w:sz w:val="2"/>
                <w:szCs w:val="2"/>
              </w:rPr>
            </w:pPr>
          </w:p>
        </w:tc>
        <w:tc>
          <w:tcPr>
            <w:tcW w:w="116" w:type="dxa"/>
            <w:vMerge/>
            <w:tcBorders>
              <w:top w:val="nil"/>
              <w:left w:val="single" w:sz="4" w:space="0" w:color="000000"/>
              <w:bottom w:val="nil"/>
            </w:tcBorders>
          </w:tcPr>
          <w:p>
            <w:pPr>
              <w:rPr>
                <w:sz w:val="2"/>
                <w:szCs w:val="2"/>
              </w:rPr>
            </w:pPr>
          </w:p>
        </w:tc>
      </w:tr>
      <w:tr>
        <w:tblPrEx>
          <w:tblW w:w="0" w:type="auto"/>
          <w:tblInd w:w="298" w:type="dxa"/>
          <w:tblLayout w:type="fixed"/>
          <w:tblCellMar>
            <w:top w:w="0" w:type="dxa"/>
            <w:left w:w="0" w:type="dxa"/>
            <w:bottom w:w="0" w:type="dxa"/>
            <w:right w:w="0" w:type="dxa"/>
          </w:tblCellMar>
        </w:tblPrEx>
        <w:trPr>
          <w:trHeight w:val="457"/>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bottom w:val="nil"/>
              <w:right w:val="single" w:sz="4" w:space="0" w:color="000000"/>
            </w:tcBorders>
          </w:tcPr>
          <w:p>
            <w:pPr>
              <w:rPr>
                <w:sz w:val="2"/>
                <w:szCs w:val="2"/>
              </w:rPr>
            </w:pPr>
          </w:p>
        </w:tc>
        <w:tc>
          <w:tcPr>
            <w:tcW w:w="434" w:type="dxa"/>
            <w:tcBorders>
              <w:top w:val="single" w:sz="4" w:space="0" w:color="000000"/>
              <w:left w:val="single" w:sz="4" w:space="0" w:color="000000"/>
              <w:bottom w:val="single" w:sz="4" w:space="0" w:color="000000"/>
              <w:right w:val="single" w:sz="4" w:space="0" w:color="000000"/>
            </w:tcBorders>
          </w:tcPr>
          <w:p>
            <w:pPr>
              <w:pStyle w:val="TableParagraph"/>
              <w:spacing w:before="113"/>
              <w:ind w:left="23"/>
              <w:jc w:val="center"/>
              <w:rPr>
                <w:rFonts w:ascii="Times New Roman"/>
                <w:sz w:val="21"/>
              </w:rPr>
            </w:pPr>
            <w:r>
              <w:rPr>
                <w:rFonts w:ascii="Times New Roman"/>
                <w:w w:val="100"/>
                <w:sz w:val="21"/>
              </w:rPr>
              <w:t>9</w:t>
            </w:r>
          </w:p>
        </w:tc>
        <w:tc>
          <w:tcPr>
            <w:tcW w:w="1383" w:type="dxa"/>
            <w:tcBorders>
              <w:top w:val="single" w:sz="4" w:space="0" w:color="000000"/>
              <w:left w:val="single" w:sz="4" w:space="0" w:color="000000"/>
              <w:bottom w:val="single" w:sz="4" w:space="0" w:color="000000"/>
              <w:right w:val="single" w:sz="4" w:space="0" w:color="000000"/>
            </w:tcBorders>
          </w:tcPr>
          <w:p>
            <w:pPr>
              <w:pStyle w:val="TableParagraph"/>
              <w:spacing w:before="112"/>
              <w:ind w:left="139" w:right="114"/>
              <w:jc w:val="center"/>
              <w:rPr>
                <w:sz w:val="18"/>
              </w:rPr>
            </w:pPr>
            <w:r>
              <w:rPr>
                <w:sz w:val="18"/>
              </w:rPr>
              <w:t>乙酸乙酯</w:t>
            </w:r>
          </w:p>
        </w:tc>
        <w:tc>
          <w:tcPr>
            <w:tcW w:w="2289" w:type="dxa"/>
            <w:gridSpan w:val="2"/>
            <w:tcBorders>
              <w:top w:val="single" w:sz="4" w:space="0" w:color="000000"/>
              <w:left w:val="single" w:sz="4" w:space="0" w:color="000000"/>
              <w:bottom w:val="single" w:sz="4" w:space="0" w:color="000000"/>
              <w:right w:val="single" w:sz="4" w:space="0" w:color="000000"/>
            </w:tcBorders>
          </w:tcPr>
          <w:p>
            <w:pPr>
              <w:pStyle w:val="TableParagraph"/>
              <w:spacing w:line="228" w:lineRule="exact"/>
              <w:ind w:left="161" w:right="137"/>
              <w:jc w:val="center"/>
              <w:rPr>
                <w:sz w:val="18"/>
              </w:rPr>
            </w:pPr>
            <w:r>
              <w:rPr>
                <w:rFonts w:ascii="Times New Roman" w:eastAsia="Times New Roman"/>
                <w:sz w:val="18"/>
              </w:rPr>
              <w:t>180kg/</w:t>
            </w:r>
            <w:r>
              <w:rPr>
                <w:sz w:val="18"/>
              </w:rPr>
              <w:t>桶，调配油墨、胶</w:t>
            </w:r>
          </w:p>
          <w:p>
            <w:pPr>
              <w:pStyle w:val="TableParagraph"/>
              <w:spacing w:before="2" w:line="208" w:lineRule="exact"/>
              <w:ind w:left="158" w:right="137"/>
              <w:jc w:val="center"/>
              <w:rPr>
                <w:sz w:val="18"/>
              </w:rPr>
            </w:pPr>
            <w:r>
              <w:rPr>
                <w:sz w:val="18"/>
              </w:rPr>
              <w:t>粘剂</w:t>
            </w:r>
          </w:p>
        </w:tc>
        <w:tc>
          <w:tcPr>
            <w:tcW w:w="427" w:type="dxa"/>
            <w:tcBorders>
              <w:top w:val="single" w:sz="4" w:space="0" w:color="000000"/>
              <w:left w:val="single" w:sz="4" w:space="0" w:color="000000"/>
              <w:bottom w:val="single" w:sz="4" w:space="0" w:color="000000"/>
              <w:right w:val="single" w:sz="4" w:space="0" w:color="000000"/>
            </w:tcBorders>
          </w:tcPr>
          <w:p>
            <w:pPr>
              <w:pStyle w:val="TableParagraph"/>
              <w:spacing w:before="126"/>
              <w:ind w:left="108" w:right="87"/>
              <w:jc w:val="center"/>
              <w:rPr>
                <w:rFonts w:ascii="Times New Roman"/>
                <w:sz w:val="18"/>
              </w:rPr>
            </w:pPr>
            <w:r>
              <w:rPr>
                <w:rFonts w:ascii="Times New Roman"/>
                <w:sz w:val="18"/>
              </w:rPr>
              <w:t>t/a</w:t>
            </w:r>
          </w:p>
        </w:tc>
        <w:tc>
          <w:tcPr>
            <w:tcW w:w="542" w:type="dxa"/>
            <w:tcBorders>
              <w:top w:val="single" w:sz="4" w:space="0" w:color="000000"/>
              <w:left w:val="single" w:sz="4" w:space="0" w:color="000000"/>
              <w:bottom w:val="single" w:sz="4" w:space="0" w:color="000000"/>
              <w:right w:val="single" w:sz="4" w:space="0" w:color="000000"/>
            </w:tcBorders>
          </w:tcPr>
          <w:p>
            <w:pPr>
              <w:pStyle w:val="TableParagraph"/>
              <w:spacing w:before="112"/>
              <w:ind w:right="163"/>
              <w:jc w:val="right"/>
              <w:rPr>
                <w:sz w:val="18"/>
              </w:rPr>
            </w:pPr>
            <w:r>
              <w:rPr>
                <w:sz w:val="18"/>
              </w:rPr>
              <w:t>液</w:t>
            </w:r>
          </w:p>
        </w:tc>
        <w:tc>
          <w:tcPr>
            <w:tcW w:w="825" w:type="dxa"/>
            <w:tcBorders>
              <w:top w:val="single" w:sz="4" w:space="0" w:color="000000"/>
              <w:left w:val="single" w:sz="4" w:space="0" w:color="000000"/>
              <w:bottom w:val="single" w:sz="4" w:space="0" w:color="000000"/>
              <w:right w:val="single" w:sz="4" w:space="0" w:color="000000"/>
            </w:tcBorders>
          </w:tcPr>
          <w:p>
            <w:pPr>
              <w:pStyle w:val="TableParagraph"/>
              <w:spacing w:before="126"/>
              <w:ind w:left="26"/>
              <w:jc w:val="center"/>
              <w:rPr>
                <w:rFonts w:ascii="Times New Roman"/>
                <w:sz w:val="18"/>
              </w:rPr>
            </w:pPr>
            <w:r>
              <w:rPr>
                <w:rFonts w:ascii="Times New Roman"/>
                <w:sz w:val="18"/>
              </w:rPr>
              <w:t>/</w:t>
            </w:r>
          </w:p>
        </w:tc>
        <w:tc>
          <w:tcPr>
            <w:tcW w:w="970" w:type="dxa"/>
            <w:tcBorders>
              <w:top w:val="single" w:sz="4" w:space="0" w:color="000000"/>
              <w:left w:val="single" w:sz="4" w:space="0" w:color="000000"/>
              <w:bottom w:val="single" w:sz="4" w:space="0" w:color="000000"/>
              <w:right w:val="single" w:sz="4" w:space="0" w:color="000000"/>
            </w:tcBorders>
          </w:tcPr>
          <w:p>
            <w:pPr>
              <w:pStyle w:val="TableParagraph"/>
              <w:spacing w:before="126"/>
              <w:ind w:left="379"/>
              <w:rPr>
                <w:rFonts w:ascii="Times New Roman"/>
                <w:sz w:val="18"/>
              </w:rPr>
            </w:pPr>
            <w:r>
              <w:rPr>
                <w:rFonts w:ascii="Times New Roman"/>
                <w:sz w:val="18"/>
              </w:rPr>
              <w:t>1.7</w:t>
            </w:r>
          </w:p>
        </w:tc>
        <w:tc>
          <w:tcPr>
            <w:tcW w:w="833" w:type="dxa"/>
            <w:tcBorders>
              <w:top w:val="single" w:sz="4" w:space="0" w:color="000000"/>
              <w:left w:val="single" w:sz="4" w:space="0" w:color="000000"/>
              <w:bottom w:val="single" w:sz="4" w:space="0" w:color="000000"/>
              <w:right w:val="single" w:sz="4" w:space="0" w:color="000000"/>
            </w:tcBorders>
          </w:tcPr>
          <w:p>
            <w:pPr>
              <w:pStyle w:val="TableParagraph"/>
              <w:spacing w:before="126"/>
              <w:ind w:left="128" w:right="104"/>
              <w:jc w:val="center"/>
              <w:rPr>
                <w:rFonts w:ascii="Times New Roman"/>
                <w:sz w:val="18"/>
              </w:rPr>
            </w:pPr>
            <w:r>
              <w:rPr>
                <w:rFonts w:ascii="Times New Roman"/>
                <w:sz w:val="18"/>
              </w:rPr>
              <w:t>+1.7</w:t>
            </w:r>
          </w:p>
        </w:tc>
        <w:tc>
          <w:tcPr>
            <w:tcW w:w="694" w:type="dxa"/>
            <w:vMerge/>
            <w:tcBorders>
              <w:top w:val="nil"/>
              <w:left w:val="single" w:sz="4" w:space="0" w:color="000000"/>
              <w:bottom w:val="single" w:sz="4" w:space="0" w:color="000000"/>
              <w:right w:val="single" w:sz="4" w:space="0" w:color="000000"/>
            </w:tcBorders>
          </w:tcPr>
          <w:p>
            <w:pPr>
              <w:rPr>
                <w:sz w:val="2"/>
                <w:szCs w:val="2"/>
              </w:rPr>
            </w:pPr>
          </w:p>
        </w:tc>
        <w:tc>
          <w:tcPr>
            <w:tcW w:w="116" w:type="dxa"/>
            <w:vMerge/>
            <w:tcBorders>
              <w:top w:val="nil"/>
              <w:left w:val="single" w:sz="4" w:space="0" w:color="000000"/>
              <w:bottom w:val="nil"/>
            </w:tcBorders>
          </w:tcPr>
          <w:p>
            <w:pPr>
              <w:rPr>
                <w:sz w:val="2"/>
                <w:szCs w:val="2"/>
              </w:rPr>
            </w:pPr>
          </w:p>
        </w:tc>
      </w:tr>
      <w:tr>
        <w:tblPrEx>
          <w:tblW w:w="0" w:type="auto"/>
          <w:tblInd w:w="298" w:type="dxa"/>
          <w:tblLayout w:type="fixed"/>
          <w:tblCellMar>
            <w:top w:w="0" w:type="dxa"/>
            <w:left w:w="0" w:type="dxa"/>
            <w:bottom w:w="0" w:type="dxa"/>
            <w:right w:w="0" w:type="dxa"/>
          </w:tblCellMar>
        </w:tblPrEx>
        <w:trPr>
          <w:trHeight w:val="272"/>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bottom w:val="nil"/>
              <w:right w:val="single" w:sz="4" w:space="0" w:color="000000"/>
            </w:tcBorders>
          </w:tcPr>
          <w:p>
            <w:pPr>
              <w:rPr>
                <w:sz w:val="2"/>
                <w:szCs w:val="2"/>
              </w:rPr>
            </w:pPr>
          </w:p>
        </w:tc>
        <w:tc>
          <w:tcPr>
            <w:tcW w:w="434" w:type="dxa"/>
            <w:tcBorders>
              <w:top w:val="single" w:sz="4" w:space="0" w:color="000000"/>
              <w:left w:val="single" w:sz="4" w:space="0" w:color="000000"/>
              <w:bottom w:val="single" w:sz="4" w:space="0" w:color="000000"/>
              <w:right w:val="single" w:sz="4" w:space="0" w:color="000000"/>
            </w:tcBorders>
          </w:tcPr>
          <w:p>
            <w:pPr>
              <w:pStyle w:val="TableParagraph"/>
              <w:spacing w:before="19" w:line="233" w:lineRule="exact"/>
              <w:ind w:left="98" w:right="75"/>
              <w:jc w:val="center"/>
              <w:rPr>
                <w:rFonts w:ascii="Times New Roman"/>
                <w:sz w:val="21"/>
              </w:rPr>
            </w:pPr>
            <w:r>
              <w:rPr>
                <w:rFonts w:ascii="Times New Roman"/>
                <w:sz w:val="21"/>
              </w:rPr>
              <w:t>10</w:t>
            </w:r>
          </w:p>
        </w:tc>
        <w:tc>
          <w:tcPr>
            <w:tcW w:w="1383" w:type="dxa"/>
            <w:tcBorders>
              <w:top w:val="single" w:sz="4" w:space="0" w:color="000000"/>
              <w:left w:val="single" w:sz="4" w:space="0" w:color="000000"/>
              <w:bottom w:val="single" w:sz="4" w:space="0" w:color="000000"/>
              <w:right w:val="single" w:sz="4" w:space="0" w:color="000000"/>
            </w:tcBorders>
          </w:tcPr>
          <w:p>
            <w:pPr>
              <w:pStyle w:val="TableParagraph"/>
              <w:spacing w:before="21"/>
              <w:ind w:left="139" w:right="114"/>
              <w:jc w:val="center"/>
              <w:rPr>
                <w:sz w:val="18"/>
              </w:rPr>
            </w:pPr>
            <w:r>
              <w:rPr>
                <w:sz w:val="18"/>
              </w:rPr>
              <w:t>丁酯</w:t>
            </w:r>
          </w:p>
        </w:tc>
        <w:tc>
          <w:tcPr>
            <w:tcW w:w="228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1"/>
              <w:ind w:left="271"/>
              <w:rPr>
                <w:sz w:val="18"/>
              </w:rPr>
            </w:pPr>
            <w:r>
              <w:rPr>
                <w:rFonts w:ascii="Times New Roman" w:eastAsia="Times New Roman"/>
                <w:sz w:val="18"/>
              </w:rPr>
              <w:t>180kg/</w:t>
            </w:r>
            <w:r>
              <w:rPr>
                <w:sz w:val="18"/>
              </w:rPr>
              <w:t>桶，调配胶粘剂</w:t>
            </w:r>
          </w:p>
        </w:tc>
        <w:tc>
          <w:tcPr>
            <w:tcW w:w="427" w:type="dxa"/>
            <w:tcBorders>
              <w:top w:val="single" w:sz="4" w:space="0" w:color="000000"/>
              <w:left w:val="single" w:sz="4" w:space="0" w:color="000000"/>
              <w:bottom w:val="single" w:sz="4" w:space="0" w:color="000000"/>
              <w:right w:val="single" w:sz="4" w:space="0" w:color="000000"/>
            </w:tcBorders>
          </w:tcPr>
          <w:p>
            <w:pPr>
              <w:pStyle w:val="TableParagraph"/>
              <w:spacing w:before="33"/>
              <w:ind w:left="108" w:right="87"/>
              <w:jc w:val="center"/>
              <w:rPr>
                <w:rFonts w:ascii="Times New Roman"/>
                <w:sz w:val="18"/>
              </w:rPr>
            </w:pPr>
            <w:r>
              <w:rPr>
                <w:rFonts w:ascii="Times New Roman"/>
                <w:sz w:val="18"/>
              </w:rPr>
              <w:t>t/a</w:t>
            </w:r>
          </w:p>
        </w:tc>
        <w:tc>
          <w:tcPr>
            <w:tcW w:w="542" w:type="dxa"/>
            <w:tcBorders>
              <w:top w:val="single" w:sz="4" w:space="0" w:color="000000"/>
              <w:left w:val="single" w:sz="4" w:space="0" w:color="000000"/>
              <w:bottom w:val="single" w:sz="4" w:space="0" w:color="000000"/>
              <w:right w:val="single" w:sz="4" w:space="0" w:color="000000"/>
            </w:tcBorders>
          </w:tcPr>
          <w:p>
            <w:pPr>
              <w:pStyle w:val="TableParagraph"/>
              <w:spacing w:before="21"/>
              <w:ind w:right="163"/>
              <w:jc w:val="right"/>
              <w:rPr>
                <w:sz w:val="18"/>
              </w:rPr>
            </w:pPr>
            <w:r>
              <w:rPr>
                <w:sz w:val="18"/>
              </w:rPr>
              <w:t>液</w:t>
            </w:r>
          </w:p>
        </w:tc>
        <w:tc>
          <w:tcPr>
            <w:tcW w:w="825" w:type="dxa"/>
            <w:tcBorders>
              <w:top w:val="single" w:sz="4" w:space="0" w:color="000000"/>
              <w:left w:val="single" w:sz="4" w:space="0" w:color="000000"/>
              <w:bottom w:val="single" w:sz="4" w:space="0" w:color="000000"/>
              <w:right w:val="single" w:sz="4" w:space="0" w:color="000000"/>
            </w:tcBorders>
          </w:tcPr>
          <w:p>
            <w:pPr>
              <w:pStyle w:val="TableParagraph"/>
              <w:spacing w:before="33"/>
              <w:ind w:left="26"/>
              <w:jc w:val="center"/>
              <w:rPr>
                <w:rFonts w:ascii="Times New Roman"/>
                <w:sz w:val="18"/>
              </w:rPr>
            </w:pPr>
            <w:r>
              <w:rPr>
                <w:rFonts w:ascii="Times New Roman"/>
                <w:sz w:val="18"/>
              </w:rPr>
              <w:t>/</w:t>
            </w:r>
          </w:p>
        </w:tc>
        <w:tc>
          <w:tcPr>
            <w:tcW w:w="970" w:type="dxa"/>
            <w:tcBorders>
              <w:top w:val="single" w:sz="4" w:space="0" w:color="000000"/>
              <w:left w:val="single" w:sz="4" w:space="0" w:color="000000"/>
              <w:bottom w:val="single" w:sz="4" w:space="0" w:color="000000"/>
              <w:right w:val="single" w:sz="4" w:space="0" w:color="000000"/>
            </w:tcBorders>
          </w:tcPr>
          <w:p>
            <w:pPr>
              <w:pStyle w:val="TableParagraph"/>
              <w:spacing w:before="33"/>
              <w:ind w:left="379"/>
              <w:rPr>
                <w:rFonts w:ascii="Times New Roman"/>
                <w:sz w:val="18"/>
              </w:rPr>
            </w:pPr>
            <w:r>
              <w:rPr>
                <w:rFonts w:ascii="Times New Roman"/>
                <w:sz w:val="18"/>
              </w:rPr>
              <w:t>0.4</w:t>
            </w:r>
          </w:p>
        </w:tc>
        <w:tc>
          <w:tcPr>
            <w:tcW w:w="833" w:type="dxa"/>
            <w:tcBorders>
              <w:top w:val="single" w:sz="4" w:space="0" w:color="000000"/>
              <w:left w:val="single" w:sz="4" w:space="0" w:color="000000"/>
              <w:bottom w:val="single" w:sz="4" w:space="0" w:color="000000"/>
              <w:right w:val="single" w:sz="4" w:space="0" w:color="000000"/>
            </w:tcBorders>
          </w:tcPr>
          <w:p>
            <w:pPr>
              <w:pStyle w:val="TableParagraph"/>
              <w:spacing w:before="33"/>
              <w:ind w:left="128" w:right="104"/>
              <w:jc w:val="center"/>
              <w:rPr>
                <w:rFonts w:ascii="Times New Roman"/>
                <w:sz w:val="18"/>
              </w:rPr>
            </w:pPr>
            <w:r>
              <w:rPr>
                <w:rFonts w:ascii="Times New Roman"/>
                <w:sz w:val="18"/>
              </w:rPr>
              <w:t>+0.4</w:t>
            </w:r>
          </w:p>
        </w:tc>
        <w:tc>
          <w:tcPr>
            <w:tcW w:w="694" w:type="dxa"/>
            <w:vMerge/>
            <w:tcBorders>
              <w:top w:val="nil"/>
              <w:left w:val="single" w:sz="4" w:space="0" w:color="000000"/>
              <w:bottom w:val="single" w:sz="4" w:space="0" w:color="000000"/>
              <w:right w:val="single" w:sz="4" w:space="0" w:color="000000"/>
            </w:tcBorders>
          </w:tcPr>
          <w:p>
            <w:pPr>
              <w:rPr>
                <w:sz w:val="2"/>
                <w:szCs w:val="2"/>
              </w:rPr>
            </w:pPr>
          </w:p>
        </w:tc>
        <w:tc>
          <w:tcPr>
            <w:tcW w:w="116" w:type="dxa"/>
            <w:vMerge/>
            <w:tcBorders>
              <w:top w:val="nil"/>
              <w:left w:val="single" w:sz="4" w:space="0" w:color="000000"/>
              <w:bottom w:val="nil"/>
            </w:tcBorders>
          </w:tcPr>
          <w:p>
            <w:pPr>
              <w:rPr>
                <w:sz w:val="2"/>
                <w:szCs w:val="2"/>
              </w:rPr>
            </w:pPr>
          </w:p>
        </w:tc>
      </w:tr>
      <w:tr>
        <w:tblPrEx>
          <w:tblW w:w="0" w:type="auto"/>
          <w:tblInd w:w="298" w:type="dxa"/>
          <w:tblLayout w:type="fixed"/>
          <w:tblCellMar>
            <w:top w:w="0" w:type="dxa"/>
            <w:left w:w="0" w:type="dxa"/>
            <w:bottom w:w="0" w:type="dxa"/>
            <w:right w:w="0" w:type="dxa"/>
          </w:tblCellMar>
        </w:tblPrEx>
        <w:trPr>
          <w:trHeight w:val="272"/>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bottom w:val="nil"/>
              <w:right w:val="single" w:sz="4" w:space="0" w:color="000000"/>
            </w:tcBorders>
          </w:tcPr>
          <w:p>
            <w:pPr>
              <w:rPr>
                <w:sz w:val="2"/>
                <w:szCs w:val="2"/>
              </w:rPr>
            </w:pPr>
          </w:p>
        </w:tc>
        <w:tc>
          <w:tcPr>
            <w:tcW w:w="434" w:type="dxa"/>
            <w:tcBorders>
              <w:top w:val="single" w:sz="4" w:space="0" w:color="000000"/>
              <w:left w:val="single" w:sz="4" w:space="0" w:color="000000"/>
              <w:bottom w:val="single" w:sz="4" w:space="0" w:color="000000"/>
              <w:right w:val="single" w:sz="4" w:space="0" w:color="000000"/>
            </w:tcBorders>
          </w:tcPr>
          <w:p>
            <w:pPr>
              <w:pStyle w:val="TableParagraph"/>
              <w:spacing w:before="19" w:line="233" w:lineRule="exact"/>
              <w:ind w:left="98" w:right="75"/>
              <w:jc w:val="center"/>
              <w:rPr>
                <w:rFonts w:ascii="Times New Roman"/>
                <w:sz w:val="21"/>
              </w:rPr>
            </w:pPr>
            <w:r>
              <w:rPr>
                <w:rFonts w:ascii="Times New Roman"/>
                <w:sz w:val="21"/>
              </w:rPr>
              <w:t>11</w:t>
            </w:r>
          </w:p>
        </w:tc>
        <w:tc>
          <w:tcPr>
            <w:tcW w:w="1383" w:type="dxa"/>
            <w:tcBorders>
              <w:top w:val="single" w:sz="4" w:space="0" w:color="000000"/>
              <w:left w:val="single" w:sz="4" w:space="0" w:color="000000"/>
              <w:bottom w:val="single" w:sz="4" w:space="0" w:color="000000"/>
              <w:right w:val="single" w:sz="4" w:space="0" w:color="000000"/>
            </w:tcBorders>
          </w:tcPr>
          <w:p>
            <w:pPr>
              <w:pStyle w:val="TableParagraph"/>
              <w:spacing w:before="21"/>
              <w:ind w:left="136" w:right="114"/>
              <w:jc w:val="center"/>
              <w:rPr>
                <w:sz w:val="18"/>
              </w:rPr>
            </w:pPr>
            <w:r>
              <w:rPr>
                <w:sz w:val="18"/>
              </w:rPr>
              <w:t>正丙脂</w:t>
            </w:r>
          </w:p>
        </w:tc>
        <w:tc>
          <w:tcPr>
            <w:tcW w:w="228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1"/>
              <w:ind w:left="271"/>
              <w:rPr>
                <w:sz w:val="18"/>
              </w:rPr>
            </w:pPr>
            <w:r>
              <w:rPr>
                <w:rFonts w:ascii="Times New Roman" w:eastAsia="Times New Roman"/>
                <w:sz w:val="18"/>
              </w:rPr>
              <w:t>180kg/</w:t>
            </w:r>
            <w:r>
              <w:rPr>
                <w:sz w:val="18"/>
              </w:rPr>
              <w:t>桶，调配胶粘剂</w:t>
            </w:r>
          </w:p>
        </w:tc>
        <w:tc>
          <w:tcPr>
            <w:tcW w:w="427" w:type="dxa"/>
            <w:tcBorders>
              <w:top w:val="single" w:sz="4" w:space="0" w:color="000000"/>
              <w:left w:val="single" w:sz="4" w:space="0" w:color="000000"/>
              <w:bottom w:val="single" w:sz="4" w:space="0" w:color="000000"/>
              <w:right w:val="single" w:sz="4" w:space="0" w:color="000000"/>
            </w:tcBorders>
          </w:tcPr>
          <w:p>
            <w:pPr>
              <w:pStyle w:val="TableParagraph"/>
              <w:spacing w:before="33"/>
              <w:ind w:left="108" w:right="87"/>
              <w:jc w:val="center"/>
              <w:rPr>
                <w:rFonts w:ascii="Times New Roman"/>
                <w:sz w:val="18"/>
              </w:rPr>
            </w:pPr>
            <w:r>
              <w:rPr>
                <w:rFonts w:ascii="Times New Roman"/>
                <w:sz w:val="18"/>
              </w:rPr>
              <w:t>t/a</w:t>
            </w:r>
          </w:p>
        </w:tc>
        <w:tc>
          <w:tcPr>
            <w:tcW w:w="542" w:type="dxa"/>
            <w:tcBorders>
              <w:top w:val="single" w:sz="4" w:space="0" w:color="000000"/>
              <w:left w:val="single" w:sz="4" w:space="0" w:color="000000"/>
              <w:bottom w:val="single" w:sz="4" w:space="0" w:color="000000"/>
              <w:right w:val="single" w:sz="4" w:space="0" w:color="000000"/>
            </w:tcBorders>
          </w:tcPr>
          <w:p>
            <w:pPr>
              <w:pStyle w:val="TableParagraph"/>
              <w:spacing w:before="21"/>
              <w:ind w:right="163"/>
              <w:jc w:val="right"/>
              <w:rPr>
                <w:sz w:val="18"/>
              </w:rPr>
            </w:pPr>
            <w:r>
              <w:rPr>
                <w:sz w:val="18"/>
              </w:rPr>
              <w:t>液</w:t>
            </w:r>
          </w:p>
        </w:tc>
        <w:tc>
          <w:tcPr>
            <w:tcW w:w="825" w:type="dxa"/>
            <w:tcBorders>
              <w:top w:val="single" w:sz="4" w:space="0" w:color="000000"/>
              <w:left w:val="single" w:sz="4" w:space="0" w:color="000000"/>
              <w:bottom w:val="single" w:sz="4" w:space="0" w:color="000000"/>
              <w:right w:val="single" w:sz="4" w:space="0" w:color="000000"/>
            </w:tcBorders>
          </w:tcPr>
          <w:p>
            <w:pPr>
              <w:pStyle w:val="TableParagraph"/>
              <w:spacing w:before="33"/>
              <w:ind w:left="26"/>
              <w:jc w:val="center"/>
              <w:rPr>
                <w:rFonts w:ascii="Times New Roman"/>
                <w:sz w:val="18"/>
              </w:rPr>
            </w:pPr>
            <w:r>
              <w:rPr>
                <w:rFonts w:ascii="Times New Roman"/>
                <w:sz w:val="18"/>
              </w:rPr>
              <w:t>/</w:t>
            </w:r>
          </w:p>
        </w:tc>
        <w:tc>
          <w:tcPr>
            <w:tcW w:w="970" w:type="dxa"/>
            <w:tcBorders>
              <w:top w:val="single" w:sz="4" w:space="0" w:color="000000"/>
              <w:left w:val="single" w:sz="4" w:space="0" w:color="000000"/>
              <w:bottom w:val="single" w:sz="4" w:space="0" w:color="000000"/>
              <w:right w:val="single" w:sz="4" w:space="0" w:color="000000"/>
            </w:tcBorders>
          </w:tcPr>
          <w:p>
            <w:pPr>
              <w:pStyle w:val="TableParagraph"/>
              <w:spacing w:before="33"/>
              <w:ind w:left="379"/>
              <w:rPr>
                <w:rFonts w:ascii="Times New Roman"/>
                <w:sz w:val="18"/>
              </w:rPr>
            </w:pPr>
            <w:r>
              <w:rPr>
                <w:rFonts w:ascii="Times New Roman"/>
                <w:sz w:val="18"/>
              </w:rPr>
              <w:t>0.3</w:t>
            </w:r>
          </w:p>
        </w:tc>
        <w:tc>
          <w:tcPr>
            <w:tcW w:w="833" w:type="dxa"/>
            <w:tcBorders>
              <w:top w:val="single" w:sz="4" w:space="0" w:color="000000"/>
              <w:left w:val="single" w:sz="4" w:space="0" w:color="000000"/>
              <w:bottom w:val="single" w:sz="4" w:space="0" w:color="000000"/>
              <w:right w:val="single" w:sz="4" w:space="0" w:color="000000"/>
            </w:tcBorders>
          </w:tcPr>
          <w:p>
            <w:pPr>
              <w:pStyle w:val="TableParagraph"/>
              <w:spacing w:before="33"/>
              <w:ind w:left="128" w:right="104"/>
              <w:jc w:val="center"/>
              <w:rPr>
                <w:rFonts w:ascii="Times New Roman"/>
                <w:sz w:val="18"/>
              </w:rPr>
            </w:pPr>
            <w:r>
              <w:rPr>
                <w:rFonts w:ascii="Times New Roman"/>
                <w:sz w:val="18"/>
              </w:rPr>
              <w:t>+0.3</w:t>
            </w:r>
          </w:p>
        </w:tc>
        <w:tc>
          <w:tcPr>
            <w:tcW w:w="694" w:type="dxa"/>
            <w:vMerge/>
            <w:tcBorders>
              <w:top w:val="nil"/>
              <w:left w:val="single" w:sz="4" w:space="0" w:color="000000"/>
              <w:bottom w:val="single" w:sz="4" w:space="0" w:color="000000"/>
              <w:right w:val="single" w:sz="4" w:space="0" w:color="000000"/>
            </w:tcBorders>
          </w:tcPr>
          <w:p>
            <w:pPr>
              <w:rPr>
                <w:sz w:val="2"/>
                <w:szCs w:val="2"/>
              </w:rPr>
            </w:pPr>
          </w:p>
        </w:tc>
        <w:tc>
          <w:tcPr>
            <w:tcW w:w="116" w:type="dxa"/>
            <w:vMerge/>
            <w:tcBorders>
              <w:top w:val="nil"/>
              <w:left w:val="single" w:sz="4" w:space="0" w:color="000000"/>
              <w:bottom w:val="nil"/>
            </w:tcBorders>
          </w:tcPr>
          <w:p>
            <w:pPr>
              <w:rPr>
                <w:sz w:val="2"/>
                <w:szCs w:val="2"/>
              </w:rPr>
            </w:pPr>
          </w:p>
        </w:tc>
      </w:tr>
      <w:tr>
        <w:tblPrEx>
          <w:tblW w:w="0" w:type="auto"/>
          <w:tblInd w:w="298" w:type="dxa"/>
          <w:tblLayout w:type="fixed"/>
          <w:tblCellMar>
            <w:top w:w="0" w:type="dxa"/>
            <w:left w:w="0" w:type="dxa"/>
            <w:bottom w:w="0" w:type="dxa"/>
            <w:right w:w="0" w:type="dxa"/>
          </w:tblCellMar>
        </w:tblPrEx>
        <w:trPr>
          <w:trHeight w:val="272"/>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bottom w:val="nil"/>
              <w:right w:val="single" w:sz="4" w:space="0" w:color="000000"/>
            </w:tcBorders>
          </w:tcPr>
          <w:p>
            <w:pPr>
              <w:rPr>
                <w:sz w:val="2"/>
                <w:szCs w:val="2"/>
              </w:rPr>
            </w:pPr>
          </w:p>
        </w:tc>
        <w:tc>
          <w:tcPr>
            <w:tcW w:w="434" w:type="dxa"/>
            <w:tcBorders>
              <w:top w:val="single" w:sz="4" w:space="0" w:color="000000"/>
              <w:left w:val="single" w:sz="4" w:space="0" w:color="000000"/>
              <w:bottom w:val="single" w:sz="4" w:space="0" w:color="000000"/>
              <w:right w:val="single" w:sz="4" w:space="0" w:color="000000"/>
            </w:tcBorders>
          </w:tcPr>
          <w:p>
            <w:pPr>
              <w:pStyle w:val="TableParagraph"/>
              <w:spacing w:before="19" w:line="233" w:lineRule="exact"/>
              <w:ind w:left="98" w:right="75"/>
              <w:jc w:val="center"/>
              <w:rPr>
                <w:rFonts w:ascii="Times New Roman"/>
                <w:sz w:val="21"/>
              </w:rPr>
            </w:pPr>
            <w:r>
              <w:rPr>
                <w:rFonts w:ascii="Times New Roman"/>
                <w:sz w:val="21"/>
              </w:rPr>
              <w:t>12</w:t>
            </w:r>
          </w:p>
        </w:tc>
        <w:tc>
          <w:tcPr>
            <w:tcW w:w="1383" w:type="dxa"/>
            <w:tcBorders>
              <w:top w:val="single" w:sz="4" w:space="0" w:color="000000"/>
              <w:left w:val="single" w:sz="4" w:space="0" w:color="000000"/>
              <w:bottom w:val="single" w:sz="4" w:space="0" w:color="000000"/>
              <w:right w:val="single" w:sz="4" w:space="0" w:color="000000"/>
            </w:tcBorders>
          </w:tcPr>
          <w:p>
            <w:pPr>
              <w:pStyle w:val="TableParagraph"/>
              <w:spacing w:before="21"/>
              <w:ind w:left="136" w:right="114"/>
              <w:jc w:val="center"/>
              <w:rPr>
                <w:sz w:val="18"/>
              </w:rPr>
            </w:pPr>
            <w:r>
              <w:rPr>
                <w:sz w:val="18"/>
              </w:rPr>
              <w:t>异丙醇</w:t>
            </w:r>
          </w:p>
        </w:tc>
        <w:tc>
          <w:tcPr>
            <w:tcW w:w="228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1"/>
              <w:ind w:left="271"/>
              <w:rPr>
                <w:sz w:val="18"/>
              </w:rPr>
            </w:pPr>
            <w:r>
              <w:rPr>
                <w:rFonts w:ascii="Times New Roman" w:eastAsia="Times New Roman"/>
                <w:sz w:val="18"/>
              </w:rPr>
              <w:t>180kg/</w:t>
            </w:r>
            <w:r>
              <w:rPr>
                <w:sz w:val="18"/>
              </w:rPr>
              <w:t>桶，调配胶粘剂</w:t>
            </w:r>
          </w:p>
        </w:tc>
        <w:tc>
          <w:tcPr>
            <w:tcW w:w="427" w:type="dxa"/>
            <w:tcBorders>
              <w:top w:val="single" w:sz="4" w:space="0" w:color="000000"/>
              <w:left w:val="single" w:sz="4" w:space="0" w:color="000000"/>
              <w:bottom w:val="single" w:sz="4" w:space="0" w:color="000000"/>
              <w:right w:val="single" w:sz="4" w:space="0" w:color="000000"/>
            </w:tcBorders>
          </w:tcPr>
          <w:p>
            <w:pPr>
              <w:pStyle w:val="TableParagraph"/>
              <w:spacing w:before="33"/>
              <w:ind w:left="108" w:right="87"/>
              <w:jc w:val="center"/>
              <w:rPr>
                <w:rFonts w:ascii="Times New Roman"/>
                <w:sz w:val="18"/>
              </w:rPr>
            </w:pPr>
            <w:r>
              <w:rPr>
                <w:rFonts w:ascii="Times New Roman"/>
                <w:sz w:val="18"/>
              </w:rPr>
              <w:t>t/a</w:t>
            </w:r>
          </w:p>
        </w:tc>
        <w:tc>
          <w:tcPr>
            <w:tcW w:w="542" w:type="dxa"/>
            <w:tcBorders>
              <w:top w:val="single" w:sz="4" w:space="0" w:color="000000"/>
              <w:left w:val="single" w:sz="4" w:space="0" w:color="000000"/>
              <w:bottom w:val="single" w:sz="4" w:space="0" w:color="000000"/>
              <w:right w:val="single" w:sz="4" w:space="0" w:color="000000"/>
            </w:tcBorders>
          </w:tcPr>
          <w:p>
            <w:pPr>
              <w:pStyle w:val="TableParagraph"/>
              <w:spacing w:before="21"/>
              <w:ind w:right="163"/>
              <w:jc w:val="right"/>
              <w:rPr>
                <w:sz w:val="18"/>
              </w:rPr>
            </w:pPr>
            <w:r>
              <w:rPr>
                <w:sz w:val="18"/>
              </w:rPr>
              <w:t>液</w:t>
            </w:r>
          </w:p>
        </w:tc>
        <w:tc>
          <w:tcPr>
            <w:tcW w:w="825" w:type="dxa"/>
            <w:tcBorders>
              <w:top w:val="single" w:sz="4" w:space="0" w:color="000000"/>
              <w:left w:val="single" w:sz="4" w:space="0" w:color="000000"/>
              <w:bottom w:val="single" w:sz="4" w:space="0" w:color="000000"/>
              <w:right w:val="single" w:sz="4" w:space="0" w:color="000000"/>
            </w:tcBorders>
          </w:tcPr>
          <w:p>
            <w:pPr>
              <w:pStyle w:val="TableParagraph"/>
              <w:spacing w:before="33"/>
              <w:ind w:left="26"/>
              <w:jc w:val="center"/>
              <w:rPr>
                <w:rFonts w:ascii="Times New Roman"/>
                <w:sz w:val="18"/>
              </w:rPr>
            </w:pPr>
            <w:r>
              <w:rPr>
                <w:rFonts w:ascii="Times New Roman"/>
                <w:sz w:val="18"/>
              </w:rPr>
              <w:t>/</w:t>
            </w:r>
          </w:p>
        </w:tc>
        <w:tc>
          <w:tcPr>
            <w:tcW w:w="970" w:type="dxa"/>
            <w:tcBorders>
              <w:top w:val="single" w:sz="4" w:space="0" w:color="000000"/>
              <w:left w:val="single" w:sz="4" w:space="0" w:color="000000"/>
              <w:bottom w:val="single" w:sz="4" w:space="0" w:color="000000"/>
              <w:right w:val="single" w:sz="4" w:space="0" w:color="000000"/>
            </w:tcBorders>
          </w:tcPr>
          <w:p>
            <w:pPr>
              <w:pStyle w:val="TableParagraph"/>
              <w:spacing w:before="33"/>
              <w:ind w:left="379"/>
              <w:rPr>
                <w:rFonts w:ascii="Times New Roman"/>
                <w:sz w:val="18"/>
              </w:rPr>
            </w:pPr>
            <w:r>
              <w:rPr>
                <w:rFonts w:ascii="Times New Roman"/>
                <w:sz w:val="18"/>
              </w:rPr>
              <w:t>0.1</w:t>
            </w:r>
          </w:p>
        </w:tc>
        <w:tc>
          <w:tcPr>
            <w:tcW w:w="833" w:type="dxa"/>
            <w:tcBorders>
              <w:top w:val="single" w:sz="4" w:space="0" w:color="000000"/>
              <w:left w:val="single" w:sz="4" w:space="0" w:color="000000"/>
              <w:bottom w:val="single" w:sz="4" w:space="0" w:color="000000"/>
              <w:right w:val="single" w:sz="4" w:space="0" w:color="000000"/>
            </w:tcBorders>
          </w:tcPr>
          <w:p>
            <w:pPr>
              <w:pStyle w:val="TableParagraph"/>
              <w:spacing w:before="33"/>
              <w:ind w:left="128" w:right="104"/>
              <w:jc w:val="center"/>
              <w:rPr>
                <w:rFonts w:ascii="Times New Roman"/>
                <w:sz w:val="18"/>
              </w:rPr>
            </w:pPr>
            <w:r>
              <w:rPr>
                <w:rFonts w:ascii="Times New Roman"/>
                <w:sz w:val="18"/>
              </w:rPr>
              <w:t>+0.1</w:t>
            </w:r>
          </w:p>
        </w:tc>
        <w:tc>
          <w:tcPr>
            <w:tcW w:w="694" w:type="dxa"/>
            <w:vMerge/>
            <w:tcBorders>
              <w:top w:val="nil"/>
              <w:left w:val="single" w:sz="4" w:space="0" w:color="000000"/>
              <w:bottom w:val="single" w:sz="4" w:space="0" w:color="000000"/>
              <w:right w:val="single" w:sz="4" w:space="0" w:color="000000"/>
            </w:tcBorders>
          </w:tcPr>
          <w:p>
            <w:pPr>
              <w:rPr>
                <w:sz w:val="2"/>
                <w:szCs w:val="2"/>
              </w:rPr>
            </w:pPr>
          </w:p>
        </w:tc>
        <w:tc>
          <w:tcPr>
            <w:tcW w:w="116" w:type="dxa"/>
            <w:vMerge/>
            <w:tcBorders>
              <w:top w:val="nil"/>
              <w:left w:val="single" w:sz="4" w:space="0" w:color="000000"/>
              <w:bottom w:val="nil"/>
            </w:tcBorders>
          </w:tcPr>
          <w:p>
            <w:pPr>
              <w:rPr>
                <w:sz w:val="2"/>
                <w:szCs w:val="2"/>
              </w:rPr>
            </w:pPr>
          </w:p>
        </w:tc>
      </w:tr>
      <w:tr>
        <w:tblPrEx>
          <w:tblW w:w="0" w:type="auto"/>
          <w:tblInd w:w="298" w:type="dxa"/>
          <w:tblLayout w:type="fixed"/>
          <w:tblCellMar>
            <w:top w:w="0" w:type="dxa"/>
            <w:left w:w="0" w:type="dxa"/>
            <w:bottom w:w="0" w:type="dxa"/>
            <w:right w:w="0" w:type="dxa"/>
          </w:tblCellMar>
        </w:tblPrEx>
        <w:trPr>
          <w:trHeight w:val="275"/>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bottom w:val="nil"/>
              <w:right w:val="single" w:sz="4" w:space="0" w:color="000000"/>
            </w:tcBorders>
          </w:tcPr>
          <w:p>
            <w:pPr>
              <w:rPr>
                <w:sz w:val="2"/>
                <w:szCs w:val="2"/>
              </w:rPr>
            </w:pPr>
          </w:p>
        </w:tc>
        <w:tc>
          <w:tcPr>
            <w:tcW w:w="434" w:type="dxa"/>
            <w:tcBorders>
              <w:top w:val="single" w:sz="4" w:space="0" w:color="000000"/>
              <w:left w:val="single" w:sz="4" w:space="0" w:color="000000"/>
              <w:bottom w:val="single" w:sz="4" w:space="0" w:color="000000"/>
              <w:right w:val="single" w:sz="4" w:space="0" w:color="000000"/>
            </w:tcBorders>
          </w:tcPr>
          <w:p>
            <w:pPr>
              <w:pStyle w:val="TableParagraph"/>
              <w:spacing w:before="22" w:line="233" w:lineRule="exact"/>
              <w:ind w:left="98" w:right="75"/>
              <w:jc w:val="center"/>
              <w:rPr>
                <w:rFonts w:ascii="Times New Roman"/>
                <w:sz w:val="21"/>
              </w:rPr>
            </w:pPr>
            <w:r>
              <w:rPr>
                <w:rFonts w:ascii="Times New Roman"/>
                <w:sz w:val="21"/>
              </w:rPr>
              <w:t>13</w:t>
            </w:r>
          </w:p>
        </w:tc>
        <w:tc>
          <w:tcPr>
            <w:tcW w:w="1383" w:type="dxa"/>
            <w:tcBorders>
              <w:top w:val="single" w:sz="4" w:space="0" w:color="000000"/>
              <w:left w:val="single" w:sz="4" w:space="0" w:color="000000"/>
              <w:bottom w:val="single" w:sz="4" w:space="0" w:color="000000"/>
              <w:right w:val="single" w:sz="4" w:space="0" w:color="000000"/>
            </w:tcBorders>
          </w:tcPr>
          <w:p>
            <w:pPr>
              <w:pStyle w:val="TableParagraph"/>
              <w:spacing w:before="21"/>
              <w:ind w:left="139" w:right="114"/>
              <w:jc w:val="center"/>
              <w:rPr>
                <w:sz w:val="18"/>
              </w:rPr>
            </w:pPr>
            <w:r>
              <w:rPr>
                <w:sz w:val="18"/>
              </w:rPr>
              <w:t>机油</w:t>
            </w:r>
          </w:p>
        </w:tc>
        <w:tc>
          <w:tcPr>
            <w:tcW w:w="228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1"/>
              <w:ind w:left="360"/>
              <w:rPr>
                <w:sz w:val="18"/>
              </w:rPr>
            </w:pPr>
            <w:r>
              <w:rPr>
                <w:sz w:val="18"/>
              </w:rPr>
              <w:t>设备保养，</w:t>
            </w:r>
            <w:r>
              <w:rPr>
                <w:rFonts w:ascii="Times New Roman" w:eastAsia="Times New Roman"/>
                <w:sz w:val="18"/>
              </w:rPr>
              <w:t>180kg/</w:t>
            </w:r>
            <w:r>
              <w:rPr>
                <w:sz w:val="18"/>
              </w:rPr>
              <w:t>桶</w:t>
            </w:r>
          </w:p>
        </w:tc>
        <w:tc>
          <w:tcPr>
            <w:tcW w:w="427" w:type="dxa"/>
            <w:tcBorders>
              <w:top w:val="single" w:sz="4" w:space="0" w:color="000000"/>
              <w:left w:val="single" w:sz="4" w:space="0" w:color="000000"/>
              <w:bottom w:val="single" w:sz="4" w:space="0" w:color="000000"/>
              <w:right w:val="single" w:sz="4" w:space="0" w:color="000000"/>
            </w:tcBorders>
          </w:tcPr>
          <w:p>
            <w:pPr>
              <w:pStyle w:val="TableParagraph"/>
              <w:spacing w:before="33"/>
              <w:ind w:left="108" w:right="87"/>
              <w:jc w:val="center"/>
              <w:rPr>
                <w:rFonts w:ascii="Times New Roman"/>
                <w:sz w:val="18"/>
              </w:rPr>
            </w:pPr>
            <w:r>
              <w:rPr>
                <w:rFonts w:ascii="Times New Roman"/>
                <w:sz w:val="18"/>
              </w:rPr>
              <w:t>t/a</w:t>
            </w:r>
          </w:p>
        </w:tc>
        <w:tc>
          <w:tcPr>
            <w:tcW w:w="542" w:type="dxa"/>
            <w:tcBorders>
              <w:top w:val="single" w:sz="4" w:space="0" w:color="000000"/>
              <w:left w:val="single" w:sz="4" w:space="0" w:color="000000"/>
              <w:bottom w:val="single" w:sz="4" w:space="0" w:color="000000"/>
              <w:right w:val="single" w:sz="4" w:space="0" w:color="000000"/>
            </w:tcBorders>
          </w:tcPr>
          <w:p>
            <w:pPr>
              <w:pStyle w:val="TableParagraph"/>
              <w:spacing w:before="21"/>
              <w:ind w:right="163"/>
              <w:jc w:val="right"/>
              <w:rPr>
                <w:sz w:val="18"/>
              </w:rPr>
            </w:pPr>
            <w:r>
              <w:rPr>
                <w:sz w:val="18"/>
              </w:rPr>
              <w:t>液</w:t>
            </w:r>
          </w:p>
        </w:tc>
        <w:tc>
          <w:tcPr>
            <w:tcW w:w="825" w:type="dxa"/>
            <w:tcBorders>
              <w:top w:val="single" w:sz="4" w:space="0" w:color="000000"/>
              <w:left w:val="single" w:sz="4" w:space="0" w:color="000000"/>
              <w:bottom w:val="single" w:sz="4" w:space="0" w:color="000000"/>
              <w:right w:val="single" w:sz="4" w:space="0" w:color="000000"/>
            </w:tcBorders>
          </w:tcPr>
          <w:p>
            <w:pPr>
              <w:pStyle w:val="TableParagraph"/>
              <w:spacing w:before="33"/>
              <w:ind w:left="129" w:right="99"/>
              <w:jc w:val="center"/>
              <w:rPr>
                <w:rFonts w:ascii="Times New Roman"/>
                <w:sz w:val="18"/>
              </w:rPr>
            </w:pPr>
            <w:r>
              <w:rPr>
                <w:rFonts w:ascii="Times New Roman"/>
                <w:sz w:val="18"/>
              </w:rPr>
              <w:t>0.2*</w:t>
            </w:r>
          </w:p>
        </w:tc>
        <w:tc>
          <w:tcPr>
            <w:tcW w:w="970" w:type="dxa"/>
            <w:tcBorders>
              <w:top w:val="single" w:sz="4" w:space="0" w:color="000000"/>
              <w:left w:val="single" w:sz="4" w:space="0" w:color="000000"/>
              <w:bottom w:val="single" w:sz="4" w:space="0" w:color="000000"/>
              <w:right w:val="single" w:sz="4" w:space="0" w:color="000000"/>
            </w:tcBorders>
          </w:tcPr>
          <w:p>
            <w:pPr>
              <w:pStyle w:val="TableParagraph"/>
              <w:spacing w:before="33"/>
              <w:ind w:left="379"/>
              <w:rPr>
                <w:rFonts w:ascii="Times New Roman"/>
                <w:sz w:val="18"/>
              </w:rPr>
            </w:pPr>
            <w:r>
              <w:rPr>
                <w:rFonts w:ascii="Times New Roman"/>
                <w:sz w:val="18"/>
              </w:rPr>
              <w:t>0.3</w:t>
            </w:r>
          </w:p>
        </w:tc>
        <w:tc>
          <w:tcPr>
            <w:tcW w:w="833" w:type="dxa"/>
            <w:tcBorders>
              <w:top w:val="single" w:sz="4" w:space="0" w:color="000000"/>
              <w:left w:val="single" w:sz="4" w:space="0" w:color="000000"/>
              <w:bottom w:val="single" w:sz="4" w:space="0" w:color="000000"/>
              <w:right w:val="single" w:sz="4" w:space="0" w:color="000000"/>
            </w:tcBorders>
          </w:tcPr>
          <w:p>
            <w:pPr>
              <w:pStyle w:val="TableParagraph"/>
              <w:spacing w:before="33"/>
              <w:ind w:left="128" w:right="104"/>
              <w:jc w:val="center"/>
              <w:rPr>
                <w:rFonts w:ascii="Times New Roman"/>
                <w:sz w:val="18"/>
              </w:rPr>
            </w:pPr>
            <w:r>
              <w:rPr>
                <w:rFonts w:ascii="Times New Roman"/>
                <w:sz w:val="18"/>
              </w:rPr>
              <w:t>+0.1</w:t>
            </w:r>
          </w:p>
        </w:tc>
        <w:tc>
          <w:tcPr>
            <w:tcW w:w="694" w:type="dxa"/>
            <w:vMerge/>
            <w:tcBorders>
              <w:top w:val="nil"/>
              <w:left w:val="single" w:sz="4" w:space="0" w:color="000000"/>
              <w:bottom w:val="single" w:sz="4" w:space="0" w:color="000000"/>
              <w:right w:val="single" w:sz="4" w:space="0" w:color="000000"/>
            </w:tcBorders>
          </w:tcPr>
          <w:p>
            <w:pPr>
              <w:rPr>
                <w:sz w:val="2"/>
                <w:szCs w:val="2"/>
              </w:rPr>
            </w:pPr>
          </w:p>
        </w:tc>
        <w:tc>
          <w:tcPr>
            <w:tcW w:w="116" w:type="dxa"/>
            <w:vMerge/>
            <w:tcBorders>
              <w:top w:val="nil"/>
              <w:left w:val="single" w:sz="4" w:space="0" w:color="000000"/>
              <w:bottom w:val="nil"/>
            </w:tcBorders>
          </w:tcPr>
          <w:p>
            <w:pPr>
              <w:rPr>
                <w:sz w:val="2"/>
                <w:szCs w:val="2"/>
              </w:rPr>
            </w:pPr>
          </w:p>
        </w:tc>
      </w:tr>
      <w:tr>
        <w:tblPrEx>
          <w:tblW w:w="0" w:type="auto"/>
          <w:tblInd w:w="298" w:type="dxa"/>
          <w:tblLayout w:type="fixed"/>
          <w:tblCellMar>
            <w:top w:w="0" w:type="dxa"/>
            <w:left w:w="0" w:type="dxa"/>
            <w:bottom w:w="0" w:type="dxa"/>
            <w:right w:w="0" w:type="dxa"/>
          </w:tblCellMar>
        </w:tblPrEx>
        <w:trPr>
          <w:trHeight w:val="10750"/>
        </w:trPr>
        <w:tc>
          <w:tcPr>
            <w:tcW w:w="427" w:type="dxa"/>
            <w:vMerge/>
            <w:tcBorders>
              <w:top w:val="nil"/>
              <w:right w:val="single" w:sz="4" w:space="0" w:color="000000"/>
            </w:tcBorders>
          </w:tcPr>
          <w:p>
            <w:pPr>
              <w:rPr>
                <w:sz w:val="2"/>
                <w:szCs w:val="2"/>
              </w:rPr>
            </w:pPr>
          </w:p>
        </w:tc>
        <w:tc>
          <w:tcPr>
            <w:tcW w:w="8623" w:type="dxa"/>
            <w:gridSpan w:val="12"/>
            <w:tcBorders>
              <w:top w:val="single" w:sz="4" w:space="0" w:color="000000"/>
              <w:left w:val="single" w:sz="4" w:space="0" w:color="000000"/>
            </w:tcBorders>
          </w:tcPr>
          <w:p>
            <w:pPr>
              <w:pStyle w:val="TableParagraph"/>
              <w:spacing w:line="225" w:lineRule="exact"/>
              <w:ind w:left="110"/>
              <w:rPr>
                <w:sz w:val="18"/>
              </w:rPr>
            </w:pPr>
            <w:r>
              <w:rPr>
                <w:sz w:val="18"/>
              </w:rPr>
              <w:t>注：现有环评报告中遗漏设备保养用机油，建设单位实际使用，机械设备维护保养时消耗掉。</w:t>
            </w:r>
          </w:p>
          <w:p>
            <w:pPr>
              <w:pStyle w:val="TableParagraph"/>
              <w:rPr>
                <w:b/>
                <w:sz w:val="19"/>
              </w:rPr>
            </w:pPr>
          </w:p>
          <w:p>
            <w:pPr>
              <w:pStyle w:val="TableParagraph"/>
              <w:spacing w:line="364" w:lineRule="auto"/>
              <w:ind w:left="110" w:right="81" w:firstLine="419"/>
              <w:rPr>
                <w:sz w:val="21"/>
              </w:rPr>
            </w:pPr>
            <w:r>
              <w:rPr>
                <w:sz w:val="21"/>
              </w:rPr>
              <w:t xml:space="preserve">扩建项目采用凹版印刷，使用的凹印油墨，供应商提供的 </w:t>
            </w:r>
            <w:r>
              <w:rPr>
                <w:rFonts w:ascii="Times New Roman" w:eastAsia="Times New Roman"/>
                <w:sz w:val="21"/>
              </w:rPr>
              <w:t>MSDS</w:t>
            </w:r>
            <w:hyperlink w:anchor="_bookmark72" w:history="1">
              <w:r>
                <w:rPr>
                  <w:sz w:val="21"/>
                </w:rPr>
                <w:t>（附件十一</w:t>
              </w:r>
            </w:hyperlink>
            <w:r>
              <w:rPr>
                <w:rFonts w:ascii="Times New Roman" w:eastAsia="Times New Roman"/>
                <w:sz w:val="21"/>
              </w:rPr>
              <w:t>-2</w:t>
            </w:r>
            <w:r>
              <w:rPr>
                <w:sz w:val="21"/>
              </w:rPr>
              <w:t>）中油墨组分见</w:t>
            </w:r>
            <w:hyperlink w:anchor="_bookmark12" w:history="1">
              <w:r>
                <w:rPr>
                  <w:sz w:val="21"/>
                </w:rPr>
                <w:t xml:space="preserve">表 </w:t>
              </w:r>
              <w:r>
                <w:rPr>
                  <w:rFonts w:ascii="Times New Roman" w:eastAsia="Times New Roman"/>
                  <w:sz w:val="21"/>
                </w:rPr>
                <w:t>2-4</w:t>
              </w:r>
            </w:hyperlink>
            <w:r>
              <w:rPr>
                <w:sz w:val="21"/>
              </w:rPr>
              <w:t>。</w:t>
            </w:r>
          </w:p>
          <w:p>
            <w:pPr>
              <w:pStyle w:val="TableParagraph"/>
              <w:spacing w:line="267" w:lineRule="exact"/>
              <w:ind w:left="3175"/>
              <w:rPr>
                <w:b/>
                <w:sz w:val="21"/>
              </w:rPr>
            </w:pPr>
            <w:bookmarkStart w:id="12" w:name="_bookmark12"/>
            <w:bookmarkEnd w:id="12"/>
            <w:r>
              <w:rPr>
                <w:b/>
                <w:sz w:val="21"/>
              </w:rPr>
              <w:t xml:space="preserve">表 </w:t>
            </w:r>
            <w:r>
              <w:rPr>
                <w:rFonts w:ascii="Times New Roman" w:eastAsia="Times New Roman"/>
                <w:b/>
                <w:sz w:val="21"/>
              </w:rPr>
              <w:t xml:space="preserve">2-4 </w:t>
            </w:r>
            <w:r>
              <w:rPr>
                <w:b/>
                <w:sz w:val="21"/>
              </w:rPr>
              <w:t>溶剂型油墨组份表</w:t>
            </w:r>
          </w:p>
          <w:p>
            <w:pPr>
              <w:pStyle w:val="TableParagraph"/>
              <w:tabs>
                <w:tab w:val="left" w:pos="2230"/>
                <w:tab w:val="left" w:pos="4834"/>
                <w:tab w:val="left" w:pos="7115"/>
              </w:tabs>
              <w:spacing w:before="37"/>
              <w:ind w:left="292"/>
              <w:rPr>
                <w:rFonts w:ascii="Times New Roman" w:eastAsia="Times New Roman"/>
                <w:b/>
                <w:sz w:val="18"/>
              </w:rPr>
            </w:pPr>
            <w:r>
              <w:rPr>
                <w:b/>
                <w:sz w:val="18"/>
              </w:rPr>
              <w:t>序号</w:t>
            </w:r>
            <w:r>
              <w:rPr>
                <w:b/>
                <w:sz w:val="18"/>
              </w:rPr>
              <w:tab/>
            </w:r>
            <w:r>
              <w:rPr>
                <w:b/>
                <w:sz w:val="18"/>
              </w:rPr>
              <w:t>成分</w:t>
            </w:r>
            <w:r>
              <w:rPr>
                <w:b/>
                <w:sz w:val="18"/>
              </w:rPr>
              <w:tab/>
            </w:r>
            <w:r>
              <w:rPr>
                <w:rFonts w:ascii="Times New Roman" w:eastAsia="Times New Roman"/>
                <w:b/>
                <w:sz w:val="18"/>
              </w:rPr>
              <w:t>CAS</w:t>
            </w:r>
            <w:r>
              <w:rPr>
                <w:rFonts w:ascii="Times New Roman" w:eastAsia="Times New Roman"/>
                <w:b/>
                <w:spacing w:val="-7"/>
                <w:sz w:val="18"/>
              </w:rPr>
              <w:t xml:space="preserve"> </w:t>
            </w:r>
            <w:r>
              <w:rPr>
                <w:b/>
                <w:sz w:val="18"/>
              </w:rPr>
              <w:t>号</w:t>
            </w:r>
            <w:r>
              <w:rPr>
                <w:b/>
                <w:sz w:val="18"/>
              </w:rPr>
              <w:tab/>
            </w:r>
            <w:r>
              <w:rPr>
                <w:b/>
                <w:sz w:val="18"/>
              </w:rPr>
              <w:t>含量</w:t>
            </w:r>
            <w:r>
              <w:rPr>
                <w:rFonts w:ascii="Times New Roman" w:eastAsia="Times New Roman"/>
                <w:b/>
                <w:sz w:val="18"/>
              </w:rPr>
              <w:t>%</w:t>
            </w:r>
          </w:p>
          <w:p>
            <w:pPr>
              <w:pStyle w:val="TableParagraph"/>
              <w:tabs>
                <w:tab w:val="left" w:pos="2232"/>
                <w:tab w:val="left" w:pos="5098"/>
                <w:tab w:val="right" w:pos="7549"/>
              </w:tabs>
              <w:spacing w:before="65"/>
              <w:ind w:left="427"/>
              <w:rPr>
                <w:rFonts w:ascii="Times New Roman" w:eastAsia="Times New Roman"/>
                <w:sz w:val="18"/>
              </w:rPr>
            </w:pPr>
            <w:r>
              <w:rPr>
                <w:rFonts w:ascii="Times New Roman" w:eastAsia="Times New Roman"/>
                <w:sz w:val="18"/>
              </w:rPr>
              <w:t>1</w:t>
            </w:r>
            <w:r>
              <w:rPr>
                <w:rFonts w:ascii="Times New Roman" w:eastAsia="Times New Roman"/>
                <w:sz w:val="18"/>
              </w:rPr>
              <w:tab/>
            </w:r>
            <w:r>
              <w:rPr>
                <w:sz w:val="18"/>
              </w:rPr>
              <w:t>颜料</w:t>
            </w:r>
            <w:r>
              <w:rPr>
                <w:sz w:val="18"/>
              </w:rPr>
              <w:tab/>
            </w:r>
            <w:r>
              <w:rPr>
                <w:rFonts w:ascii="Times New Roman" w:eastAsia="Times New Roman"/>
                <w:sz w:val="18"/>
              </w:rPr>
              <w:t>/</w:t>
            </w:r>
            <w:r>
              <w:rPr>
                <w:rFonts w:ascii="Times New Roman" w:eastAsia="Times New Roman"/>
                <w:sz w:val="18"/>
              </w:rPr>
              <w:tab/>
            </w:r>
            <w:r>
              <w:rPr>
                <w:rFonts w:ascii="Times New Roman" w:eastAsia="Times New Roman"/>
                <w:sz w:val="18"/>
              </w:rPr>
              <w:t>0-35</w:t>
            </w:r>
          </w:p>
          <w:p>
            <w:pPr>
              <w:pStyle w:val="TableParagraph"/>
              <w:tabs>
                <w:tab w:val="left" w:pos="2052"/>
                <w:tab w:val="left" w:pos="5098"/>
                <w:tab w:val="right" w:pos="7597"/>
              </w:tabs>
              <w:spacing w:before="62"/>
              <w:ind w:left="427"/>
              <w:rPr>
                <w:rFonts w:ascii="Times New Roman" w:eastAsia="Times New Roman"/>
                <w:sz w:val="18"/>
              </w:rPr>
            </w:pPr>
            <w:r>
              <w:rPr>
                <w:rFonts w:ascii="Times New Roman" w:eastAsia="Times New Roman"/>
                <w:sz w:val="18"/>
              </w:rPr>
              <w:t>2</w:t>
            </w:r>
            <w:r>
              <w:rPr>
                <w:rFonts w:ascii="Times New Roman" w:eastAsia="Times New Roman"/>
                <w:sz w:val="18"/>
              </w:rPr>
              <w:tab/>
            </w:r>
            <w:r>
              <w:rPr>
                <w:sz w:val="18"/>
              </w:rPr>
              <w:t>合成树脂</w:t>
            </w:r>
            <w:r>
              <w:rPr>
                <w:sz w:val="18"/>
              </w:rPr>
              <w:tab/>
            </w:r>
            <w:r>
              <w:rPr>
                <w:rFonts w:ascii="Times New Roman" w:eastAsia="Times New Roman"/>
                <w:sz w:val="18"/>
              </w:rPr>
              <w:t>/</w:t>
            </w:r>
            <w:r>
              <w:rPr>
                <w:rFonts w:ascii="Times New Roman" w:eastAsia="Times New Roman"/>
                <w:sz w:val="18"/>
              </w:rPr>
              <w:tab/>
            </w:r>
            <w:r>
              <w:rPr>
                <w:rFonts w:ascii="Times New Roman" w:eastAsia="Times New Roman"/>
                <w:sz w:val="18"/>
              </w:rPr>
              <w:t>12-22</w:t>
            </w:r>
          </w:p>
          <w:p>
            <w:pPr>
              <w:pStyle w:val="TableParagraph"/>
              <w:tabs>
                <w:tab w:val="left" w:pos="2052"/>
                <w:tab w:val="left" w:pos="4793"/>
                <w:tab w:val="right" w:pos="7597"/>
              </w:tabs>
              <w:spacing w:before="62"/>
              <w:ind w:left="427"/>
              <w:rPr>
                <w:rFonts w:ascii="Times New Roman" w:eastAsia="Times New Roman"/>
                <w:sz w:val="18"/>
              </w:rPr>
            </w:pPr>
            <w:r>
              <w:rPr>
                <w:rFonts w:ascii="Times New Roman" w:eastAsia="Times New Roman"/>
                <w:sz w:val="18"/>
              </w:rPr>
              <w:t>3</w:t>
            </w:r>
            <w:r>
              <w:rPr>
                <w:rFonts w:ascii="Times New Roman" w:eastAsia="Times New Roman"/>
                <w:sz w:val="18"/>
              </w:rPr>
              <w:tab/>
            </w:r>
            <w:r>
              <w:rPr>
                <w:sz w:val="18"/>
              </w:rPr>
              <w:t>乙酸乙酯</w:t>
            </w:r>
            <w:r>
              <w:rPr>
                <w:sz w:val="18"/>
              </w:rPr>
              <w:tab/>
            </w:r>
            <w:r>
              <w:rPr>
                <w:rFonts w:ascii="Times New Roman" w:eastAsia="Times New Roman"/>
                <w:sz w:val="18"/>
              </w:rPr>
              <w:t>141-78-6</w:t>
            </w:r>
            <w:r>
              <w:rPr>
                <w:rFonts w:ascii="Times New Roman" w:eastAsia="Times New Roman"/>
                <w:sz w:val="18"/>
              </w:rPr>
              <w:tab/>
            </w:r>
            <w:r>
              <w:rPr>
                <w:rFonts w:ascii="Times New Roman" w:eastAsia="Times New Roman"/>
                <w:sz w:val="18"/>
              </w:rPr>
              <w:t>25-35</w:t>
            </w:r>
          </w:p>
          <w:p>
            <w:pPr>
              <w:pStyle w:val="TableParagraph"/>
              <w:tabs>
                <w:tab w:val="left" w:pos="1961"/>
                <w:tab w:val="left" w:pos="4793"/>
                <w:tab w:val="right" w:pos="7597"/>
              </w:tabs>
              <w:spacing w:before="62"/>
              <w:ind w:left="427"/>
              <w:rPr>
                <w:rFonts w:ascii="Times New Roman" w:eastAsia="Times New Roman"/>
                <w:sz w:val="18"/>
              </w:rPr>
            </w:pPr>
            <w:r>
              <w:rPr>
                <w:rFonts w:ascii="Times New Roman" w:eastAsia="Times New Roman"/>
                <w:sz w:val="18"/>
              </w:rPr>
              <w:t>4</w:t>
            </w:r>
            <w:r>
              <w:rPr>
                <w:rFonts w:ascii="Times New Roman" w:eastAsia="Times New Roman"/>
                <w:sz w:val="18"/>
              </w:rPr>
              <w:tab/>
            </w:r>
            <w:r>
              <w:rPr>
                <w:sz w:val="18"/>
              </w:rPr>
              <w:t>醋酸正丙醋</w:t>
            </w:r>
            <w:r>
              <w:rPr>
                <w:sz w:val="18"/>
              </w:rPr>
              <w:tab/>
            </w:r>
            <w:r>
              <w:rPr>
                <w:rFonts w:ascii="Times New Roman" w:eastAsia="Times New Roman"/>
                <w:sz w:val="18"/>
              </w:rPr>
              <w:t>109-60-4</w:t>
            </w:r>
            <w:r>
              <w:rPr>
                <w:rFonts w:ascii="Times New Roman" w:eastAsia="Times New Roman"/>
                <w:sz w:val="18"/>
              </w:rPr>
              <w:tab/>
            </w:r>
            <w:r>
              <w:rPr>
                <w:rFonts w:ascii="Times New Roman" w:eastAsia="Times New Roman"/>
                <w:sz w:val="18"/>
              </w:rPr>
              <w:t>25-45</w:t>
            </w:r>
          </w:p>
          <w:p>
            <w:pPr>
              <w:pStyle w:val="TableParagraph"/>
              <w:tabs>
                <w:tab w:val="left" w:pos="2141"/>
                <w:tab w:val="left" w:pos="4839"/>
                <w:tab w:val="right" w:pos="7549"/>
              </w:tabs>
              <w:spacing w:before="62"/>
              <w:ind w:left="427"/>
              <w:rPr>
                <w:rFonts w:ascii="Times New Roman" w:eastAsia="Times New Roman"/>
                <w:sz w:val="18"/>
              </w:rPr>
            </w:pPr>
            <w:r>
              <w:rPr>
                <w:rFonts w:ascii="Times New Roman" w:eastAsia="Times New Roman"/>
                <w:sz w:val="18"/>
              </w:rPr>
              <w:t>5</w:t>
            </w:r>
            <w:r>
              <w:rPr>
                <w:rFonts w:ascii="Times New Roman" w:eastAsia="Times New Roman"/>
                <w:sz w:val="18"/>
              </w:rPr>
              <w:tab/>
            </w:r>
            <w:r>
              <w:rPr>
                <w:sz w:val="18"/>
              </w:rPr>
              <w:t>异丙醇</w:t>
            </w:r>
            <w:r>
              <w:rPr>
                <w:sz w:val="18"/>
              </w:rPr>
              <w:tab/>
            </w:r>
            <w:r>
              <w:rPr>
                <w:rFonts w:ascii="Times New Roman" w:eastAsia="Times New Roman"/>
                <w:sz w:val="18"/>
              </w:rPr>
              <w:t>67-63-0</w:t>
            </w:r>
            <w:r>
              <w:rPr>
                <w:rFonts w:ascii="Times New Roman" w:eastAsia="Times New Roman"/>
                <w:sz w:val="18"/>
              </w:rPr>
              <w:tab/>
            </w:r>
            <w:r>
              <w:rPr>
                <w:rFonts w:ascii="Times New Roman" w:eastAsia="Times New Roman"/>
                <w:sz w:val="18"/>
              </w:rPr>
              <w:t>5-15</w:t>
            </w:r>
          </w:p>
          <w:p>
            <w:pPr>
              <w:pStyle w:val="TableParagraph"/>
              <w:tabs>
                <w:tab w:val="left" w:pos="2232"/>
                <w:tab w:val="left" w:pos="5098"/>
                <w:tab w:val="right" w:pos="7549"/>
              </w:tabs>
              <w:spacing w:before="63"/>
              <w:ind w:left="427"/>
              <w:rPr>
                <w:rFonts w:ascii="Times New Roman" w:eastAsia="Times New Roman"/>
                <w:sz w:val="18"/>
              </w:rPr>
            </w:pPr>
            <w:r>
              <w:rPr>
                <w:rFonts w:ascii="Times New Roman" w:eastAsia="Times New Roman"/>
                <w:sz w:val="18"/>
              </w:rPr>
              <w:t>6</w:t>
            </w:r>
            <w:r>
              <w:rPr>
                <w:rFonts w:ascii="Times New Roman" w:eastAsia="Times New Roman"/>
                <w:sz w:val="18"/>
              </w:rPr>
              <w:tab/>
            </w:r>
            <w:r>
              <w:rPr>
                <w:sz w:val="18"/>
              </w:rPr>
              <w:t>其他</w:t>
            </w:r>
            <w:r>
              <w:rPr>
                <w:sz w:val="18"/>
              </w:rPr>
              <w:tab/>
            </w:r>
            <w:r>
              <w:rPr>
                <w:rFonts w:ascii="Times New Roman" w:eastAsia="Times New Roman"/>
                <w:sz w:val="18"/>
              </w:rPr>
              <w:t>/</w:t>
            </w:r>
            <w:r>
              <w:rPr>
                <w:rFonts w:ascii="Times New Roman" w:eastAsia="Times New Roman"/>
                <w:sz w:val="18"/>
              </w:rPr>
              <w:tab/>
            </w:r>
            <w:r>
              <w:rPr>
                <w:rFonts w:ascii="Times New Roman" w:eastAsia="Times New Roman"/>
                <w:sz w:val="18"/>
              </w:rPr>
              <w:t>5-10</w:t>
            </w:r>
          </w:p>
          <w:p>
            <w:pPr>
              <w:pStyle w:val="TableParagraph"/>
              <w:spacing w:before="10"/>
              <w:rPr>
                <w:b/>
                <w:sz w:val="21"/>
              </w:rPr>
            </w:pPr>
          </w:p>
          <w:p>
            <w:pPr>
              <w:pStyle w:val="TableParagraph"/>
              <w:spacing w:line="364" w:lineRule="auto"/>
              <w:ind w:left="110" w:right="82" w:firstLine="419"/>
              <w:jc w:val="both"/>
              <w:rPr>
                <w:sz w:val="21"/>
              </w:rPr>
            </w:pPr>
            <w:r>
              <w:rPr>
                <w:spacing w:val="-2"/>
                <w:w w:val="100"/>
                <w:sz w:val="21"/>
              </w:rPr>
              <w:t>根据油墨的</w:t>
            </w:r>
            <w:r>
              <w:rPr>
                <w:spacing w:val="-60"/>
                <w:sz w:val="21"/>
              </w:rPr>
              <w:t xml:space="preserve"> </w:t>
            </w:r>
            <w:r>
              <w:rPr>
                <w:rFonts w:ascii="Times New Roman" w:eastAsia="Times New Roman" w:hAnsi="Times New Roman"/>
                <w:spacing w:val="-2"/>
                <w:w w:val="100"/>
                <w:sz w:val="21"/>
              </w:rPr>
              <w:t>VO</w:t>
            </w:r>
            <w:r>
              <w:rPr>
                <w:rFonts w:ascii="Times New Roman" w:eastAsia="Times New Roman" w:hAnsi="Times New Roman"/>
                <w:spacing w:val="1"/>
                <w:w w:val="100"/>
                <w:sz w:val="21"/>
              </w:rPr>
              <w:t>C</w:t>
            </w:r>
            <w:r>
              <w:rPr>
                <w:rFonts w:ascii="Times New Roman" w:eastAsia="Times New Roman" w:hAnsi="Times New Roman"/>
                <w:w w:val="100"/>
                <w:sz w:val="21"/>
              </w:rPr>
              <w:t>s</w:t>
            </w:r>
            <w:r>
              <w:rPr>
                <w:rFonts w:ascii="Times New Roman" w:eastAsia="Times New Roman" w:hAnsi="Times New Roman"/>
                <w:spacing w:val="-18"/>
                <w:sz w:val="21"/>
              </w:rPr>
              <w:t xml:space="preserve"> </w:t>
            </w:r>
            <w:r>
              <w:rPr>
                <w:spacing w:val="-3"/>
                <w:w w:val="100"/>
                <w:sz w:val="21"/>
              </w:rPr>
              <w:t>检测报告</w:t>
            </w:r>
            <w:r>
              <w:rPr>
                <w:spacing w:val="-1"/>
                <w:w w:val="100"/>
                <w:sz w:val="21"/>
              </w:rPr>
              <w:t>（</w:t>
            </w:r>
            <w:hyperlink w:anchor="_bookmark72" w:history="1">
              <w:r>
                <w:rPr>
                  <w:spacing w:val="-3"/>
                  <w:w w:val="100"/>
                  <w:sz w:val="21"/>
                </w:rPr>
                <w:t>附件十一</w:t>
              </w:r>
            </w:hyperlink>
            <w:r>
              <w:rPr>
                <w:rFonts w:ascii="Times New Roman" w:eastAsia="Times New Roman" w:hAnsi="Times New Roman"/>
                <w:spacing w:val="-1"/>
                <w:w w:val="100"/>
                <w:sz w:val="21"/>
              </w:rPr>
              <w:t>-</w:t>
            </w:r>
            <w:r>
              <w:rPr>
                <w:rFonts w:ascii="Times New Roman" w:eastAsia="Times New Roman" w:hAnsi="Times New Roman"/>
                <w:w w:val="100"/>
                <w:sz w:val="21"/>
              </w:rPr>
              <w:t>2</w:t>
            </w:r>
            <w:r>
              <w:rPr>
                <w:spacing w:val="-108"/>
                <w:w w:val="100"/>
                <w:sz w:val="21"/>
              </w:rPr>
              <w:t>）</w:t>
            </w:r>
            <w:r>
              <w:rPr>
                <w:spacing w:val="-2"/>
                <w:w w:val="100"/>
                <w:sz w:val="21"/>
              </w:rPr>
              <w:t>，油墨中</w:t>
            </w:r>
            <w:r>
              <w:rPr>
                <w:spacing w:val="-62"/>
                <w:sz w:val="21"/>
              </w:rPr>
              <w:t xml:space="preserve"> </w:t>
            </w:r>
            <w:r>
              <w:rPr>
                <w:rFonts w:ascii="Times New Roman" w:eastAsia="Times New Roman" w:hAnsi="Times New Roman"/>
                <w:spacing w:val="-2"/>
                <w:w w:val="100"/>
                <w:sz w:val="21"/>
              </w:rPr>
              <w:t>V</w:t>
            </w:r>
            <w:r>
              <w:rPr>
                <w:rFonts w:ascii="Times New Roman" w:eastAsia="Times New Roman" w:hAnsi="Times New Roman"/>
                <w:w w:val="100"/>
                <w:sz w:val="21"/>
              </w:rPr>
              <w:t>OCs</w:t>
            </w:r>
            <w:r>
              <w:rPr>
                <w:rFonts w:ascii="Times New Roman" w:eastAsia="Times New Roman" w:hAnsi="Times New Roman"/>
                <w:spacing w:val="-17"/>
                <w:sz w:val="21"/>
              </w:rPr>
              <w:t xml:space="preserve"> </w:t>
            </w:r>
            <w:r>
              <w:rPr>
                <w:spacing w:val="-2"/>
                <w:w w:val="100"/>
                <w:sz w:val="21"/>
              </w:rPr>
              <w:t>含量在</w:t>
            </w:r>
            <w:r>
              <w:rPr>
                <w:spacing w:val="-60"/>
                <w:sz w:val="21"/>
              </w:rPr>
              <w:t xml:space="preserve"> </w:t>
            </w:r>
            <w:r>
              <w:rPr>
                <w:rFonts w:ascii="Times New Roman" w:eastAsia="Times New Roman" w:hAnsi="Times New Roman"/>
                <w:w w:val="100"/>
                <w:sz w:val="21"/>
              </w:rPr>
              <w:t>55.9</w:t>
            </w:r>
            <w:r>
              <w:rPr>
                <w:rFonts w:ascii="Times New Roman" w:eastAsia="Times New Roman" w:hAnsi="Times New Roman"/>
                <w:spacing w:val="-4"/>
                <w:w w:val="100"/>
                <w:sz w:val="21"/>
              </w:rPr>
              <w:t>%</w:t>
            </w:r>
            <w:r>
              <w:rPr>
                <w:rFonts w:ascii="Times New Roman" w:eastAsia="Times New Roman" w:hAnsi="Times New Roman"/>
                <w:w w:val="100"/>
                <w:sz w:val="21"/>
              </w:rPr>
              <w:t>~</w:t>
            </w:r>
            <w:r>
              <w:rPr>
                <w:rFonts w:ascii="Times New Roman" w:eastAsia="Times New Roman" w:hAnsi="Times New Roman"/>
                <w:spacing w:val="-3"/>
                <w:w w:val="100"/>
                <w:sz w:val="21"/>
              </w:rPr>
              <w:t>6</w:t>
            </w:r>
            <w:r>
              <w:rPr>
                <w:rFonts w:ascii="Times New Roman" w:eastAsia="Times New Roman" w:hAnsi="Times New Roman"/>
                <w:w w:val="100"/>
                <w:sz w:val="21"/>
              </w:rPr>
              <w:t>7.4</w:t>
            </w:r>
            <w:r>
              <w:rPr>
                <w:rFonts w:ascii="Times New Roman" w:eastAsia="Times New Roman" w:hAnsi="Times New Roman"/>
                <w:spacing w:val="-3"/>
                <w:w w:val="100"/>
                <w:sz w:val="21"/>
              </w:rPr>
              <w:t>%</w:t>
            </w:r>
            <w:r>
              <w:rPr>
                <w:w w:val="100"/>
                <w:sz w:val="21"/>
              </w:rPr>
              <w:t>之间</w:t>
            </w:r>
            <w:r>
              <w:rPr>
                <w:spacing w:val="-3"/>
                <w:w w:val="100"/>
                <w:sz w:val="21"/>
              </w:rPr>
              <w:t>（</w:t>
            </w:r>
            <w:r>
              <w:rPr>
                <w:w w:val="100"/>
                <w:sz w:val="21"/>
              </w:rPr>
              <w:t>不</w:t>
            </w:r>
            <w:r>
              <w:rPr>
                <w:spacing w:val="-1"/>
                <w:w w:val="100"/>
                <w:sz w:val="21"/>
              </w:rPr>
              <w:t>同颜色油墨的</w:t>
            </w:r>
            <w:r>
              <w:rPr>
                <w:spacing w:val="-2"/>
                <w:sz w:val="21"/>
              </w:rPr>
              <w:t xml:space="preserve"> </w:t>
            </w:r>
            <w:r>
              <w:rPr>
                <w:rFonts w:ascii="Times New Roman" w:eastAsia="Times New Roman" w:hAnsi="Times New Roman"/>
                <w:spacing w:val="-2"/>
                <w:w w:val="100"/>
                <w:sz w:val="21"/>
              </w:rPr>
              <w:t>VO</w:t>
            </w:r>
            <w:r>
              <w:rPr>
                <w:rFonts w:ascii="Times New Roman" w:eastAsia="Times New Roman" w:hAnsi="Times New Roman"/>
                <w:w w:val="100"/>
                <w:sz w:val="21"/>
              </w:rPr>
              <w:t>Cs</w:t>
            </w:r>
            <w:r>
              <w:rPr>
                <w:rFonts w:ascii="Times New Roman" w:eastAsia="Times New Roman" w:hAnsi="Times New Roman"/>
                <w:spacing w:val="-11"/>
                <w:sz w:val="21"/>
              </w:rPr>
              <w:t xml:space="preserve">  </w:t>
            </w:r>
            <w:r>
              <w:rPr>
                <w:spacing w:val="-2"/>
                <w:w w:val="100"/>
                <w:sz w:val="21"/>
              </w:rPr>
              <w:t>稍有差异</w:t>
            </w:r>
            <w:r>
              <w:rPr>
                <w:spacing w:val="-106"/>
                <w:w w:val="100"/>
                <w:sz w:val="21"/>
              </w:rPr>
              <w:t>）</w:t>
            </w:r>
            <w:r>
              <w:rPr>
                <w:spacing w:val="-3"/>
                <w:w w:val="100"/>
                <w:sz w:val="21"/>
              </w:rPr>
              <w:t>，本次以</w:t>
            </w:r>
            <w:r>
              <w:rPr>
                <w:sz w:val="21"/>
              </w:rPr>
              <w:t xml:space="preserve"> </w:t>
            </w:r>
            <w:r>
              <w:rPr>
                <w:rFonts w:ascii="Times New Roman" w:eastAsia="Times New Roman" w:hAnsi="Times New Roman"/>
                <w:w w:val="100"/>
                <w:sz w:val="21"/>
              </w:rPr>
              <w:t>67.4</w:t>
            </w:r>
            <w:r>
              <w:rPr>
                <w:rFonts w:ascii="Times New Roman" w:eastAsia="Times New Roman" w:hAnsi="Times New Roman"/>
                <w:spacing w:val="-3"/>
                <w:w w:val="100"/>
                <w:sz w:val="21"/>
              </w:rPr>
              <w:t>%</w:t>
            </w:r>
            <w:r>
              <w:rPr>
                <w:spacing w:val="-3"/>
                <w:w w:val="100"/>
                <w:sz w:val="21"/>
              </w:rPr>
              <w:t>计；使用时按“油墨：稀释剂</w:t>
            </w:r>
            <w:r>
              <w:rPr>
                <w:w w:val="100"/>
                <w:sz w:val="21"/>
              </w:rPr>
              <w:t>（</w:t>
            </w:r>
            <w:r>
              <w:rPr>
                <w:spacing w:val="-1"/>
                <w:w w:val="100"/>
                <w:sz w:val="21"/>
              </w:rPr>
              <w:t>乙酸乙酯</w:t>
            </w:r>
            <w:r>
              <w:rPr>
                <w:w w:val="100"/>
                <w:sz w:val="21"/>
              </w:rPr>
              <w:t>）</w:t>
            </w:r>
          </w:p>
          <w:p>
            <w:pPr>
              <w:pStyle w:val="TableParagraph"/>
              <w:spacing w:line="364" w:lineRule="auto"/>
              <w:ind w:left="110" w:right="84"/>
              <w:jc w:val="both"/>
              <w:rPr>
                <w:sz w:val="21"/>
              </w:rPr>
            </w:pPr>
            <w:r>
              <w:rPr>
                <w:rFonts w:ascii="Times New Roman" w:eastAsia="Times New Roman" w:hAnsi="Times New Roman"/>
                <w:sz w:val="21"/>
              </w:rPr>
              <w:t>=5</w:t>
            </w:r>
            <w:r>
              <w:rPr>
                <w:sz w:val="21"/>
              </w:rPr>
              <w:t>：</w:t>
            </w:r>
            <w:r>
              <w:rPr>
                <w:rFonts w:ascii="Times New Roman" w:eastAsia="Times New Roman" w:hAnsi="Times New Roman"/>
                <w:sz w:val="21"/>
              </w:rPr>
              <w:t>1</w:t>
            </w:r>
            <w:r>
              <w:rPr>
                <w:spacing w:val="-7"/>
                <w:sz w:val="21"/>
              </w:rPr>
              <w:t xml:space="preserve">”调配，调配后油墨 </w:t>
            </w:r>
            <w:r>
              <w:rPr>
                <w:rFonts w:ascii="Times New Roman" w:eastAsia="Times New Roman" w:hAnsi="Times New Roman"/>
                <w:sz w:val="21"/>
              </w:rPr>
              <w:t xml:space="preserve">VOCs </w:t>
            </w:r>
            <w:r>
              <w:rPr>
                <w:spacing w:val="-13"/>
                <w:sz w:val="21"/>
              </w:rPr>
              <w:t xml:space="preserve">含量 </w:t>
            </w:r>
            <w:r>
              <w:rPr>
                <w:rFonts w:ascii="Times New Roman" w:eastAsia="Times New Roman" w:hAnsi="Times New Roman"/>
                <w:sz w:val="21"/>
              </w:rPr>
              <w:t>72.83%</w:t>
            </w:r>
            <w:r>
              <w:rPr>
                <w:spacing w:val="-6"/>
                <w:sz w:val="21"/>
              </w:rPr>
              <w:t xml:space="preserve">。因此，项目所用油墨 </w:t>
            </w:r>
            <w:r>
              <w:rPr>
                <w:rFonts w:ascii="Times New Roman" w:eastAsia="Times New Roman" w:hAnsi="Times New Roman"/>
                <w:sz w:val="21"/>
              </w:rPr>
              <w:t xml:space="preserve">VOCs </w:t>
            </w:r>
            <w:r>
              <w:rPr>
                <w:spacing w:val="-2"/>
                <w:sz w:val="21"/>
              </w:rPr>
              <w:t>含量满足《油墨</w:t>
            </w:r>
            <w:r>
              <w:rPr>
                <w:spacing w:val="4"/>
                <w:sz w:val="21"/>
              </w:rPr>
              <w:t>中可挥发性有机化合物</w:t>
            </w:r>
            <w:r>
              <w:rPr>
                <w:sz w:val="21"/>
              </w:rPr>
              <w:t>（</w:t>
            </w:r>
            <w:r>
              <w:rPr>
                <w:rFonts w:ascii="Times New Roman" w:eastAsia="Times New Roman" w:hAnsi="Times New Roman"/>
                <w:sz w:val="21"/>
              </w:rPr>
              <w:t>VOCs</w:t>
            </w:r>
            <w:r>
              <w:rPr>
                <w:sz w:val="21"/>
              </w:rPr>
              <w:t>）</w:t>
            </w:r>
            <w:r>
              <w:rPr>
                <w:spacing w:val="-14"/>
                <w:sz w:val="21"/>
              </w:rPr>
              <w:t>含量的限值》</w:t>
            </w:r>
            <w:r>
              <w:rPr>
                <w:sz w:val="21"/>
              </w:rPr>
              <w:t>（</w:t>
            </w:r>
            <w:r>
              <w:rPr>
                <w:rFonts w:ascii="Times New Roman" w:eastAsia="Times New Roman" w:hAnsi="Times New Roman"/>
                <w:sz w:val="21"/>
              </w:rPr>
              <w:t>GB/T38507-2020</w:t>
            </w:r>
            <w:r>
              <w:rPr>
                <w:sz w:val="21"/>
              </w:rPr>
              <w:t>）</w:t>
            </w:r>
            <w:r>
              <w:rPr>
                <w:spacing w:val="19"/>
                <w:sz w:val="21"/>
              </w:rPr>
              <w:t xml:space="preserve">中表 </w:t>
            </w:r>
            <w:r>
              <w:rPr>
                <w:rFonts w:ascii="Times New Roman" w:eastAsia="Times New Roman" w:hAnsi="Times New Roman"/>
                <w:spacing w:val="3"/>
                <w:sz w:val="21"/>
              </w:rPr>
              <w:t>1</w:t>
            </w:r>
            <w:r>
              <w:rPr>
                <w:spacing w:val="3"/>
                <w:sz w:val="21"/>
              </w:rPr>
              <w:t>，凹版印刷油墨</w:t>
            </w:r>
            <w:r>
              <w:rPr>
                <w:rFonts w:ascii="Times New Roman" w:eastAsia="Times New Roman" w:hAnsi="Times New Roman"/>
                <w:spacing w:val="3"/>
                <w:sz w:val="21"/>
              </w:rPr>
              <w:t xml:space="preserve">VOCs </w:t>
            </w:r>
            <w:r>
              <w:rPr>
                <w:spacing w:val="-2"/>
                <w:sz w:val="21"/>
              </w:rPr>
              <w:t>含量≤</w:t>
            </w:r>
            <w:r>
              <w:rPr>
                <w:rFonts w:ascii="Times New Roman" w:eastAsia="Times New Roman" w:hAnsi="Times New Roman"/>
                <w:sz w:val="21"/>
              </w:rPr>
              <w:t>75%</w:t>
            </w:r>
            <w:r>
              <w:rPr>
                <w:spacing w:val="-3"/>
                <w:sz w:val="21"/>
              </w:rPr>
              <w:t>的要求。</w:t>
            </w:r>
          </w:p>
          <w:p>
            <w:pPr>
              <w:pStyle w:val="TableParagraph"/>
              <w:spacing w:line="269" w:lineRule="exact"/>
              <w:ind w:left="530"/>
              <w:jc w:val="both"/>
              <w:rPr>
                <w:sz w:val="21"/>
              </w:rPr>
            </w:pPr>
            <w:r>
              <w:rPr>
                <w:sz w:val="21"/>
              </w:rPr>
              <w:t xml:space="preserve">复合工序所用胶粘剂为溶剂型双组分聚氨酯胶粘剂，供应商提供的 </w:t>
            </w:r>
            <w:r>
              <w:rPr>
                <w:rFonts w:ascii="Times New Roman" w:eastAsia="Times New Roman"/>
                <w:sz w:val="21"/>
              </w:rPr>
              <w:t>MSDS</w:t>
            </w:r>
            <w:r>
              <w:rPr>
                <w:sz w:val="21"/>
              </w:rPr>
              <w:t>（</w:t>
            </w:r>
            <w:hyperlink w:anchor="_bookmark72" w:history="1">
              <w:r>
                <w:rPr>
                  <w:sz w:val="21"/>
                </w:rPr>
                <w:t>见附件十一</w:t>
              </w:r>
            </w:hyperlink>
          </w:p>
          <w:p>
            <w:pPr>
              <w:pStyle w:val="TableParagraph"/>
              <w:spacing w:before="137"/>
              <w:ind w:left="110"/>
              <w:jc w:val="both"/>
              <w:rPr>
                <w:sz w:val="21"/>
              </w:rPr>
            </w:pPr>
            <w:r>
              <w:rPr>
                <w:rFonts w:ascii="Times New Roman" w:eastAsia="Times New Roman"/>
                <w:sz w:val="21"/>
              </w:rPr>
              <w:t>-3</w:t>
            </w:r>
            <w:r>
              <w:rPr>
                <w:sz w:val="21"/>
              </w:rPr>
              <w:t xml:space="preserve">）中胶粘剂组分见表 </w:t>
            </w:r>
            <w:r>
              <w:rPr>
                <w:rFonts w:ascii="Times New Roman" w:eastAsia="Times New Roman"/>
                <w:sz w:val="21"/>
              </w:rPr>
              <w:t>2-5</w:t>
            </w:r>
            <w:r>
              <w:rPr>
                <w:sz w:val="21"/>
              </w:rPr>
              <w:t>。</w:t>
            </w:r>
          </w:p>
          <w:p>
            <w:pPr>
              <w:pStyle w:val="TableParagraph"/>
              <w:spacing w:before="139"/>
              <w:ind w:left="110" w:right="89"/>
              <w:jc w:val="center"/>
              <w:rPr>
                <w:b/>
                <w:sz w:val="21"/>
              </w:rPr>
            </w:pPr>
            <w:r>
              <w:rPr>
                <w:b/>
                <w:sz w:val="21"/>
              </w:rPr>
              <w:t xml:space="preserve">表 </w:t>
            </w:r>
            <w:r>
              <w:rPr>
                <w:rFonts w:ascii="Times New Roman" w:eastAsia="Times New Roman"/>
                <w:b/>
                <w:sz w:val="21"/>
              </w:rPr>
              <w:t xml:space="preserve">2-5 </w:t>
            </w:r>
            <w:r>
              <w:rPr>
                <w:b/>
                <w:sz w:val="21"/>
              </w:rPr>
              <w:t>胶粘剂组份表</w:t>
            </w: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spacing w:before="2"/>
              <w:rPr>
                <w:b/>
                <w:sz w:val="24"/>
              </w:rPr>
            </w:pPr>
          </w:p>
          <w:p>
            <w:pPr>
              <w:pStyle w:val="TableParagraph"/>
              <w:spacing w:line="364" w:lineRule="auto"/>
              <w:ind w:left="110" w:right="81" w:firstLine="419"/>
              <w:jc w:val="both"/>
              <w:rPr>
                <w:sz w:val="21"/>
              </w:rPr>
            </w:pPr>
            <w:r>
              <w:rPr>
                <w:spacing w:val="-7"/>
                <w:sz w:val="21"/>
              </w:rPr>
              <w:t xml:space="preserve">根据供应商提供主剂密度约 </w:t>
            </w:r>
            <w:r>
              <w:rPr>
                <w:rFonts w:ascii="Times New Roman" w:eastAsia="Times New Roman" w:hAnsi="Times New Roman"/>
                <w:sz w:val="21"/>
              </w:rPr>
              <w:t>1.21g/cm</w:t>
            </w:r>
            <w:r>
              <w:rPr>
                <w:rFonts w:ascii="Times New Roman" w:eastAsia="Times New Roman" w:hAnsi="Times New Roman"/>
                <w:position w:val="7"/>
                <w:sz w:val="14"/>
              </w:rPr>
              <w:t>3</w:t>
            </w:r>
            <w:r>
              <w:rPr>
                <w:spacing w:val="-10"/>
                <w:sz w:val="21"/>
              </w:rPr>
              <w:t xml:space="preserve">、固化剂密度约 </w:t>
            </w:r>
            <w:r>
              <w:rPr>
                <w:rFonts w:ascii="Times New Roman" w:eastAsia="Times New Roman" w:hAnsi="Times New Roman"/>
                <w:sz w:val="21"/>
              </w:rPr>
              <w:t>1.1g/cm</w:t>
            </w:r>
            <w:r>
              <w:rPr>
                <w:rFonts w:ascii="Times New Roman" w:eastAsia="Times New Roman" w:hAnsi="Times New Roman"/>
                <w:position w:val="7"/>
                <w:sz w:val="14"/>
              </w:rPr>
              <w:t>3</w:t>
            </w:r>
            <w:r>
              <w:rPr>
                <w:spacing w:val="-3"/>
                <w:sz w:val="21"/>
              </w:rPr>
              <w:t>、稀释剂密度</w:t>
            </w:r>
            <w:r>
              <w:rPr>
                <w:sz w:val="21"/>
              </w:rPr>
              <w:t>（</w:t>
            </w:r>
            <w:r>
              <w:rPr>
                <w:spacing w:val="-2"/>
                <w:sz w:val="21"/>
              </w:rPr>
              <w:t>乙酸乙酯</w:t>
            </w:r>
            <w:r>
              <w:rPr>
                <w:rFonts w:ascii="Times New Roman" w:eastAsia="Times New Roman" w:hAnsi="Times New Roman"/>
                <w:spacing w:val="-2"/>
                <w:w w:val="100"/>
                <w:sz w:val="21"/>
              </w:rPr>
              <w:t>0.</w:t>
            </w:r>
            <w:r>
              <w:rPr>
                <w:rFonts w:ascii="Times New Roman" w:eastAsia="Times New Roman" w:hAnsi="Times New Roman"/>
                <w:spacing w:val="-1"/>
                <w:w w:val="100"/>
                <w:sz w:val="21"/>
              </w:rPr>
              <w:t>9</w:t>
            </w:r>
            <w:r>
              <w:rPr>
                <w:rFonts w:ascii="Times New Roman" w:eastAsia="Times New Roman" w:hAnsi="Times New Roman"/>
                <w:w w:val="100"/>
                <w:sz w:val="21"/>
              </w:rPr>
              <w:t>02g</w:t>
            </w:r>
            <w:r>
              <w:rPr>
                <w:rFonts w:ascii="Times New Roman" w:eastAsia="Times New Roman" w:hAnsi="Times New Roman"/>
                <w:spacing w:val="-2"/>
                <w:w w:val="100"/>
                <w:sz w:val="21"/>
              </w:rPr>
              <w:t>/</w:t>
            </w:r>
            <w:r>
              <w:rPr>
                <w:rFonts w:ascii="Times New Roman" w:eastAsia="Times New Roman" w:hAnsi="Times New Roman"/>
                <w:w w:val="100"/>
                <w:sz w:val="21"/>
              </w:rPr>
              <w:t>c</w:t>
            </w:r>
            <w:r>
              <w:rPr>
                <w:rFonts w:ascii="Times New Roman" w:eastAsia="Times New Roman" w:hAnsi="Times New Roman"/>
                <w:spacing w:val="-2"/>
                <w:w w:val="100"/>
                <w:sz w:val="21"/>
              </w:rPr>
              <w:t>m</w:t>
            </w:r>
            <w:r>
              <w:rPr>
                <w:rFonts w:ascii="Times New Roman" w:eastAsia="Times New Roman" w:hAnsi="Times New Roman"/>
                <w:w w:val="99"/>
                <w:position w:val="7"/>
                <w:sz w:val="14"/>
              </w:rPr>
              <w:t>3</w:t>
            </w:r>
            <w:r>
              <w:rPr>
                <w:spacing w:val="-2"/>
                <w:w w:val="100"/>
                <w:sz w:val="21"/>
              </w:rPr>
              <w:t>、丁酯</w:t>
            </w:r>
            <w:r>
              <w:rPr>
                <w:spacing w:val="-54"/>
                <w:sz w:val="21"/>
              </w:rPr>
              <w:t xml:space="preserve"> </w:t>
            </w:r>
            <w:r>
              <w:rPr>
                <w:rFonts w:ascii="Times New Roman" w:eastAsia="Times New Roman" w:hAnsi="Times New Roman"/>
                <w:w w:val="100"/>
                <w:sz w:val="21"/>
              </w:rPr>
              <w:t>0.</w:t>
            </w:r>
            <w:r>
              <w:rPr>
                <w:rFonts w:ascii="Times New Roman" w:eastAsia="Times New Roman" w:hAnsi="Times New Roman"/>
                <w:spacing w:val="-3"/>
                <w:w w:val="100"/>
                <w:sz w:val="21"/>
              </w:rPr>
              <w:t>8</w:t>
            </w:r>
            <w:r>
              <w:rPr>
                <w:rFonts w:ascii="Times New Roman" w:eastAsia="Times New Roman" w:hAnsi="Times New Roman"/>
                <w:w w:val="100"/>
                <w:sz w:val="21"/>
              </w:rPr>
              <w:t>8</w:t>
            </w:r>
            <w:r>
              <w:rPr>
                <w:rFonts w:ascii="Times New Roman" w:eastAsia="Times New Roman" w:hAnsi="Times New Roman"/>
                <w:spacing w:val="-1"/>
                <w:w w:val="100"/>
                <w:sz w:val="21"/>
              </w:rPr>
              <w:t>3</w:t>
            </w:r>
            <w:r>
              <w:rPr>
                <w:rFonts w:ascii="Times New Roman" w:eastAsia="Times New Roman" w:hAnsi="Times New Roman"/>
                <w:w w:val="100"/>
                <w:sz w:val="21"/>
              </w:rPr>
              <w:t>g</w:t>
            </w:r>
            <w:r>
              <w:rPr>
                <w:rFonts w:ascii="Times New Roman" w:eastAsia="Times New Roman" w:hAnsi="Times New Roman"/>
                <w:spacing w:val="-2"/>
                <w:w w:val="100"/>
                <w:sz w:val="21"/>
              </w:rPr>
              <w:t>/</w:t>
            </w:r>
            <w:r>
              <w:rPr>
                <w:rFonts w:ascii="Times New Roman" w:eastAsia="Times New Roman" w:hAnsi="Times New Roman"/>
                <w:spacing w:val="-3"/>
                <w:w w:val="100"/>
                <w:sz w:val="21"/>
              </w:rPr>
              <w:t>c</w:t>
            </w:r>
            <w:r>
              <w:rPr>
                <w:rFonts w:ascii="Times New Roman" w:eastAsia="Times New Roman" w:hAnsi="Times New Roman"/>
                <w:spacing w:val="-2"/>
                <w:w w:val="100"/>
                <w:sz w:val="21"/>
              </w:rPr>
              <w:t>m</w:t>
            </w:r>
            <w:r>
              <w:rPr>
                <w:rFonts w:ascii="Times New Roman" w:eastAsia="Times New Roman" w:hAnsi="Times New Roman"/>
                <w:w w:val="99"/>
                <w:position w:val="7"/>
                <w:sz w:val="14"/>
              </w:rPr>
              <w:t>3</w:t>
            </w:r>
            <w:r>
              <w:rPr>
                <w:spacing w:val="-1"/>
                <w:w w:val="100"/>
                <w:sz w:val="21"/>
              </w:rPr>
              <w:t>、正丙脂</w:t>
            </w:r>
            <w:r>
              <w:rPr>
                <w:spacing w:val="-55"/>
                <w:sz w:val="21"/>
              </w:rPr>
              <w:t xml:space="preserve"> </w:t>
            </w:r>
            <w:r>
              <w:rPr>
                <w:rFonts w:ascii="Times New Roman" w:eastAsia="Times New Roman" w:hAnsi="Times New Roman"/>
                <w:w w:val="100"/>
                <w:sz w:val="21"/>
              </w:rPr>
              <w:t>0</w:t>
            </w:r>
            <w:r>
              <w:rPr>
                <w:rFonts w:ascii="Times New Roman" w:eastAsia="Times New Roman" w:hAnsi="Times New Roman"/>
                <w:spacing w:val="-3"/>
                <w:w w:val="100"/>
                <w:sz w:val="21"/>
              </w:rPr>
              <w:t>.</w:t>
            </w:r>
            <w:r>
              <w:rPr>
                <w:rFonts w:ascii="Times New Roman" w:eastAsia="Times New Roman" w:hAnsi="Times New Roman"/>
                <w:w w:val="100"/>
                <w:sz w:val="21"/>
              </w:rPr>
              <w:t>880g</w:t>
            </w:r>
            <w:r>
              <w:rPr>
                <w:rFonts w:ascii="Times New Roman" w:eastAsia="Times New Roman" w:hAnsi="Times New Roman"/>
                <w:spacing w:val="-2"/>
                <w:w w:val="100"/>
                <w:sz w:val="21"/>
              </w:rPr>
              <w:t>/</w:t>
            </w:r>
            <w:r>
              <w:rPr>
                <w:rFonts w:ascii="Times New Roman" w:eastAsia="Times New Roman" w:hAnsi="Times New Roman"/>
                <w:w w:val="100"/>
                <w:sz w:val="21"/>
              </w:rPr>
              <w:t>c</w:t>
            </w:r>
            <w:r>
              <w:rPr>
                <w:rFonts w:ascii="Times New Roman" w:eastAsia="Times New Roman" w:hAnsi="Times New Roman"/>
                <w:spacing w:val="-1"/>
                <w:w w:val="100"/>
                <w:sz w:val="21"/>
              </w:rPr>
              <w:t>m</w:t>
            </w:r>
            <w:r>
              <w:rPr>
                <w:rFonts w:ascii="Times New Roman" w:eastAsia="Times New Roman" w:hAnsi="Times New Roman"/>
                <w:spacing w:val="-3"/>
                <w:w w:val="99"/>
                <w:position w:val="7"/>
                <w:sz w:val="14"/>
              </w:rPr>
              <w:t>3</w:t>
            </w:r>
            <w:r>
              <w:rPr>
                <w:spacing w:val="-3"/>
                <w:w w:val="100"/>
                <w:sz w:val="21"/>
              </w:rPr>
              <w:t>、异丙醇</w:t>
            </w:r>
            <w:r>
              <w:rPr>
                <w:spacing w:val="-55"/>
                <w:sz w:val="21"/>
              </w:rPr>
              <w:t xml:space="preserve"> </w:t>
            </w:r>
            <w:r>
              <w:rPr>
                <w:rFonts w:ascii="Times New Roman" w:eastAsia="Times New Roman" w:hAnsi="Times New Roman"/>
                <w:w w:val="100"/>
                <w:sz w:val="21"/>
              </w:rPr>
              <w:t>0.</w:t>
            </w:r>
            <w:r>
              <w:rPr>
                <w:rFonts w:ascii="Times New Roman" w:eastAsia="Times New Roman" w:hAnsi="Times New Roman"/>
                <w:spacing w:val="-3"/>
                <w:w w:val="100"/>
                <w:sz w:val="21"/>
              </w:rPr>
              <w:t>7</w:t>
            </w:r>
            <w:r>
              <w:rPr>
                <w:rFonts w:ascii="Times New Roman" w:eastAsia="Times New Roman" w:hAnsi="Times New Roman"/>
                <w:w w:val="100"/>
                <w:sz w:val="21"/>
              </w:rPr>
              <w:t>85</w:t>
            </w:r>
            <w:r>
              <w:rPr>
                <w:rFonts w:ascii="Times New Roman" w:eastAsia="Times New Roman" w:hAnsi="Times New Roman"/>
                <w:spacing w:val="-1"/>
                <w:w w:val="100"/>
                <w:sz w:val="21"/>
              </w:rPr>
              <w:t>5</w:t>
            </w:r>
            <w:r>
              <w:rPr>
                <w:rFonts w:ascii="Times New Roman" w:eastAsia="Times New Roman" w:hAnsi="Times New Roman"/>
                <w:w w:val="100"/>
                <w:sz w:val="21"/>
              </w:rPr>
              <w:t>g</w:t>
            </w:r>
            <w:r>
              <w:rPr>
                <w:rFonts w:ascii="Times New Roman" w:eastAsia="Times New Roman" w:hAnsi="Times New Roman"/>
                <w:spacing w:val="-2"/>
                <w:w w:val="100"/>
                <w:sz w:val="21"/>
              </w:rPr>
              <w:t>/</w:t>
            </w:r>
            <w:r>
              <w:rPr>
                <w:rFonts w:ascii="Times New Roman" w:eastAsia="Times New Roman" w:hAnsi="Times New Roman"/>
                <w:w w:val="100"/>
                <w:sz w:val="21"/>
              </w:rPr>
              <w:t>c</w:t>
            </w:r>
            <w:r>
              <w:rPr>
                <w:rFonts w:ascii="Times New Roman" w:eastAsia="Times New Roman" w:hAnsi="Times New Roman"/>
                <w:spacing w:val="-2"/>
                <w:w w:val="100"/>
                <w:sz w:val="21"/>
              </w:rPr>
              <w:t>m</w:t>
            </w:r>
            <w:r>
              <w:rPr>
                <w:rFonts w:ascii="Times New Roman" w:eastAsia="Times New Roman" w:hAnsi="Times New Roman"/>
                <w:w w:val="99"/>
                <w:position w:val="7"/>
                <w:sz w:val="14"/>
              </w:rPr>
              <w:t>3</w:t>
            </w:r>
            <w:r>
              <w:rPr>
                <w:spacing w:val="-108"/>
                <w:w w:val="100"/>
                <w:sz w:val="21"/>
              </w:rPr>
              <w:t>）</w:t>
            </w:r>
            <w:r>
              <w:rPr>
                <w:spacing w:val="-3"/>
                <w:w w:val="100"/>
                <w:sz w:val="21"/>
              </w:rPr>
              <w:t>，并结合胶粘剂组分</w:t>
            </w:r>
            <w:r>
              <w:rPr>
                <w:spacing w:val="-2"/>
                <w:sz w:val="21"/>
              </w:rPr>
              <w:t xml:space="preserve">表可计算出：购入胶粘剂 </w:t>
            </w:r>
            <w:r>
              <w:rPr>
                <w:rFonts w:ascii="Times New Roman" w:eastAsia="Times New Roman" w:hAnsi="Times New Roman"/>
                <w:sz w:val="21"/>
              </w:rPr>
              <w:t>VOCs</w:t>
            </w:r>
            <w:r>
              <w:rPr>
                <w:rFonts w:ascii="Times New Roman" w:eastAsia="Times New Roman" w:hAnsi="Times New Roman"/>
                <w:spacing w:val="39"/>
                <w:sz w:val="21"/>
              </w:rPr>
              <w:t xml:space="preserve"> </w:t>
            </w:r>
            <w:r>
              <w:rPr>
                <w:spacing w:val="3"/>
                <w:sz w:val="21"/>
              </w:rPr>
              <w:t xml:space="preserve">含量 </w:t>
            </w:r>
            <w:r>
              <w:rPr>
                <w:rFonts w:ascii="Times New Roman" w:eastAsia="Times New Roman" w:hAnsi="Times New Roman"/>
                <w:sz w:val="21"/>
              </w:rPr>
              <w:t>181.50g/L</w:t>
            </w:r>
            <w:r>
              <w:rPr>
                <w:spacing w:val="-3"/>
                <w:sz w:val="21"/>
              </w:rPr>
              <w:t>；使用时按“主剂：固化剂：稀释剂</w:t>
            </w:r>
            <w:r>
              <w:rPr>
                <w:sz w:val="21"/>
              </w:rPr>
              <w:t>（</w:t>
            </w:r>
            <w:r>
              <w:rPr>
                <w:spacing w:val="-2"/>
                <w:sz w:val="21"/>
              </w:rPr>
              <w:t>乙酸</w:t>
            </w:r>
            <w:r>
              <w:rPr>
                <w:spacing w:val="1"/>
                <w:sz w:val="21"/>
              </w:rPr>
              <w:t>乙酯或丁酯或正丙脂或异丙醇</w:t>
            </w:r>
            <w:r>
              <w:rPr>
                <w:spacing w:val="2"/>
                <w:sz w:val="21"/>
              </w:rPr>
              <w:t>）</w:t>
            </w:r>
            <w:r>
              <w:rPr>
                <w:rFonts w:ascii="Times New Roman" w:eastAsia="Times New Roman" w:hAnsi="Times New Roman"/>
                <w:spacing w:val="2"/>
                <w:sz w:val="21"/>
              </w:rPr>
              <w:t>=3</w:t>
            </w:r>
            <w:r>
              <w:rPr>
                <w:spacing w:val="2"/>
                <w:sz w:val="21"/>
              </w:rPr>
              <w:t>：</w:t>
            </w:r>
            <w:r>
              <w:rPr>
                <w:rFonts w:ascii="Times New Roman" w:eastAsia="Times New Roman" w:hAnsi="Times New Roman"/>
                <w:spacing w:val="2"/>
                <w:sz w:val="21"/>
              </w:rPr>
              <w:t>1</w:t>
            </w:r>
            <w:r>
              <w:rPr>
                <w:spacing w:val="2"/>
                <w:sz w:val="21"/>
              </w:rPr>
              <w:t>：</w:t>
            </w:r>
            <w:r>
              <w:rPr>
                <w:rFonts w:ascii="Times New Roman" w:eastAsia="Times New Roman" w:hAnsi="Times New Roman"/>
                <w:spacing w:val="2"/>
                <w:sz w:val="21"/>
              </w:rPr>
              <w:t>1</w:t>
            </w:r>
            <w:r>
              <w:rPr>
                <w:sz w:val="21"/>
              </w:rPr>
              <w:t>”调配，用乙酸乙酯或丁酯或正丙脂或异丙醇调</w:t>
            </w:r>
          </w:p>
          <w:p>
            <w:pPr>
              <w:pStyle w:val="TableParagraph"/>
              <w:spacing w:line="268" w:lineRule="exact"/>
              <w:ind w:left="113" w:right="89"/>
              <w:jc w:val="center"/>
              <w:rPr>
                <w:sz w:val="21"/>
              </w:rPr>
            </w:pPr>
            <w:r>
              <w:rPr>
                <w:spacing w:val="6"/>
                <w:sz w:val="21"/>
              </w:rPr>
              <w:t>配后，胶粘剂</w:t>
            </w:r>
            <w:r>
              <w:rPr>
                <w:rFonts w:ascii="Times New Roman" w:eastAsia="Times New Roman"/>
                <w:sz w:val="21"/>
              </w:rPr>
              <w:t>VOCs</w:t>
            </w:r>
            <w:r>
              <w:rPr>
                <w:rFonts w:ascii="Times New Roman" w:eastAsia="Times New Roman"/>
                <w:spacing w:val="-8"/>
                <w:sz w:val="21"/>
              </w:rPr>
              <w:t xml:space="preserve"> </w:t>
            </w:r>
            <w:r>
              <w:rPr>
                <w:spacing w:val="-12"/>
                <w:sz w:val="21"/>
              </w:rPr>
              <w:t xml:space="preserve">含量分别为 </w:t>
            </w:r>
            <w:r>
              <w:rPr>
                <w:rFonts w:ascii="Times New Roman" w:eastAsia="Times New Roman"/>
                <w:sz w:val="21"/>
              </w:rPr>
              <w:t>355.787g/L</w:t>
            </w:r>
            <w:r>
              <w:rPr>
                <w:sz w:val="21"/>
              </w:rPr>
              <w:t>、</w:t>
            </w:r>
            <w:r>
              <w:rPr>
                <w:rFonts w:ascii="Times New Roman" w:eastAsia="Times New Roman"/>
                <w:sz w:val="21"/>
              </w:rPr>
              <w:t>353.869</w:t>
            </w:r>
            <w:r>
              <w:rPr>
                <w:rFonts w:ascii="Times New Roman" w:eastAsia="Times New Roman"/>
                <w:spacing w:val="9"/>
                <w:sz w:val="21"/>
              </w:rPr>
              <w:t xml:space="preserve"> </w:t>
            </w:r>
            <w:r>
              <w:rPr>
                <w:rFonts w:ascii="Times New Roman" w:eastAsia="Times New Roman"/>
                <w:sz w:val="21"/>
              </w:rPr>
              <w:t>g/L</w:t>
            </w:r>
            <w:r>
              <w:rPr>
                <w:sz w:val="21"/>
              </w:rPr>
              <w:t>、</w:t>
            </w:r>
            <w:r>
              <w:rPr>
                <w:rFonts w:ascii="Times New Roman" w:eastAsia="Times New Roman"/>
                <w:sz w:val="21"/>
              </w:rPr>
              <w:t>353.607g/L</w:t>
            </w:r>
            <w:r>
              <w:rPr>
                <w:sz w:val="21"/>
              </w:rPr>
              <w:t>、</w:t>
            </w:r>
            <w:r>
              <w:rPr>
                <w:rFonts w:ascii="Times New Roman" w:eastAsia="Times New Roman"/>
                <w:sz w:val="21"/>
              </w:rPr>
              <w:t>343.237g/L</w:t>
            </w:r>
            <w:r>
              <w:rPr>
                <w:spacing w:val="-3"/>
                <w:sz w:val="21"/>
              </w:rPr>
              <w:t>。因此，</w:t>
            </w:r>
          </w:p>
        </w:tc>
      </w:tr>
    </w:tbl>
    <w:p>
      <w:pPr>
        <w:rPr>
          <w:sz w:val="2"/>
          <w:szCs w:val="2"/>
        </w:rPr>
      </w:pPr>
      <w:r>
        <w:pict>
          <v:group id="_x0000_s1148" o:spid="_x0000_s1147" style="width:420.45pt;height:103.1pt;margin-top:291.6pt;margin-left:98.05pt;mso-height-relative:page;mso-position-horizontal-relative:page;mso-position-vertical-relative:page;mso-width-relative:page;position:absolute;z-index:-251641856" coordorigin="1961,5833" coordsize="8409,2062">
            <v:line id="_x0000_s1149" o:spid="_x0000_s1148" style="position:absolute" from="1971,5838" to="2674,5838" coordsize="21600,21600" stroked="t" strokecolor="black"/>
            <v:line id="_x0000_s1150" o:spid="_x0000_s1149" style="position:absolute" from="2684,5838" to="5838,5838" coordsize="21600,21600" stroked="t" strokecolor="black"/>
            <v:line id="_x0000_s1151" o:spid="_x0000_s1150" style="position:absolute" from="5847,5838" to="8099,5838" coordsize="21600,21600" stroked="t" strokecolor="black"/>
            <v:line id="_x0000_s1152" o:spid="_x0000_s1151" style="position:absolute" from="8109,5838" to="10360,5838" coordsize="21600,21600" stroked="t" strokecolor="black"/>
            <v:line id="_x0000_s1153" o:spid="_x0000_s1152" style="position:absolute" from="1971,6131" to="2674,6131" coordsize="21600,21600" stroked="t" strokecolor="black"/>
            <v:line id="_x0000_s1154" o:spid="_x0000_s1153" style="position:absolute" from="2684,6131" to="5838,6131" coordsize="21600,21600" stroked="t" strokecolor="black"/>
            <v:line id="_x0000_s1155" o:spid="_x0000_s1154" style="position:absolute" from="5847,6131" to="8099,6131" coordsize="21600,21600" stroked="t" strokecolor="black"/>
            <v:line id="_x0000_s1156" o:spid="_x0000_s1155" style="position:absolute" from="8109,6131" to="10360,6131" coordsize="21600,21600" stroked="t" strokecolor="black"/>
            <v:line id="_x0000_s1157" o:spid="_x0000_s1156" style="position:absolute" from="1971,6423" to="2674,6423" coordsize="21600,21600" stroked="t" strokecolor="black"/>
            <v:line id="_x0000_s1158" o:spid="_x0000_s1157" style="position:absolute" from="2684,6423" to="5838,6423" coordsize="21600,21600" stroked="t" strokecolor="black"/>
            <v:line id="_x0000_s1159" o:spid="_x0000_s1158" style="position:absolute" from="5847,6423" to="8099,6423" coordsize="21600,21600" stroked="t" strokecolor="black"/>
            <v:line id="_x0000_s1160" o:spid="_x0000_s1159" style="position:absolute" from="8109,6423" to="10360,6423" coordsize="21600,21600" stroked="t" strokecolor="black"/>
            <v:line id="_x0000_s1161" o:spid="_x0000_s1160" style="position:absolute" from="1971,6716" to="2674,6716" coordsize="21600,21600" stroked="t" strokecolor="black"/>
            <v:line id="_x0000_s1162" o:spid="_x0000_s1161" style="position:absolute" from="2684,6716" to="5838,6716" coordsize="21600,21600" stroked="t" strokecolor="black"/>
            <v:line id="_x0000_s1163" o:spid="_x0000_s1162" style="position:absolute" from="5847,6716" to="8099,6716" coordsize="21600,21600" stroked="t" strokecolor="black"/>
            <v:line id="_x0000_s1164" o:spid="_x0000_s1163" style="position:absolute" from="8109,6716" to="10360,6716" coordsize="21600,21600" stroked="t" strokecolor="black"/>
            <v:line id="_x0000_s1165" o:spid="_x0000_s1164" style="position:absolute" from="1971,7009" to="2674,7009" coordsize="21600,21600" stroked="t" strokecolor="black"/>
            <v:line id="_x0000_s1166" o:spid="_x0000_s1165" style="position:absolute" from="2684,7009" to="5838,7009" coordsize="21600,21600" stroked="t" strokecolor="black"/>
            <v:line id="_x0000_s1167" o:spid="_x0000_s1166" style="position:absolute" from="5847,7009" to="8099,7009" coordsize="21600,21600" stroked="t" strokecolor="black"/>
            <v:line id="_x0000_s1168" o:spid="_x0000_s1167" style="position:absolute" from="8109,7009" to="10360,7009" coordsize="21600,21600" stroked="t" strokecolor="black"/>
            <v:line id="_x0000_s1169" o:spid="_x0000_s1168" style="position:absolute" from="1971,7302" to="2674,7302" coordsize="21600,21600" stroked="t" strokecolor="black"/>
            <v:line id="_x0000_s1170" o:spid="_x0000_s1169" style="position:absolute" from="2684,7302" to="5838,7302" coordsize="21600,21600" stroked="t" strokecolor="black"/>
            <v:line id="_x0000_s1171" o:spid="_x0000_s1170" style="position:absolute" from="5847,7302" to="8099,7302" coordsize="21600,21600" stroked="t" strokecolor="black"/>
            <v:line id="_x0000_s1172" o:spid="_x0000_s1171" style="position:absolute" from="8109,7302" to="10360,7302" coordsize="21600,21600" stroked="t" strokecolor="black"/>
            <v:line id="_x0000_s1173" o:spid="_x0000_s1172" style="position:absolute" from="1971,7595" to="2674,7595" coordsize="21600,21600" stroked="t" strokecolor="black"/>
            <v:line id="_x0000_s1174" o:spid="_x0000_s1173" style="position:absolute" from="2684,7595" to="5838,7595" coordsize="21600,21600" stroked="t" strokecolor="black"/>
            <v:line id="_x0000_s1175" o:spid="_x0000_s1174" style="position:absolute" from="5847,7595" to="8099,7595" coordsize="21600,21600" stroked="t" strokecolor="black"/>
            <v:line id="_x0000_s1176" o:spid="_x0000_s1175" style="position:absolute" from="8109,7595" to="10360,7595" coordsize="21600,21600" stroked="t" strokecolor="black"/>
            <v:line id="_x0000_s1177" o:spid="_x0000_s1176" style="position:absolute" from="1966,5833" to="1966,7895" coordsize="21600,21600" stroked="t" strokecolor="black"/>
            <v:line id="_x0000_s1178" o:spid="_x0000_s1177" style="position:absolute" from="1971,7890" to="2674,7890" coordsize="21600,21600" stroked="t" strokecolor="black"/>
            <v:line id="_x0000_s1179" o:spid="_x0000_s1178" style="position:absolute" from="2679,5833" to="2679,7895" coordsize="21600,21600" stroked="t" strokecolor="black"/>
            <v:line id="_x0000_s1180" o:spid="_x0000_s1179" style="position:absolute" from="2684,7890" to="5838,7890" coordsize="21600,21600" stroked="t" strokecolor="black"/>
            <v:line id="_x0000_s1181" o:spid="_x0000_s1180" style="position:absolute" from="5843,5833" to="5843,7895" coordsize="21600,21600" stroked="t" strokecolor="black"/>
            <v:line id="_x0000_s1182" o:spid="_x0000_s1181" style="position:absolute" from="5847,7890" to="8099,7890" coordsize="21600,21600" stroked="t" strokecolor="black"/>
            <v:line id="_x0000_s1183" o:spid="_x0000_s1182" style="position:absolute" from="8104,5833" to="8104,7895" coordsize="21600,21600" stroked="t" strokecolor="black"/>
            <v:line id="_x0000_s1184" o:spid="_x0000_s1183" style="position:absolute" from="8109,7890" to="10360,7890" coordsize="21600,21600" stroked="t" strokecolor="black"/>
            <v:line id="_x0000_s1185" o:spid="_x0000_s1184" style="position:absolute" from="10365,5833" to="10365,7895" coordsize="21600,21600" stroked="t" strokecolor="black"/>
          </v:group>
        </w:pict>
      </w:r>
      <w:r>
        <w:pict>
          <v:shape id="_x0000_s1186" o:spid="_x0000_s1185" type="#_x0000_t202" style="width:420.7pt;height:73.75pt;margin-top:563.3pt;margin-left:98.05pt;mso-height-relative:page;mso-position-horizontal-relative:page;mso-position-vertical-relative:page;mso-width-relative:page;position:absolute;z-index:25167564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10"/>
                    <w:gridCol w:w="1368"/>
                    <w:gridCol w:w="2618"/>
                    <w:gridCol w:w="1985"/>
                    <w:gridCol w:w="1716"/>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83"/>
                    </w:trPr>
                    <w:tc>
                      <w:tcPr>
                        <w:tcW w:w="710" w:type="dxa"/>
                      </w:tcPr>
                      <w:p>
                        <w:pPr>
                          <w:pStyle w:val="TableParagraph"/>
                          <w:spacing w:before="24"/>
                          <w:ind w:left="156" w:right="142"/>
                          <w:jc w:val="center"/>
                          <w:rPr>
                            <w:b/>
                            <w:sz w:val="18"/>
                          </w:rPr>
                        </w:pPr>
                        <w:r>
                          <w:rPr>
                            <w:b/>
                            <w:sz w:val="18"/>
                          </w:rPr>
                          <w:t>序号</w:t>
                        </w:r>
                      </w:p>
                    </w:tc>
                    <w:tc>
                      <w:tcPr>
                        <w:tcW w:w="3986" w:type="dxa"/>
                        <w:gridSpan w:val="2"/>
                      </w:tcPr>
                      <w:p>
                        <w:pPr>
                          <w:pStyle w:val="TableParagraph"/>
                          <w:spacing w:before="24"/>
                          <w:ind w:left="1794" w:right="1780"/>
                          <w:jc w:val="center"/>
                          <w:rPr>
                            <w:b/>
                            <w:sz w:val="18"/>
                          </w:rPr>
                        </w:pPr>
                        <w:r>
                          <w:rPr>
                            <w:b/>
                            <w:sz w:val="18"/>
                          </w:rPr>
                          <w:t>成分</w:t>
                        </w:r>
                      </w:p>
                    </w:tc>
                    <w:tc>
                      <w:tcPr>
                        <w:tcW w:w="1985" w:type="dxa"/>
                      </w:tcPr>
                      <w:p>
                        <w:pPr>
                          <w:pStyle w:val="TableParagraph"/>
                          <w:spacing w:before="24"/>
                          <w:ind w:left="645" w:right="628"/>
                          <w:jc w:val="center"/>
                          <w:rPr>
                            <w:b/>
                            <w:sz w:val="18"/>
                          </w:rPr>
                        </w:pPr>
                        <w:r>
                          <w:rPr>
                            <w:rFonts w:ascii="Times New Roman" w:eastAsia="Times New Roman"/>
                            <w:b/>
                            <w:sz w:val="18"/>
                          </w:rPr>
                          <w:t xml:space="preserve">CAS </w:t>
                        </w:r>
                        <w:r>
                          <w:rPr>
                            <w:b/>
                            <w:sz w:val="18"/>
                          </w:rPr>
                          <w:t>号</w:t>
                        </w:r>
                      </w:p>
                    </w:tc>
                    <w:tc>
                      <w:tcPr>
                        <w:tcW w:w="1716" w:type="dxa"/>
                      </w:tcPr>
                      <w:p>
                        <w:pPr>
                          <w:pStyle w:val="TableParagraph"/>
                          <w:spacing w:before="24"/>
                          <w:ind w:left="568" w:right="555"/>
                          <w:jc w:val="center"/>
                          <w:rPr>
                            <w:rFonts w:ascii="Times New Roman" w:eastAsia="Times New Roman"/>
                            <w:b/>
                            <w:sz w:val="18"/>
                          </w:rPr>
                        </w:pPr>
                        <w:r>
                          <w:rPr>
                            <w:b/>
                            <w:sz w:val="18"/>
                          </w:rPr>
                          <w:t>含量</w:t>
                        </w:r>
                        <w:r>
                          <w:rPr>
                            <w:rFonts w:ascii="Times New Roman" w:eastAsia="Times New Roman"/>
                            <w:b/>
                            <w:sz w:val="18"/>
                          </w:rPr>
                          <w:t>%</w:t>
                        </w:r>
                      </w:p>
                    </w:tc>
                  </w:tr>
                  <w:tr>
                    <w:tblPrEx>
                      <w:tblW w:w="0" w:type="auto"/>
                      <w:tblInd w:w="5" w:type="dxa"/>
                      <w:tblLayout w:type="fixed"/>
                      <w:tblCellMar>
                        <w:top w:w="0" w:type="dxa"/>
                        <w:left w:w="0" w:type="dxa"/>
                        <w:bottom w:w="0" w:type="dxa"/>
                        <w:right w:w="0" w:type="dxa"/>
                      </w:tblCellMar>
                    </w:tblPrEx>
                    <w:trPr>
                      <w:trHeight w:val="282"/>
                    </w:trPr>
                    <w:tc>
                      <w:tcPr>
                        <w:tcW w:w="710" w:type="dxa"/>
                      </w:tcPr>
                      <w:p>
                        <w:pPr>
                          <w:pStyle w:val="TableParagraph"/>
                          <w:spacing w:before="38"/>
                          <w:ind w:left="13"/>
                          <w:jc w:val="center"/>
                          <w:rPr>
                            <w:rFonts w:ascii="Times New Roman"/>
                            <w:sz w:val="18"/>
                          </w:rPr>
                        </w:pPr>
                        <w:r>
                          <w:rPr>
                            <w:rFonts w:ascii="Times New Roman"/>
                            <w:sz w:val="18"/>
                          </w:rPr>
                          <w:t>1</w:t>
                        </w:r>
                      </w:p>
                    </w:tc>
                    <w:tc>
                      <w:tcPr>
                        <w:tcW w:w="1368" w:type="dxa"/>
                        <w:vMerge w:val="restart"/>
                      </w:tcPr>
                      <w:p>
                        <w:pPr>
                          <w:pStyle w:val="TableParagraph"/>
                          <w:spacing w:before="67" w:line="207" w:lineRule="exact"/>
                          <w:ind w:left="121" w:right="109"/>
                          <w:jc w:val="center"/>
                          <w:rPr>
                            <w:rFonts w:ascii="Times New Roman"/>
                            <w:sz w:val="18"/>
                          </w:rPr>
                        </w:pPr>
                        <w:r>
                          <w:rPr>
                            <w:rFonts w:ascii="Times New Roman"/>
                            <w:sz w:val="18"/>
                          </w:rPr>
                          <w:t>7755A</w:t>
                        </w:r>
                      </w:p>
                      <w:p>
                        <w:pPr>
                          <w:pStyle w:val="TableParagraph"/>
                          <w:spacing w:line="230" w:lineRule="exact"/>
                          <w:ind w:left="121" w:right="111"/>
                          <w:jc w:val="center"/>
                          <w:rPr>
                            <w:sz w:val="18"/>
                          </w:rPr>
                        </w:pPr>
                        <w:r>
                          <w:rPr>
                            <w:sz w:val="18"/>
                          </w:rPr>
                          <w:t>（主剂）</w:t>
                        </w:r>
                      </w:p>
                    </w:tc>
                    <w:tc>
                      <w:tcPr>
                        <w:tcW w:w="2618" w:type="dxa"/>
                      </w:tcPr>
                      <w:p>
                        <w:pPr>
                          <w:pStyle w:val="TableParagraph"/>
                          <w:spacing w:before="24"/>
                          <w:ind w:left="659" w:right="648"/>
                          <w:jc w:val="center"/>
                          <w:rPr>
                            <w:sz w:val="18"/>
                          </w:rPr>
                        </w:pPr>
                        <w:r>
                          <w:rPr>
                            <w:sz w:val="18"/>
                          </w:rPr>
                          <w:t>芳香族异氰酸酯</w:t>
                        </w:r>
                      </w:p>
                    </w:tc>
                    <w:tc>
                      <w:tcPr>
                        <w:tcW w:w="1985" w:type="dxa"/>
                      </w:tcPr>
                      <w:p>
                        <w:pPr>
                          <w:pStyle w:val="TableParagraph"/>
                          <w:spacing w:before="38"/>
                          <w:ind w:left="17"/>
                          <w:jc w:val="center"/>
                          <w:rPr>
                            <w:rFonts w:ascii="Times New Roman"/>
                            <w:sz w:val="18"/>
                          </w:rPr>
                        </w:pPr>
                        <w:r>
                          <w:rPr>
                            <w:rFonts w:ascii="Times New Roman"/>
                            <w:sz w:val="18"/>
                          </w:rPr>
                          <w:t>/</w:t>
                        </w:r>
                      </w:p>
                    </w:tc>
                    <w:tc>
                      <w:tcPr>
                        <w:tcW w:w="1716" w:type="dxa"/>
                      </w:tcPr>
                      <w:p>
                        <w:pPr>
                          <w:pStyle w:val="TableParagraph"/>
                          <w:spacing w:before="38"/>
                          <w:ind w:left="568" w:right="552"/>
                          <w:jc w:val="center"/>
                          <w:rPr>
                            <w:rFonts w:ascii="Times New Roman"/>
                            <w:sz w:val="18"/>
                          </w:rPr>
                        </w:pPr>
                        <w:r>
                          <w:rPr>
                            <w:rFonts w:ascii="Times New Roman"/>
                            <w:sz w:val="18"/>
                          </w:rPr>
                          <w:t>85</w:t>
                        </w:r>
                      </w:p>
                    </w:tc>
                  </w:tr>
                  <w:tr>
                    <w:tblPrEx>
                      <w:tblW w:w="0" w:type="auto"/>
                      <w:tblInd w:w="5" w:type="dxa"/>
                      <w:tblLayout w:type="fixed"/>
                      <w:tblCellMar>
                        <w:top w:w="0" w:type="dxa"/>
                        <w:left w:w="0" w:type="dxa"/>
                        <w:bottom w:w="0" w:type="dxa"/>
                        <w:right w:w="0" w:type="dxa"/>
                      </w:tblCellMar>
                    </w:tblPrEx>
                    <w:trPr>
                      <w:trHeight w:val="282"/>
                    </w:trPr>
                    <w:tc>
                      <w:tcPr>
                        <w:tcW w:w="710" w:type="dxa"/>
                      </w:tcPr>
                      <w:p>
                        <w:pPr>
                          <w:pStyle w:val="TableParagraph"/>
                          <w:spacing w:before="38"/>
                          <w:ind w:left="13"/>
                          <w:jc w:val="center"/>
                          <w:rPr>
                            <w:rFonts w:ascii="Times New Roman"/>
                            <w:sz w:val="18"/>
                          </w:rPr>
                        </w:pPr>
                        <w:r>
                          <w:rPr>
                            <w:rFonts w:ascii="Times New Roman"/>
                            <w:sz w:val="18"/>
                          </w:rPr>
                          <w:t>2</w:t>
                        </w:r>
                      </w:p>
                    </w:tc>
                    <w:tc>
                      <w:tcPr>
                        <w:tcW w:w="1368" w:type="dxa"/>
                        <w:vMerge/>
                        <w:tcBorders>
                          <w:top w:val="nil"/>
                        </w:tcBorders>
                      </w:tcPr>
                      <w:p>
                        <w:pPr>
                          <w:rPr>
                            <w:sz w:val="2"/>
                            <w:szCs w:val="2"/>
                          </w:rPr>
                        </w:pPr>
                      </w:p>
                    </w:tc>
                    <w:tc>
                      <w:tcPr>
                        <w:tcW w:w="2618" w:type="dxa"/>
                      </w:tcPr>
                      <w:p>
                        <w:pPr>
                          <w:pStyle w:val="TableParagraph"/>
                          <w:spacing w:before="23"/>
                          <w:ind w:left="659" w:right="645"/>
                          <w:jc w:val="center"/>
                          <w:rPr>
                            <w:sz w:val="18"/>
                          </w:rPr>
                        </w:pPr>
                        <w:r>
                          <w:rPr>
                            <w:sz w:val="18"/>
                          </w:rPr>
                          <w:t>乙酸乙酯</w:t>
                        </w:r>
                      </w:p>
                    </w:tc>
                    <w:tc>
                      <w:tcPr>
                        <w:tcW w:w="1985" w:type="dxa"/>
                      </w:tcPr>
                      <w:p>
                        <w:pPr>
                          <w:pStyle w:val="TableParagraph"/>
                          <w:spacing w:before="38"/>
                          <w:ind w:left="646" w:right="628"/>
                          <w:jc w:val="center"/>
                          <w:rPr>
                            <w:rFonts w:ascii="Times New Roman"/>
                            <w:sz w:val="18"/>
                          </w:rPr>
                        </w:pPr>
                        <w:r>
                          <w:rPr>
                            <w:rFonts w:ascii="Times New Roman"/>
                            <w:sz w:val="18"/>
                          </w:rPr>
                          <w:t>141-78-6</w:t>
                        </w:r>
                      </w:p>
                    </w:tc>
                    <w:tc>
                      <w:tcPr>
                        <w:tcW w:w="1716" w:type="dxa"/>
                      </w:tcPr>
                      <w:p>
                        <w:pPr>
                          <w:pStyle w:val="TableParagraph"/>
                          <w:spacing w:before="38"/>
                          <w:ind w:left="568" w:right="552"/>
                          <w:jc w:val="center"/>
                          <w:rPr>
                            <w:rFonts w:ascii="Times New Roman"/>
                            <w:sz w:val="18"/>
                          </w:rPr>
                        </w:pPr>
                        <w:r>
                          <w:rPr>
                            <w:rFonts w:ascii="Times New Roman"/>
                            <w:sz w:val="18"/>
                          </w:rPr>
                          <w:t>15</w:t>
                        </w:r>
                      </w:p>
                    </w:tc>
                  </w:tr>
                  <w:tr>
                    <w:tblPrEx>
                      <w:tblW w:w="0" w:type="auto"/>
                      <w:tblInd w:w="5" w:type="dxa"/>
                      <w:tblLayout w:type="fixed"/>
                      <w:tblCellMar>
                        <w:top w:w="0" w:type="dxa"/>
                        <w:left w:w="0" w:type="dxa"/>
                        <w:bottom w:w="0" w:type="dxa"/>
                        <w:right w:w="0" w:type="dxa"/>
                      </w:tblCellMar>
                    </w:tblPrEx>
                    <w:trPr>
                      <w:trHeight w:val="282"/>
                    </w:trPr>
                    <w:tc>
                      <w:tcPr>
                        <w:tcW w:w="710" w:type="dxa"/>
                      </w:tcPr>
                      <w:p>
                        <w:pPr>
                          <w:pStyle w:val="TableParagraph"/>
                          <w:spacing w:before="38"/>
                          <w:ind w:left="13"/>
                          <w:jc w:val="center"/>
                          <w:rPr>
                            <w:rFonts w:ascii="Times New Roman"/>
                            <w:sz w:val="18"/>
                          </w:rPr>
                        </w:pPr>
                        <w:r>
                          <w:rPr>
                            <w:rFonts w:ascii="Times New Roman"/>
                            <w:sz w:val="18"/>
                          </w:rPr>
                          <w:t>3</w:t>
                        </w:r>
                      </w:p>
                    </w:tc>
                    <w:tc>
                      <w:tcPr>
                        <w:tcW w:w="1368" w:type="dxa"/>
                        <w:vMerge w:val="restart"/>
                      </w:tcPr>
                      <w:p>
                        <w:pPr>
                          <w:pStyle w:val="TableParagraph"/>
                          <w:spacing w:before="67" w:line="207" w:lineRule="exact"/>
                          <w:ind w:left="121" w:right="109"/>
                          <w:jc w:val="center"/>
                          <w:rPr>
                            <w:rFonts w:ascii="Times New Roman"/>
                            <w:sz w:val="18"/>
                          </w:rPr>
                        </w:pPr>
                        <w:r>
                          <w:rPr>
                            <w:rFonts w:ascii="Times New Roman"/>
                            <w:sz w:val="18"/>
                          </w:rPr>
                          <w:t>7755B</w:t>
                        </w:r>
                      </w:p>
                      <w:p>
                        <w:pPr>
                          <w:pStyle w:val="TableParagraph"/>
                          <w:spacing w:line="230" w:lineRule="exact"/>
                          <w:ind w:left="121" w:right="114"/>
                          <w:jc w:val="center"/>
                          <w:rPr>
                            <w:sz w:val="18"/>
                          </w:rPr>
                        </w:pPr>
                        <w:r>
                          <w:rPr>
                            <w:sz w:val="18"/>
                          </w:rPr>
                          <w:t>（固化剂）</w:t>
                        </w:r>
                      </w:p>
                    </w:tc>
                    <w:tc>
                      <w:tcPr>
                        <w:tcW w:w="2618" w:type="dxa"/>
                      </w:tcPr>
                      <w:p>
                        <w:pPr>
                          <w:pStyle w:val="TableParagraph"/>
                          <w:spacing w:before="23"/>
                          <w:ind w:left="659" w:right="648"/>
                          <w:jc w:val="center"/>
                          <w:rPr>
                            <w:sz w:val="18"/>
                          </w:rPr>
                        </w:pPr>
                        <w:r>
                          <w:rPr>
                            <w:sz w:val="18"/>
                          </w:rPr>
                          <w:t>芳香族异氰酸酯</w:t>
                        </w:r>
                      </w:p>
                    </w:tc>
                    <w:tc>
                      <w:tcPr>
                        <w:tcW w:w="1985" w:type="dxa"/>
                      </w:tcPr>
                      <w:p>
                        <w:pPr>
                          <w:pStyle w:val="TableParagraph"/>
                          <w:spacing w:before="38"/>
                          <w:ind w:left="17"/>
                          <w:jc w:val="center"/>
                          <w:rPr>
                            <w:rFonts w:ascii="Times New Roman"/>
                            <w:sz w:val="18"/>
                          </w:rPr>
                        </w:pPr>
                        <w:r>
                          <w:rPr>
                            <w:rFonts w:ascii="Times New Roman"/>
                            <w:sz w:val="18"/>
                          </w:rPr>
                          <w:t>/</w:t>
                        </w:r>
                      </w:p>
                    </w:tc>
                    <w:tc>
                      <w:tcPr>
                        <w:tcW w:w="1716" w:type="dxa"/>
                      </w:tcPr>
                      <w:p>
                        <w:pPr>
                          <w:pStyle w:val="TableParagraph"/>
                          <w:spacing w:before="38"/>
                          <w:ind w:left="568" w:right="552"/>
                          <w:jc w:val="center"/>
                          <w:rPr>
                            <w:rFonts w:ascii="Times New Roman"/>
                            <w:sz w:val="18"/>
                          </w:rPr>
                        </w:pPr>
                        <w:r>
                          <w:rPr>
                            <w:rFonts w:ascii="Times New Roman"/>
                            <w:sz w:val="18"/>
                          </w:rPr>
                          <w:t>85</w:t>
                        </w:r>
                      </w:p>
                    </w:tc>
                  </w:tr>
                  <w:tr>
                    <w:tblPrEx>
                      <w:tblW w:w="0" w:type="auto"/>
                      <w:tblInd w:w="5" w:type="dxa"/>
                      <w:tblLayout w:type="fixed"/>
                      <w:tblCellMar>
                        <w:top w:w="0" w:type="dxa"/>
                        <w:left w:w="0" w:type="dxa"/>
                        <w:bottom w:w="0" w:type="dxa"/>
                        <w:right w:w="0" w:type="dxa"/>
                      </w:tblCellMar>
                    </w:tblPrEx>
                    <w:trPr>
                      <w:trHeight w:val="282"/>
                    </w:trPr>
                    <w:tc>
                      <w:tcPr>
                        <w:tcW w:w="710" w:type="dxa"/>
                      </w:tcPr>
                      <w:p>
                        <w:pPr>
                          <w:pStyle w:val="TableParagraph"/>
                          <w:spacing w:before="38"/>
                          <w:ind w:left="13"/>
                          <w:jc w:val="center"/>
                          <w:rPr>
                            <w:rFonts w:ascii="Times New Roman"/>
                            <w:sz w:val="18"/>
                          </w:rPr>
                        </w:pPr>
                        <w:r>
                          <w:rPr>
                            <w:rFonts w:ascii="Times New Roman"/>
                            <w:sz w:val="18"/>
                          </w:rPr>
                          <w:t>4</w:t>
                        </w:r>
                      </w:p>
                    </w:tc>
                    <w:tc>
                      <w:tcPr>
                        <w:tcW w:w="1368" w:type="dxa"/>
                        <w:vMerge/>
                        <w:tcBorders>
                          <w:top w:val="nil"/>
                        </w:tcBorders>
                      </w:tcPr>
                      <w:p>
                        <w:pPr>
                          <w:rPr>
                            <w:sz w:val="2"/>
                            <w:szCs w:val="2"/>
                          </w:rPr>
                        </w:pPr>
                      </w:p>
                    </w:tc>
                    <w:tc>
                      <w:tcPr>
                        <w:tcW w:w="2618" w:type="dxa"/>
                      </w:tcPr>
                      <w:p>
                        <w:pPr>
                          <w:pStyle w:val="TableParagraph"/>
                          <w:spacing w:before="23"/>
                          <w:ind w:left="659" w:right="645"/>
                          <w:jc w:val="center"/>
                          <w:rPr>
                            <w:sz w:val="18"/>
                          </w:rPr>
                        </w:pPr>
                        <w:r>
                          <w:rPr>
                            <w:sz w:val="18"/>
                          </w:rPr>
                          <w:t>乙酸乙酯</w:t>
                        </w:r>
                      </w:p>
                    </w:tc>
                    <w:tc>
                      <w:tcPr>
                        <w:tcW w:w="1985" w:type="dxa"/>
                      </w:tcPr>
                      <w:p>
                        <w:pPr>
                          <w:pStyle w:val="TableParagraph"/>
                          <w:spacing w:before="38"/>
                          <w:ind w:left="646" w:right="628"/>
                          <w:jc w:val="center"/>
                          <w:rPr>
                            <w:rFonts w:ascii="Times New Roman"/>
                            <w:sz w:val="18"/>
                          </w:rPr>
                        </w:pPr>
                        <w:r>
                          <w:rPr>
                            <w:rFonts w:ascii="Times New Roman"/>
                            <w:sz w:val="18"/>
                          </w:rPr>
                          <w:t>141-78-6</w:t>
                        </w:r>
                      </w:p>
                    </w:tc>
                    <w:tc>
                      <w:tcPr>
                        <w:tcW w:w="1716" w:type="dxa"/>
                      </w:tcPr>
                      <w:p>
                        <w:pPr>
                          <w:pStyle w:val="TableParagraph"/>
                          <w:spacing w:before="38"/>
                          <w:ind w:left="568" w:right="552"/>
                          <w:jc w:val="center"/>
                          <w:rPr>
                            <w:rFonts w:ascii="Times New Roman"/>
                            <w:sz w:val="18"/>
                          </w:rPr>
                        </w:pPr>
                        <w:r>
                          <w:rPr>
                            <w:rFonts w:ascii="Times New Roman"/>
                            <w:sz w:val="18"/>
                          </w:rPr>
                          <w:t>15</w:t>
                        </w:r>
                      </w:p>
                    </w:tc>
                  </w:tr>
                </w:tbl>
                <w:p>
                  <w:pPr>
                    <w:pStyle w:val="BodyText"/>
                  </w:pPr>
                </w:p>
              </w:txbxContent>
            </v:textbox>
          </v:shape>
        </w:pict>
      </w:r>
      <w:r>
        <w:pict>
          <v:shape id="_x0000_s1187" o:spid="_x0000_s1186" type="#_x0000_t202" style="width:420pt;height:102.6pt;margin-top:291.85pt;margin-left:98.3pt;mso-height-relative:page;mso-position-horizontal-relative:page;mso-position-vertical-relative:page;mso-width-relative:page;position:absolute;z-index:251676672" coordsize="21600,21600" filled="f" stroked="f">
            <v:stroke joinstyle="miter"/>
            <v:textbox inset="0,0,0,0">
              <w:txbxContent>
                <w:tbl>
                  <w:tblPr>
                    <w:tblStyle w:val="TableNormal"/>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713"/>
                    <w:gridCol w:w="3164"/>
                    <w:gridCol w:w="2261"/>
                    <w:gridCol w:w="2261"/>
                  </w:tblGrid>
                  <w:tr>
                    <w:tblPrEx>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292"/>
                    </w:trPr>
                    <w:tc>
                      <w:tcPr>
                        <w:tcW w:w="713" w:type="dxa"/>
                      </w:tcPr>
                      <w:p>
                        <w:pPr>
                          <w:pStyle w:val="TableParagraph"/>
                          <w:rPr>
                            <w:rFonts w:ascii="Times New Roman"/>
                            <w:sz w:val="18"/>
                          </w:rPr>
                        </w:pPr>
                      </w:p>
                    </w:tc>
                    <w:tc>
                      <w:tcPr>
                        <w:tcW w:w="3164" w:type="dxa"/>
                      </w:tcPr>
                      <w:p>
                        <w:pPr>
                          <w:pStyle w:val="TableParagraph"/>
                          <w:rPr>
                            <w:rFonts w:ascii="Times New Roman"/>
                            <w:sz w:val="18"/>
                          </w:rPr>
                        </w:pPr>
                      </w:p>
                    </w:tc>
                    <w:tc>
                      <w:tcPr>
                        <w:tcW w:w="2261" w:type="dxa"/>
                      </w:tcPr>
                      <w:p>
                        <w:pPr>
                          <w:pStyle w:val="TableParagraph"/>
                          <w:rPr>
                            <w:rFonts w:ascii="Times New Roman"/>
                            <w:sz w:val="18"/>
                          </w:rPr>
                        </w:pPr>
                      </w:p>
                    </w:tc>
                    <w:tc>
                      <w:tcPr>
                        <w:tcW w:w="2261"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92"/>
                    </w:trPr>
                    <w:tc>
                      <w:tcPr>
                        <w:tcW w:w="713" w:type="dxa"/>
                      </w:tcPr>
                      <w:p>
                        <w:pPr>
                          <w:pStyle w:val="TableParagraph"/>
                          <w:rPr>
                            <w:rFonts w:ascii="Times New Roman"/>
                            <w:sz w:val="18"/>
                          </w:rPr>
                        </w:pPr>
                      </w:p>
                    </w:tc>
                    <w:tc>
                      <w:tcPr>
                        <w:tcW w:w="3164" w:type="dxa"/>
                      </w:tcPr>
                      <w:p>
                        <w:pPr>
                          <w:pStyle w:val="TableParagraph"/>
                          <w:rPr>
                            <w:rFonts w:ascii="Times New Roman"/>
                            <w:sz w:val="18"/>
                          </w:rPr>
                        </w:pPr>
                      </w:p>
                    </w:tc>
                    <w:tc>
                      <w:tcPr>
                        <w:tcW w:w="2261" w:type="dxa"/>
                      </w:tcPr>
                      <w:p>
                        <w:pPr>
                          <w:pStyle w:val="TableParagraph"/>
                          <w:rPr>
                            <w:rFonts w:ascii="Times New Roman"/>
                            <w:sz w:val="18"/>
                          </w:rPr>
                        </w:pPr>
                      </w:p>
                    </w:tc>
                    <w:tc>
                      <w:tcPr>
                        <w:tcW w:w="2261"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92"/>
                    </w:trPr>
                    <w:tc>
                      <w:tcPr>
                        <w:tcW w:w="713" w:type="dxa"/>
                      </w:tcPr>
                      <w:p>
                        <w:pPr>
                          <w:pStyle w:val="TableParagraph"/>
                          <w:rPr>
                            <w:rFonts w:ascii="Times New Roman"/>
                            <w:sz w:val="18"/>
                          </w:rPr>
                        </w:pPr>
                      </w:p>
                    </w:tc>
                    <w:tc>
                      <w:tcPr>
                        <w:tcW w:w="3164" w:type="dxa"/>
                      </w:tcPr>
                      <w:p>
                        <w:pPr>
                          <w:pStyle w:val="TableParagraph"/>
                          <w:rPr>
                            <w:rFonts w:ascii="Times New Roman"/>
                            <w:sz w:val="18"/>
                          </w:rPr>
                        </w:pPr>
                      </w:p>
                    </w:tc>
                    <w:tc>
                      <w:tcPr>
                        <w:tcW w:w="2261" w:type="dxa"/>
                      </w:tcPr>
                      <w:p>
                        <w:pPr>
                          <w:pStyle w:val="TableParagraph"/>
                          <w:rPr>
                            <w:rFonts w:ascii="Times New Roman"/>
                            <w:sz w:val="18"/>
                          </w:rPr>
                        </w:pPr>
                      </w:p>
                    </w:tc>
                    <w:tc>
                      <w:tcPr>
                        <w:tcW w:w="2261"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92"/>
                    </w:trPr>
                    <w:tc>
                      <w:tcPr>
                        <w:tcW w:w="713" w:type="dxa"/>
                      </w:tcPr>
                      <w:p>
                        <w:pPr>
                          <w:pStyle w:val="TableParagraph"/>
                          <w:rPr>
                            <w:rFonts w:ascii="Times New Roman"/>
                            <w:sz w:val="18"/>
                          </w:rPr>
                        </w:pPr>
                      </w:p>
                    </w:tc>
                    <w:tc>
                      <w:tcPr>
                        <w:tcW w:w="3164" w:type="dxa"/>
                      </w:tcPr>
                      <w:p>
                        <w:pPr>
                          <w:pStyle w:val="TableParagraph"/>
                          <w:rPr>
                            <w:rFonts w:ascii="Times New Roman"/>
                            <w:sz w:val="18"/>
                          </w:rPr>
                        </w:pPr>
                      </w:p>
                    </w:tc>
                    <w:tc>
                      <w:tcPr>
                        <w:tcW w:w="2261" w:type="dxa"/>
                      </w:tcPr>
                      <w:p>
                        <w:pPr>
                          <w:pStyle w:val="TableParagraph"/>
                          <w:rPr>
                            <w:rFonts w:ascii="Times New Roman"/>
                            <w:sz w:val="18"/>
                          </w:rPr>
                        </w:pPr>
                      </w:p>
                    </w:tc>
                    <w:tc>
                      <w:tcPr>
                        <w:tcW w:w="2261"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92"/>
                    </w:trPr>
                    <w:tc>
                      <w:tcPr>
                        <w:tcW w:w="713" w:type="dxa"/>
                      </w:tcPr>
                      <w:p>
                        <w:pPr>
                          <w:pStyle w:val="TableParagraph"/>
                          <w:rPr>
                            <w:rFonts w:ascii="Times New Roman"/>
                            <w:sz w:val="18"/>
                          </w:rPr>
                        </w:pPr>
                      </w:p>
                    </w:tc>
                    <w:tc>
                      <w:tcPr>
                        <w:tcW w:w="3164" w:type="dxa"/>
                      </w:tcPr>
                      <w:p>
                        <w:pPr>
                          <w:pStyle w:val="TableParagraph"/>
                          <w:rPr>
                            <w:rFonts w:ascii="Times New Roman"/>
                            <w:sz w:val="18"/>
                          </w:rPr>
                        </w:pPr>
                      </w:p>
                    </w:tc>
                    <w:tc>
                      <w:tcPr>
                        <w:tcW w:w="2261" w:type="dxa"/>
                      </w:tcPr>
                      <w:p>
                        <w:pPr>
                          <w:pStyle w:val="TableParagraph"/>
                          <w:rPr>
                            <w:rFonts w:ascii="Times New Roman"/>
                            <w:sz w:val="18"/>
                          </w:rPr>
                        </w:pPr>
                      </w:p>
                    </w:tc>
                    <w:tc>
                      <w:tcPr>
                        <w:tcW w:w="2261"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92"/>
                    </w:trPr>
                    <w:tc>
                      <w:tcPr>
                        <w:tcW w:w="713" w:type="dxa"/>
                      </w:tcPr>
                      <w:p>
                        <w:pPr>
                          <w:pStyle w:val="TableParagraph"/>
                          <w:rPr>
                            <w:rFonts w:ascii="Times New Roman"/>
                            <w:sz w:val="18"/>
                          </w:rPr>
                        </w:pPr>
                      </w:p>
                    </w:tc>
                    <w:tc>
                      <w:tcPr>
                        <w:tcW w:w="3164" w:type="dxa"/>
                      </w:tcPr>
                      <w:p>
                        <w:pPr>
                          <w:pStyle w:val="TableParagraph"/>
                          <w:rPr>
                            <w:rFonts w:ascii="Times New Roman"/>
                            <w:sz w:val="18"/>
                          </w:rPr>
                        </w:pPr>
                      </w:p>
                    </w:tc>
                    <w:tc>
                      <w:tcPr>
                        <w:tcW w:w="2261" w:type="dxa"/>
                      </w:tcPr>
                      <w:p>
                        <w:pPr>
                          <w:pStyle w:val="TableParagraph"/>
                          <w:rPr>
                            <w:rFonts w:ascii="Times New Roman"/>
                            <w:sz w:val="18"/>
                          </w:rPr>
                        </w:pPr>
                      </w:p>
                    </w:tc>
                    <w:tc>
                      <w:tcPr>
                        <w:tcW w:w="2261"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95"/>
                    </w:trPr>
                    <w:tc>
                      <w:tcPr>
                        <w:tcW w:w="713" w:type="dxa"/>
                      </w:tcPr>
                      <w:p>
                        <w:pPr>
                          <w:pStyle w:val="TableParagraph"/>
                          <w:rPr>
                            <w:rFonts w:ascii="Times New Roman"/>
                            <w:sz w:val="18"/>
                          </w:rPr>
                        </w:pPr>
                      </w:p>
                    </w:tc>
                    <w:tc>
                      <w:tcPr>
                        <w:tcW w:w="3164" w:type="dxa"/>
                      </w:tcPr>
                      <w:p>
                        <w:pPr>
                          <w:pStyle w:val="TableParagraph"/>
                          <w:rPr>
                            <w:rFonts w:ascii="Times New Roman"/>
                            <w:sz w:val="18"/>
                          </w:rPr>
                        </w:pPr>
                      </w:p>
                    </w:tc>
                    <w:tc>
                      <w:tcPr>
                        <w:tcW w:w="2261" w:type="dxa"/>
                      </w:tcPr>
                      <w:p>
                        <w:pPr>
                          <w:pStyle w:val="TableParagraph"/>
                          <w:rPr>
                            <w:rFonts w:ascii="Times New Roman"/>
                            <w:sz w:val="18"/>
                          </w:rPr>
                        </w:pPr>
                      </w:p>
                    </w:tc>
                    <w:tc>
                      <w:tcPr>
                        <w:tcW w:w="2261" w:type="dxa"/>
                      </w:tcPr>
                      <w:p>
                        <w:pPr>
                          <w:pStyle w:val="TableParagraph"/>
                          <w:rPr>
                            <w:rFonts w:ascii="Times New Roman"/>
                            <w:sz w:val="18"/>
                          </w:rPr>
                        </w:pPr>
                      </w:p>
                    </w:tc>
                  </w:tr>
                </w:tbl>
                <w:p>
                  <w:pPr>
                    <w:pStyle w:val="BodyText"/>
                  </w:pPr>
                </w:p>
              </w:txbxContent>
            </v:textbox>
          </v:shape>
        </w:pict>
      </w:r>
      <w:r>
        <w:pict>
          <v:shape id="_x0000_s1188" o:spid="_x0000_s1187" type="#_x0000_t202" style="width:420pt;height:73.5pt;margin-top:563.45pt;margin-left:98.3pt;mso-height-relative:page;mso-position-horizontal-relative:page;mso-position-vertical-relative:page;mso-width-relative:page;position:absolute;z-index:251677696" coordsize="21600,21600" filled="f" stroked="f">
            <v:stroke joinstyle="miter"/>
            <v:textbox inset="0,0,0,0">
              <w:txbxContent>
                <w:tbl>
                  <w:tblPr>
                    <w:tblStyle w:val="TableNormal"/>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707"/>
                    <w:gridCol w:w="1376"/>
                    <w:gridCol w:w="2615"/>
                    <w:gridCol w:w="1985"/>
                    <w:gridCol w:w="1716"/>
                  </w:tblGrid>
                  <w:tr>
                    <w:tblPrEx>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295"/>
                    </w:trPr>
                    <w:tc>
                      <w:tcPr>
                        <w:tcW w:w="707" w:type="dxa"/>
                      </w:tcPr>
                      <w:p>
                        <w:pPr>
                          <w:pStyle w:val="TableParagraph"/>
                          <w:rPr>
                            <w:rFonts w:ascii="Times New Roman"/>
                            <w:sz w:val="18"/>
                          </w:rPr>
                        </w:pPr>
                      </w:p>
                    </w:tc>
                    <w:tc>
                      <w:tcPr>
                        <w:tcW w:w="3991" w:type="dxa"/>
                        <w:gridSpan w:val="2"/>
                      </w:tcPr>
                      <w:p>
                        <w:pPr>
                          <w:pStyle w:val="TableParagraph"/>
                          <w:rPr>
                            <w:rFonts w:ascii="Times New Roman"/>
                            <w:sz w:val="18"/>
                          </w:rPr>
                        </w:pPr>
                      </w:p>
                    </w:tc>
                    <w:tc>
                      <w:tcPr>
                        <w:tcW w:w="1985" w:type="dxa"/>
                      </w:tcPr>
                      <w:p>
                        <w:pPr>
                          <w:pStyle w:val="TableParagraph"/>
                          <w:rPr>
                            <w:rFonts w:ascii="Times New Roman"/>
                            <w:sz w:val="18"/>
                          </w:rPr>
                        </w:pPr>
                      </w:p>
                    </w:tc>
                    <w:tc>
                      <w:tcPr>
                        <w:tcW w:w="1716"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92"/>
                    </w:trPr>
                    <w:tc>
                      <w:tcPr>
                        <w:tcW w:w="707" w:type="dxa"/>
                      </w:tcPr>
                      <w:p>
                        <w:pPr>
                          <w:pStyle w:val="TableParagraph"/>
                          <w:rPr>
                            <w:rFonts w:ascii="Times New Roman"/>
                            <w:sz w:val="18"/>
                          </w:rPr>
                        </w:pPr>
                      </w:p>
                    </w:tc>
                    <w:tc>
                      <w:tcPr>
                        <w:tcW w:w="1376" w:type="dxa"/>
                        <w:vMerge w:val="restart"/>
                      </w:tcPr>
                      <w:p>
                        <w:pPr>
                          <w:pStyle w:val="TableParagraph"/>
                          <w:rPr>
                            <w:rFonts w:ascii="Times New Roman"/>
                            <w:sz w:val="18"/>
                          </w:rPr>
                        </w:pPr>
                      </w:p>
                    </w:tc>
                    <w:tc>
                      <w:tcPr>
                        <w:tcW w:w="2615" w:type="dxa"/>
                      </w:tcPr>
                      <w:p>
                        <w:pPr>
                          <w:pStyle w:val="TableParagraph"/>
                          <w:rPr>
                            <w:rFonts w:ascii="Times New Roman"/>
                            <w:sz w:val="18"/>
                          </w:rPr>
                        </w:pPr>
                      </w:p>
                    </w:tc>
                    <w:tc>
                      <w:tcPr>
                        <w:tcW w:w="1985" w:type="dxa"/>
                      </w:tcPr>
                      <w:p>
                        <w:pPr>
                          <w:pStyle w:val="TableParagraph"/>
                          <w:rPr>
                            <w:rFonts w:ascii="Times New Roman"/>
                            <w:sz w:val="18"/>
                          </w:rPr>
                        </w:pPr>
                      </w:p>
                    </w:tc>
                    <w:tc>
                      <w:tcPr>
                        <w:tcW w:w="1716"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92"/>
                    </w:trPr>
                    <w:tc>
                      <w:tcPr>
                        <w:tcW w:w="707" w:type="dxa"/>
                      </w:tcPr>
                      <w:p>
                        <w:pPr>
                          <w:pStyle w:val="TableParagraph"/>
                          <w:rPr>
                            <w:rFonts w:ascii="Times New Roman"/>
                            <w:sz w:val="18"/>
                          </w:rPr>
                        </w:pPr>
                      </w:p>
                    </w:tc>
                    <w:tc>
                      <w:tcPr>
                        <w:tcW w:w="1376" w:type="dxa"/>
                        <w:vMerge/>
                        <w:tcBorders>
                          <w:top w:val="nil"/>
                        </w:tcBorders>
                      </w:tcPr>
                      <w:p>
                        <w:pPr>
                          <w:rPr>
                            <w:sz w:val="2"/>
                            <w:szCs w:val="2"/>
                          </w:rPr>
                        </w:pPr>
                      </w:p>
                    </w:tc>
                    <w:tc>
                      <w:tcPr>
                        <w:tcW w:w="2615" w:type="dxa"/>
                      </w:tcPr>
                      <w:p>
                        <w:pPr>
                          <w:pStyle w:val="TableParagraph"/>
                          <w:rPr>
                            <w:rFonts w:ascii="Times New Roman"/>
                            <w:sz w:val="18"/>
                          </w:rPr>
                        </w:pPr>
                      </w:p>
                    </w:tc>
                    <w:tc>
                      <w:tcPr>
                        <w:tcW w:w="1985" w:type="dxa"/>
                      </w:tcPr>
                      <w:p>
                        <w:pPr>
                          <w:pStyle w:val="TableParagraph"/>
                          <w:rPr>
                            <w:rFonts w:ascii="Times New Roman"/>
                            <w:sz w:val="18"/>
                          </w:rPr>
                        </w:pPr>
                      </w:p>
                    </w:tc>
                    <w:tc>
                      <w:tcPr>
                        <w:tcW w:w="1716"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92"/>
                    </w:trPr>
                    <w:tc>
                      <w:tcPr>
                        <w:tcW w:w="707" w:type="dxa"/>
                      </w:tcPr>
                      <w:p>
                        <w:pPr>
                          <w:pStyle w:val="TableParagraph"/>
                          <w:rPr>
                            <w:rFonts w:ascii="Times New Roman"/>
                            <w:sz w:val="18"/>
                          </w:rPr>
                        </w:pPr>
                      </w:p>
                    </w:tc>
                    <w:tc>
                      <w:tcPr>
                        <w:tcW w:w="1376" w:type="dxa"/>
                        <w:vMerge w:val="restart"/>
                      </w:tcPr>
                      <w:p>
                        <w:pPr>
                          <w:pStyle w:val="TableParagraph"/>
                          <w:rPr>
                            <w:rFonts w:ascii="Times New Roman"/>
                            <w:sz w:val="18"/>
                          </w:rPr>
                        </w:pPr>
                      </w:p>
                    </w:tc>
                    <w:tc>
                      <w:tcPr>
                        <w:tcW w:w="2615" w:type="dxa"/>
                      </w:tcPr>
                      <w:p>
                        <w:pPr>
                          <w:pStyle w:val="TableParagraph"/>
                          <w:rPr>
                            <w:rFonts w:ascii="Times New Roman"/>
                            <w:sz w:val="18"/>
                          </w:rPr>
                        </w:pPr>
                      </w:p>
                    </w:tc>
                    <w:tc>
                      <w:tcPr>
                        <w:tcW w:w="1985" w:type="dxa"/>
                      </w:tcPr>
                      <w:p>
                        <w:pPr>
                          <w:pStyle w:val="TableParagraph"/>
                          <w:rPr>
                            <w:rFonts w:ascii="Times New Roman"/>
                            <w:sz w:val="18"/>
                          </w:rPr>
                        </w:pPr>
                      </w:p>
                    </w:tc>
                    <w:tc>
                      <w:tcPr>
                        <w:tcW w:w="1716" w:type="dxa"/>
                      </w:tcPr>
                      <w:p>
                        <w:pPr>
                          <w:pStyle w:val="TableParagraph"/>
                          <w:rPr>
                            <w:rFonts w:ascii="Times New Roman"/>
                            <w:sz w:val="18"/>
                          </w:rPr>
                        </w:pPr>
                      </w:p>
                    </w:tc>
                  </w:tr>
                  <w:tr>
                    <w:tblPrEx>
                      <w:tblW w:w="0" w:type="auto"/>
                      <w:tblInd w:w="7" w:type="dxa"/>
                      <w:tblLayout w:type="fixed"/>
                      <w:tblCellMar>
                        <w:top w:w="0" w:type="dxa"/>
                        <w:left w:w="0" w:type="dxa"/>
                        <w:bottom w:w="0" w:type="dxa"/>
                        <w:right w:w="0" w:type="dxa"/>
                      </w:tblCellMar>
                    </w:tblPrEx>
                    <w:trPr>
                      <w:trHeight w:val="295"/>
                    </w:trPr>
                    <w:tc>
                      <w:tcPr>
                        <w:tcW w:w="707" w:type="dxa"/>
                      </w:tcPr>
                      <w:p>
                        <w:pPr>
                          <w:pStyle w:val="TableParagraph"/>
                          <w:rPr>
                            <w:rFonts w:ascii="Times New Roman"/>
                            <w:sz w:val="18"/>
                          </w:rPr>
                        </w:pPr>
                      </w:p>
                    </w:tc>
                    <w:tc>
                      <w:tcPr>
                        <w:tcW w:w="1376" w:type="dxa"/>
                        <w:vMerge/>
                        <w:tcBorders>
                          <w:top w:val="nil"/>
                        </w:tcBorders>
                      </w:tcPr>
                      <w:p>
                        <w:pPr>
                          <w:rPr>
                            <w:sz w:val="2"/>
                            <w:szCs w:val="2"/>
                          </w:rPr>
                        </w:pPr>
                      </w:p>
                    </w:tc>
                    <w:tc>
                      <w:tcPr>
                        <w:tcW w:w="2615" w:type="dxa"/>
                      </w:tcPr>
                      <w:p>
                        <w:pPr>
                          <w:pStyle w:val="TableParagraph"/>
                          <w:rPr>
                            <w:rFonts w:ascii="Times New Roman"/>
                            <w:sz w:val="18"/>
                          </w:rPr>
                        </w:pPr>
                      </w:p>
                    </w:tc>
                    <w:tc>
                      <w:tcPr>
                        <w:tcW w:w="1985" w:type="dxa"/>
                      </w:tcPr>
                      <w:p>
                        <w:pPr>
                          <w:pStyle w:val="TableParagraph"/>
                          <w:rPr>
                            <w:rFonts w:ascii="Times New Roman"/>
                            <w:sz w:val="18"/>
                          </w:rPr>
                        </w:pPr>
                      </w:p>
                    </w:tc>
                    <w:tc>
                      <w:tcPr>
                        <w:tcW w:w="1716" w:type="dxa"/>
                      </w:tcPr>
                      <w:p>
                        <w:pPr>
                          <w:pStyle w:val="TableParagraph"/>
                          <w:rPr>
                            <w:rFonts w:ascii="Times New Roman"/>
                            <w:sz w:val="18"/>
                          </w:rPr>
                        </w:pPr>
                      </w:p>
                    </w:tc>
                  </w:tr>
                </w:tbl>
                <w:p>
                  <w:pPr>
                    <w:pStyle w:val="BodyText"/>
                  </w:pPr>
                </w:p>
              </w:txbxContent>
            </v:textbox>
          </v:shape>
        </w:pict>
      </w:r>
    </w:p>
    <w:p>
      <w:pPr>
        <w:spacing w:after="0"/>
        <w:rPr>
          <w:sz w:val="2"/>
          <w:szCs w:val="2"/>
        </w:rPr>
        <w:sectPr>
          <w:footerReference w:type="default" r:id="rId24"/>
          <w:pgSz w:w="11910" w:h="16840"/>
          <w:pgMar w:top="1400" w:right="1140" w:bottom="960" w:left="1140" w:header="0" w:footer="768" w:gutter="0"/>
          <w:pgNumType w:start="18"/>
          <w:cols w:num="1" w:space="720"/>
        </w:sectPr>
      </w:pPr>
    </w:p>
    <w:tbl>
      <w:tblPr>
        <w:tblStyle w:val="TableNormal"/>
        <w:tblW w:w="0" w:type="auto"/>
        <w:tblInd w:w="2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27"/>
        <w:gridCol w:w="110"/>
        <w:gridCol w:w="1077"/>
        <w:gridCol w:w="4335"/>
        <w:gridCol w:w="1251"/>
        <w:gridCol w:w="1735"/>
        <w:gridCol w:w="115"/>
      </w:tblGrid>
      <w:tr>
        <w:tblPrEx>
          <w:tblW w:w="0" w:type="auto"/>
          <w:tblInd w:w="2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492"/>
        </w:trPr>
        <w:tc>
          <w:tcPr>
            <w:tcW w:w="427" w:type="dxa"/>
            <w:vMerge w:val="restart"/>
            <w:tcBorders>
              <w:right w:val="single" w:sz="4" w:space="0" w:color="000000"/>
            </w:tcBorders>
          </w:tcPr>
          <w:p>
            <w:pPr>
              <w:pStyle w:val="TableParagraph"/>
              <w:rPr>
                <w:rFonts w:ascii="Times New Roman"/>
                <w:sz w:val="18"/>
              </w:rPr>
            </w:pPr>
          </w:p>
        </w:tc>
        <w:tc>
          <w:tcPr>
            <w:tcW w:w="8623" w:type="dxa"/>
            <w:gridSpan w:val="6"/>
            <w:tcBorders>
              <w:left w:val="single" w:sz="4" w:space="0" w:color="000000"/>
              <w:bottom w:val="single" w:sz="4" w:space="0" w:color="000000"/>
            </w:tcBorders>
          </w:tcPr>
          <w:p>
            <w:pPr>
              <w:pStyle w:val="TableParagraph"/>
              <w:spacing w:before="1"/>
              <w:ind w:left="110"/>
              <w:rPr>
                <w:rFonts w:ascii="Times New Roman" w:eastAsia="Times New Roman"/>
                <w:sz w:val="21"/>
              </w:rPr>
            </w:pPr>
            <w:r>
              <w:rPr>
                <w:spacing w:val="-2"/>
                <w:sz w:val="21"/>
              </w:rPr>
              <w:t xml:space="preserve">项目所用胶粘剂 </w:t>
            </w:r>
            <w:r>
              <w:rPr>
                <w:rFonts w:ascii="Times New Roman" w:eastAsia="Times New Roman"/>
                <w:sz w:val="21"/>
              </w:rPr>
              <w:t xml:space="preserve">VOCs </w:t>
            </w:r>
            <w:r>
              <w:rPr>
                <w:spacing w:val="-9"/>
                <w:sz w:val="21"/>
              </w:rPr>
              <w:t>含量满足《胶粘剂挥发性有机化合物限量》</w:t>
            </w:r>
            <w:r>
              <w:rPr>
                <w:sz w:val="21"/>
              </w:rPr>
              <w:t>（</w:t>
            </w:r>
            <w:r>
              <w:rPr>
                <w:rFonts w:ascii="Times New Roman" w:eastAsia="Times New Roman"/>
                <w:sz w:val="21"/>
              </w:rPr>
              <w:t>GB33372-2020</w:t>
            </w:r>
            <w:r>
              <w:rPr>
                <w:sz w:val="21"/>
              </w:rPr>
              <w:t>）</w:t>
            </w:r>
            <w:r>
              <w:rPr>
                <w:spacing w:val="-1"/>
                <w:sz w:val="21"/>
              </w:rPr>
              <w:t xml:space="preserve">中表 </w:t>
            </w:r>
            <w:r>
              <w:rPr>
                <w:rFonts w:ascii="Times New Roman" w:eastAsia="Times New Roman"/>
                <w:sz w:val="21"/>
              </w:rPr>
              <w:t>1</w:t>
            </w:r>
          </w:p>
          <w:p>
            <w:pPr>
              <w:pStyle w:val="TableParagraph"/>
              <w:spacing w:before="139"/>
              <w:ind w:left="110"/>
              <w:rPr>
                <w:sz w:val="21"/>
              </w:rPr>
            </w:pPr>
            <w:r>
              <w:rPr>
                <w:sz w:val="21"/>
              </w:rPr>
              <w:t xml:space="preserve">中，溶剂型聚氨酯类胶粘剂“包装”行业 </w:t>
            </w:r>
            <w:r>
              <w:rPr>
                <w:rFonts w:ascii="Times New Roman" w:eastAsia="Times New Roman" w:hAnsi="Times New Roman"/>
                <w:sz w:val="21"/>
              </w:rPr>
              <w:t xml:space="preserve">VOCs </w:t>
            </w:r>
            <w:r>
              <w:rPr>
                <w:sz w:val="21"/>
              </w:rPr>
              <w:t>含量≤</w:t>
            </w:r>
            <w:r>
              <w:rPr>
                <w:rFonts w:ascii="Times New Roman" w:eastAsia="Times New Roman" w:hAnsi="Times New Roman"/>
                <w:sz w:val="21"/>
              </w:rPr>
              <w:t xml:space="preserve">400g/L </w:t>
            </w:r>
            <w:r>
              <w:rPr>
                <w:sz w:val="21"/>
              </w:rPr>
              <w:t>的要求。</w:t>
            </w:r>
          </w:p>
          <w:p>
            <w:pPr>
              <w:pStyle w:val="TableParagraph"/>
              <w:spacing w:before="141"/>
              <w:ind w:left="532"/>
              <w:rPr>
                <w:b/>
                <w:sz w:val="21"/>
              </w:rPr>
            </w:pPr>
            <w:r>
              <w:rPr>
                <w:b/>
                <w:sz w:val="21"/>
              </w:rPr>
              <w:t>（</w:t>
            </w:r>
            <w:r>
              <w:rPr>
                <w:rFonts w:ascii="Times New Roman" w:eastAsia="Times New Roman"/>
                <w:b/>
                <w:sz w:val="21"/>
              </w:rPr>
              <w:t>2</w:t>
            </w:r>
            <w:r>
              <w:rPr>
                <w:b/>
                <w:sz w:val="21"/>
              </w:rPr>
              <w:t>）理化性质</w:t>
            </w:r>
          </w:p>
          <w:p>
            <w:pPr>
              <w:pStyle w:val="TableParagraph"/>
              <w:spacing w:before="139" w:line="245" w:lineRule="exact"/>
              <w:ind w:left="112" w:right="89"/>
              <w:jc w:val="center"/>
              <w:rPr>
                <w:b/>
                <w:sz w:val="21"/>
              </w:rPr>
            </w:pPr>
            <w:r>
              <w:rPr>
                <w:b/>
                <w:sz w:val="21"/>
              </w:rPr>
              <w:t xml:space="preserve">表 </w:t>
            </w:r>
            <w:r>
              <w:rPr>
                <w:rFonts w:ascii="Times New Roman" w:eastAsia="Times New Roman"/>
                <w:b/>
                <w:sz w:val="21"/>
              </w:rPr>
              <w:t xml:space="preserve">2-6 </w:t>
            </w:r>
            <w:r>
              <w:rPr>
                <w:b/>
                <w:sz w:val="21"/>
              </w:rPr>
              <w:t>建设项目原辅材料理化性质表</w:t>
            </w:r>
          </w:p>
        </w:tc>
      </w:tr>
      <w:tr>
        <w:tblPrEx>
          <w:tblW w:w="0" w:type="auto"/>
          <w:tblInd w:w="298" w:type="dxa"/>
          <w:tblLayout w:type="fixed"/>
          <w:tblCellMar>
            <w:top w:w="0" w:type="dxa"/>
            <w:left w:w="0" w:type="dxa"/>
            <w:bottom w:w="0" w:type="dxa"/>
            <w:right w:w="0" w:type="dxa"/>
          </w:tblCellMar>
        </w:tblPrEx>
        <w:trPr>
          <w:trHeight w:val="272"/>
        </w:trPr>
        <w:tc>
          <w:tcPr>
            <w:tcW w:w="427" w:type="dxa"/>
            <w:vMerge/>
            <w:tcBorders>
              <w:top w:val="nil"/>
              <w:right w:val="single" w:sz="4" w:space="0" w:color="000000"/>
            </w:tcBorders>
          </w:tcPr>
          <w:p>
            <w:pPr>
              <w:rPr>
                <w:sz w:val="2"/>
                <w:szCs w:val="2"/>
              </w:rPr>
            </w:pPr>
          </w:p>
        </w:tc>
        <w:tc>
          <w:tcPr>
            <w:tcW w:w="110" w:type="dxa"/>
            <w:vMerge w:val="restart"/>
            <w:tcBorders>
              <w:top w:val="nil"/>
              <w:left w:val="single" w:sz="4" w:space="0" w:color="000000"/>
              <w:right w:val="single" w:sz="4" w:space="0" w:color="000000"/>
            </w:tcBorders>
          </w:tcPr>
          <w:p>
            <w:pPr>
              <w:pStyle w:val="TableParagraph"/>
              <w:rPr>
                <w:rFonts w:ascii="Times New Roman"/>
                <w:sz w:val="18"/>
              </w:rPr>
            </w:pPr>
          </w:p>
        </w:tc>
        <w:tc>
          <w:tcPr>
            <w:tcW w:w="1077" w:type="dxa"/>
            <w:tcBorders>
              <w:top w:val="single" w:sz="4" w:space="0" w:color="000000"/>
              <w:left w:val="single" w:sz="4" w:space="0" w:color="000000"/>
              <w:bottom w:val="single" w:sz="4" w:space="0" w:color="000000"/>
              <w:right w:val="single" w:sz="4" w:space="0" w:color="000000"/>
            </w:tcBorders>
          </w:tcPr>
          <w:p>
            <w:pPr>
              <w:pStyle w:val="TableParagraph"/>
              <w:spacing w:before="21"/>
              <w:ind w:left="365"/>
              <w:rPr>
                <w:b/>
                <w:sz w:val="18"/>
              </w:rPr>
            </w:pPr>
            <w:r>
              <w:rPr>
                <w:b/>
                <w:sz w:val="18"/>
              </w:rPr>
              <w:t>名称</w:t>
            </w:r>
          </w:p>
        </w:tc>
        <w:tc>
          <w:tcPr>
            <w:tcW w:w="4335" w:type="dxa"/>
            <w:tcBorders>
              <w:top w:val="single" w:sz="4" w:space="0" w:color="000000"/>
              <w:left w:val="single" w:sz="4" w:space="0" w:color="000000"/>
              <w:bottom w:val="single" w:sz="4" w:space="0" w:color="000000"/>
              <w:right w:val="single" w:sz="4" w:space="0" w:color="000000"/>
            </w:tcBorders>
          </w:tcPr>
          <w:p>
            <w:pPr>
              <w:pStyle w:val="TableParagraph"/>
              <w:spacing w:before="21"/>
              <w:ind w:left="192" w:right="168"/>
              <w:jc w:val="center"/>
              <w:rPr>
                <w:b/>
                <w:sz w:val="18"/>
              </w:rPr>
            </w:pPr>
            <w:r>
              <w:rPr>
                <w:b/>
                <w:sz w:val="18"/>
              </w:rPr>
              <w:t>理化特性</w:t>
            </w:r>
          </w:p>
        </w:tc>
        <w:tc>
          <w:tcPr>
            <w:tcW w:w="1251" w:type="dxa"/>
            <w:tcBorders>
              <w:top w:val="single" w:sz="4" w:space="0" w:color="000000"/>
              <w:left w:val="single" w:sz="4" w:space="0" w:color="000000"/>
              <w:bottom w:val="single" w:sz="4" w:space="0" w:color="000000"/>
              <w:right w:val="single" w:sz="4" w:space="0" w:color="000000"/>
            </w:tcBorders>
          </w:tcPr>
          <w:p>
            <w:pPr>
              <w:pStyle w:val="TableParagraph"/>
              <w:spacing w:before="21"/>
              <w:ind w:left="158" w:right="139"/>
              <w:jc w:val="center"/>
              <w:rPr>
                <w:b/>
                <w:sz w:val="18"/>
              </w:rPr>
            </w:pPr>
            <w:r>
              <w:rPr>
                <w:b/>
                <w:sz w:val="18"/>
              </w:rPr>
              <w:t>燃烧爆炸性</w:t>
            </w:r>
          </w:p>
        </w:tc>
        <w:tc>
          <w:tcPr>
            <w:tcW w:w="1735" w:type="dxa"/>
            <w:tcBorders>
              <w:top w:val="single" w:sz="4" w:space="0" w:color="000000"/>
              <w:left w:val="single" w:sz="4" w:space="0" w:color="000000"/>
              <w:bottom w:val="single" w:sz="4" w:space="0" w:color="000000"/>
              <w:right w:val="single" w:sz="4" w:space="0" w:color="000000"/>
            </w:tcBorders>
          </w:tcPr>
          <w:p>
            <w:pPr>
              <w:pStyle w:val="TableParagraph"/>
              <w:spacing w:before="21"/>
              <w:ind w:left="131" w:right="109"/>
              <w:jc w:val="center"/>
              <w:rPr>
                <w:b/>
                <w:sz w:val="18"/>
              </w:rPr>
            </w:pPr>
            <w:r>
              <w:rPr>
                <w:b/>
                <w:sz w:val="18"/>
              </w:rPr>
              <w:t>毒性毒理</w:t>
            </w:r>
          </w:p>
        </w:tc>
        <w:tc>
          <w:tcPr>
            <w:tcW w:w="115" w:type="dxa"/>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2325"/>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right w:val="single" w:sz="4" w:space="0" w:color="000000"/>
            </w:tcBorders>
          </w:tcPr>
          <w:p>
            <w:pPr>
              <w:rPr>
                <w:sz w:val="2"/>
                <w:szCs w:val="2"/>
              </w:rPr>
            </w:pPr>
          </w:p>
        </w:tc>
        <w:tc>
          <w:tcPr>
            <w:tcW w:w="1077"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8"/>
              <w:rPr>
                <w:b/>
                <w:sz w:val="21"/>
              </w:rPr>
            </w:pPr>
          </w:p>
          <w:p>
            <w:pPr>
              <w:pStyle w:val="TableParagraph"/>
              <w:ind w:right="159"/>
              <w:jc w:val="right"/>
              <w:rPr>
                <w:sz w:val="18"/>
              </w:rPr>
            </w:pPr>
            <w:r>
              <w:rPr>
                <w:rFonts w:ascii="Times New Roman" w:eastAsia="Times New Roman"/>
                <w:sz w:val="18"/>
              </w:rPr>
              <w:t xml:space="preserve">PET </w:t>
            </w:r>
            <w:r>
              <w:rPr>
                <w:sz w:val="18"/>
              </w:rPr>
              <w:t>薄膜</w:t>
            </w:r>
          </w:p>
        </w:tc>
        <w:tc>
          <w:tcPr>
            <w:tcW w:w="4335"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88" w:right="164" w:firstLine="4"/>
              <w:jc w:val="both"/>
              <w:rPr>
                <w:sz w:val="18"/>
              </w:rPr>
            </w:pPr>
            <w:r>
              <w:rPr>
                <w:spacing w:val="-1"/>
                <w:sz w:val="18"/>
              </w:rPr>
              <w:t>即聚酯薄膜。聚酯薄膜是以聚对苯二甲酸乙二醇酯</w:t>
            </w:r>
            <w:r>
              <w:rPr>
                <w:sz w:val="18"/>
              </w:rPr>
              <w:t>为原料，采用挤出法制成厚片，再经双向拉伸制成的薄膜材料，通常为无色透明、有光泽的薄膜（现已可加入添加剂粒子使其具有颜色</w:t>
            </w:r>
            <w:r>
              <w:rPr>
                <w:spacing w:val="-92"/>
                <w:sz w:val="18"/>
              </w:rPr>
              <w:t>）</w:t>
            </w:r>
            <w:r>
              <w:rPr>
                <w:sz w:val="18"/>
              </w:rPr>
              <w:t>，机械性能优良，刚性、硬度及韧性高，耐穿刺，耐摩擦，耐高温和低温，耐化学药品性、耐油性、气密性和保香性良好，是常用的阻透性复合薄膜基材之一，其厚</w:t>
            </w:r>
            <w:r>
              <w:rPr>
                <w:spacing w:val="-9"/>
                <w:sz w:val="18"/>
              </w:rPr>
              <w:t xml:space="preserve">度一般为 </w:t>
            </w:r>
            <w:r>
              <w:rPr>
                <w:rFonts w:ascii="Times New Roman" w:eastAsia="Times New Roman"/>
                <w:sz w:val="18"/>
              </w:rPr>
              <w:t>0.012mm</w:t>
            </w:r>
            <w:r>
              <w:rPr>
                <w:spacing w:val="-2"/>
                <w:sz w:val="18"/>
              </w:rPr>
              <w:t>，印刷性较好，广泛用于玻璃钢</w:t>
            </w:r>
            <w:r>
              <w:rPr>
                <w:sz w:val="18"/>
              </w:rPr>
              <w:t>行业、建材行业、印刷行业、医药卫生及蒸煮包装</w:t>
            </w:r>
          </w:p>
          <w:p>
            <w:pPr>
              <w:pStyle w:val="TableParagraph"/>
              <w:spacing w:before="1" w:line="208" w:lineRule="exact"/>
              <w:ind w:left="192" w:right="170"/>
              <w:jc w:val="center"/>
              <w:rPr>
                <w:sz w:val="18"/>
              </w:rPr>
            </w:pPr>
            <w:r>
              <w:rPr>
                <w:sz w:val="18"/>
              </w:rPr>
              <w:t>的外层材料。</w:t>
            </w:r>
          </w:p>
        </w:tc>
        <w:tc>
          <w:tcPr>
            <w:tcW w:w="1251"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123"/>
              <w:ind w:left="158" w:right="139"/>
              <w:jc w:val="center"/>
              <w:rPr>
                <w:sz w:val="18"/>
              </w:rPr>
            </w:pPr>
            <w:r>
              <w:rPr>
                <w:sz w:val="18"/>
              </w:rPr>
              <w:t>可燃</w:t>
            </w:r>
          </w:p>
        </w:tc>
        <w:tc>
          <w:tcPr>
            <w:tcW w:w="1735"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9"/>
              <w:rPr>
                <w:b/>
                <w:sz w:val="22"/>
              </w:rPr>
            </w:pPr>
          </w:p>
          <w:p>
            <w:pPr>
              <w:pStyle w:val="TableParagraph"/>
              <w:ind w:left="22"/>
              <w:jc w:val="center"/>
              <w:rPr>
                <w:rFonts w:ascii="Times New Roman"/>
                <w:sz w:val="18"/>
              </w:rPr>
            </w:pPr>
            <w:r>
              <w:rPr>
                <w:rFonts w:ascii="Times New Roman"/>
                <w:sz w:val="18"/>
              </w:rPr>
              <w:t>/</w:t>
            </w:r>
          </w:p>
        </w:tc>
        <w:tc>
          <w:tcPr>
            <w:tcW w:w="115" w:type="dxa"/>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2557"/>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right w:val="single" w:sz="4" w:space="0" w:color="000000"/>
            </w:tcBorders>
          </w:tcPr>
          <w:p>
            <w:pPr>
              <w:rPr>
                <w:sz w:val="2"/>
                <w:szCs w:val="2"/>
              </w:rPr>
            </w:pPr>
          </w:p>
        </w:tc>
        <w:tc>
          <w:tcPr>
            <w:tcW w:w="1077"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38"/>
              <w:ind w:right="215"/>
              <w:jc w:val="right"/>
              <w:rPr>
                <w:sz w:val="18"/>
              </w:rPr>
            </w:pPr>
            <w:r>
              <w:rPr>
                <w:rFonts w:ascii="Times New Roman" w:eastAsia="Times New Roman"/>
                <w:sz w:val="18"/>
              </w:rPr>
              <w:t xml:space="preserve">PE </w:t>
            </w:r>
            <w:r>
              <w:rPr>
                <w:sz w:val="18"/>
              </w:rPr>
              <w:t>薄膜</w:t>
            </w:r>
          </w:p>
        </w:tc>
        <w:tc>
          <w:tcPr>
            <w:tcW w:w="4335"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92" w:right="170"/>
              <w:jc w:val="center"/>
              <w:rPr>
                <w:sz w:val="18"/>
              </w:rPr>
            </w:pPr>
            <w:r>
              <w:rPr>
                <w:sz w:val="18"/>
              </w:rPr>
              <w:t>乙烯的聚合物，通常为白色蜡状半通明材料，柔而韧，比水轻，无毒，具有优越的节电性能。易燃烧且离火后继续燃烧；透水率低：高密度聚</w:t>
            </w:r>
          </w:p>
          <w:p>
            <w:pPr>
              <w:pStyle w:val="TableParagraph"/>
              <w:spacing w:line="242" w:lineRule="auto"/>
              <w:ind w:left="137" w:right="109"/>
              <w:jc w:val="center"/>
              <w:rPr>
                <w:sz w:val="18"/>
              </w:rPr>
            </w:pPr>
            <w:r>
              <w:rPr>
                <w:spacing w:val="-6"/>
                <w:sz w:val="18"/>
              </w:rPr>
              <w:t xml:space="preserve">乙烯熔点范围为 </w:t>
            </w:r>
            <w:r>
              <w:rPr>
                <w:rFonts w:ascii="Times New Roman" w:eastAsia="Times New Roman" w:hAnsi="Times New Roman"/>
                <w:sz w:val="18"/>
              </w:rPr>
              <w:t>132~135℃</w:t>
            </w:r>
            <w:r>
              <w:rPr>
                <w:spacing w:val="-8"/>
                <w:sz w:val="18"/>
              </w:rPr>
              <w:t xml:space="preserve">，成型范围 </w:t>
            </w:r>
            <w:r>
              <w:rPr>
                <w:rFonts w:ascii="Times New Roman" w:eastAsia="Times New Roman" w:hAnsi="Times New Roman"/>
                <w:sz w:val="18"/>
              </w:rPr>
              <w:t>160~280℃</w:t>
            </w:r>
            <w:r>
              <w:rPr>
                <w:sz w:val="18"/>
              </w:rPr>
              <w:t>； 低密度聚乙烯熔点较低（</w:t>
            </w:r>
            <w:r>
              <w:rPr>
                <w:rFonts w:ascii="Times New Roman" w:eastAsia="Times New Roman" w:hAnsi="Times New Roman"/>
                <w:sz w:val="18"/>
              </w:rPr>
              <w:t>112℃</w:t>
            </w:r>
            <w:r>
              <w:rPr>
                <w:sz w:val="18"/>
              </w:rPr>
              <w:t>）且范围宽，成型范</w:t>
            </w:r>
            <w:r>
              <w:rPr>
                <w:spacing w:val="-24"/>
                <w:sz w:val="18"/>
              </w:rPr>
              <w:t xml:space="preserve">围 </w:t>
            </w:r>
            <w:r>
              <w:rPr>
                <w:rFonts w:ascii="Times New Roman" w:eastAsia="Times New Roman" w:hAnsi="Times New Roman"/>
                <w:sz w:val="18"/>
              </w:rPr>
              <w:t>140~260℃</w:t>
            </w:r>
            <w:r>
              <w:rPr>
                <w:sz w:val="18"/>
              </w:rPr>
              <w:t>，裂解温度</w:t>
            </w:r>
            <w:r>
              <w:rPr>
                <w:rFonts w:ascii="Times New Roman" w:eastAsia="Times New Roman" w:hAnsi="Times New Roman"/>
                <w:sz w:val="18"/>
              </w:rPr>
              <w:t>≥310℃</w:t>
            </w:r>
            <w:r>
              <w:rPr>
                <w:spacing w:val="-6"/>
                <w:sz w:val="18"/>
              </w:rPr>
              <w:t xml:space="preserve">。本项目所用的 </w:t>
            </w:r>
            <w:r>
              <w:rPr>
                <w:rFonts w:ascii="Times New Roman" w:eastAsia="Times New Roman" w:hAnsi="Times New Roman"/>
                <w:sz w:val="18"/>
              </w:rPr>
              <w:t xml:space="preserve">PE </w:t>
            </w:r>
            <w:r>
              <w:rPr>
                <w:sz w:val="18"/>
              </w:rPr>
              <w:t>树脂为高密度聚合物，含有较多长键，因此密度较高。聚乙烯具有优良的耐低温性能（最低使用温度可达</w:t>
            </w:r>
            <w:r>
              <w:rPr>
                <w:rFonts w:ascii="Times New Roman" w:eastAsia="Times New Roman" w:hAnsi="Times New Roman"/>
                <w:sz w:val="18"/>
              </w:rPr>
              <w:t>-</w:t>
            </w:r>
            <w:r>
              <w:rPr>
                <w:rFonts w:ascii="Times New Roman" w:eastAsia="Times New Roman" w:hAnsi="Times New Roman"/>
                <w:spacing w:val="1"/>
                <w:sz w:val="18"/>
              </w:rPr>
              <w:t>70</w:t>
            </w:r>
            <w:r>
              <w:rPr>
                <w:rFonts w:ascii="Times New Roman" w:eastAsia="Times New Roman" w:hAnsi="Times New Roman"/>
                <w:spacing w:val="-2"/>
                <w:sz w:val="18"/>
              </w:rPr>
              <w:t>~</w:t>
            </w:r>
            <w:r>
              <w:rPr>
                <w:rFonts w:ascii="Times New Roman" w:eastAsia="Times New Roman" w:hAnsi="Times New Roman"/>
                <w:spacing w:val="1"/>
                <w:sz w:val="18"/>
              </w:rPr>
              <w:t>1</w:t>
            </w:r>
            <w:r>
              <w:rPr>
                <w:rFonts w:ascii="Times New Roman" w:eastAsia="Times New Roman" w:hAnsi="Times New Roman"/>
                <w:spacing w:val="-2"/>
                <w:sz w:val="18"/>
              </w:rPr>
              <w:t>0</w:t>
            </w:r>
            <w:r>
              <w:rPr>
                <w:rFonts w:ascii="Times New Roman" w:eastAsia="Times New Roman" w:hAnsi="Times New Roman"/>
                <w:spacing w:val="1"/>
                <w:sz w:val="18"/>
              </w:rPr>
              <w:t>0</w:t>
            </w:r>
            <w:r>
              <w:rPr>
                <w:rFonts w:ascii="Times New Roman" w:eastAsia="Times New Roman" w:hAnsi="Times New Roman"/>
                <w:sz w:val="18"/>
              </w:rPr>
              <w:t>℃</w:t>
            </w:r>
            <w:r>
              <w:rPr>
                <w:spacing w:val="-92"/>
                <w:sz w:val="18"/>
              </w:rPr>
              <w:t>）</w:t>
            </w:r>
            <w:r>
              <w:rPr>
                <w:spacing w:val="-1"/>
                <w:sz w:val="18"/>
              </w:rPr>
              <w:t>，化学稳定性好，能耐大多数酸碱的侵蚀（不耐具有氧化性质的酸</w:t>
            </w:r>
            <w:r>
              <w:rPr>
                <w:spacing w:val="-92"/>
                <w:sz w:val="18"/>
              </w:rPr>
              <w:t>）</w:t>
            </w:r>
            <w:r>
              <w:rPr>
                <w:sz w:val="18"/>
              </w:rPr>
              <w:t>，常温下不溶于一</w:t>
            </w:r>
          </w:p>
          <w:p>
            <w:pPr>
              <w:pStyle w:val="TableParagraph"/>
              <w:spacing w:line="208" w:lineRule="exact"/>
              <w:ind w:left="192" w:right="168"/>
              <w:jc w:val="center"/>
              <w:rPr>
                <w:sz w:val="18"/>
              </w:rPr>
            </w:pPr>
            <w:r>
              <w:rPr>
                <w:sz w:val="18"/>
              </w:rPr>
              <w:t>般溶剂，吸水性小，电绝缘性能优良。</w:t>
            </w:r>
          </w:p>
        </w:tc>
        <w:tc>
          <w:tcPr>
            <w:tcW w:w="1251"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10"/>
              <w:rPr>
                <w:b/>
                <w:sz w:val="18"/>
              </w:rPr>
            </w:pPr>
          </w:p>
          <w:p>
            <w:pPr>
              <w:pStyle w:val="TableParagraph"/>
              <w:ind w:left="158" w:right="139"/>
              <w:jc w:val="center"/>
              <w:rPr>
                <w:sz w:val="18"/>
              </w:rPr>
            </w:pPr>
            <w:r>
              <w:rPr>
                <w:sz w:val="18"/>
              </w:rPr>
              <w:t>可燃</w:t>
            </w:r>
          </w:p>
        </w:tc>
        <w:tc>
          <w:tcPr>
            <w:tcW w:w="1735"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50"/>
              <w:ind w:left="22"/>
              <w:jc w:val="center"/>
              <w:rPr>
                <w:rFonts w:ascii="Times New Roman"/>
                <w:sz w:val="18"/>
              </w:rPr>
            </w:pPr>
            <w:r>
              <w:rPr>
                <w:rFonts w:ascii="Times New Roman"/>
                <w:sz w:val="18"/>
              </w:rPr>
              <w:t>/</w:t>
            </w:r>
          </w:p>
        </w:tc>
        <w:tc>
          <w:tcPr>
            <w:tcW w:w="115" w:type="dxa"/>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2092"/>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right w:val="single" w:sz="4" w:space="0" w:color="000000"/>
            </w:tcBorders>
          </w:tcPr>
          <w:p>
            <w:pPr>
              <w:rPr>
                <w:sz w:val="2"/>
                <w:szCs w:val="2"/>
              </w:rPr>
            </w:pPr>
          </w:p>
        </w:tc>
        <w:tc>
          <w:tcPr>
            <w:tcW w:w="1077"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spacing w:before="8"/>
              <w:rPr>
                <w:b/>
                <w:sz w:val="18"/>
              </w:rPr>
            </w:pPr>
          </w:p>
          <w:p>
            <w:pPr>
              <w:pStyle w:val="TableParagraph"/>
              <w:ind w:left="365"/>
              <w:rPr>
                <w:sz w:val="18"/>
              </w:rPr>
            </w:pPr>
            <w:r>
              <w:rPr>
                <w:sz w:val="18"/>
              </w:rPr>
              <w:t>铝箔</w:t>
            </w:r>
          </w:p>
        </w:tc>
        <w:tc>
          <w:tcPr>
            <w:tcW w:w="4335"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42" w:right="119" w:hanging="1"/>
              <w:jc w:val="center"/>
              <w:rPr>
                <w:sz w:val="18"/>
              </w:rPr>
            </w:pPr>
            <w:r>
              <w:rPr>
                <w:sz w:val="18"/>
              </w:rPr>
              <w:t>铝箔纸亦作铝箔，俗称锡箔纸、锡纸等，铝箔厚度</w:t>
            </w:r>
            <w:r>
              <w:rPr>
                <w:spacing w:val="-15"/>
                <w:sz w:val="18"/>
              </w:rPr>
              <w:t xml:space="preserve">小于 </w:t>
            </w:r>
            <w:r>
              <w:rPr>
                <w:rFonts w:ascii="Times New Roman" w:eastAsia="Times New Roman"/>
                <w:sz w:val="18"/>
              </w:rPr>
              <w:t>0.10mm</w:t>
            </w:r>
            <w:r>
              <w:rPr>
                <w:spacing w:val="-1"/>
                <w:sz w:val="18"/>
              </w:rPr>
              <w:t>、横断面呈矩形且均一的压延铝制品。</w:t>
            </w:r>
            <w:r>
              <w:rPr>
                <w:sz w:val="18"/>
              </w:rPr>
              <w:t>广泛用于食品、饮料、香烟、药品、照相底板、家庭日用品等，通常用作其包装材料。铝箔与塑料和纸复合之后，把铝箔的屏蔽性与纸的强度、塑料的热密封性融为一体，进一步提高了作为包装材料所必需的对水汽、空气、紫外线和细菌等的屏蔽性</w:t>
            </w:r>
          </w:p>
          <w:p>
            <w:pPr>
              <w:pStyle w:val="TableParagraph"/>
              <w:ind w:left="129" w:right="109"/>
              <w:jc w:val="center"/>
              <w:rPr>
                <w:sz w:val="18"/>
              </w:rPr>
            </w:pPr>
            <w:r>
              <w:rPr>
                <w:sz w:val="18"/>
              </w:rPr>
              <w:t>能，使用这种复合铝箔的材料，可保证食物一年以</w:t>
            </w:r>
          </w:p>
          <w:p>
            <w:pPr>
              <w:pStyle w:val="TableParagraph"/>
              <w:spacing w:before="3" w:line="208" w:lineRule="exact"/>
              <w:ind w:left="192" w:right="168"/>
              <w:jc w:val="center"/>
              <w:rPr>
                <w:sz w:val="18"/>
              </w:rPr>
            </w:pPr>
            <w:r>
              <w:rPr>
                <w:sz w:val="18"/>
              </w:rPr>
              <w:t>上不变质。</w:t>
            </w:r>
          </w:p>
        </w:tc>
        <w:tc>
          <w:tcPr>
            <w:tcW w:w="1251"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spacing w:before="8"/>
              <w:rPr>
                <w:b/>
                <w:sz w:val="18"/>
              </w:rPr>
            </w:pPr>
          </w:p>
          <w:p>
            <w:pPr>
              <w:pStyle w:val="TableParagraph"/>
              <w:ind w:left="158" w:right="139"/>
              <w:jc w:val="center"/>
              <w:rPr>
                <w:sz w:val="18"/>
              </w:rPr>
            </w:pPr>
            <w:r>
              <w:rPr>
                <w:sz w:val="18"/>
              </w:rPr>
              <w:t>不燃</w:t>
            </w:r>
          </w:p>
        </w:tc>
        <w:tc>
          <w:tcPr>
            <w:tcW w:w="1735"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174"/>
              <w:ind w:left="22"/>
              <w:jc w:val="center"/>
              <w:rPr>
                <w:rFonts w:ascii="Times New Roman"/>
                <w:sz w:val="18"/>
              </w:rPr>
            </w:pPr>
            <w:r>
              <w:rPr>
                <w:rFonts w:ascii="Times New Roman"/>
                <w:sz w:val="18"/>
              </w:rPr>
              <w:t>/</w:t>
            </w:r>
          </w:p>
        </w:tc>
        <w:tc>
          <w:tcPr>
            <w:tcW w:w="115" w:type="dxa"/>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1624"/>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right w:val="single" w:sz="4" w:space="0" w:color="000000"/>
            </w:tcBorders>
          </w:tcPr>
          <w:p>
            <w:pPr>
              <w:rPr>
                <w:sz w:val="2"/>
                <w:szCs w:val="2"/>
              </w:rPr>
            </w:pPr>
          </w:p>
        </w:tc>
        <w:tc>
          <w:tcPr>
            <w:tcW w:w="1077"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spacing w:before="116" w:line="242" w:lineRule="auto"/>
              <w:ind w:left="365" w:right="159" w:hanging="180"/>
              <w:rPr>
                <w:sz w:val="18"/>
              </w:rPr>
            </w:pPr>
            <w:r>
              <w:rPr>
                <w:sz w:val="18"/>
              </w:rPr>
              <w:t>凹版印刷油墨</w:t>
            </w:r>
          </w:p>
        </w:tc>
        <w:tc>
          <w:tcPr>
            <w:tcW w:w="4335"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64" w:right="138"/>
              <w:jc w:val="center"/>
              <w:rPr>
                <w:sz w:val="18"/>
              </w:rPr>
            </w:pPr>
            <w:r>
              <w:rPr>
                <w:spacing w:val="-5"/>
                <w:sz w:val="18"/>
              </w:rPr>
              <w:t xml:space="preserve">主要成分：合成树脂 </w:t>
            </w:r>
            <w:r>
              <w:rPr>
                <w:rFonts w:ascii="Times New Roman" w:eastAsia="Times New Roman"/>
                <w:sz w:val="18"/>
              </w:rPr>
              <w:t>12~22%</w:t>
            </w:r>
            <w:r>
              <w:rPr>
                <w:sz w:val="18"/>
              </w:rPr>
              <w:t>，醋酸正丙酯</w:t>
            </w:r>
            <w:r>
              <w:rPr>
                <w:rFonts w:ascii="Times New Roman" w:eastAsia="Times New Roman"/>
                <w:sz w:val="18"/>
              </w:rPr>
              <w:t>25~45%</w:t>
            </w:r>
            <w:r>
              <w:rPr>
                <w:spacing w:val="-9"/>
                <w:sz w:val="18"/>
              </w:rPr>
              <w:t xml:space="preserve">，乙酸乙酯 </w:t>
            </w:r>
            <w:r>
              <w:rPr>
                <w:rFonts w:ascii="Times New Roman" w:eastAsia="Times New Roman"/>
                <w:sz w:val="18"/>
              </w:rPr>
              <w:t>25-35%</w:t>
            </w:r>
            <w:r>
              <w:rPr>
                <w:spacing w:val="-10"/>
                <w:sz w:val="18"/>
              </w:rPr>
              <w:t xml:space="preserve">，异丙醇 </w:t>
            </w:r>
            <w:r>
              <w:rPr>
                <w:rFonts w:ascii="Times New Roman" w:eastAsia="Times New Roman"/>
                <w:sz w:val="18"/>
              </w:rPr>
              <w:t>5~15%</w:t>
            </w:r>
            <w:r>
              <w:rPr>
                <w:sz w:val="18"/>
              </w:rPr>
              <w:t>，聚乙</w:t>
            </w:r>
            <w:r>
              <w:rPr>
                <w:spacing w:val="-12"/>
                <w:sz w:val="18"/>
              </w:rPr>
              <w:t xml:space="preserve">烯蜡粉 </w:t>
            </w:r>
            <w:r>
              <w:rPr>
                <w:rFonts w:ascii="Times New Roman" w:eastAsia="Times New Roman"/>
                <w:sz w:val="18"/>
              </w:rPr>
              <w:t>1-2%</w:t>
            </w:r>
            <w:r>
              <w:rPr>
                <w:spacing w:val="-12"/>
                <w:sz w:val="18"/>
              </w:rPr>
              <w:t xml:space="preserve">，颜料 </w:t>
            </w:r>
            <w:r>
              <w:rPr>
                <w:rFonts w:ascii="Times New Roman" w:eastAsia="Times New Roman"/>
                <w:sz w:val="18"/>
              </w:rPr>
              <w:t>0-35%</w:t>
            </w:r>
            <w:r>
              <w:rPr>
                <w:spacing w:val="-3"/>
                <w:sz w:val="18"/>
              </w:rPr>
              <w:t>。项目使用的油墨为酯溶</w:t>
            </w:r>
            <w:r>
              <w:rPr>
                <w:sz w:val="18"/>
              </w:rPr>
              <w:t>性聚氨酯树脂作为主体结构的通用型油墨，可用于</w:t>
            </w:r>
            <w:r>
              <w:rPr>
                <w:rFonts w:ascii="Times New Roman" w:eastAsia="Times New Roman"/>
                <w:sz w:val="18"/>
              </w:rPr>
              <w:t>PET</w:t>
            </w:r>
            <w:r>
              <w:rPr>
                <w:sz w:val="18"/>
              </w:rPr>
              <w:t>、</w:t>
            </w:r>
            <w:r>
              <w:rPr>
                <w:rFonts w:ascii="Times New Roman" w:eastAsia="Times New Roman"/>
                <w:sz w:val="18"/>
              </w:rPr>
              <w:t>NY</w:t>
            </w:r>
            <w:r>
              <w:rPr>
                <w:sz w:val="18"/>
              </w:rPr>
              <w:t>、</w:t>
            </w:r>
            <w:r>
              <w:rPr>
                <w:rFonts w:ascii="Times New Roman" w:eastAsia="Times New Roman"/>
                <w:sz w:val="18"/>
              </w:rPr>
              <w:t xml:space="preserve">BOPP </w:t>
            </w:r>
            <w:r>
              <w:rPr>
                <w:spacing w:val="-1"/>
                <w:sz w:val="18"/>
              </w:rPr>
              <w:t>薄膜印刷，并适用于高温蒸煮用途的环保型复合油墨。使用时需用乙酸乙酯有机溶</w:t>
            </w:r>
          </w:p>
          <w:p>
            <w:pPr>
              <w:pStyle w:val="TableParagraph"/>
              <w:spacing w:line="208" w:lineRule="exact"/>
              <w:ind w:left="192" w:right="168"/>
              <w:jc w:val="center"/>
              <w:rPr>
                <w:sz w:val="18"/>
              </w:rPr>
            </w:pPr>
            <w:r>
              <w:rPr>
                <w:sz w:val="18"/>
              </w:rPr>
              <w:t>剂作为调配剂。</w:t>
            </w:r>
          </w:p>
        </w:tc>
        <w:tc>
          <w:tcPr>
            <w:tcW w:w="1251"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spacing w:before="3"/>
              <w:rPr>
                <w:b/>
                <w:sz w:val="18"/>
              </w:rPr>
            </w:pPr>
          </w:p>
          <w:p>
            <w:pPr>
              <w:pStyle w:val="TableParagraph"/>
              <w:ind w:left="158" w:right="139"/>
              <w:jc w:val="center"/>
              <w:rPr>
                <w:sz w:val="18"/>
              </w:rPr>
            </w:pPr>
            <w:r>
              <w:rPr>
                <w:sz w:val="18"/>
              </w:rPr>
              <w:t>可燃</w:t>
            </w:r>
          </w:p>
        </w:tc>
        <w:tc>
          <w:tcPr>
            <w:tcW w:w="1735"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spacing w:before="2"/>
              <w:rPr>
                <w:b/>
                <w:sz w:val="15"/>
              </w:rPr>
            </w:pPr>
          </w:p>
          <w:p>
            <w:pPr>
              <w:pStyle w:val="TableParagraph"/>
              <w:spacing w:before="1"/>
              <w:ind w:left="22"/>
              <w:jc w:val="center"/>
              <w:rPr>
                <w:rFonts w:ascii="Times New Roman"/>
                <w:sz w:val="18"/>
              </w:rPr>
            </w:pPr>
            <w:r>
              <w:rPr>
                <w:rFonts w:ascii="Times New Roman"/>
                <w:sz w:val="18"/>
              </w:rPr>
              <w:t>/</w:t>
            </w:r>
          </w:p>
        </w:tc>
        <w:tc>
          <w:tcPr>
            <w:tcW w:w="115" w:type="dxa"/>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1391"/>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right w:val="single" w:sz="4" w:space="0" w:color="000000"/>
            </w:tcBorders>
          </w:tcPr>
          <w:p>
            <w:pPr>
              <w:rPr>
                <w:sz w:val="2"/>
                <w:szCs w:val="2"/>
              </w:rPr>
            </w:pPr>
          </w:p>
        </w:tc>
        <w:tc>
          <w:tcPr>
            <w:tcW w:w="1077"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spacing w:before="116"/>
              <w:ind w:right="248"/>
              <w:jc w:val="right"/>
              <w:rPr>
                <w:sz w:val="18"/>
              </w:rPr>
            </w:pPr>
            <w:r>
              <w:rPr>
                <w:sz w:val="18"/>
              </w:rPr>
              <w:t>胶粘剂</w:t>
            </w:r>
          </w:p>
        </w:tc>
        <w:tc>
          <w:tcPr>
            <w:tcW w:w="4335"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71" w:right="145"/>
              <w:jc w:val="center"/>
              <w:rPr>
                <w:sz w:val="18"/>
              </w:rPr>
            </w:pPr>
            <w:r>
              <w:rPr>
                <w:sz w:val="18"/>
              </w:rPr>
              <w:t>本项目采用的为双组份溶剂型聚氨酯类胶粘剂，</w:t>
            </w:r>
            <w:r>
              <w:rPr>
                <w:rFonts w:ascii="Times New Roman" w:eastAsia="Times New Roman"/>
                <w:sz w:val="18"/>
              </w:rPr>
              <w:t xml:space="preserve">A </w:t>
            </w:r>
            <w:r>
              <w:rPr>
                <w:sz w:val="18"/>
              </w:rPr>
              <w:t>组分：乙酸乙酯（机密</w:t>
            </w:r>
            <w:r>
              <w:rPr>
                <w:spacing w:val="-92"/>
                <w:sz w:val="18"/>
              </w:rPr>
              <w:t>）</w:t>
            </w:r>
            <w:r>
              <w:rPr>
                <w:sz w:val="18"/>
              </w:rPr>
              <w:t>；</w:t>
            </w:r>
            <w:r>
              <w:rPr>
                <w:rFonts w:ascii="Times New Roman" w:eastAsia="Times New Roman"/>
                <w:sz w:val="18"/>
              </w:rPr>
              <w:t xml:space="preserve">B </w:t>
            </w:r>
            <w:r>
              <w:rPr>
                <w:spacing w:val="-6"/>
                <w:sz w:val="18"/>
              </w:rPr>
              <w:t xml:space="preserve">组分：乙酸乙酯 </w:t>
            </w:r>
            <w:r>
              <w:rPr>
                <w:rFonts w:ascii="Times New Roman" w:eastAsia="Times New Roman"/>
                <w:spacing w:val="1"/>
                <w:sz w:val="18"/>
              </w:rPr>
              <w:t>20</w:t>
            </w:r>
            <w:r>
              <w:rPr>
                <w:rFonts w:ascii="Times New Roman" w:eastAsia="Times New Roman"/>
                <w:sz w:val="18"/>
              </w:rPr>
              <w:t>- 30%</w:t>
            </w:r>
            <w:r>
              <w:rPr>
                <w:spacing w:val="-8"/>
                <w:sz w:val="18"/>
              </w:rPr>
              <w:t xml:space="preserve">；聚亚氨酯 </w:t>
            </w:r>
            <w:r>
              <w:rPr>
                <w:rFonts w:ascii="Times New Roman" w:eastAsia="Times New Roman"/>
                <w:sz w:val="18"/>
              </w:rPr>
              <w:t>70-90%</w:t>
            </w:r>
            <w:r>
              <w:rPr>
                <w:spacing w:val="-2"/>
                <w:sz w:val="18"/>
              </w:rPr>
              <w:t>。聚氨酯胶粘剂适用于铝箔</w:t>
            </w:r>
          </w:p>
          <w:p>
            <w:pPr>
              <w:pStyle w:val="TableParagraph"/>
              <w:ind w:left="192" w:right="168"/>
              <w:jc w:val="center"/>
              <w:rPr>
                <w:sz w:val="18"/>
              </w:rPr>
            </w:pPr>
            <w:r>
              <w:rPr>
                <w:sz w:val="18"/>
              </w:rPr>
              <w:t>（</w:t>
            </w:r>
            <w:r>
              <w:rPr>
                <w:rFonts w:ascii="Times New Roman" w:eastAsia="Times New Roman"/>
                <w:w w:val="99"/>
                <w:sz w:val="18"/>
              </w:rPr>
              <w:t>O</w:t>
            </w:r>
            <w:r>
              <w:rPr>
                <w:rFonts w:ascii="Times New Roman" w:eastAsia="Times New Roman"/>
                <w:spacing w:val="-17"/>
                <w:w w:val="99"/>
                <w:sz w:val="18"/>
              </w:rPr>
              <w:t>P</w:t>
            </w:r>
            <w:r>
              <w:rPr>
                <w:rFonts w:ascii="Times New Roman" w:eastAsia="Times New Roman"/>
                <w:spacing w:val="-1"/>
                <w:w w:val="99"/>
                <w:sz w:val="18"/>
              </w:rPr>
              <w:t>A</w:t>
            </w:r>
            <w:r>
              <w:rPr>
                <w:spacing w:val="-92"/>
                <w:sz w:val="18"/>
              </w:rPr>
              <w:t>）</w:t>
            </w:r>
            <w:r>
              <w:rPr>
                <w:sz w:val="18"/>
              </w:rPr>
              <w:t>，预处理过的聚乙烯</w:t>
            </w:r>
            <w:r>
              <w:rPr>
                <w:spacing w:val="2"/>
                <w:sz w:val="18"/>
              </w:rPr>
              <w:t>（</w:t>
            </w:r>
            <w:r>
              <w:rPr>
                <w:rFonts w:ascii="Times New Roman" w:eastAsia="Times New Roman"/>
                <w:w w:val="99"/>
                <w:sz w:val="18"/>
              </w:rPr>
              <w:t>H</w:t>
            </w:r>
            <w:r>
              <w:rPr>
                <w:rFonts w:ascii="Times New Roman" w:eastAsia="Times New Roman"/>
                <w:spacing w:val="-1"/>
                <w:w w:val="99"/>
                <w:sz w:val="18"/>
              </w:rPr>
              <w:t>D</w:t>
            </w:r>
            <w:r>
              <w:rPr>
                <w:rFonts w:ascii="Times New Roman" w:eastAsia="Times New Roman"/>
                <w:w w:val="99"/>
                <w:sz w:val="18"/>
              </w:rPr>
              <w:t>P</w:t>
            </w:r>
            <w:r>
              <w:rPr>
                <w:rFonts w:ascii="Times New Roman" w:eastAsia="Times New Roman"/>
                <w:sz w:val="18"/>
              </w:rPr>
              <w:t>E</w:t>
            </w:r>
            <w:r>
              <w:rPr>
                <w:sz w:val="18"/>
              </w:rPr>
              <w:t>，</w:t>
            </w:r>
          </w:p>
          <w:p>
            <w:pPr>
              <w:pStyle w:val="TableParagraph"/>
              <w:spacing w:line="230" w:lineRule="atLeast"/>
              <w:ind w:left="178" w:right="152"/>
              <w:jc w:val="center"/>
              <w:rPr>
                <w:sz w:val="18"/>
              </w:rPr>
            </w:pPr>
            <w:r>
              <w:rPr>
                <w:rFonts w:ascii="Times New Roman" w:eastAsia="Times New Roman"/>
                <w:w w:val="99"/>
                <w:sz w:val="18"/>
              </w:rPr>
              <w:t>LDP</w:t>
            </w:r>
            <w:r>
              <w:rPr>
                <w:rFonts w:ascii="Times New Roman" w:eastAsia="Times New Roman"/>
                <w:spacing w:val="1"/>
                <w:sz w:val="18"/>
              </w:rPr>
              <w:t>E</w:t>
            </w:r>
            <w:r>
              <w:rPr>
                <w:spacing w:val="-92"/>
                <w:sz w:val="18"/>
              </w:rPr>
              <w:t>）</w:t>
            </w:r>
            <w:r>
              <w:rPr>
                <w:sz w:val="18"/>
              </w:rPr>
              <w:t>、聚丙烯（</w:t>
            </w:r>
            <w:r>
              <w:rPr>
                <w:rFonts w:ascii="Times New Roman" w:eastAsia="Times New Roman"/>
                <w:spacing w:val="1"/>
                <w:sz w:val="18"/>
              </w:rPr>
              <w:t>0</w:t>
            </w:r>
            <w:r>
              <w:rPr>
                <w:rFonts w:ascii="Times New Roman" w:eastAsia="Times New Roman"/>
                <w:w w:val="99"/>
                <w:sz w:val="18"/>
              </w:rPr>
              <w:t>P</w:t>
            </w:r>
            <w:r>
              <w:rPr>
                <w:rFonts w:ascii="Times New Roman" w:eastAsia="Times New Roman"/>
                <w:spacing w:val="1"/>
                <w:w w:val="99"/>
                <w:sz w:val="18"/>
              </w:rPr>
              <w:t>P</w:t>
            </w:r>
            <w:r>
              <w:rPr>
                <w:sz w:val="18"/>
              </w:rPr>
              <w:t>，</w:t>
            </w:r>
            <w:r>
              <w:rPr>
                <w:rFonts w:ascii="Times New Roman" w:eastAsia="Times New Roman"/>
                <w:w w:val="99"/>
                <w:sz w:val="18"/>
              </w:rPr>
              <w:t>C</w:t>
            </w:r>
            <w:r>
              <w:rPr>
                <w:rFonts w:ascii="Times New Roman" w:eastAsia="Times New Roman"/>
                <w:spacing w:val="-2"/>
                <w:w w:val="99"/>
                <w:sz w:val="18"/>
              </w:rPr>
              <w:t>P</w:t>
            </w:r>
            <w:r>
              <w:rPr>
                <w:rFonts w:ascii="Times New Roman" w:eastAsia="Times New Roman"/>
                <w:w w:val="99"/>
                <w:sz w:val="18"/>
              </w:rPr>
              <w:t>P</w:t>
            </w:r>
            <w:r>
              <w:rPr>
                <w:spacing w:val="-92"/>
                <w:sz w:val="18"/>
              </w:rPr>
              <w:t>）</w:t>
            </w:r>
            <w:r>
              <w:rPr>
                <w:sz w:val="18"/>
              </w:rPr>
              <w:t>、聚酯（</w:t>
            </w:r>
            <w:r>
              <w:rPr>
                <w:rFonts w:ascii="Times New Roman" w:eastAsia="Times New Roman"/>
                <w:w w:val="99"/>
                <w:sz w:val="18"/>
              </w:rPr>
              <w:t>P</w:t>
            </w:r>
            <w:r>
              <w:rPr>
                <w:rFonts w:ascii="Times New Roman" w:eastAsia="Times New Roman"/>
                <w:sz w:val="18"/>
              </w:rPr>
              <w:t>E</w:t>
            </w:r>
            <w:r>
              <w:rPr>
                <w:rFonts w:ascii="Times New Roman" w:eastAsia="Times New Roman"/>
                <w:spacing w:val="1"/>
                <w:sz w:val="18"/>
              </w:rPr>
              <w:t>T</w:t>
            </w:r>
            <w:r>
              <w:rPr>
                <w:spacing w:val="-92"/>
                <w:sz w:val="18"/>
              </w:rPr>
              <w:t>）</w:t>
            </w:r>
            <w:r>
              <w:rPr>
                <w:spacing w:val="-4"/>
                <w:sz w:val="18"/>
              </w:rPr>
              <w:t>、聚酰</w:t>
            </w:r>
            <w:r>
              <w:rPr>
                <w:sz w:val="18"/>
              </w:rPr>
              <w:t>胺</w:t>
            </w:r>
            <w:r>
              <w:rPr>
                <w:spacing w:val="-3"/>
                <w:sz w:val="18"/>
              </w:rPr>
              <w:t>（</w:t>
            </w:r>
            <w:r>
              <w:rPr>
                <w:rFonts w:ascii="Times New Roman" w:eastAsia="Times New Roman"/>
                <w:spacing w:val="-3"/>
                <w:sz w:val="18"/>
              </w:rPr>
              <w:t>PA</w:t>
            </w:r>
            <w:r>
              <w:rPr>
                <w:spacing w:val="-3"/>
                <w:sz w:val="18"/>
              </w:rPr>
              <w:t>，</w:t>
            </w:r>
            <w:r>
              <w:rPr>
                <w:rFonts w:ascii="Times New Roman" w:eastAsia="Times New Roman"/>
                <w:spacing w:val="-3"/>
                <w:sz w:val="18"/>
              </w:rPr>
              <w:t>ONY</w:t>
            </w:r>
            <w:r>
              <w:rPr>
                <w:spacing w:val="-3"/>
                <w:sz w:val="18"/>
              </w:rPr>
              <w:t>）</w:t>
            </w:r>
            <w:r>
              <w:rPr>
                <w:sz w:val="18"/>
              </w:rPr>
              <w:t>薄膜等之间复合。</w:t>
            </w:r>
          </w:p>
        </w:tc>
        <w:tc>
          <w:tcPr>
            <w:tcW w:w="1251"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spacing w:before="116"/>
              <w:ind w:left="158" w:right="139"/>
              <w:jc w:val="center"/>
              <w:rPr>
                <w:sz w:val="18"/>
              </w:rPr>
            </w:pPr>
            <w:r>
              <w:rPr>
                <w:sz w:val="18"/>
              </w:rPr>
              <w:t>可燃</w:t>
            </w:r>
          </w:p>
        </w:tc>
        <w:tc>
          <w:tcPr>
            <w:tcW w:w="1735"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2"/>
              <w:rPr>
                <w:b/>
                <w:sz w:val="26"/>
              </w:rPr>
            </w:pPr>
          </w:p>
          <w:p>
            <w:pPr>
              <w:pStyle w:val="TableParagraph"/>
              <w:spacing w:before="1"/>
              <w:ind w:left="22"/>
              <w:jc w:val="center"/>
              <w:rPr>
                <w:rFonts w:ascii="Times New Roman"/>
                <w:sz w:val="18"/>
              </w:rPr>
            </w:pPr>
            <w:r>
              <w:rPr>
                <w:rFonts w:ascii="Times New Roman"/>
                <w:sz w:val="18"/>
              </w:rPr>
              <w:t>/</w:t>
            </w:r>
          </w:p>
        </w:tc>
        <w:tc>
          <w:tcPr>
            <w:tcW w:w="115" w:type="dxa"/>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1624"/>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right w:val="single" w:sz="4" w:space="0" w:color="000000"/>
            </w:tcBorders>
          </w:tcPr>
          <w:p>
            <w:pPr>
              <w:rPr>
                <w:sz w:val="2"/>
                <w:szCs w:val="2"/>
              </w:rPr>
            </w:pPr>
          </w:p>
        </w:tc>
        <w:tc>
          <w:tcPr>
            <w:tcW w:w="1077"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spacing w:before="3"/>
              <w:rPr>
                <w:b/>
                <w:sz w:val="18"/>
              </w:rPr>
            </w:pPr>
          </w:p>
          <w:p>
            <w:pPr>
              <w:pStyle w:val="TableParagraph"/>
              <w:ind w:right="159"/>
              <w:jc w:val="right"/>
              <w:rPr>
                <w:sz w:val="18"/>
              </w:rPr>
            </w:pPr>
            <w:r>
              <w:rPr>
                <w:sz w:val="18"/>
              </w:rPr>
              <w:t>乙酸乙酯</w:t>
            </w:r>
          </w:p>
        </w:tc>
        <w:tc>
          <w:tcPr>
            <w:tcW w:w="4335"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6" w:right="90"/>
              <w:jc w:val="center"/>
              <w:rPr>
                <w:sz w:val="18"/>
              </w:rPr>
            </w:pPr>
            <w:r>
              <w:rPr>
                <w:spacing w:val="-9"/>
                <w:sz w:val="18"/>
              </w:rPr>
              <w:t xml:space="preserve">分子式为 </w:t>
            </w:r>
            <w:r>
              <w:rPr>
                <w:rFonts w:ascii="Times New Roman" w:eastAsia="Times New Roman"/>
                <w:sz w:val="18"/>
              </w:rPr>
              <w:t>C4H8O2</w:t>
            </w:r>
            <w:r>
              <w:rPr>
                <w:spacing w:val="-2"/>
                <w:sz w:val="18"/>
              </w:rPr>
              <w:t>，无色澄清液体，有强烈的醚似的</w:t>
            </w:r>
            <w:hyperlink r:id="rId25">
              <w:r>
                <w:rPr>
                  <w:sz w:val="18"/>
                </w:rPr>
                <w:t>气味，清灵、微带果香的酒香，易扩散</w:t>
              </w:r>
            </w:hyperlink>
            <w:hyperlink r:id="rId25">
              <w:r>
                <w:rPr>
                  <w:sz w:val="18"/>
                </w:rPr>
                <w:t>，</w:t>
              </w:r>
            </w:hyperlink>
            <w:r>
              <w:rPr>
                <w:sz w:val="18"/>
              </w:rPr>
              <w:t>不持久。微溶于水，溶于醇、酮、醚、</w:t>
            </w:r>
            <w:hyperlink r:id="rId26">
              <w:r>
                <w:rPr>
                  <w:sz w:val="18"/>
                </w:rPr>
                <w:t>氯仿</w:t>
              </w:r>
            </w:hyperlink>
            <w:r>
              <w:rPr>
                <w:sz w:val="18"/>
              </w:rPr>
              <w:t>等多数</w:t>
            </w:r>
            <w:hyperlink r:id="rId27">
              <w:r>
                <w:rPr>
                  <w:sz w:val="18"/>
                </w:rPr>
                <w:t>有机溶</w:t>
              </w:r>
            </w:hyperlink>
          </w:p>
          <w:p>
            <w:pPr>
              <w:pStyle w:val="TableParagraph"/>
              <w:ind w:left="132" w:right="109"/>
              <w:jc w:val="center"/>
              <w:rPr>
                <w:sz w:val="18"/>
              </w:rPr>
            </w:pPr>
            <w:hyperlink r:id="rId27">
              <w:r>
                <w:rPr>
                  <w:sz w:val="18"/>
                </w:rPr>
                <w:t>剂</w:t>
              </w:r>
            </w:hyperlink>
            <w:r>
              <w:rPr>
                <w:spacing w:val="-9"/>
                <w:sz w:val="18"/>
              </w:rPr>
              <w:t xml:space="preserve">。沸点为 </w:t>
            </w:r>
            <w:r>
              <w:rPr>
                <w:rFonts w:ascii="Times New Roman" w:eastAsia="Times New Roman" w:hAnsi="Times New Roman"/>
                <w:sz w:val="18"/>
              </w:rPr>
              <w:t>77.2℃</w:t>
            </w:r>
            <w:r>
              <w:rPr>
                <w:sz w:val="18"/>
              </w:rPr>
              <w:t>，熔点为</w:t>
            </w:r>
            <w:r>
              <w:rPr>
                <w:rFonts w:ascii="Times New Roman" w:eastAsia="Times New Roman" w:hAnsi="Times New Roman"/>
                <w:sz w:val="18"/>
              </w:rPr>
              <w:t>-83.6℃</w:t>
            </w:r>
            <w:r>
              <w:rPr>
                <w:sz w:val="18"/>
              </w:rPr>
              <w:t>，相对密度（水</w:t>
            </w:r>
          </w:p>
          <w:p>
            <w:pPr>
              <w:pStyle w:val="TableParagraph"/>
              <w:spacing w:line="242" w:lineRule="auto"/>
              <w:ind w:left="192" w:right="170"/>
              <w:jc w:val="center"/>
              <w:rPr>
                <w:sz w:val="18"/>
              </w:rPr>
            </w:pPr>
            <w:r>
              <w:rPr>
                <w:rFonts w:ascii="Times New Roman" w:eastAsia="Times New Roman"/>
                <w:sz w:val="18"/>
              </w:rPr>
              <w:t>=1</w:t>
            </w:r>
            <w:r>
              <w:rPr>
                <w:sz w:val="18"/>
              </w:rPr>
              <w:t>）</w:t>
            </w:r>
            <w:r>
              <w:rPr>
                <w:spacing w:val="-22"/>
                <w:sz w:val="18"/>
              </w:rPr>
              <w:t xml:space="preserve">为 </w:t>
            </w:r>
            <w:r>
              <w:rPr>
                <w:rFonts w:ascii="Times New Roman" w:eastAsia="Times New Roman"/>
                <w:sz w:val="18"/>
              </w:rPr>
              <w:t>0.90</w:t>
            </w:r>
            <w:r>
              <w:rPr>
                <w:spacing w:val="-1"/>
                <w:sz w:val="18"/>
              </w:rPr>
              <w:t>。易挥发，具有优异的溶解性、快干</w:t>
            </w:r>
            <w:r>
              <w:rPr>
                <w:spacing w:val="-2"/>
                <w:sz w:val="18"/>
              </w:rPr>
              <w:t>性，用途广泛，是一种重要的有机化工原料和工业</w:t>
            </w:r>
          </w:p>
          <w:p>
            <w:pPr>
              <w:pStyle w:val="TableParagraph"/>
              <w:spacing w:line="210" w:lineRule="exact"/>
              <w:ind w:left="192" w:right="168"/>
              <w:jc w:val="center"/>
              <w:rPr>
                <w:sz w:val="18"/>
              </w:rPr>
            </w:pPr>
            <w:r>
              <w:rPr>
                <w:sz w:val="18"/>
              </w:rPr>
              <w:t>溶剂。</w:t>
            </w:r>
          </w:p>
        </w:tc>
        <w:tc>
          <w:tcPr>
            <w:tcW w:w="1251"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9"/>
              </w:rPr>
            </w:pPr>
          </w:p>
          <w:p>
            <w:pPr>
              <w:pStyle w:val="TableParagraph"/>
              <w:ind w:left="158" w:right="139"/>
              <w:jc w:val="center"/>
              <w:rPr>
                <w:sz w:val="18"/>
              </w:rPr>
            </w:pPr>
            <w:r>
              <w:rPr>
                <w:sz w:val="18"/>
              </w:rPr>
              <w:t>爆炸上限</w:t>
            </w:r>
          </w:p>
          <w:p>
            <w:pPr>
              <w:pStyle w:val="TableParagraph"/>
              <w:spacing w:before="3"/>
              <w:ind w:left="70" w:right="139"/>
              <w:jc w:val="center"/>
              <w:rPr>
                <w:sz w:val="18"/>
              </w:rPr>
            </w:pPr>
            <w:r>
              <w:rPr>
                <w:sz w:val="18"/>
              </w:rPr>
              <w:t>（</w:t>
            </w:r>
            <w:r>
              <w:rPr>
                <w:rFonts w:ascii="Times New Roman" w:eastAsia="Times New Roman"/>
                <w:w w:val="99"/>
                <w:sz w:val="18"/>
              </w:rPr>
              <w:t>V/</w:t>
            </w:r>
            <w:r>
              <w:rPr>
                <w:rFonts w:ascii="Times New Roman" w:eastAsia="Times New Roman"/>
                <w:spacing w:val="-1"/>
                <w:w w:val="99"/>
                <w:sz w:val="18"/>
              </w:rPr>
              <w:t>V</w:t>
            </w:r>
            <w:r>
              <w:rPr>
                <w:spacing w:val="-92"/>
                <w:sz w:val="18"/>
              </w:rPr>
              <w:t>）：</w:t>
            </w:r>
          </w:p>
          <w:p>
            <w:pPr>
              <w:pStyle w:val="TableParagraph"/>
              <w:spacing w:before="2"/>
              <w:ind w:left="158" w:right="136"/>
              <w:jc w:val="center"/>
              <w:rPr>
                <w:rFonts w:ascii="Times New Roman"/>
                <w:sz w:val="18"/>
              </w:rPr>
            </w:pPr>
            <w:r>
              <w:rPr>
                <w:rFonts w:ascii="Times New Roman"/>
                <w:sz w:val="18"/>
              </w:rPr>
              <w:t>11.5%</w:t>
            </w:r>
          </w:p>
        </w:tc>
        <w:tc>
          <w:tcPr>
            <w:tcW w:w="1735" w:type="dxa"/>
            <w:tcBorders>
              <w:top w:val="single" w:sz="4" w:space="0" w:color="000000"/>
              <w:left w:val="single" w:sz="4" w:space="0" w:color="000000"/>
              <w:bottom w:val="single" w:sz="4" w:space="0" w:color="000000"/>
              <w:right w:val="single" w:sz="4" w:space="0" w:color="000000"/>
            </w:tcBorders>
          </w:tcPr>
          <w:p>
            <w:pPr>
              <w:pStyle w:val="TableParagraph"/>
              <w:spacing w:before="6"/>
              <w:ind w:left="132" w:right="109"/>
              <w:jc w:val="center"/>
              <w:rPr>
                <w:rFonts w:ascii="Times New Roman" w:eastAsia="Times New Roman"/>
                <w:sz w:val="18"/>
              </w:rPr>
            </w:pPr>
            <w:r>
              <w:rPr>
                <w:rFonts w:ascii="Times New Roman" w:eastAsia="Times New Roman"/>
                <w:position w:val="1"/>
                <w:sz w:val="18"/>
              </w:rPr>
              <w:t>LD</w:t>
            </w:r>
            <w:r>
              <w:rPr>
                <w:rFonts w:ascii="Times New Roman" w:eastAsia="Times New Roman"/>
                <w:sz w:val="12"/>
              </w:rPr>
              <w:t>50</w:t>
            </w:r>
            <w:r>
              <w:rPr>
                <w:position w:val="1"/>
                <w:sz w:val="18"/>
              </w:rPr>
              <w:t>：</w:t>
            </w:r>
            <w:r>
              <w:rPr>
                <w:rFonts w:ascii="Times New Roman" w:eastAsia="Times New Roman"/>
                <w:position w:val="1"/>
                <w:sz w:val="18"/>
              </w:rPr>
              <w:t>5610mg/kg</w:t>
            </w:r>
          </w:p>
          <w:p>
            <w:pPr>
              <w:pStyle w:val="TableParagraph"/>
              <w:spacing w:before="5" w:line="242" w:lineRule="auto"/>
              <w:ind w:left="123" w:right="96" w:hanging="3"/>
              <w:jc w:val="center"/>
              <w:rPr>
                <w:rFonts w:ascii="Times New Roman" w:eastAsia="Times New Roman"/>
                <w:sz w:val="18"/>
              </w:rPr>
            </w:pPr>
            <w:r>
              <w:rPr>
                <w:sz w:val="18"/>
              </w:rPr>
              <w:t>（大鼠经口</w:t>
            </w:r>
            <w:r>
              <w:rPr>
                <w:spacing w:val="-92"/>
                <w:sz w:val="18"/>
              </w:rPr>
              <w:t>）</w:t>
            </w:r>
            <w:r>
              <w:rPr>
                <w:sz w:val="18"/>
              </w:rPr>
              <w:t xml:space="preserve">； </w:t>
            </w:r>
            <w:r>
              <w:rPr>
                <w:rFonts w:ascii="Times New Roman" w:eastAsia="Times New Roman"/>
                <w:sz w:val="18"/>
              </w:rPr>
              <w:t>4940mg/kg</w:t>
            </w:r>
            <w:r>
              <w:rPr>
                <w:sz w:val="18"/>
              </w:rPr>
              <w:t>（兔经</w:t>
            </w:r>
            <w:r>
              <w:rPr>
                <w:spacing w:val="-1"/>
                <w:position w:val="1"/>
                <w:sz w:val="18"/>
              </w:rPr>
              <w:t>皮）</w:t>
            </w:r>
            <w:r>
              <w:rPr>
                <w:rFonts w:ascii="Times New Roman" w:eastAsia="Times New Roman"/>
                <w:spacing w:val="-1"/>
                <w:position w:val="1"/>
                <w:sz w:val="18"/>
              </w:rPr>
              <w:t>LC</w:t>
            </w:r>
            <w:r>
              <w:rPr>
                <w:rFonts w:ascii="Times New Roman" w:eastAsia="Times New Roman"/>
                <w:spacing w:val="-1"/>
                <w:sz w:val="12"/>
              </w:rPr>
              <w:t>50</w:t>
            </w:r>
            <w:r>
              <w:rPr>
                <w:spacing w:val="-1"/>
                <w:position w:val="1"/>
                <w:sz w:val="18"/>
              </w:rPr>
              <w:t>：</w:t>
            </w:r>
            <w:r>
              <w:rPr>
                <w:rFonts w:ascii="Times New Roman" w:eastAsia="Times New Roman"/>
                <w:spacing w:val="-1"/>
                <w:position w:val="1"/>
                <w:sz w:val="18"/>
              </w:rPr>
              <w:t>200g/m</w:t>
            </w:r>
            <w:r>
              <w:rPr>
                <w:rFonts w:ascii="Times New Roman" w:eastAsia="Times New Roman"/>
                <w:spacing w:val="-1"/>
                <w:position w:val="1"/>
                <w:sz w:val="18"/>
                <w:vertAlign w:val="superscript"/>
              </w:rPr>
              <w:t>3</w:t>
            </w:r>
          </w:p>
          <w:p>
            <w:pPr>
              <w:pStyle w:val="TableParagraph"/>
              <w:spacing w:line="230" w:lineRule="exact"/>
              <w:ind w:left="131" w:right="109"/>
              <w:jc w:val="center"/>
              <w:rPr>
                <w:sz w:val="18"/>
              </w:rPr>
            </w:pPr>
            <w:r>
              <w:rPr>
                <w:sz w:val="18"/>
              </w:rPr>
              <w:t>（大鼠吸入</w:t>
            </w:r>
            <w:r>
              <w:rPr>
                <w:spacing w:val="-92"/>
                <w:sz w:val="18"/>
              </w:rPr>
              <w:t>）</w:t>
            </w:r>
            <w:r>
              <w:rPr>
                <w:sz w:val="18"/>
              </w:rPr>
              <w:t>；</w:t>
            </w:r>
          </w:p>
          <w:p>
            <w:pPr>
              <w:pStyle w:val="TableParagraph"/>
              <w:spacing w:before="1"/>
              <w:ind w:left="131" w:right="109"/>
              <w:jc w:val="center"/>
              <w:rPr>
                <w:rFonts w:ascii="Times New Roman"/>
                <w:sz w:val="12"/>
              </w:rPr>
            </w:pPr>
            <w:r>
              <w:rPr>
                <w:rFonts w:ascii="Times New Roman"/>
                <w:sz w:val="18"/>
              </w:rPr>
              <w:t>45g/m</w:t>
            </w:r>
            <w:r>
              <w:rPr>
                <w:rFonts w:ascii="Times New Roman"/>
                <w:position w:val="6"/>
                <w:sz w:val="12"/>
              </w:rPr>
              <w:t>3</w:t>
            </w:r>
          </w:p>
          <w:p>
            <w:pPr>
              <w:pStyle w:val="TableParagraph"/>
              <w:spacing w:line="222" w:lineRule="exact"/>
              <w:ind w:left="136" w:right="109"/>
              <w:jc w:val="center"/>
              <w:rPr>
                <w:sz w:val="18"/>
              </w:rPr>
            </w:pPr>
            <w:r>
              <w:rPr>
                <w:sz w:val="18"/>
              </w:rPr>
              <w:t>（小鼠吸入，</w:t>
            </w:r>
            <w:r>
              <w:rPr>
                <w:rFonts w:ascii="Times New Roman" w:eastAsia="Times New Roman"/>
                <w:sz w:val="18"/>
              </w:rPr>
              <w:t>2h</w:t>
            </w:r>
            <w:r>
              <w:rPr>
                <w:sz w:val="18"/>
              </w:rPr>
              <w:t>）</w:t>
            </w:r>
          </w:p>
        </w:tc>
        <w:tc>
          <w:tcPr>
            <w:tcW w:w="115" w:type="dxa"/>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277"/>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right w:val="single" w:sz="4" w:space="0" w:color="000000"/>
            </w:tcBorders>
          </w:tcPr>
          <w:p>
            <w:pPr>
              <w:rPr>
                <w:sz w:val="2"/>
                <w:szCs w:val="2"/>
              </w:rPr>
            </w:pPr>
          </w:p>
        </w:tc>
        <w:tc>
          <w:tcPr>
            <w:tcW w:w="1077" w:type="dxa"/>
            <w:tcBorders>
              <w:top w:val="single" w:sz="4" w:space="0" w:color="000000"/>
              <w:left w:val="single" w:sz="4" w:space="0" w:color="000000"/>
              <w:bottom w:val="single" w:sz="12" w:space="0" w:color="000000"/>
              <w:right w:val="single" w:sz="4" w:space="0" w:color="000000"/>
            </w:tcBorders>
          </w:tcPr>
          <w:p>
            <w:pPr>
              <w:pStyle w:val="TableParagraph"/>
              <w:spacing w:before="18"/>
              <w:ind w:right="248"/>
              <w:jc w:val="right"/>
              <w:rPr>
                <w:sz w:val="18"/>
              </w:rPr>
            </w:pPr>
            <w:r>
              <w:rPr>
                <w:sz w:val="18"/>
              </w:rPr>
              <w:t>异丙醇</w:t>
            </w:r>
          </w:p>
        </w:tc>
        <w:tc>
          <w:tcPr>
            <w:tcW w:w="4335" w:type="dxa"/>
            <w:tcBorders>
              <w:top w:val="single" w:sz="4" w:space="0" w:color="000000"/>
              <w:left w:val="single" w:sz="4" w:space="0" w:color="000000"/>
              <w:bottom w:val="single" w:sz="12" w:space="0" w:color="000000"/>
              <w:right w:val="single" w:sz="4" w:space="0" w:color="000000"/>
            </w:tcBorders>
          </w:tcPr>
          <w:p>
            <w:pPr>
              <w:pStyle w:val="TableParagraph"/>
              <w:spacing w:before="18"/>
              <w:ind w:left="132" w:right="109"/>
              <w:jc w:val="center"/>
              <w:rPr>
                <w:sz w:val="18"/>
              </w:rPr>
            </w:pPr>
            <w:r>
              <w:rPr>
                <w:position w:val="1"/>
                <w:sz w:val="18"/>
              </w:rPr>
              <w:t xml:space="preserve">分子式 </w:t>
            </w:r>
            <w:r>
              <w:rPr>
                <w:rFonts w:ascii="Times New Roman" w:eastAsia="Times New Roman"/>
                <w:position w:val="1"/>
                <w:sz w:val="18"/>
              </w:rPr>
              <w:t>C</w:t>
            </w:r>
            <w:r>
              <w:rPr>
                <w:rFonts w:ascii="Times New Roman" w:eastAsia="Times New Roman"/>
                <w:sz w:val="12"/>
              </w:rPr>
              <w:t>3</w:t>
            </w:r>
            <w:r>
              <w:rPr>
                <w:rFonts w:ascii="Times New Roman" w:eastAsia="Times New Roman"/>
                <w:position w:val="1"/>
                <w:sz w:val="18"/>
              </w:rPr>
              <w:t>H</w:t>
            </w:r>
            <w:r>
              <w:rPr>
                <w:rFonts w:ascii="Times New Roman" w:eastAsia="Times New Roman"/>
                <w:sz w:val="12"/>
              </w:rPr>
              <w:t>8</w:t>
            </w:r>
            <w:r>
              <w:rPr>
                <w:rFonts w:ascii="Times New Roman" w:eastAsia="Times New Roman"/>
                <w:position w:val="1"/>
                <w:sz w:val="18"/>
              </w:rPr>
              <w:t>O</w:t>
            </w:r>
            <w:r>
              <w:rPr>
                <w:position w:val="1"/>
                <w:sz w:val="18"/>
              </w:rPr>
              <w:t xml:space="preserve">，分子量 </w:t>
            </w:r>
            <w:r>
              <w:rPr>
                <w:rFonts w:ascii="Times New Roman" w:eastAsia="Times New Roman"/>
                <w:position w:val="1"/>
                <w:sz w:val="18"/>
              </w:rPr>
              <w:t>60.06</w:t>
            </w:r>
            <w:r>
              <w:rPr>
                <w:position w:val="1"/>
                <w:sz w:val="18"/>
              </w:rPr>
              <w:t>，无色透明液体，沸</w:t>
            </w:r>
          </w:p>
        </w:tc>
        <w:tc>
          <w:tcPr>
            <w:tcW w:w="1251" w:type="dxa"/>
            <w:tcBorders>
              <w:top w:val="single" w:sz="4" w:space="0" w:color="000000"/>
              <w:left w:val="single" w:sz="4" w:space="0" w:color="000000"/>
              <w:bottom w:val="single" w:sz="12" w:space="0" w:color="000000"/>
              <w:right w:val="single" w:sz="4" w:space="0" w:color="000000"/>
            </w:tcBorders>
          </w:tcPr>
          <w:p>
            <w:pPr>
              <w:pStyle w:val="TableParagraph"/>
              <w:spacing w:before="18"/>
              <w:ind w:left="158" w:right="139"/>
              <w:jc w:val="center"/>
              <w:rPr>
                <w:sz w:val="18"/>
              </w:rPr>
            </w:pPr>
            <w:r>
              <w:rPr>
                <w:sz w:val="18"/>
              </w:rPr>
              <w:t>爆炸上限</w:t>
            </w:r>
          </w:p>
        </w:tc>
        <w:tc>
          <w:tcPr>
            <w:tcW w:w="1735" w:type="dxa"/>
            <w:tcBorders>
              <w:top w:val="single" w:sz="4" w:space="0" w:color="000000"/>
              <w:left w:val="single" w:sz="4" w:space="0" w:color="000000"/>
              <w:bottom w:val="single" w:sz="12" w:space="0" w:color="000000"/>
              <w:right w:val="single" w:sz="4" w:space="0" w:color="000000"/>
            </w:tcBorders>
          </w:tcPr>
          <w:p>
            <w:pPr>
              <w:pStyle w:val="TableParagraph"/>
              <w:spacing w:before="18"/>
              <w:ind w:left="131" w:right="109"/>
              <w:jc w:val="center"/>
              <w:rPr>
                <w:rFonts w:ascii="Times New Roman" w:eastAsia="Times New Roman"/>
                <w:sz w:val="18"/>
              </w:rPr>
            </w:pPr>
            <w:r>
              <w:rPr>
                <w:rFonts w:ascii="Times New Roman" w:eastAsia="Times New Roman"/>
                <w:position w:val="1"/>
                <w:sz w:val="18"/>
              </w:rPr>
              <w:t>LD</w:t>
            </w:r>
            <w:r>
              <w:rPr>
                <w:rFonts w:ascii="Times New Roman" w:eastAsia="Times New Roman"/>
                <w:sz w:val="12"/>
              </w:rPr>
              <w:t>50</w:t>
            </w:r>
            <w:r>
              <w:rPr>
                <w:position w:val="1"/>
                <w:sz w:val="18"/>
              </w:rPr>
              <w:t>：</w:t>
            </w:r>
            <w:r>
              <w:rPr>
                <w:rFonts w:ascii="Times New Roman" w:eastAsia="Times New Roman"/>
                <w:position w:val="1"/>
                <w:sz w:val="18"/>
              </w:rPr>
              <w:t>5000mg/kg</w:t>
            </w:r>
          </w:p>
        </w:tc>
        <w:tc>
          <w:tcPr>
            <w:tcW w:w="115" w:type="dxa"/>
            <w:tcBorders>
              <w:top w:val="nil"/>
              <w:left w:val="single" w:sz="4" w:space="0" w:color="000000"/>
            </w:tcBorders>
          </w:tcPr>
          <w:p>
            <w:pPr>
              <w:pStyle w:val="TableParagraph"/>
              <w:rPr>
                <w:rFonts w:ascii="Times New Roman"/>
                <w:sz w:val="18"/>
              </w:rPr>
            </w:pPr>
          </w:p>
        </w:tc>
      </w:tr>
    </w:tbl>
    <w:p>
      <w:pPr>
        <w:spacing w:after="0"/>
        <w:rPr>
          <w:rFonts w:ascii="Times New Roman"/>
          <w:sz w:val="18"/>
        </w:rPr>
        <w:sectPr>
          <w:footerReference w:type="default" r:id="rId28"/>
          <w:pgSz w:w="11910" w:h="16840"/>
          <w:pgMar w:top="1400" w:right="1140" w:bottom="960" w:left="1140" w:header="0" w:footer="768" w:gutter="0"/>
          <w:pgNumType w:start="19"/>
          <w:cols w:num="1" w:space="720"/>
        </w:sectPr>
      </w:pPr>
    </w:p>
    <w:tbl>
      <w:tblPr>
        <w:tblStyle w:val="TableNormal"/>
        <w:tblW w:w="0" w:type="auto"/>
        <w:tblInd w:w="2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27"/>
        <w:gridCol w:w="116"/>
        <w:gridCol w:w="692"/>
        <w:gridCol w:w="387"/>
        <w:gridCol w:w="652"/>
        <w:gridCol w:w="1829"/>
        <w:gridCol w:w="1845"/>
        <w:gridCol w:w="991"/>
        <w:gridCol w:w="262"/>
        <w:gridCol w:w="1731"/>
        <w:gridCol w:w="121"/>
      </w:tblGrid>
      <w:tr>
        <w:tblPrEx>
          <w:tblW w:w="0" w:type="auto"/>
          <w:tblInd w:w="2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628"/>
        </w:trPr>
        <w:tc>
          <w:tcPr>
            <w:tcW w:w="427" w:type="dxa"/>
            <w:vMerge w:val="restart"/>
            <w:tcBorders>
              <w:right w:val="single" w:sz="4" w:space="0" w:color="000000"/>
            </w:tcBorders>
          </w:tcPr>
          <w:p>
            <w:pPr>
              <w:pStyle w:val="TableParagraph"/>
              <w:rPr>
                <w:rFonts w:ascii="Times New Roman"/>
                <w:sz w:val="18"/>
              </w:rPr>
            </w:pPr>
          </w:p>
        </w:tc>
        <w:tc>
          <w:tcPr>
            <w:tcW w:w="116" w:type="dxa"/>
            <w:vMerge w:val="restart"/>
            <w:tcBorders>
              <w:left w:val="single" w:sz="4" w:space="0" w:color="000000"/>
              <w:bottom w:val="nil"/>
              <w:right w:val="single" w:sz="4" w:space="0" w:color="000000"/>
            </w:tcBorders>
          </w:tcPr>
          <w:p>
            <w:pPr>
              <w:pStyle w:val="TableParagraph"/>
              <w:rPr>
                <w:rFonts w:ascii="Times New Roman"/>
                <w:sz w:val="18"/>
              </w:rPr>
            </w:pPr>
          </w:p>
        </w:tc>
        <w:tc>
          <w:tcPr>
            <w:tcW w:w="1079" w:type="dxa"/>
            <w:gridSpan w:val="2"/>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4326" w:type="dxa"/>
            <w:gridSpan w:val="3"/>
            <w:tcBorders>
              <w:top w:val="single" w:sz="12" w:space="0" w:color="000000"/>
              <w:left w:val="single" w:sz="4" w:space="0" w:color="000000"/>
              <w:bottom w:val="single" w:sz="4" w:space="0" w:color="000000"/>
              <w:right w:val="single" w:sz="4" w:space="0" w:color="000000"/>
            </w:tcBorders>
          </w:tcPr>
          <w:p>
            <w:pPr>
              <w:pStyle w:val="TableParagraph"/>
              <w:spacing w:line="242" w:lineRule="auto"/>
              <w:ind w:left="160" w:right="142"/>
              <w:jc w:val="center"/>
              <w:rPr>
                <w:sz w:val="18"/>
              </w:rPr>
            </w:pPr>
            <w:r>
              <w:rPr>
                <w:sz w:val="18"/>
              </w:rPr>
              <w:t>点：</w:t>
            </w:r>
            <w:r>
              <w:rPr>
                <w:rFonts w:ascii="Times New Roman" w:eastAsia="Times New Roman" w:hAnsi="Times New Roman"/>
                <w:sz w:val="18"/>
              </w:rPr>
              <w:t>82.45℃</w:t>
            </w:r>
            <w:r>
              <w:rPr>
                <w:spacing w:val="-2"/>
                <w:sz w:val="18"/>
              </w:rPr>
              <w:t>，有似乙醇和丙酮混合物的气味，溶于</w:t>
            </w:r>
            <w:r>
              <w:rPr>
                <w:sz w:val="18"/>
              </w:rPr>
              <w:t>水、醇、醚、苯、氯仿等多数有机溶剂，易燃，其蒸气与空气可形成爆炸性混合物，遇明火、高热能引起燃烧爆炸。与氧化剂接触猛烈反应。在火场 中，受热的容器有爆炸危险。其蒸气比空气重，能</w:t>
            </w:r>
          </w:p>
          <w:p>
            <w:pPr>
              <w:pStyle w:val="TableParagraph"/>
              <w:spacing w:before="4" w:line="230" w:lineRule="atLeast"/>
              <w:ind w:left="276" w:right="257"/>
              <w:jc w:val="center"/>
              <w:rPr>
                <w:sz w:val="18"/>
              </w:rPr>
            </w:pPr>
            <w:r>
              <w:rPr>
                <w:sz w:val="18"/>
              </w:rPr>
              <w:t>在较低处扩散到相当远的地方，遇火源会着火回燃。</w:t>
            </w:r>
          </w:p>
        </w:tc>
        <w:tc>
          <w:tcPr>
            <w:tcW w:w="1253" w:type="dxa"/>
            <w:gridSpan w:val="2"/>
            <w:tcBorders>
              <w:top w:val="single" w:sz="12" w:space="0" w:color="000000"/>
              <w:left w:val="single" w:sz="4" w:space="0" w:color="000000"/>
              <w:bottom w:val="single" w:sz="4" w:space="0" w:color="000000"/>
              <w:right w:val="single" w:sz="4" w:space="0" w:color="000000"/>
            </w:tcBorders>
          </w:tcPr>
          <w:p>
            <w:pPr>
              <w:pStyle w:val="TableParagraph"/>
              <w:ind w:left="163" w:right="232"/>
              <w:jc w:val="center"/>
              <w:rPr>
                <w:sz w:val="18"/>
              </w:rPr>
            </w:pPr>
            <w:r>
              <w:rPr>
                <w:sz w:val="18"/>
              </w:rPr>
              <w:t>（</w:t>
            </w:r>
            <w:r>
              <w:rPr>
                <w:rFonts w:ascii="Times New Roman" w:eastAsia="Times New Roman"/>
                <w:w w:val="99"/>
                <w:sz w:val="18"/>
              </w:rPr>
              <w:t>V/</w:t>
            </w:r>
            <w:r>
              <w:rPr>
                <w:rFonts w:ascii="Times New Roman" w:eastAsia="Times New Roman"/>
                <w:spacing w:val="-1"/>
                <w:w w:val="99"/>
                <w:sz w:val="18"/>
              </w:rPr>
              <w:t>V</w:t>
            </w:r>
            <w:r>
              <w:rPr>
                <w:spacing w:val="-92"/>
                <w:sz w:val="18"/>
              </w:rPr>
              <w:t>）：</w:t>
            </w:r>
          </w:p>
          <w:p>
            <w:pPr>
              <w:pStyle w:val="TableParagraph"/>
              <w:spacing w:before="4"/>
              <w:ind w:left="234" w:right="213"/>
              <w:jc w:val="center"/>
              <w:rPr>
                <w:sz w:val="18"/>
              </w:rPr>
            </w:pPr>
            <w:r>
              <w:rPr>
                <w:rFonts w:ascii="Times New Roman" w:eastAsia="Times New Roman"/>
                <w:sz w:val="18"/>
              </w:rPr>
              <w:t>12.7</w:t>
            </w:r>
            <w:r>
              <w:rPr>
                <w:sz w:val="18"/>
              </w:rPr>
              <w:t>％</w:t>
            </w:r>
          </w:p>
          <w:p>
            <w:pPr>
              <w:pStyle w:val="TableParagraph"/>
              <w:spacing w:before="2"/>
              <w:ind w:left="234" w:right="215"/>
              <w:jc w:val="center"/>
              <w:rPr>
                <w:sz w:val="18"/>
              </w:rPr>
            </w:pPr>
            <w:r>
              <w:rPr>
                <w:sz w:val="18"/>
              </w:rPr>
              <w:t>爆炸下限</w:t>
            </w:r>
          </w:p>
          <w:p>
            <w:pPr>
              <w:pStyle w:val="TableParagraph"/>
              <w:spacing w:before="2"/>
              <w:ind w:left="163" w:right="232"/>
              <w:jc w:val="center"/>
              <w:rPr>
                <w:sz w:val="18"/>
              </w:rPr>
            </w:pPr>
            <w:r>
              <w:rPr>
                <w:sz w:val="18"/>
              </w:rPr>
              <w:t>（</w:t>
            </w:r>
            <w:r>
              <w:rPr>
                <w:rFonts w:ascii="Times New Roman" w:eastAsia="Times New Roman"/>
                <w:w w:val="99"/>
                <w:sz w:val="18"/>
              </w:rPr>
              <w:t>V/</w:t>
            </w:r>
            <w:r>
              <w:rPr>
                <w:rFonts w:ascii="Times New Roman" w:eastAsia="Times New Roman"/>
                <w:spacing w:val="-1"/>
                <w:w w:val="99"/>
                <w:sz w:val="18"/>
              </w:rPr>
              <w:t>V</w:t>
            </w:r>
            <w:r>
              <w:rPr>
                <w:spacing w:val="-92"/>
                <w:sz w:val="18"/>
              </w:rPr>
              <w:t>）：</w:t>
            </w:r>
          </w:p>
          <w:p>
            <w:pPr>
              <w:pStyle w:val="TableParagraph"/>
              <w:spacing w:before="3"/>
              <w:ind w:left="234" w:right="210"/>
              <w:jc w:val="center"/>
              <w:rPr>
                <w:sz w:val="18"/>
              </w:rPr>
            </w:pPr>
            <w:r>
              <w:rPr>
                <w:rFonts w:ascii="Times New Roman" w:eastAsia="Times New Roman"/>
                <w:sz w:val="18"/>
              </w:rPr>
              <w:t>2.0</w:t>
            </w:r>
            <w:r>
              <w:rPr>
                <w:sz w:val="18"/>
              </w:rPr>
              <w:t>％</w:t>
            </w:r>
          </w:p>
        </w:tc>
        <w:tc>
          <w:tcPr>
            <w:tcW w:w="1731" w:type="dxa"/>
            <w:tcBorders>
              <w:top w:val="single" w:sz="12" w:space="0" w:color="000000"/>
              <w:left w:val="single" w:sz="4" w:space="0" w:color="000000"/>
              <w:bottom w:val="single" w:sz="4" w:space="0" w:color="000000"/>
              <w:right w:val="single" w:sz="4" w:space="0" w:color="000000"/>
            </w:tcBorders>
          </w:tcPr>
          <w:p>
            <w:pPr>
              <w:pStyle w:val="TableParagraph"/>
              <w:spacing w:line="242" w:lineRule="auto"/>
              <w:ind w:left="149" w:right="119" w:hanging="3"/>
              <w:jc w:val="center"/>
              <w:rPr>
                <w:rFonts w:ascii="Times New Roman" w:eastAsia="Times New Roman"/>
                <w:sz w:val="18"/>
              </w:rPr>
            </w:pPr>
            <w:r>
              <w:rPr>
                <w:sz w:val="18"/>
              </w:rPr>
              <w:t>（大鼠经口</w:t>
            </w:r>
            <w:r>
              <w:rPr>
                <w:spacing w:val="-92"/>
                <w:sz w:val="18"/>
              </w:rPr>
              <w:t>）</w:t>
            </w:r>
            <w:r>
              <w:rPr>
                <w:sz w:val="18"/>
              </w:rPr>
              <w:t xml:space="preserve">； </w:t>
            </w:r>
            <w:r>
              <w:rPr>
                <w:rFonts w:ascii="Times New Roman" w:eastAsia="Times New Roman"/>
                <w:sz w:val="18"/>
              </w:rPr>
              <w:t>3600mg/kg</w:t>
            </w:r>
            <w:r>
              <w:rPr>
                <w:sz w:val="18"/>
              </w:rPr>
              <w:t>（小鼠经口</w:t>
            </w:r>
            <w:r>
              <w:rPr>
                <w:spacing w:val="-94"/>
                <w:sz w:val="18"/>
              </w:rPr>
              <w:t>）</w:t>
            </w:r>
            <w:r>
              <w:rPr>
                <w:spacing w:val="-2"/>
                <w:sz w:val="18"/>
              </w:rPr>
              <w:t>；</w:t>
            </w:r>
            <w:r>
              <w:rPr>
                <w:rFonts w:ascii="Times New Roman" w:eastAsia="Times New Roman"/>
                <w:spacing w:val="-1"/>
                <w:sz w:val="18"/>
              </w:rPr>
              <w:t>6410</w:t>
            </w:r>
            <w:r>
              <w:rPr>
                <w:rFonts w:ascii="Times New Roman" w:eastAsia="Times New Roman"/>
                <w:spacing w:val="-6"/>
                <w:sz w:val="18"/>
              </w:rPr>
              <w:t>m</w:t>
            </w:r>
            <w:r>
              <w:rPr>
                <w:rFonts w:ascii="Times New Roman" w:eastAsia="Times New Roman"/>
                <w:spacing w:val="-1"/>
                <w:sz w:val="18"/>
              </w:rPr>
              <w:t>g</w:t>
            </w:r>
            <w:r>
              <w:rPr>
                <w:rFonts w:ascii="Times New Roman" w:eastAsia="Times New Roman"/>
                <w:spacing w:val="-2"/>
                <w:sz w:val="18"/>
              </w:rPr>
              <w:t>/</w:t>
            </w:r>
            <w:r>
              <w:rPr>
                <w:rFonts w:ascii="Times New Roman" w:eastAsia="Times New Roman"/>
                <w:spacing w:val="-3"/>
                <w:sz w:val="18"/>
              </w:rPr>
              <w:t>k</w:t>
            </w:r>
            <w:r>
              <w:rPr>
                <w:rFonts w:ascii="Times New Roman" w:eastAsia="Times New Roman"/>
                <w:spacing w:val="-2"/>
                <w:sz w:val="18"/>
              </w:rPr>
              <w:t>g</w:t>
            </w:r>
          </w:p>
          <w:p>
            <w:pPr>
              <w:pStyle w:val="TableParagraph"/>
              <w:spacing w:before="2" w:line="242" w:lineRule="auto"/>
              <w:ind w:left="149" w:right="117" w:hanging="8"/>
              <w:jc w:val="center"/>
              <w:rPr>
                <w:sz w:val="18"/>
              </w:rPr>
            </w:pPr>
            <w:r>
              <w:rPr>
                <w:sz w:val="18"/>
              </w:rPr>
              <w:t>（兔经口</w:t>
            </w:r>
            <w:r>
              <w:rPr>
                <w:spacing w:val="-92"/>
                <w:sz w:val="18"/>
              </w:rPr>
              <w:t>）</w:t>
            </w:r>
            <w:r>
              <w:rPr>
                <w:sz w:val="18"/>
              </w:rPr>
              <w:t xml:space="preserve">； </w:t>
            </w:r>
            <w:r>
              <w:rPr>
                <w:rFonts w:ascii="Times New Roman" w:eastAsia="Times New Roman"/>
                <w:sz w:val="18"/>
              </w:rPr>
              <w:t>12800mg/kg</w:t>
            </w:r>
            <w:r>
              <w:rPr>
                <w:sz w:val="18"/>
              </w:rPr>
              <w:t>（</w:t>
            </w:r>
            <w:r>
              <w:rPr>
                <w:spacing w:val="-8"/>
                <w:sz w:val="18"/>
              </w:rPr>
              <w:t>兔经</w:t>
            </w:r>
            <w:r>
              <w:rPr>
                <w:sz w:val="18"/>
              </w:rPr>
              <w:t>皮）</w:t>
            </w:r>
          </w:p>
        </w:tc>
        <w:tc>
          <w:tcPr>
            <w:tcW w:w="121" w:type="dxa"/>
            <w:tcBorders>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2091"/>
        </w:trPr>
        <w:tc>
          <w:tcPr>
            <w:tcW w:w="427" w:type="dxa"/>
            <w:vMerge/>
            <w:tcBorders>
              <w:top w:val="nil"/>
              <w:right w:val="single" w:sz="4" w:space="0" w:color="000000"/>
            </w:tcBorders>
          </w:tcPr>
          <w:p>
            <w:pPr>
              <w:rPr>
                <w:sz w:val="2"/>
                <w:szCs w:val="2"/>
              </w:rPr>
            </w:pPr>
          </w:p>
        </w:tc>
        <w:tc>
          <w:tcPr>
            <w:tcW w:w="116" w:type="dxa"/>
            <w:vMerge/>
            <w:tcBorders>
              <w:top w:val="nil"/>
              <w:left w:val="single" w:sz="4" w:space="0" w:color="000000"/>
              <w:bottom w:val="nil"/>
              <w:right w:val="single" w:sz="4" w:space="0" w:color="000000"/>
            </w:tcBorders>
          </w:tcPr>
          <w:p>
            <w:pPr>
              <w:rPr>
                <w:sz w:val="2"/>
                <w:szCs w:val="2"/>
              </w:rPr>
            </w:pPr>
          </w:p>
        </w:tc>
        <w:tc>
          <w:tcPr>
            <w:tcW w:w="1079" w:type="dxa"/>
            <w:gridSpan w:val="2"/>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spacing w:before="5"/>
              <w:rPr>
                <w:b/>
                <w:sz w:val="18"/>
              </w:rPr>
            </w:pPr>
          </w:p>
          <w:p>
            <w:pPr>
              <w:pStyle w:val="TableParagraph"/>
              <w:ind w:left="270"/>
              <w:rPr>
                <w:sz w:val="18"/>
              </w:rPr>
            </w:pPr>
            <w:r>
              <w:rPr>
                <w:sz w:val="18"/>
              </w:rPr>
              <w:t>正丙酯</w:t>
            </w:r>
          </w:p>
        </w:tc>
        <w:tc>
          <w:tcPr>
            <w:tcW w:w="4326" w:type="dxa"/>
            <w:gridSpan w:val="3"/>
            <w:tcBorders>
              <w:top w:val="single" w:sz="4" w:space="0" w:color="000000"/>
              <w:left w:val="single" w:sz="4" w:space="0" w:color="000000"/>
              <w:bottom w:val="single" w:sz="4" w:space="0" w:color="000000"/>
              <w:right w:val="single" w:sz="4" w:space="0" w:color="000000"/>
            </w:tcBorders>
          </w:tcPr>
          <w:p>
            <w:pPr>
              <w:pStyle w:val="TableParagraph"/>
              <w:spacing w:line="224" w:lineRule="exact"/>
              <w:ind w:left="159" w:right="142"/>
              <w:jc w:val="center"/>
              <w:rPr>
                <w:sz w:val="18"/>
              </w:rPr>
            </w:pPr>
            <w:r>
              <w:rPr>
                <w:position w:val="1"/>
                <w:sz w:val="18"/>
              </w:rPr>
              <w:t>即醋酸正丙酯，分子式：</w:t>
            </w:r>
            <w:r>
              <w:rPr>
                <w:rFonts w:ascii="Times New Roman" w:eastAsia="Times New Roman"/>
                <w:position w:val="1"/>
                <w:sz w:val="18"/>
              </w:rPr>
              <w:t>C5H</w:t>
            </w:r>
            <w:r>
              <w:rPr>
                <w:rFonts w:ascii="Times New Roman" w:eastAsia="Times New Roman"/>
                <w:sz w:val="12"/>
              </w:rPr>
              <w:t>10</w:t>
            </w:r>
            <w:r>
              <w:rPr>
                <w:rFonts w:ascii="Times New Roman" w:eastAsia="Times New Roman"/>
                <w:position w:val="1"/>
                <w:sz w:val="18"/>
              </w:rPr>
              <w:t>O</w:t>
            </w:r>
            <w:r>
              <w:rPr>
                <w:rFonts w:ascii="Times New Roman" w:eastAsia="Times New Roman"/>
                <w:sz w:val="12"/>
              </w:rPr>
              <w:t>2</w:t>
            </w:r>
            <w:r>
              <w:rPr>
                <w:position w:val="1"/>
                <w:sz w:val="18"/>
              </w:rPr>
              <w:t>，分子量：</w:t>
            </w:r>
          </w:p>
          <w:p>
            <w:pPr>
              <w:pStyle w:val="TableParagraph"/>
              <w:spacing w:before="5"/>
              <w:ind w:left="159" w:right="142"/>
              <w:jc w:val="center"/>
              <w:rPr>
                <w:rFonts w:ascii="Times New Roman" w:eastAsia="Times New Roman" w:hAnsi="Times New Roman"/>
                <w:sz w:val="18"/>
              </w:rPr>
            </w:pPr>
            <w:r>
              <w:rPr>
                <w:rFonts w:ascii="Times New Roman" w:eastAsia="Times New Roman" w:hAnsi="Times New Roman"/>
                <w:sz w:val="18"/>
              </w:rPr>
              <w:t>102.13</w:t>
            </w:r>
            <w:r>
              <w:rPr>
                <w:spacing w:val="-1"/>
                <w:sz w:val="18"/>
              </w:rPr>
              <w:t>，无色澄清液体，有芳香气味。熔点</w:t>
            </w:r>
            <w:r>
              <w:rPr>
                <w:rFonts w:ascii="Times New Roman" w:eastAsia="Times New Roman" w:hAnsi="Times New Roman"/>
                <w:sz w:val="18"/>
              </w:rPr>
              <w:t>(</w:t>
            </w:r>
            <w:r>
              <w:rPr>
                <w:sz w:val="18"/>
              </w:rPr>
              <w:t>℃</w:t>
            </w:r>
            <w:r>
              <w:rPr>
                <w:rFonts w:ascii="Times New Roman" w:eastAsia="Times New Roman" w:hAnsi="Times New Roman"/>
                <w:sz w:val="18"/>
              </w:rPr>
              <w:t>)</w:t>
            </w:r>
            <w:r>
              <w:rPr>
                <w:sz w:val="18"/>
              </w:rPr>
              <w:t>：</w:t>
            </w:r>
            <w:r>
              <w:rPr>
                <w:rFonts w:ascii="Times New Roman" w:eastAsia="Times New Roman" w:hAnsi="Times New Roman"/>
                <w:sz w:val="18"/>
              </w:rPr>
              <w:t>-</w:t>
            </w:r>
          </w:p>
          <w:p>
            <w:pPr>
              <w:pStyle w:val="TableParagraph"/>
              <w:spacing w:before="2" w:line="242" w:lineRule="auto"/>
              <w:ind w:left="184" w:right="169" w:firstLine="3"/>
              <w:jc w:val="center"/>
              <w:rPr>
                <w:sz w:val="18"/>
              </w:rPr>
            </w:pPr>
            <w:r>
              <w:rPr>
                <w:rFonts w:ascii="Times New Roman" w:eastAsia="Times New Roman" w:hAnsi="Times New Roman"/>
                <w:sz w:val="18"/>
              </w:rPr>
              <w:t>92.5</w:t>
            </w:r>
            <w:r>
              <w:rPr>
                <w:sz w:val="18"/>
              </w:rPr>
              <w:t>，沸点</w:t>
            </w:r>
            <w:r>
              <w:rPr>
                <w:rFonts w:ascii="Times New Roman" w:eastAsia="Times New Roman" w:hAnsi="Times New Roman"/>
                <w:sz w:val="18"/>
              </w:rPr>
              <w:t>(</w:t>
            </w:r>
            <w:r>
              <w:rPr>
                <w:sz w:val="18"/>
              </w:rPr>
              <w:t>℃</w:t>
            </w:r>
            <w:r>
              <w:rPr>
                <w:rFonts w:ascii="Times New Roman" w:eastAsia="Times New Roman" w:hAnsi="Times New Roman"/>
                <w:sz w:val="18"/>
              </w:rPr>
              <w:t>)</w:t>
            </w:r>
            <w:r>
              <w:rPr>
                <w:sz w:val="18"/>
              </w:rPr>
              <w:t>：</w:t>
            </w:r>
            <w:r>
              <w:rPr>
                <w:rFonts w:ascii="Times New Roman" w:eastAsia="Times New Roman" w:hAnsi="Times New Roman"/>
                <w:sz w:val="18"/>
              </w:rPr>
              <w:t>101.6</w:t>
            </w:r>
            <w:r>
              <w:rPr>
                <w:spacing w:val="-1"/>
                <w:sz w:val="18"/>
              </w:rPr>
              <w:t>，微溶于水，溶于醇、酮、</w:t>
            </w:r>
            <w:r>
              <w:rPr>
                <w:spacing w:val="-2"/>
                <w:sz w:val="18"/>
              </w:rPr>
              <w:t>酯、油类等多数有机溶剂。易燃，其蒸气与空气可</w:t>
            </w:r>
            <w:r>
              <w:rPr>
                <w:sz w:val="18"/>
              </w:rPr>
              <w:t xml:space="preserve">形成爆炸性混合物。遇明火、高热能引起燃烧爆 </w:t>
            </w:r>
            <w:r>
              <w:rPr>
                <w:spacing w:val="-1"/>
                <w:sz w:val="18"/>
              </w:rPr>
              <w:t>炸。与氧化剂能发生强烈反应。其蒸气比空气重， 能在较低处扩散到相当远的地方，遇明火会引着回燃，主要用于制造食用香料、硝化纤维溶剂以及造</w:t>
            </w:r>
          </w:p>
          <w:p>
            <w:pPr>
              <w:pStyle w:val="TableParagraph"/>
              <w:spacing w:before="2" w:line="210" w:lineRule="exact"/>
              <w:ind w:left="157" w:right="142"/>
              <w:jc w:val="center"/>
              <w:rPr>
                <w:sz w:val="18"/>
              </w:rPr>
            </w:pPr>
            <w:r>
              <w:rPr>
                <w:sz w:val="18"/>
              </w:rPr>
              <w:t>漆、塑料、有机物合成等。</w:t>
            </w:r>
          </w:p>
        </w:tc>
        <w:tc>
          <w:tcPr>
            <w:tcW w:w="1253" w:type="dxa"/>
            <w:gridSpan w:val="2"/>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spacing w:before="140"/>
              <w:ind w:left="234" w:right="215"/>
              <w:jc w:val="center"/>
              <w:rPr>
                <w:sz w:val="18"/>
              </w:rPr>
            </w:pPr>
            <w:r>
              <w:rPr>
                <w:sz w:val="18"/>
              </w:rPr>
              <w:t>爆炸上限</w:t>
            </w:r>
          </w:p>
          <w:p>
            <w:pPr>
              <w:pStyle w:val="TableParagraph"/>
              <w:spacing w:before="4"/>
              <w:ind w:left="163" w:right="232"/>
              <w:jc w:val="center"/>
              <w:rPr>
                <w:sz w:val="18"/>
              </w:rPr>
            </w:pPr>
            <w:r>
              <w:rPr>
                <w:sz w:val="18"/>
              </w:rPr>
              <w:t>（</w:t>
            </w:r>
            <w:r>
              <w:rPr>
                <w:rFonts w:ascii="Times New Roman" w:eastAsia="Times New Roman"/>
                <w:w w:val="99"/>
                <w:sz w:val="18"/>
              </w:rPr>
              <w:t>V/</w:t>
            </w:r>
            <w:r>
              <w:rPr>
                <w:rFonts w:ascii="Times New Roman" w:eastAsia="Times New Roman"/>
                <w:spacing w:val="-1"/>
                <w:w w:val="99"/>
                <w:sz w:val="18"/>
              </w:rPr>
              <w:t>V</w:t>
            </w:r>
            <w:r>
              <w:rPr>
                <w:spacing w:val="-92"/>
                <w:sz w:val="18"/>
              </w:rPr>
              <w:t>）：</w:t>
            </w:r>
          </w:p>
          <w:p>
            <w:pPr>
              <w:pStyle w:val="TableParagraph"/>
              <w:spacing w:before="2" w:line="207" w:lineRule="exact"/>
              <w:ind w:left="234" w:right="215"/>
              <w:jc w:val="center"/>
              <w:rPr>
                <w:rFonts w:ascii="Times New Roman"/>
                <w:sz w:val="18"/>
              </w:rPr>
            </w:pPr>
            <w:r>
              <w:rPr>
                <w:rFonts w:ascii="Times New Roman"/>
                <w:sz w:val="18"/>
              </w:rPr>
              <w:t>8.0%</w:t>
            </w:r>
          </w:p>
          <w:p>
            <w:pPr>
              <w:pStyle w:val="TableParagraph"/>
              <w:spacing w:line="230" w:lineRule="exact"/>
              <w:ind w:left="234" w:right="215"/>
              <w:jc w:val="center"/>
              <w:rPr>
                <w:sz w:val="18"/>
              </w:rPr>
            </w:pPr>
            <w:r>
              <w:rPr>
                <w:sz w:val="18"/>
              </w:rPr>
              <w:t>爆炸下限</w:t>
            </w:r>
          </w:p>
          <w:p>
            <w:pPr>
              <w:pStyle w:val="TableParagraph"/>
              <w:spacing w:before="3"/>
              <w:ind w:left="163" w:right="232"/>
              <w:jc w:val="center"/>
              <w:rPr>
                <w:sz w:val="18"/>
              </w:rPr>
            </w:pPr>
            <w:r>
              <w:rPr>
                <w:sz w:val="18"/>
              </w:rPr>
              <w:t>（</w:t>
            </w:r>
            <w:r>
              <w:rPr>
                <w:rFonts w:ascii="Times New Roman" w:eastAsia="Times New Roman"/>
                <w:w w:val="99"/>
                <w:sz w:val="18"/>
              </w:rPr>
              <w:t>V/</w:t>
            </w:r>
            <w:r>
              <w:rPr>
                <w:rFonts w:ascii="Times New Roman" w:eastAsia="Times New Roman"/>
                <w:spacing w:val="-1"/>
                <w:w w:val="99"/>
                <w:sz w:val="18"/>
              </w:rPr>
              <w:t>V</w:t>
            </w:r>
            <w:r>
              <w:rPr>
                <w:spacing w:val="-92"/>
                <w:sz w:val="18"/>
              </w:rPr>
              <w:t>）：</w:t>
            </w:r>
          </w:p>
          <w:p>
            <w:pPr>
              <w:pStyle w:val="TableParagraph"/>
              <w:spacing w:before="4"/>
              <w:ind w:left="234" w:right="215"/>
              <w:jc w:val="center"/>
              <w:rPr>
                <w:rFonts w:ascii="Times New Roman"/>
                <w:sz w:val="18"/>
              </w:rPr>
            </w:pPr>
            <w:r>
              <w:rPr>
                <w:rFonts w:ascii="Times New Roman"/>
                <w:sz w:val="18"/>
              </w:rPr>
              <w:t>2.0%</w:t>
            </w:r>
          </w:p>
        </w:tc>
        <w:tc>
          <w:tcPr>
            <w:tcW w:w="1731"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2"/>
              <w:rPr>
                <w:b/>
                <w:sz w:val="25"/>
              </w:rPr>
            </w:pPr>
          </w:p>
          <w:p>
            <w:pPr>
              <w:pStyle w:val="TableParagraph"/>
              <w:ind w:left="126" w:right="102"/>
              <w:jc w:val="center"/>
              <w:rPr>
                <w:rFonts w:ascii="Times New Roman" w:eastAsia="Times New Roman"/>
                <w:sz w:val="18"/>
              </w:rPr>
            </w:pPr>
            <w:r>
              <w:rPr>
                <w:rFonts w:ascii="Times New Roman" w:eastAsia="Times New Roman"/>
                <w:position w:val="1"/>
                <w:sz w:val="18"/>
              </w:rPr>
              <w:t>LD</w:t>
            </w:r>
            <w:r>
              <w:rPr>
                <w:rFonts w:ascii="Times New Roman" w:eastAsia="Times New Roman"/>
                <w:sz w:val="12"/>
              </w:rPr>
              <w:t>50</w:t>
            </w:r>
            <w:r>
              <w:rPr>
                <w:position w:val="1"/>
                <w:sz w:val="18"/>
              </w:rPr>
              <w:t>：</w:t>
            </w:r>
            <w:r>
              <w:rPr>
                <w:rFonts w:ascii="Times New Roman" w:eastAsia="Times New Roman"/>
                <w:position w:val="1"/>
                <w:sz w:val="18"/>
              </w:rPr>
              <w:t>9370mg/kg</w:t>
            </w:r>
          </w:p>
          <w:p>
            <w:pPr>
              <w:pStyle w:val="TableParagraph"/>
              <w:spacing w:before="3"/>
              <w:ind w:left="128" w:right="102"/>
              <w:jc w:val="center"/>
              <w:rPr>
                <w:sz w:val="18"/>
              </w:rPr>
            </w:pPr>
            <w:r>
              <w:rPr>
                <w:sz w:val="18"/>
              </w:rPr>
              <w:t>（大鼠经口）</w:t>
            </w:r>
          </w:p>
          <w:p>
            <w:pPr>
              <w:pStyle w:val="TableParagraph"/>
              <w:spacing w:before="2"/>
              <w:ind w:left="129" w:right="100"/>
              <w:jc w:val="center"/>
              <w:rPr>
                <w:rFonts w:ascii="Times New Roman" w:eastAsia="Times New Roman"/>
                <w:sz w:val="18"/>
              </w:rPr>
            </w:pPr>
            <w:r>
              <w:rPr>
                <w:rFonts w:ascii="Times New Roman" w:eastAsia="Times New Roman"/>
                <w:position w:val="1"/>
                <w:sz w:val="18"/>
              </w:rPr>
              <w:t>LC</w:t>
            </w:r>
            <w:r>
              <w:rPr>
                <w:rFonts w:ascii="Times New Roman" w:eastAsia="Times New Roman"/>
                <w:sz w:val="12"/>
              </w:rPr>
              <w:t>50</w:t>
            </w:r>
            <w:r>
              <w:rPr>
                <w:position w:val="1"/>
                <w:sz w:val="18"/>
              </w:rPr>
              <w:t>：</w:t>
            </w:r>
            <w:r>
              <w:rPr>
                <w:rFonts w:ascii="Times New Roman" w:eastAsia="Times New Roman"/>
                <w:position w:val="1"/>
                <w:sz w:val="18"/>
              </w:rPr>
              <w:t>8000ppm</w:t>
            </w:r>
          </w:p>
          <w:p>
            <w:pPr>
              <w:pStyle w:val="TableParagraph"/>
              <w:spacing w:before="2"/>
              <w:ind w:left="129" w:right="100"/>
              <w:jc w:val="center"/>
              <w:rPr>
                <w:sz w:val="18"/>
              </w:rPr>
            </w:pPr>
            <w:r>
              <w:rPr>
                <w:sz w:val="18"/>
              </w:rPr>
              <w:t>（大鼠吸入，</w:t>
            </w:r>
            <w:r>
              <w:rPr>
                <w:rFonts w:ascii="Times New Roman" w:eastAsia="Times New Roman"/>
                <w:sz w:val="18"/>
              </w:rPr>
              <w:t>4h</w:t>
            </w:r>
            <w:r>
              <w:rPr>
                <w:sz w:val="18"/>
              </w:rPr>
              <w:t>）</w:t>
            </w:r>
          </w:p>
        </w:tc>
        <w:tc>
          <w:tcPr>
            <w:tcW w:w="121" w:type="dxa"/>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1391"/>
        </w:trPr>
        <w:tc>
          <w:tcPr>
            <w:tcW w:w="427" w:type="dxa"/>
            <w:vMerge/>
            <w:tcBorders>
              <w:top w:val="nil"/>
              <w:right w:val="single" w:sz="4" w:space="0" w:color="000000"/>
            </w:tcBorders>
          </w:tcPr>
          <w:p>
            <w:pPr>
              <w:rPr>
                <w:sz w:val="2"/>
                <w:szCs w:val="2"/>
              </w:rPr>
            </w:pPr>
          </w:p>
        </w:tc>
        <w:tc>
          <w:tcPr>
            <w:tcW w:w="116" w:type="dxa"/>
            <w:vMerge/>
            <w:tcBorders>
              <w:top w:val="nil"/>
              <w:left w:val="single" w:sz="4" w:space="0" w:color="000000"/>
              <w:bottom w:val="nil"/>
              <w:right w:val="single" w:sz="4" w:space="0" w:color="000000"/>
            </w:tcBorders>
          </w:tcPr>
          <w:p>
            <w:pPr>
              <w:rPr>
                <w:sz w:val="2"/>
                <w:szCs w:val="2"/>
              </w:rPr>
            </w:pPr>
          </w:p>
        </w:tc>
        <w:tc>
          <w:tcPr>
            <w:tcW w:w="1079" w:type="dxa"/>
            <w:gridSpan w:val="2"/>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spacing w:before="116"/>
              <w:ind w:left="359"/>
              <w:rPr>
                <w:sz w:val="18"/>
              </w:rPr>
            </w:pPr>
            <w:r>
              <w:rPr>
                <w:sz w:val="18"/>
              </w:rPr>
              <w:t>丁酯</w:t>
            </w:r>
          </w:p>
        </w:tc>
        <w:tc>
          <w:tcPr>
            <w:tcW w:w="4326" w:type="dxa"/>
            <w:gridSpan w:val="3"/>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5" w:right="96" w:hanging="1"/>
              <w:jc w:val="center"/>
              <w:rPr>
                <w:sz w:val="18"/>
              </w:rPr>
            </w:pPr>
            <w:r>
              <w:rPr>
                <w:sz w:val="18"/>
              </w:rPr>
              <w:t>即乙酸丁酯，无色透明液体</w:t>
            </w:r>
            <w:r>
              <w:rPr>
                <w:rFonts w:ascii="Times New Roman" w:eastAsia="Times New Roman" w:hAnsi="Times New Roman"/>
                <w:sz w:val="18"/>
              </w:rPr>
              <w:t>,</w:t>
            </w:r>
            <w:r>
              <w:rPr>
                <w:sz w:val="18"/>
              </w:rPr>
              <w:t>有水果香气。能与乙醇和乙醚混溶，溶于大多数烃类化合物，</w:t>
            </w:r>
            <w:r>
              <w:rPr>
                <w:rFonts w:ascii="Times New Roman" w:eastAsia="Times New Roman" w:hAnsi="Times New Roman"/>
                <w:sz w:val="18"/>
              </w:rPr>
              <w:t>25</w:t>
            </w:r>
            <w:r>
              <w:rPr>
                <w:sz w:val="18"/>
              </w:rPr>
              <w:t xml:space="preserve">℃时溶于约 </w:t>
            </w:r>
            <w:r>
              <w:rPr>
                <w:rFonts w:ascii="Times New Roman" w:eastAsia="Times New Roman" w:hAnsi="Times New Roman"/>
                <w:sz w:val="18"/>
              </w:rPr>
              <w:t xml:space="preserve">120 </w:t>
            </w:r>
            <w:r>
              <w:rPr>
                <w:sz w:val="18"/>
              </w:rPr>
              <w:t xml:space="preserve">份水。其蒸气比空气重，相对密度 </w:t>
            </w:r>
            <w:r>
              <w:rPr>
                <w:rFonts w:ascii="Times New Roman" w:eastAsia="Times New Roman" w:hAnsi="Times New Roman"/>
                <w:sz w:val="18"/>
              </w:rPr>
              <w:t>0.8826</w:t>
            </w:r>
            <w:r>
              <w:rPr>
                <w:sz w:val="18"/>
              </w:rPr>
              <w:t>。凝固点</w:t>
            </w:r>
            <w:r>
              <w:rPr>
                <w:rFonts w:ascii="Times New Roman" w:eastAsia="Times New Roman" w:hAnsi="Times New Roman"/>
                <w:sz w:val="18"/>
              </w:rPr>
              <w:t>-77</w:t>
            </w:r>
            <w:r>
              <w:rPr>
                <w:sz w:val="18"/>
              </w:rPr>
              <w:t xml:space="preserve">℃。沸点 </w:t>
            </w:r>
            <w:r>
              <w:rPr>
                <w:rFonts w:ascii="Times New Roman" w:eastAsia="Times New Roman" w:hAnsi="Times New Roman"/>
                <w:sz w:val="18"/>
              </w:rPr>
              <w:t>125-126</w:t>
            </w:r>
            <w:r>
              <w:rPr>
                <w:sz w:val="18"/>
              </w:rPr>
              <w:t>℃，比热容（</w:t>
            </w:r>
            <w:r>
              <w:rPr>
                <w:rFonts w:ascii="Times New Roman" w:eastAsia="Times New Roman" w:hAnsi="Times New Roman"/>
                <w:sz w:val="18"/>
              </w:rPr>
              <w:t>20</w:t>
            </w:r>
            <w:r>
              <w:rPr>
                <w:sz w:val="18"/>
              </w:rPr>
              <w:t xml:space="preserve">℃） </w:t>
            </w:r>
            <w:r>
              <w:rPr>
                <w:rFonts w:ascii="Times New Roman" w:eastAsia="Times New Roman" w:hAnsi="Times New Roman"/>
                <w:sz w:val="18"/>
              </w:rPr>
              <w:t>1.91KJ/(kgK)</w:t>
            </w:r>
            <w:r>
              <w:rPr>
                <w:sz w:val="18"/>
              </w:rPr>
              <w:t>。折射率</w:t>
            </w:r>
            <w:r>
              <w:rPr>
                <w:rFonts w:ascii="Times New Roman" w:eastAsia="Times New Roman" w:hAnsi="Times New Roman"/>
                <w:sz w:val="18"/>
              </w:rPr>
              <w:t>.3951</w:t>
            </w:r>
            <w:r>
              <w:rPr>
                <w:sz w:val="18"/>
              </w:rPr>
              <w:t>。闪点（闭杯）</w:t>
            </w:r>
            <w:r>
              <w:rPr>
                <w:rFonts w:ascii="Times New Roman" w:eastAsia="Times New Roman" w:hAnsi="Times New Roman"/>
                <w:sz w:val="18"/>
              </w:rPr>
              <w:t>22</w:t>
            </w:r>
            <w:r>
              <w:rPr>
                <w:sz w:val="18"/>
              </w:rPr>
              <w:t>℃。粘</w:t>
            </w:r>
          </w:p>
          <w:p>
            <w:pPr>
              <w:pStyle w:val="TableParagraph"/>
              <w:spacing w:line="210" w:lineRule="exact"/>
              <w:ind w:left="157" w:right="142"/>
              <w:jc w:val="center"/>
              <w:rPr>
                <w:sz w:val="18"/>
              </w:rPr>
            </w:pPr>
            <w:r>
              <w:rPr>
                <w:sz w:val="18"/>
              </w:rPr>
              <w:t>度</w:t>
            </w:r>
            <w:r>
              <w:rPr>
                <w:rFonts w:ascii="Times New Roman" w:eastAsia="Times New Roman" w:hAnsi="Times New Roman"/>
                <w:sz w:val="18"/>
              </w:rPr>
              <w:t>(20</w:t>
            </w:r>
            <w:r>
              <w:rPr>
                <w:sz w:val="18"/>
              </w:rPr>
              <w:t>℃</w:t>
            </w:r>
            <w:r>
              <w:rPr>
                <w:rFonts w:ascii="Times New Roman" w:eastAsia="Times New Roman" w:hAnsi="Times New Roman"/>
                <w:sz w:val="18"/>
              </w:rPr>
              <w:t>)0.734mPas</w:t>
            </w:r>
            <w:r>
              <w:rPr>
                <w:sz w:val="18"/>
              </w:rPr>
              <w:t>。有刺激性。</w:t>
            </w:r>
          </w:p>
        </w:tc>
        <w:tc>
          <w:tcPr>
            <w:tcW w:w="1253" w:type="dxa"/>
            <w:gridSpan w:val="2"/>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spacing w:before="126"/>
              <w:ind w:left="271"/>
              <w:rPr>
                <w:sz w:val="18"/>
              </w:rPr>
            </w:pPr>
            <w:r>
              <w:rPr>
                <w:sz w:val="18"/>
              </w:rPr>
              <w:t>爆炸极限</w:t>
            </w:r>
          </w:p>
          <w:p>
            <w:pPr>
              <w:pStyle w:val="TableParagraph"/>
              <w:spacing w:before="5" w:line="207" w:lineRule="exact"/>
              <w:ind w:left="227"/>
              <w:rPr>
                <w:rFonts w:ascii="Times New Roman"/>
                <w:sz w:val="18"/>
              </w:rPr>
            </w:pPr>
            <w:r>
              <w:rPr>
                <w:rFonts w:ascii="Times New Roman"/>
                <w:sz w:val="18"/>
              </w:rPr>
              <w:t>1.4%-8.0%</w:t>
            </w:r>
          </w:p>
          <w:p>
            <w:pPr>
              <w:pStyle w:val="TableParagraph"/>
              <w:spacing w:line="230" w:lineRule="exact"/>
              <w:ind w:left="225"/>
              <w:rPr>
                <w:sz w:val="18"/>
              </w:rPr>
            </w:pPr>
            <w:r>
              <w:rPr>
                <w:sz w:val="18"/>
              </w:rPr>
              <w:t>（体积</w:t>
            </w:r>
            <w:r>
              <w:rPr>
                <w:spacing w:val="-92"/>
                <w:sz w:val="18"/>
              </w:rPr>
              <w:t>）</w:t>
            </w:r>
            <w:r>
              <w:rPr>
                <w:sz w:val="18"/>
              </w:rPr>
              <w:t>。</w:t>
            </w:r>
          </w:p>
        </w:tc>
        <w:tc>
          <w:tcPr>
            <w:tcW w:w="1731" w:type="dxa"/>
            <w:tcBorders>
              <w:top w:val="single" w:sz="4" w:space="0" w:color="000000"/>
              <w:left w:val="single" w:sz="4" w:space="0" w:color="000000"/>
              <w:bottom w:val="single" w:sz="4" w:space="0" w:color="000000"/>
              <w:right w:val="single" w:sz="4" w:space="0" w:color="000000"/>
            </w:tcBorders>
          </w:tcPr>
          <w:p>
            <w:pPr>
              <w:pStyle w:val="TableParagraph"/>
              <w:spacing w:line="225" w:lineRule="exact"/>
              <w:ind w:left="129" w:right="102"/>
              <w:jc w:val="center"/>
              <w:rPr>
                <w:rFonts w:ascii="Times New Roman" w:eastAsia="Times New Roman"/>
                <w:sz w:val="18"/>
              </w:rPr>
            </w:pPr>
            <w:r>
              <w:rPr>
                <w:rFonts w:ascii="Times New Roman" w:eastAsia="Times New Roman"/>
                <w:position w:val="1"/>
                <w:sz w:val="18"/>
              </w:rPr>
              <w:t>LD</w:t>
            </w:r>
            <w:r>
              <w:rPr>
                <w:rFonts w:ascii="Times New Roman" w:eastAsia="Times New Roman"/>
                <w:sz w:val="12"/>
              </w:rPr>
              <w:t>50</w:t>
            </w:r>
            <w:r>
              <w:rPr>
                <w:position w:val="1"/>
                <w:sz w:val="18"/>
              </w:rPr>
              <w:t>：</w:t>
            </w:r>
            <w:r>
              <w:rPr>
                <w:rFonts w:ascii="Times New Roman" w:eastAsia="Times New Roman"/>
                <w:position w:val="1"/>
                <w:sz w:val="18"/>
              </w:rPr>
              <w:t>10768mg/kg</w:t>
            </w:r>
          </w:p>
          <w:p>
            <w:pPr>
              <w:pStyle w:val="TableParagraph"/>
              <w:spacing w:before="2" w:line="242" w:lineRule="auto"/>
              <w:ind w:left="149" w:right="117" w:hanging="8"/>
              <w:jc w:val="center"/>
              <w:rPr>
                <w:sz w:val="18"/>
              </w:rPr>
            </w:pPr>
            <w:r>
              <w:rPr>
                <w:sz w:val="18"/>
              </w:rPr>
              <w:t>（大鼠经口</w:t>
            </w:r>
            <w:r>
              <w:rPr>
                <w:spacing w:val="-92"/>
                <w:sz w:val="18"/>
              </w:rPr>
              <w:t>）</w:t>
            </w:r>
            <w:r>
              <w:rPr>
                <w:sz w:val="18"/>
              </w:rPr>
              <w:t xml:space="preserve">；＞ </w:t>
            </w:r>
            <w:r>
              <w:rPr>
                <w:rFonts w:ascii="Times New Roman" w:eastAsia="Times New Roman"/>
                <w:sz w:val="18"/>
              </w:rPr>
              <w:t>17600mg/kg</w:t>
            </w:r>
            <w:r>
              <w:rPr>
                <w:sz w:val="18"/>
              </w:rPr>
              <w:t>（</w:t>
            </w:r>
            <w:r>
              <w:rPr>
                <w:spacing w:val="-8"/>
                <w:sz w:val="18"/>
              </w:rPr>
              <w:t>兔经</w:t>
            </w:r>
            <w:r>
              <w:rPr>
                <w:position w:val="1"/>
                <w:sz w:val="18"/>
              </w:rPr>
              <w:t>皮</w:t>
            </w:r>
            <w:r>
              <w:rPr>
                <w:spacing w:val="-92"/>
                <w:position w:val="1"/>
                <w:sz w:val="18"/>
              </w:rPr>
              <w:t>）</w:t>
            </w:r>
            <w:r>
              <w:rPr>
                <w:position w:val="1"/>
                <w:sz w:val="18"/>
              </w:rPr>
              <w:t>，</w:t>
            </w:r>
            <w:r>
              <w:rPr>
                <w:rFonts w:ascii="Times New Roman" w:eastAsia="Times New Roman"/>
                <w:position w:val="1"/>
                <w:sz w:val="18"/>
              </w:rPr>
              <w:t>L</w:t>
            </w:r>
            <w:r>
              <w:rPr>
                <w:rFonts w:ascii="Times New Roman" w:eastAsia="Times New Roman"/>
                <w:spacing w:val="-1"/>
                <w:position w:val="1"/>
                <w:sz w:val="18"/>
              </w:rPr>
              <w:t>C</w:t>
            </w:r>
            <w:r>
              <w:rPr>
                <w:rFonts w:ascii="Times New Roman" w:eastAsia="Times New Roman"/>
                <w:sz w:val="12"/>
              </w:rPr>
              <w:t>50</w:t>
            </w:r>
            <w:r>
              <w:rPr>
                <w:position w:val="1"/>
                <w:sz w:val="18"/>
              </w:rPr>
              <w:t xml:space="preserve">： </w:t>
            </w:r>
            <w:r>
              <w:rPr>
                <w:rFonts w:ascii="Times New Roman" w:eastAsia="Times New Roman"/>
                <w:sz w:val="18"/>
              </w:rPr>
              <w:t>390ppm</w:t>
            </w:r>
            <w:r>
              <w:rPr>
                <w:sz w:val="18"/>
              </w:rPr>
              <w:t>（大鼠吸</w:t>
            </w:r>
          </w:p>
          <w:p>
            <w:pPr>
              <w:pStyle w:val="TableParagraph"/>
              <w:spacing w:before="2" w:line="210" w:lineRule="exact"/>
              <w:ind w:left="129" w:right="100"/>
              <w:jc w:val="center"/>
              <w:rPr>
                <w:sz w:val="18"/>
              </w:rPr>
            </w:pPr>
            <w:r>
              <w:rPr>
                <w:sz w:val="18"/>
              </w:rPr>
              <w:t>入，</w:t>
            </w:r>
            <w:r>
              <w:rPr>
                <w:rFonts w:ascii="Times New Roman" w:eastAsia="Times New Roman"/>
                <w:sz w:val="18"/>
              </w:rPr>
              <w:t>4h</w:t>
            </w:r>
            <w:r>
              <w:rPr>
                <w:sz w:val="18"/>
              </w:rPr>
              <w:t>）</w:t>
            </w:r>
          </w:p>
        </w:tc>
        <w:tc>
          <w:tcPr>
            <w:tcW w:w="121" w:type="dxa"/>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908"/>
        </w:trPr>
        <w:tc>
          <w:tcPr>
            <w:tcW w:w="427" w:type="dxa"/>
            <w:vMerge/>
            <w:tcBorders>
              <w:top w:val="nil"/>
              <w:right w:val="single" w:sz="4" w:space="0" w:color="000000"/>
            </w:tcBorders>
          </w:tcPr>
          <w:p>
            <w:pPr>
              <w:rPr>
                <w:sz w:val="2"/>
                <w:szCs w:val="2"/>
              </w:rPr>
            </w:pPr>
          </w:p>
        </w:tc>
        <w:tc>
          <w:tcPr>
            <w:tcW w:w="8626" w:type="dxa"/>
            <w:gridSpan w:val="10"/>
            <w:tcBorders>
              <w:top w:val="single" w:sz="4" w:space="0" w:color="000000"/>
              <w:left w:val="single" w:sz="4" w:space="0" w:color="000000"/>
              <w:bottom w:val="single" w:sz="4" w:space="0" w:color="000000"/>
            </w:tcBorders>
          </w:tcPr>
          <w:p>
            <w:pPr>
              <w:pStyle w:val="TableParagraph"/>
              <w:spacing w:before="5"/>
              <w:rPr>
                <w:b/>
                <w:sz w:val="18"/>
              </w:rPr>
            </w:pPr>
          </w:p>
          <w:p>
            <w:pPr>
              <w:pStyle w:val="TableParagraph"/>
              <w:ind w:left="532"/>
              <w:rPr>
                <w:b/>
                <w:sz w:val="21"/>
              </w:rPr>
            </w:pPr>
            <w:r>
              <w:rPr>
                <w:rFonts w:ascii="Times New Roman" w:eastAsia="Times New Roman"/>
                <w:b/>
                <w:sz w:val="21"/>
              </w:rPr>
              <w:t>4.</w:t>
            </w:r>
            <w:r>
              <w:rPr>
                <w:b/>
                <w:sz w:val="21"/>
              </w:rPr>
              <w:t>项目工程组成表</w:t>
            </w:r>
          </w:p>
          <w:p>
            <w:pPr>
              <w:pStyle w:val="TableParagraph"/>
              <w:spacing w:before="139" w:line="245" w:lineRule="exact"/>
              <w:ind w:left="2389" w:right="2369"/>
              <w:jc w:val="center"/>
              <w:rPr>
                <w:b/>
                <w:sz w:val="21"/>
              </w:rPr>
            </w:pPr>
            <w:r>
              <w:rPr>
                <w:b/>
                <w:sz w:val="21"/>
              </w:rPr>
              <w:t xml:space="preserve">表 </w:t>
            </w:r>
            <w:r>
              <w:rPr>
                <w:rFonts w:ascii="Times New Roman" w:eastAsia="Times New Roman"/>
                <w:b/>
                <w:sz w:val="21"/>
              </w:rPr>
              <w:t xml:space="preserve">2-7 </w:t>
            </w:r>
            <w:r>
              <w:rPr>
                <w:b/>
                <w:sz w:val="21"/>
              </w:rPr>
              <w:t>建设项目主体工程及公用辅助工程</w:t>
            </w:r>
          </w:p>
        </w:tc>
      </w:tr>
      <w:tr>
        <w:tblPrEx>
          <w:tblW w:w="0" w:type="auto"/>
          <w:tblInd w:w="298" w:type="dxa"/>
          <w:tblLayout w:type="fixed"/>
          <w:tblCellMar>
            <w:top w:w="0" w:type="dxa"/>
            <w:left w:w="0" w:type="dxa"/>
            <w:bottom w:w="0" w:type="dxa"/>
            <w:right w:w="0" w:type="dxa"/>
          </w:tblCellMar>
        </w:tblPrEx>
        <w:trPr>
          <w:trHeight w:val="272"/>
        </w:trPr>
        <w:tc>
          <w:tcPr>
            <w:tcW w:w="427" w:type="dxa"/>
            <w:vMerge/>
            <w:tcBorders>
              <w:top w:val="nil"/>
              <w:right w:val="single" w:sz="4" w:space="0" w:color="000000"/>
            </w:tcBorders>
          </w:tcPr>
          <w:p>
            <w:pPr>
              <w:rPr>
                <w:sz w:val="2"/>
                <w:szCs w:val="2"/>
              </w:rPr>
            </w:pPr>
          </w:p>
        </w:tc>
        <w:tc>
          <w:tcPr>
            <w:tcW w:w="116" w:type="dxa"/>
            <w:vMerge w:val="restart"/>
            <w:tcBorders>
              <w:top w:val="nil"/>
              <w:left w:val="single" w:sz="4" w:space="0" w:color="000000"/>
              <w:right w:val="single" w:sz="4" w:space="0" w:color="000000"/>
            </w:tcBorders>
          </w:tcPr>
          <w:p>
            <w:pPr>
              <w:pStyle w:val="TableParagraph"/>
              <w:rPr>
                <w:rFonts w:ascii="Times New Roman"/>
                <w:sz w:val="18"/>
              </w:rPr>
            </w:pPr>
          </w:p>
        </w:tc>
        <w:tc>
          <w:tcPr>
            <w:tcW w:w="692" w:type="dxa"/>
            <w:tcBorders>
              <w:top w:val="single" w:sz="4" w:space="0" w:color="000000"/>
              <w:left w:val="single" w:sz="4" w:space="0" w:color="000000"/>
              <w:bottom w:val="single" w:sz="4" w:space="0" w:color="000000"/>
              <w:right w:val="single" w:sz="4" w:space="0" w:color="000000"/>
            </w:tcBorders>
          </w:tcPr>
          <w:p>
            <w:pPr>
              <w:pStyle w:val="TableParagraph"/>
              <w:spacing w:before="21"/>
              <w:ind w:left="171"/>
              <w:rPr>
                <w:b/>
                <w:sz w:val="18"/>
              </w:rPr>
            </w:pPr>
            <w:r>
              <w:rPr>
                <w:b/>
                <w:sz w:val="18"/>
              </w:rPr>
              <w:t>类别</w:t>
            </w:r>
          </w:p>
        </w:tc>
        <w:tc>
          <w:tcPr>
            <w:tcW w:w="103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1"/>
              <w:ind w:left="163"/>
              <w:rPr>
                <w:b/>
                <w:sz w:val="18"/>
              </w:rPr>
            </w:pPr>
            <w:r>
              <w:rPr>
                <w:b/>
                <w:sz w:val="18"/>
              </w:rPr>
              <w:t>建设名称</w:t>
            </w:r>
          </w:p>
        </w:tc>
        <w:tc>
          <w:tcPr>
            <w:tcW w:w="1829" w:type="dxa"/>
            <w:tcBorders>
              <w:top w:val="single" w:sz="4" w:space="0" w:color="000000"/>
              <w:left w:val="single" w:sz="4" w:space="0" w:color="000000"/>
              <w:bottom w:val="single" w:sz="4" w:space="0" w:color="000000"/>
              <w:right w:val="single" w:sz="4" w:space="0" w:color="000000"/>
            </w:tcBorders>
          </w:tcPr>
          <w:p>
            <w:pPr>
              <w:pStyle w:val="TableParagraph"/>
              <w:spacing w:before="21"/>
              <w:ind w:left="121" w:right="99"/>
              <w:jc w:val="center"/>
              <w:rPr>
                <w:b/>
                <w:sz w:val="18"/>
              </w:rPr>
            </w:pPr>
            <w:r>
              <w:rPr>
                <w:b/>
                <w:sz w:val="18"/>
              </w:rPr>
              <w:t>扩建前</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spacing w:before="21"/>
              <w:ind w:left="172" w:right="151"/>
              <w:jc w:val="center"/>
              <w:rPr>
                <w:b/>
                <w:sz w:val="18"/>
              </w:rPr>
            </w:pPr>
            <w:r>
              <w:rPr>
                <w:b/>
                <w:sz w:val="18"/>
              </w:rPr>
              <w:t>扩建后</w:t>
            </w:r>
          </w:p>
        </w:tc>
        <w:tc>
          <w:tcPr>
            <w:tcW w:w="991" w:type="dxa"/>
            <w:tcBorders>
              <w:top w:val="single" w:sz="4" w:space="0" w:color="000000"/>
              <w:left w:val="single" w:sz="4" w:space="0" w:color="000000"/>
              <w:bottom w:val="single" w:sz="4" w:space="0" w:color="000000"/>
              <w:right w:val="single" w:sz="4" w:space="0" w:color="000000"/>
            </w:tcBorders>
          </w:tcPr>
          <w:p>
            <w:pPr>
              <w:pStyle w:val="TableParagraph"/>
              <w:spacing w:before="21"/>
              <w:ind w:left="95" w:right="78"/>
              <w:jc w:val="center"/>
              <w:rPr>
                <w:b/>
                <w:sz w:val="18"/>
              </w:rPr>
            </w:pPr>
            <w:r>
              <w:rPr>
                <w:b/>
                <w:sz w:val="18"/>
              </w:rPr>
              <w:t>变化量</w:t>
            </w:r>
          </w:p>
        </w:tc>
        <w:tc>
          <w:tcPr>
            <w:tcW w:w="199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1"/>
              <w:ind w:left="82" w:right="67"/>
              <w:jc w:val="center"/>
              <w:rPr>
                <w:b/>
                <w:sz w:val="18"/>
              </w:rPr>
            </w:pPr>
            <w:r>
              <w:rPr>
                <w:b/>
                <w:sz w:val="18"/>
              </w:rPr>
              <w:t>备注</w:t>
            </w:r>
          </w:p>
        </w:tc>
        <w:tc>
          <w:tcPr>
            <w:tcW w:w="121" w:type="dxa"/>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690"/>
        </w:trPr>
        <w:tc>
          <w:tcPr>
            <w:tcW w:w="427" w:type="dxa"/>
            <w:vMerge/>
            <w:tcBorders>
              <w:top w:val="nil"/>
              <w:right w:val="single" w:sz="4" w:space="0" w:color="000000"/>
            </w:tcBorders>
          </w:tcPr>
          <w:p>
            <w:pPr>
              <w:rPr>
                <w:sz w:val="2"/>
                <w:szCs w:val="2"/>
              </w:rPr>
            </w:pPr>
          </w:p>
        </w:tc>
        <w:tc>
          <w:tcPr>
            <w:tcW w:w="116" w:type="dxa"/>
            <w:vMerge/>
            <w:tcBorders>
              <w:top w:val="nil"/>
              <w:left w:val="single" w:sz="4" w:space="0" w:color="000000"/>
              <w:right w:val="single" w:sz="4" w:space="0" w:color="000000"/>
            </w:tcBorders>
          </w:tcPr>
          <w:p>
            <w:pPr>
              <w:rPr>
                <w:sz w:val="2"/>
                <w:szCs w:val="2"/>
              </w:rPr>
            </w:pPr>
          </w:p>
        </w:tc>
        <w:tc>
          <w:tcPr>
            <w:tcW w:w="692"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spacing w:before="6"/>
              <w:rPr>
                <w:b/>
                <w:sz w:val="18"/>
              </w:rPr>
            </w:pPr>
          </w:p>
          <w:p>
            <w:pPr>
              <w:pStyle w:val="TableParagraph"/>
              <w:spacing w:line="242" w:lineRule="auto"/>
              <w:ind w:left="174" w:right="145"/>
              <w:rPr>
                <w:sz w:val="18"/>
              </w:rPr>
            </w:pPr>
            <w:r>
              <w:rPr>
                <w:sz w:val="18"/>
              </w:rPr>
              <w:t>主体工程</w:t>
            </w:r>
          </w:p>
        </w:tc>
        <w:tc>
          <w:tcPr>
            <w:tcW w:w="103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2"/>
              <w:rPr>
                <w:b/>
                <w:sz w:val="17"/>
              </w:rPr>
            </w:pPr>
          </w:p>
          <w:p>
            <w:pPr>
              <w:pStyle w:val="TableParagraph"/>
              <w:ind w:left="255"/>
              <w:rPr>
                <w:sz w:val="18"/>
              </w:rPr>
            </w:pPr>
            <w:r>
              <w:rPr>
                <w:rFonts w:ascii="Times New Roman" w:eastAsia="Times New Roman"/>
                <w:sz w:val="18"/>
              </w:rPr>
              <w:t>1#</w:t>
            </w:r>
            <w:r>
              <w:rPr>
                <w:sz w:val="18"/>
              </w:rPr>
              <w:t>车间</w:t>
            </w:r>
          </w:p>
        </w:tc>
        <w:tc>
          <w:tcPr>
            <w:tcW w:w="1829" w:type="dxa"/>
            <w:tcBorders>
              <w:top w:val="single" w:sz="4" w:space="0" w:color="000000"/>
              <w:left w:val="single" w:sz="4" w:space="0" w:color="000000"/>
              <w:bottom w:val="single" w:sz="4" w:space="0" w:color="000000"/>
              <w:right w:val="single" w:sz="4" w:space="0" w:color="000000"/>
            </w:tcBorders>
          </w:tcPr>
          <w:p>
            <w:pPr>
              <w:pStyle w:val="TableParagraph"/>
              <w:spacing w:line="228" w:lineRule="exact"/>
              <w:ind w:left="119" w:right="99"/>
              <w:jc w:val="center"/>
              <w:rPr>
                <w:sz w:val="18"/>
              </w:rPr>
            </w:pPr>
            <w:r>
              <w:rPr>
                <w:sz w:val="18"/>
              </w:rPr>
              <w:t>建筑面积</w:t>
            </w:r>
          </w:p>
          <w:p>
            <w:pPr>
              <w:pStyle w:val="TableParagraph"/>
              <w:spacing w:before="2" w:line="230" w:lineRule="atLeast"/>
              <w:ind w:left="121" w:right="99"/>
              <w:jc w:val="center"/>
              <w:rPr>
                <w:sz w:val="18"/>
              </w:rPr>
            </w:pPr>
            <w:r>
              <w:rPr>
                <w:rFonts w:ascii="Times New Roman" w:eastAsia="Times New Roman"/>
                <w:sz w:val="18"/>
              </w:rPr>
              <w:t>2305.5m</w:t>
            </w:r>
            <w:r>
              <w:rPr>
                <w:rFonts w:ascii="Times New Roman" w:eastAsia="Times New Roman"/>
                <w:position w:val="6"/>
                <w:sz w:val="12"/>
              </w:rPr>
              <w:t>2</w:t>
            </w:r>
            <w:r>
              <w:rPr>
                <w:sz w:val="18"/>
              </w:rPr>
              <w:t>，预留空厂房</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spacing w:line="228" w:lineRule="exact"/>
              <w:ind w:left="128" w:firstLine="439"/>
              <w:rPr>
                <w:sz w:val="18"/>
              </w:rPr>
            </w:pPr>
            <w:r>
              <w:rPr>
                <w:sz w:val="18"/>
              </w:rPr>
              <w:t>建筑面积</w:t>
            </w:r>
          </w:p>
          <w:p>
            <w:pPr>
              <w:pStyle w:val="TableParagraph"/>
              <w:spacing w:before="2" w:line="230" w:lineRule="atLeast"/>
              <w:ind w:left="207" w:right="108" w:hanging="80"/>
              <w:rPr>
                <w:sz w:val="18"/>
              </w:rPr>
            </w:pPr>
            <w:r>
              <w:rPr>
                <w:rFonts w:ascii="Times New Roman" w:eastAsia="Times New Roman"/>
                <w:sz w:val="18"/>
              </w:rPr>
              <w:t>2305.5m</w:t>
            </w:r>
            <w:r>
              <w:rPr>
                <w:rFonts w:ascii="Times New Roman" w:eastAsia="Times New Roman"/>
                <w:position w:val="6"/>
                <w:sz w:val="12"/>
              </w:rPr>
              <w:t>2</w:t>
            </w:r>
            <w:r>
              <w:rPr>
                <w:sz w:val="18"/>
              </w:rPr>
              <w:t>，本次扩建项目主要生产车间</w:t>
            </w:r>
          </w:p>
        </w:tc>
        <w:tc>
          <w:tcPr>
            <w:tcW w:w="991" w:type="dxa"/>
            <w:tcBorders>
              <w:top w:val="single" w:sz="4" w:space="0" w:color="000000"/>
              <w:left w:val="single" w:sz="4" w:space="0" w:color="000000"/>
              <w:bottom w:val="single" w:sz="4" w:space="0" w:color="000000"/>
              <w:right w:val="single" w:sz="4" w:space="0" w:color="000000"/>
            </w:tcBorders>
          </w:tcPr>
          <w:p>
            <w:pPr>
              <w:pStyle w:val="TableParagraph"/>
              <w:spacing w:line="228" w:lineRule="exact"/>
              <w:ind w:left="139"/>
              <w:rPr>
                <w:sz w:val="18"/>
              </w:rPr>
            </w:pPr>
            <w:r>
              <w:rPr>
                <w:sz w:val="18"/>
              </w:rPr>
              <w:t>本次扩建</w:t>
            </w:r>
          </w:p>
          <w:p>
            <w:pPr>
              <w:pStyle w:val="TableParagraph"/>
              <w:spacing w:before="2" w:line="230" w:lineRule="atLeast"/>
              <w:ind w:left="139" w:right="119"/>
              <w:rPr>
                <w:sz w:val="18"/>
              </w:rPr>
            </w:pPr>
            <w:r>
              <w:rPr>
                <w:spacing w:val="-5"/>
                <w:sz w:val="18"/>
              </w:rPr>
              <w:t>项目主要生产车间</w:t>
            </w:r>
          </w:p>
        </w:tc>
        <w:tc>
          <w:tcPr>
            <w:tcW w:w="199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12" w:line="244" w:lineRule="auto"/>
              <w:ind w:left="727" w:right="173" w:hanging="540"/>
              <w:rPr>
                <w:sz w:val="18"/>
              </w:rPr>
            </w:pPr>
            <w:r>
              <w:rPr>
                <w:sz w:val="18"/>
              </w:rPr>
              <w:t>本次扩建项目主要生产车间</w:t>
            </w:r>
          </w:p>
        </w:tc>
        <w:tc>
          <w:tcPr>
            <w:tcW w:w="121" w:type="dxa"/>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690"/>
        </w:trPr>
        <w:tc>
          <w:tcPr>
            <w:tcW w:w="427" w:type="dxa"/>
            <w:vMerge/>
            <w:tcBorders>
              <w:top w:val="nil"/>
              <w:right w:val="single" w:sz="4" w:space="0" w:color="000000"/>
            </w:tcBorders>
          </w:tcPr>
          <w:p>
            <w:pPr>
              <w:rPr>
                <w:sz w:val="2"/>
                <w:szCs w:val="2"/>
              </w:rPr>
            </w:pPr>
          </w:p>
        </w:tc>
        <w:tc>
          <w:tcPr>
            <w:tcW w:w="116" w:type="dxa"/>
            <w:vMerge/>
            <w:tcBorders>
              <w:top w:val="nil"/>
              <w:left w:val="single" w:sz="4" w:space="0" w:color="000000"/>
              <w:right w:val="single" w:sz="4" w:space="0" w:color="000000"/>
            </w:tcBorders>
          </w:tcPr>
          <w:p>
            <w:pPr>
              <w:rPr>
                <w:sz w:val="2"/>
                <w:szCs w:val="2"/>
              </w:rPr>
            </w:pPr>
          </w:p>
        </w:tc>
        <w:tc>
          <w:tcPr>
            <w:tcW w:w="692" w:type="dxa"/>
            <w:vMerge/>
            <w:tcBorders>
              <w:top w:val="nil"/>
              <w:left w:val="single" w:sz="4" w:space="0" w:color="000000"/>
              <w:bottom w:val="single" w:sz="4" w:space="0" w:color="000000"/>
              <w:right w:val="single" w:sz="4" w:space="0" w:color="000000"/>
            </w:tcBorders>
          </w:tcPr>
          <w:p>
            <w:pPr>
              <w:rPr>
                <w:sz w:val="2"/>
                <w:szCs w:val="2"/>
              </w:rPr>
            </w:pPr>
          </w:p>
        </w:tc>
        <w:tc>
          <w:tcPr>
            <w:tcW w:w="103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1"/>
              <w:rPr>
                <w:b/>
                <w:sz w:val="17"/>
              </w:rPr>
            </w:pPr>
          </w:p>
          <w:p>
            <w:pPr>
              <w:pStyle w:val="TableParagraph"/>
              <w:spacing w:before="1"/>
              <w:ind w:left="255"/>
              <w:rPr>
                <w:sz w:val="18"/>
              </w:rPr>
            </w:pPr>
            <w:r>
              <w:rPr>
                <w:rFonts w:ascii="Times New Roman" w:eastAsia="Times New Roman"/>
                <w:sz w:val="18"/>
              </w:rPr>
              <w:t>2#</w:t>
            </w:r>
            <w:r>
              <w:rPr>
                <w:sz w:val="18"/>
              </w:rPr>
              <w:t>车间</w:t>
            </w:r>
          </w:p>
        </w:tc>
        <w:tc>
          <w:tcPr>
            <w:tcW w:w="1829" w:type="dxa"/>
            <w:tcBorders>
              <w:top w:val="single" w:sz="4" w:space="0" w:color="000000"/>
              <w:left w:val="single" w:sz="4" w:space="0" w:color="000000"/>
              <w:bottom w:val="single" w:sz="4" w:space="0" w:color="000000"/>
              <w:right w:val="single" w:sz="4" w:space="0" w:color="000000"/>
            </w:tcBorders>
          </w:tcPr>
          <w:p>
            <w:pPr>
              <w:pStyle w:val="TableParagraph"/>
              <w:spacing w:line="228" w:lineRule="exact"/>
              <w:ind w:left="121" w:right="99"/>
              <w:jc w:val="center"/>
              <w:rPr>
                <w:sz w:val="18"/>
              </w:rPr>
            </w:pPr>
            <w:r>
              <w:rPr>
                <w:sz w:val="18"/>
              </w:rPr>
              <w:t>建筑面积</w:t>
            </w:r>
          </w:p>
          <w:p>
            <w:pPr>
              <w:pStyle w:val="TableParagraph"/>
              <w:spacing w:before="2" w:line="230" w:lineRule="atLeast"/>
              <w:ind w:left="167" w:right="142"/>
              <w:jc w:val="center"/>
              <w:rPr>
                <w:sz w:val="18"/>
              </w:rPr>
            </w:pPr>
            <w:r>
              <w:rPr>
                <w:rFonts w:ascii="Times New Roman" w:eastAsia="Times New Roman"/>
                <w:sz w:val="18"/>
              </w:rPr>
              <w:t>2000.54m</w:t>
            </w:r>
            <w:r>
              <w:rPr>
                <w:rFonts w:ascii="Times New Roman" w:eastAsia="Times New Roman"/>
                <w:position w:val="6"/>
                <w:sz w:val="12"/>
              </w:rPr>
              <w:t>2</w:t>
            </w:r>
            <w:r>
              <w:rPr>
                <w:sz w:val="18"/>
              </w:rPr>
              <w:t>，现有项目主要生产车间</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spacing w:line="228" w:lineRule="exact"/>
              <w:ind w:left="171" w:right="151"/>
              <w:jc w:val="center"/>
              <w:rPr>
                <w:sz w:val="18"/>
              </w:rPr>
            </w:pPr>
            <w:r>
              <w:rPr>
                <w:sz w:val="18"/>
              </w:rPr>
              <w:t>建筑面积</w:t>
            </w:r>
          </w:p>
          <w:p>
            <w:pPr>
              <w:pStyle w:val="TableParagraph"/>
              <w:spacing w:before="2" w:line="230" w:lineRule="atLeast"/>
              <w:ind w:left="174" w:right="151"/>
              <w:jc w:val="center"/>
              <w:rPr>
                <w:sz w:val="18"/>
              </w:rPr>
            </w:pPr>
            <w:r>
              <w:rPr>
                <w:rFonts w:ascii="Times New Roman" w:eastAsia="Times New Roman"/>
                <w:sz w:val="18"/>
              </w:rPr>
              <w:t>2000.54m</w:t>
            </w:r>
            <w:r>
              <w:rPr>
                <w:rFonts w:ascii="Times New Roman" w:eastAsia="Times New Roman"/>
                <w:position w:val="6"/>
                <w:sz w:val="12"/>
              </w:rPr>
              <w:t>2</w:t>
            </w:r>
            <w:r>
              <w:rPr>
                <w:sz w:val="18"/>
              </w:rPr>
              <w:t>，现有项目主要生产车间</w:t>
            </w:r>
          </w:p>
        </w:tc>
        <w:tc>
          <w:tcPr>
            <w:tcW w:w="991" w:type="dxa"/>
            <w:tcBorders>
              <w:top w:val="single" w:sz="4" w:space="0" w:color="000000"/>
              <w:left w:val="single" w:sz="4" w:space="0" w:color="000000"/>
              <w:bottom w:val="single" w:sz="4" w:space="0" w:color="000000"/>
              <w:right w:val="single" w:sz="4" w:space="0" w:color="000000"/>
            </w:tcBorders>
          </w:tcPr>
          <w:p>
            <w:pPr>
              <w:pStyle w:val="TableParagraph"/>
              <w:spacing w:before="11"/>
              <w:rPr>
                <w:b/>
                <w:sz w:val="17"/>
              </w:rPr>
            </w:pPr>
          </w:p>
          <w:p>
            <w:pPr>
              <w:pStyle w:val="TableParagraph"/>
              <w:spacing w:before="1"/>
              <w:ind w:left="97" w:right="78"/>
              <w:jc w:val="center"/>
              <w:rPr>
                <w:sz w:val="18"/>
              </w:rPr>
            </w:pPr>
            <w:r>
              <w:rPr>
                <w:sz w:val="18"/>
              </w:rPr>
              <w:t>无变化</w:t>
            </w:r>
          </w:p>
        </w:tc>
        <w:tc>
          <w:tcPr>
            <w:tcW w:w="199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12" w:line="242" w:lineRule="auto"/>
              <w:ind w:left="907" w:right="173" w:hanging="720"/>
              <w:rPr>
                <w:sz w:val="18"/>
              </w:rPr>
            </w:pPr>
            <w:r>
              <w:rPr>
                <w:sz w:val="18"/>
              </w:rPr>
              <w:t>现有项目主要生产车间</w:t>
            </w:r>
          </w:p>
        </w:tc>
        <w:tc>
          <w:tcPr>
            <w:tcW w:w="121" w:type="dxa"/>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456"/>
        </w:trPr>
        <w:tc>
          <w:tcPr>
            <w:tcW w:w="427" w:type="dxa"/>
            <w:vMerge/>
            <w:tcBorders>
              <w:top w:val="nil"/>
              <w:right w:val="single" w:sz="4" w:space="0" w:color="000000"/>
            </w:tcBorders>
          </w:tcPr>
          <w:p>
            <w:pPr>
              <w:rPr>
                <w:sz w:val="2"/>
                <w:szCs w:val="2"/>
              </w:rPr>
            </w:pPr>
          </w:p>
        </w:tc>
        <w:tc>
          <w:tcPr>
            <w:tcW w:w="116" w:type="dxa"/>
            <w:vMerge/>
            <w:tcBorders>
              <w:top w:val="nil"/>
              <w:left w:val="single" w:sz="4" w:space="0" w:color="000000"/>
              <w:right w:val="single" w:sz="4" w:space="0" w:color="000000"/>
            </w:tcBorders>
          </w:tcPr>
          <w:p>
            <w:pPr>
              <w:rPr>
                <w:sz w:val="2"/>
                <w:szCs w:val="2"/>
              </w:rPr>
            </w:pPr>
          </w:p>
        </w:tc>
        <w:tc>
          <w:tcPr>
            <w:tcW w:w="692"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spacing w:before="10"/>
              <w:rPr>
                <w:b/>
                <w:sz w:val="18"/>
              </w:rPr>
            </w:pPr>
          </w:p>
          <w:p>
            <w:pPr>
              <w:pStyle w:val="TableParagraph"/>
              <w:spacing w:line="244" w:lineRule="auto"/>
              <w:ind w:left="174" w:right="145"/>
              <w:rPr>
                <w:sz w:val="18"/>
              </w:rPr>
            </w:pPr>
            <w:r>
              <w:rPr>
                <w:sz w:val="18"/>
              </w:rPr>
              <w:t>储运工程</w:t>
            </w:r>
          </w:p>
        </w:tc>
        <w:tc>
          <w:tcPr>
            <w:tcW w:w="103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11"/>
              <w:ind w:left="163"/>
              <w:rPr>
                <w:sz w:val="18"/>
              </w:rPr>
            </w:pPr>
            <w:r>
              <w:rPr>
                <w:sz w:val="18"/>
              </w:rPr>
              <w:t>原料仓库</w:t>
            </w:r>
          </w:p>
        </w:tc>
        <w:tc>
          <w:tcPr>
            <w:tcW w:w="1829" w:type="dxa"/>
            <w:tcBorders>
              <w:top w:val="single" w:sz="4" w:space="0" w:color="000000"/>
              <w:left w:val="single" w:sz="4" w:space="0" w:color="000000"/>
              <w:bottom w:val="single" w:sz="4" w:space="0" w:color="000000"/>
              <w:right w:val="single" w:sz="4" w:space="0" w:color="000000"/>
            </w:tcBorders>
          </w:tcPr>
          <w:p>
            <w:pPr>
              <w:pStyle w:val="TableParagraph"/>
              <w:spacing w:line="227" w:lineRule="exact"/>
              <w:ind w:left="121" w:right="99"/>
              <w:jc w:val="center"/>
              <w:rPr>
                <w:sz w:val="18"/>
              </w:rPr>
            </w:pPr>
            <w:r>
              <w:rPr>
                <w:sz w:val="18"/>
              </w:rPr>
              <w:t>原料贮存，建筑面</w:t>
            </w:r>
          </w:p>
          <w:p>
            <w:pPr>
              <w:pStyle w:val="TableParagraph"/>
              <w:spacing w:before="2" w:line="208" w:lineRule="exact"/>
              <w:ind w:left="121" w:right="99"/>
              <w:jc w:val="center"/>
              <w:rPr>
                <w:rFonts w:ascii="Times New Roman" w:eastAsia="Times New Roman"/>
                <w:sz w:val="12"/>
              </w:rPr>
            </w:pPr>
            <w:r>
              <w:rPr>
                <w:sz w:val="18"/>
              </w:rPr>
              <w:t xml:space="preserve">积 </w:t>
            </w:r>
            <w:r>
              <w:rPr>
                <w:rFonts w:ascii="Times New Roman" w:eastAsia="Times New Roman"/>
                <w:sz w:val="18"/>
              </w:rPr>
              <w:t>1895.58m</w:t>
            </w:r>
            <w:r>
              <w:rPr>
                <w:rFonts w:ascii="Times New Roman" w:eastAsia="Times New Roman"/>
                <w:position w:val="6"/>
                <w:sz w:val="12"/>
              </w:rPr>
              <w:t>2</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spacing w:before="8" w:line="230" w:lineRule="exact"/>
              <w:ind w:left="73" w:right="55"/>
              <w:jc w:val="center"/>
              <w:rPr>
                <w:sz w:val="18"/>
              </w:rPr>
            </w:pPr>
            <w:r>
              <w:rPr>
                <w:sz w:val="18"/>
              </w:rPr>
              <w:t>原料贮存，建筑面积</w:t>
            </w:r>
          </w:p>
          <w:p>
            <w:pPr>
              <w:pStyle w:val="TableParagraph"/>
              <w:spacing w:line="199" w:lineRule="exact"/>
              <w:ind w:left="172" w:right="151"/>
              <w:jc w:val="center"/>
              <w:rPr>
                <w:rFonts w:ascii="Times New Roman"/>
                <w:sz w:val="12"/>
              </w:rPr>
            </w:pPr>
            <w:r>
              <w:rPr>
                <w:rFonts w:ascii="Times New Roman"/>
                <w:sz w:val="18"/>
              </w:rPr>
              <w:t>1895.58m</w:t>
            </w:r>
            <w:r>
              <w:rPr>
                <w:rFonts w:ascii="Times New Roman"/>
                <w:position w:val="6"/>
                <w:sz w:val="12"/>
              </w:rPr>
              <w:t>2</w:t>
            </w:r>
          </w:p>
        </w:tc>
        <w:tc>
          <w:tcPr>
            <w:tcW w:w="991" w:type="dxa"/>
            <w:tcBorders>
              <w:top w:val="single" w:sz="4" w:space="0" w:color="000000"/>
              <w:left w:val="single" w:sz="4" w:space="0" w:color="000000"/>
              <w:bottom w:val="single" w:sz="4" w:space="0" w:color="000000"/>
              <w:right w:val="single" w:sz="4" w:space="0" w:color="000000"/>
            </w:tcBorders>
          </w:tcPr>
          <w:p>
            <w:pPr>
              <w:pStyle w:val="TableParagraph"/>
              <w:spacing w:before="111"/>
              <w:ind w:left="97" w:right="78"/>
              <w:jc w:val="center"/>
              <w:rPr>
                <w:sz w:val="18"/>
              </w:rPr>
            </w:pPr>
            <w:r>
              <w:rPr>
                <w:sz w:val="18"/>
              </w:rPr>
              <w:t>无变化</w:t>
            </w:r>
          </w:p>
        </w:tc>
        <w:tc>
          <w:tcPr>
            <w:tcW w:w="1993" w:type="dxa"/>
            <w:gridSpan w:val="2"/>
            <w:tcBorders>
              <w:top w:val="single" w:sz="4" w:space="0" w:color="000000"/>
              <w:left w:val="single" w:sz="4" w:space="0" w:color="000000"/>
              <w:bottom w:val="single" w:sz="4" w:space="0" w:color="000000"/>
              <w:right w:val="single" w:sz="4" w:space="0" w:color="000000"/>
            </w:tcBorders>
          </w:tcPr>
          <w:p>
            <w:pPr>
              <w:pStyle w:val="TableParagraph"/>
              <w:spacing w:line="227" w:lineRule="exact"/>
              <w:ind w:left="84" w:right="67"/>
              <w:jc w:val="center"/>
              <w:rPr>
                <w:sz w:val="18"/>
              </w:rPr>
            </w:pPr>
            <w:r>
              <w:rPr>
                <w:sz w:val="18"/>
              </w:rPr>
              <w:t xml:space="preserve">暂存 </w:t>
            </w:r>
            <w:r>
              <w:rPr>
                <w:rFonts w:ascii="Times New Roman" w:eastAsia="Times New Roman"/>
                <w:sz w:val="18"/>
              </w:rPr>
              <w:t xml:space="preserve">PET </w:t>
            </w:r>
            <w:r>
              <w:rPr>
                <w:sz w:val="18"/>
              </w:rPr>
              <w:t>薄膜、</w:t>
            </w:r>
            <w:r>
              <w:rPr>
                <w:rFonts w:ascii="Times New Roman" w:eastAsia="Times New Roman"/>
                <w:sz w:val="18"/>
              </w:rPr>
              <w:t xml:space="preserve">PE </w:t>
            </w:r>
            <w:r>
              <w:rPr>
                <w:sz w:val="18"/>
              </w:rPr>
              <w:t>薄</w:t>
            </w:r>
          </w:p>
          <w:p>
            <w:pPr>
              <w:pStyle w:val="TableParagraph"/>
              <w:spacing w:before="2" w:line="208" w:lineRule="exact"/>
              <w:ind w:left="79" w:right="67"/>
              <w:jc w:val="center"/>
              <w:rPr>
                <w:sz w:val="18"/>
              </w:rPr>
            </w:pPr>
            <w:r>
              <w:rPr>
                <w:sz w:val="18"/>
              </w:rPr>
              <w:t>膜、铝箔等</w:t>
            </w:r>
          </w:p>
        </w:tc>
        <w:tc>
          <w:tcPr>
            <w:tcW w:w="121" w:type="dxa"/>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457"/>
        </w:trPr>
        <w:tc>
          <w:tcPr>
            <w:tcW w:w="427" w:type="dxa"/>
            <w:vMerge/>
            <w:tcBorders>
              <w:top w:val="nil"/>
              <w:right w:val="single" w:sz="4" w:space="0" w:color="000000"/>
            </w:tcBorders>
          </w:tcPr>
          <w:p>
            <w:pPr>
              <w:rPr>
                <w:sz w:val="2"/>
                <w:szCs w:val="2"/>
              </w:rPr>
            </w:pPr>
          </w:p>
        </w:tc>
        <w:tc>
          <w:tcPr>
            <w:tcW w:w="116" w:type="dxa"/>
            <w:vMerge/>
            <w:tcBorders>
              <w:top w:val="nil"/>
              <w:left w:val="single" w:sz="4" w:space="0" w:color="000000"/>
              <w:right w:val="single" w:sz="4" w:space="0" w:color="000000"/>
            </w:tcBorders>
          </w:tcPr>
          <w:p>
            <w:pPr>
              <w:rPr>
                <w:sz w:val="2"/>
                <w:szCs w:val="2"/>
              </w:rPr>
            </w:pPr>
          </w:p>
        </w:tc>
        <w:tc>
          <w:tcPr>
            <w:tcW w:w="692" w:type="dxa"/>
            <w:vMerge/>
            <w:tcBorders>
              <w:top w:val="nil"/>
              <w:left w:val="single" w:sz="4" w:space="0" w:color="000000"/>
              <w:bottom w:val="single" w:sz="4" w:space="0" w:color="000000"/>
              <w:right w:val="single" w:sz="4" w:space="0" w:color="000000"/>
            </w:tcBorders>
          </w:tcPr>
          <w:p>
            <w:pPr>
              <w:rPr>
                <w:sz w:val="2"/>
                <w:szCs w:val="2"/>
              </w:rPr>
            </w:pPr>
          </w:p>
        </w:tc>
        <w:tc>
          <w:tcPr>
            <w:tcW w:w="103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12"/>
              <w:ind w:left="163"/>
              <w:rPr>
                <w:sz w:val="18"/>
              </w:rPr>
            </w:pPr>
            <w:r>
              <w:rPr>
                <w:sz w:val="18"/>
              </w:rPr>
              <w:t>甲类仓库</w:t>
            </w:r>
          </w:p>
        </w:tc>
        <w:tc>
          <w:tcPr>
            <w:tcW w:w="1829" w:type="dxa"/>
            <w:tcBorders>
              <w:top w:val="single" w:sz="4" w:space="0" w:color="000000"/>
              <w:left w:val="single" w:sz="4" w:space="0" w:color="000000"/>
              <w:bottom w:val="single" w:sz="4" w:space="0" w:color="000000"/>
              <w:right w:val="single" w:sz="4" w:space="0" w:color="000000"/>
            </w:tcBorders>
          </w:tcPr>
          <w:p>
            <w:pPr>
              <w:pStyle w:val="TableParagraph"/>
              <w:spacing w:before="124"/>
              <w:ind w:left="19"/>
              <w:jc w:val="center"/>
              <w:rPr>
                <w:rFonts w:ascii="Times New Roman"/>
                <w:sz w:val="18"/>
              </w:rPr>
            </w:pPr>
            <w:r>
              <w:rPr>
                <w:rFonts w:ascii="Times New Roman"/>
                <w:sz w:val="18"/>
              </w:rPr>
              <w:t>/</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spacing w:before="112"/>
              <w:ind w:left="169" w:right="151"/>
              <w:jc w:val="center"/>
              <w:rPr>
                <w:rFonts w:ascii="Times New Roman" w:eastAsia="Times New Roman"/>
                <w:sz w:val="12"/>
              </w:rPr>
            </w:pPr>
            <w:r>
              <w:rPr>
                <w:sz w:val="18"/>
              </w:rPr>
              <w:t xml:space="preserve">建筑面积 </w:t>
            </w:r>
            <w:r>
              <w:rPr>
                <w:rFonts w:ascii="Times New Roman" w:eastAsia="Times New Roman"/>
                <w:sz w:val="18"/>
              </w:rPr>
              <w:t>635m</w:t>
            </w:r>
            <w:r>
              <w:rPr>
                <w:rFonts w:ascii="Times New Roman" w:eastAsia="Times New Roman"/>
                <w:position w:val="6"/>
                <w:sz w:val="12"/>
              </w:rPr>
              <w:t>2</w:t>
            </w:r>
          </w:p>
        </w:tc>
        <w:tc>
          <w:tcPr>
            <w:tcW w:w="991" w:type="dxa"/>
            <w:tcBorders>
              <w:top w:val="single" w:sz="4" w:space="0" w:color="000000"/>
              <w:left w:val="single" w:sz="4" w:space="0" w:color="000000"/>
              <w:bottom w:val="single" w:sz="4" w:space="0" w:color="000000"/>
              <w:right w:val="single" w:sz="4" w:space="0" w:color="000000"/>
            </w:tcBorders>
          </w:tcPr>
          <w:p>
            <w:pPr>
              <w:pStyle w:val="TableParagraph"/>
              <w:spacing w:before="124"/>
              <w:ind w:left="19"/>
              <w:jc w:val="center"/>
              <w:rPr>
                <w:rFonts w:ascii="Times New Roman"/>
                <w:sz w:val="18"/>
              </w:rPr>
            </w:pPr>
            <w:r>
              <w:rPr>
                <w:rFonts w:ascii="Times New Roman"/>
                <w:sz w:val="18"/>
              </w:rPr>
              <w:t>/</w:t>
            </w:r>
          </w:p>
        </w:tc>
        <w:tc>
          <w:tcPr>
            <w:tcW w:w="1993" w:type="dxa"/>
            <w:gridSpan w:val="2"/>
            <w:tcBorders>
              <w:top w:val="single" w:sz="4" w:space="0" w:color="000000"/>
              <w:left w:val="single" w:sz="4" w:space="0" w:color="000000"/>
              <w:bottom w:val="single" w:sz="4" w:space="0" w:color="000000"/>
              <w:right w:val="single" w:sz="4" w:space="0" w:color="000000"/>
            </w:tcBorders>
          </w:tcPr>
          <w:p>
            <w:pPr>
              <w:pStyle w:val="TableParagraph"/>
              <w:spacing w:line="225" w:lineRule="exact"/>
              <w:ind w:left="79" w:right="67"/>
              <w:jc w:val="center"/>
              <w:rPr>
                <w:sz w:val="18"/>
              </w:rPr>
            </w:pPr>
            <w:r>
              <w:rPr>
                <w:sz w:val="18"/>
              </w:rPr>
              <w:t>新建，暂存油墨、有</w:t>
            </w:r>
          </w:p>
          <w:p>
            <w:pPr>
              <w:pStyle w:val="TableParagraph"/>
              <w:spacing w:before="4" w:line="208" w:lineRule="exact"/>
              <w:ind w:left="79" w:right="67"/>
              <w:jc w:val="center"/>
              <w:rPr>
                <w:sz w:val="18"/>
              </w:rPr>
            </w:pPr>
            <w:r>
              <w:rPr>
                <w:sz w:val="18"/>
              </w:rPr>
              <w:t>机溶剂、机油等</w:t>
            </w:r>
          </w:p>
        </w:tc>
        <w:tc>
          <w:tcPr>
            <w:tcW w:w="121" w:type="dxa"/>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455"/>
        </w:trPr>
        <w:tc>
          <w:tcPr>
            <w:tcW w:w="427" w:type="dxa"/>
            <w:vMerge/>
            <w:tcBorders>
              <w:top w:val="nil"/>
              <w:right w:val="single" w:sz="4" w:space="0" w:color="000000"/>
            </w:tcBorders>
          </w:tcPr>
          <w:p>
            <w:pPr>
              <w:rPr>
                <w:sz w:val="2"/>
                <w:szCs w:val="2"/>
              </w:rPr>
            </w:pPr>
          </w:p>
        </w:tc>
        <w:tc>
          <w:tcPr>
            <w:tcW w:w="116" w:type="dxa"/>
            <w:vMerge/>
            <w:tcBorders>
              <w:top w:val="nil"/>
              <w:left w:val="single" w:sz="4" w:space="0" w:color="000000"/>
              <w:right w:val="single" w:sz="4" w:space="0" w:color="000000"/>
            </w:tcBorders>
          </w:tcPr>
          <w:p>
            <w:pPr>
              <w:rPr>
                <w:sz w:val="2"/>
                <w:szCs w:val="2"/>
              </w:rPr>
            </w:pPr>
          </w:p>
        </w:tc>
        <w:tc>
          <w:tcPr>
            <w:tcW w:w="692" w:type="dxa"/>
            <w:vMerge/>
            <w:tcBorders>
              <w:top w:val="nil"/>
              <w:left w:val="single" w:sz="4" w:space="0" w:color="000000"/>
              <w:bottom w:val="single" w:sz="4" w:space="0" w:color="000000"/>
              <w:right w:val="single" w:sz="4" w:space="0" w:color="000000"/>
            </w:tcBorders>
          </w:tcPr>
          <w:p>
            <w:pPr>
              <w:rPr>
                <w:sz w:val="2"/>
                <w:szCs w:val="2"/>
              </w:rPr>
            </w:pPr>
          </w:p>
        </w:tc>
        <w:tc>
          <w:tcPr>
            <w:tcW w:w="1039" w:type="dxa"/>
            <w:gridSpan w:val="2"/>
            <w:tcBorders>
              <w:top w:val="single" w:sz="4" w:space="0" w:color="000000"/>
              <w:left w:val="single" w:sz="4" w:space="0" w:color="000000"/>
              <w:bottom w:val="single" w:sz="4" w:space="0" w:color="000000"/>
              <w:right w:val="single" w:sz="4" w:space="0" w:color="000000"/>
            </w:tcBorders>
          </w:tcPr>
          <w:p>
            <w:pPr>
              <w:pStyle w:val="TableParagraph"/>
              <w:spacing w:line="225" w:lineRule="exact"/>
              <w:ind w:left="143" w:right="125"/>
              <w:jc w:val="center"/>
              <w:rPr>
                <w:sz w:val="18"/>
              </w:rPr>
            </w:pPr>
            <w:r>
              <w:rPr>
                <w:sz w:val="18"/>
              </w:rPr>
              <w:t>成品堆放</w:t>
            </w:r>
          </w:p>
          <w:p>
            <w:pPr>
              <w:pStyle w:val="TableParagraph"/>
              <w:spacing w:before="2" w:line="208" w:lineRule="exact"/>
              <w:ind w:left="21"/>
              <w:jc w:val="center"/>
              <w:rPr>
                <w:sz w:val="18"/>
              </w:rPr>
            </w:pPr>
            <w:r>
              <w:rPr>
                <w:sz w:val="18"/>
              </w:rPr>
              <w:t>区</w:t>
            </w:r>
          </w:p>
        </w:tc>
        <w:tc>
          <w:tcPr>
            <w:tcW w:w="1829" w:type="dxa"/>
            <w:tcBorders>
              <w:top w:val="single" w:sz="4" w:space="0" w:color="000000"/>
              <w:left w:val="single" w:sz="4" w:space="0" w:color="000000"/>
              <w:bottom w:val="single" w:sz="4" w:space="0" w:color="000000"/>
              <w:right w:val="single" w:sz="4" w:space="0" w:color="000000"/>
            </w:tcBorders>
          </w:tcPr>
          <w:p>
            <w:pPr>
              <w:pStyle w:val="TableParagraph"/>
              <w:spacing w:before="6"/>
              <w:ind w:left="121" w:right="99"/>
              <w:jc w:val="center"/>
              <w:rPr>
                <w:sz w:val="18"/>
              </w:rPr>
            </w:pPr>
            <w:r>
              <w:rPr>
                <w:sz w:val="18"/>
              </w:rPr>
              <w:t>各车间内划分区域</w:t>
            </w:r>
          </w:p>
          <w:p>
            <w:pPr>
              <w:pStyle w:val="TableParagraph"/>
              <w:spacing w:before="1" w:line="197" w:lineRule="exact"/>
              <w:ind w:left="121" w:right="97"/>
              <w:jc w:val="center"/>
              <w:rPr>
                <w:rFonts w:ascii="Times New Roman"/>
                <w:sz w:val="12"/>
              </w:rPr>
            </w:pPr>
            <w:r>
              <w:rPr>
                <w:rFonts w:ascii="Times New Roman"/>
                <w:sz w:val="18"/>
              </w:rPr>
              <w:t>80m</w:t>
            </w:r>
            <w:r>
              <w:rPr>
                <w:rFonts w:ascii="Times New Roman"/>
                <w:position w:val="6"/>
                <w:sz w:val="12"/>
              </w:rPr>
              <w:t>2</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spacing w:before="120"/>
              <w:ind w:left="174" w:right="151"/>
              <w:jc w:val="center"/>
              <w:rPr>
                <w:rFonts w:ascii="Times New Roman"/>
                <w:sz w:val="12"/>
              </w:rPr>
            </w:pPr>
            <w:r>
              <w:rPr>
                <w:rFonts w:ascii="Times New Roman"/>
                <w:sz w:val="18"/>
              </w:rPr>
              <w:t>80m</w:t>
            </w:r>
            <w:r>
              <w:rPr>
                <w:rFonts w:ascii="Times New Roman"/>
                <w:position w:val="6"/>
                <w:sz w:val="12"/>
              </w:rPr>
              <w:t>2</w:t>
            </w:r>
          </w:p>
        </w:tc>
        <w:tc>
          <w:tcPr>
            <w:tcW w:w="991" w:type="dxa"/>
            <w:tcBorders>
              <w:top w:val="single" w:sz="4" w:space="0" w:color="000000"/>
              <w:left w:val="single" w:sz="4" w:space="0" w:color="000000"/>
              <w:bottom w:val="single" w:sz="4" w:space="0" w:color="000000"/>
              <w:right w:val="single" w:sz="4" w:space="0" w:color="000000"/>
            </w:tcBorders>
          </w:tcPr>
          <w:p>
            <w:pPr>
              <w:pStyle w:val="TableParagraph"/>
              <w:spacing w:before="112"/>
              <w:ind w:left="97" w:right="78"/>
              <w:jc w:val="center"/>
              <w:rPr>
                <w:sz w:val="18"/>
              </w:rPr>
            </w:pPr>
            <w:r>
              <w:rPr>
                <w:sz w:val="18"/>
              </w:rPr>
              <w:t>无变化</w:t>
            </w:r>
          </w:p>
        </w:tc>
        <w:tc>
          <w:tcPr>
            <w:tcW w:w="199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12"/>
              <w:ind w:left="279"/>
              <w:rPr>
                <w:sz w:val="18"/>
              </w:rPr>
            </w:pPr>
            <w:r>
              <w:rPr>
                <w:sz w:val="18"/>
              </w:rPr>
              <w:t>暂存成品、半成品</w:t>
            </w:r>
          </w:p>
        </w:tc>
        <w:tc>
          <w:tcPr>
            <w:tcW w:w="121" w:type="dxa"/>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440"/>
        </w:trPr>
        <w:tc>
          <w:tcPr>
            <w:tcW w:w="427" w:type="dxa"/>
            <w:vMerge/>
            <w:tcBorders>
              <w:top w:val="nil"/>
              <w:right w:val="single" w:sz="4" w:space="0" w:color="000000"/>
            </w:tcBorders>
          </w:tcPr>
          <w:p>
            <w:pPr>
              <w:rPr>
                <w:sz w:val="2"/>
                <w:szCs w:val="2"/>
              </w:rPr>
            </w:pPr>
          </w:p>
        </w:tc>
        <w:tc>
          <w:tcPr>
            <w:tcW w:w="116" w:type="dxa"/>
            <w:vMerge/>
            <w:tcBorders>
              <w:top w:val="nil"/>
              <w:left w:val="single" w:sz="4" w:space="0" w:color="000000"/>
              <w:right w:val="single" w:sz="4" w:space="0" w:color="000000"/>
            </w:tcBorders>
          </w:tcPr>
          <w:p>
            <w:pPr>
              <w:rPr>
                <w:sz w:val="2"/>
                <w:szCs w:val="2"/>
              </w:rPr>
            </w:pPr>
          </w:p>
        </w:tc>
        <w:tc>
          <w:tcPr>
            <w:tcW w:w="692" w:type="dxa"/>
            <w:vMerge/>
            <w:tcBorders>
              <w:top w:val="nil"/>
              <w:left w:val="single" w:sz="4" w:space="0" w:color="000000"/>
              <w:bottom w:val="single" w:sz="4" w:space="0" w:color="000000"/>
              <w:right w:val="single" w:sz="4" w:space="0" w:color="000000"/>
            </w:tcBorders>
          </w:tcPr>
          <w:p>
            <w:pPr>
              <w:rPr>
                <w:sz w:val="2"/>
                <w:szCs w:val="2"/>
              </w:rPr>
            </w:pPr>
          </w:p>
        </w:tc>
        <w:tc>
          <w:tcPr>
            <w:tcW w:w="103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05"/>
              <w:ind w:left="255"/>
              <w:rPr>
                <w:sz w:val="18"/>
              </w:rPr>
            </w:pPr>
            <w:r>
              <w:rPr>
                <w:sz w:val="18"/>
              </w:rPr>
              <w:t>储气罐</w:t>
            </w:r>
          </w:p>
        </w:tc>
        <w:tc>
          <w:tcPr>
            <w:tcW w:w="1829" w:type="dxa"/>
            <w:tcBorders>
              <w:top w:val="single" w:sz="4" w:space="0" w:color="000000"/>
              <w:left w:val="single" w:sz="4" w:space="0" w:color="000000"/>
              <w:bottom w:val="single" w:sz="4" w:space="0" w:color="000000"/>
              <w:right w:val="single" w:sz="4" w:space="0" w:color="000000"/>
            </w:tcBorders>
          </w:tcPr>
          <w:p>
            <w:pPr>
              <w:pStyle w:val="TableParagraph"/>
              <w:spacing w:line="247" w:lineRule="exact"/>
              <w:ind w:left="121" w:right="99"/>
              <w:jc w:val="center"/>
              <w:rPr>
                <w:rFonts w:ascii="等线" w:eastAsia="等线" w:hint="eastAsia"/>
                <w:sz w:val="18"/>
              </w:rPr>
            </w:pPr>
            <w:r>
              <w:rPr>
                <w:rFonts w:ascii="Times New Roman" w:eastAsia="Times New Roman"/>
                <w:sz w:val="18"/>
              </w:rPr>
              <w:t xml:space="preserve">3 </w:t>
            </w:r>
            <w:r>
              <w:rPr>
                <w:rFonts w:ascii="等线" w:eastAsia="等线" w:hint="eastAsia"/>
                <w:sz w:val="18"/>
              </w:rPr>
              <w:t>只，</w:t>
            </w:r>
            <w:r>
              <w:rPr>
                <w:rFonts w:ascii="Times New Roman" w:eastAsia="Times New Roman"/>
                <w:sz w:val="18"/>
              </w:rPr>
              <w:t>1000L</w:t>
            </w:r>
            <w:r>
              <w:rPr>
                <w:rFonts w:ascii="等线" w:eastAsia="等线" w:hint="eastAsia"/>
                <w:sz w:val="18"/>
              </w:rPr>
              <w:t>、</w:t>
            </w:r>
          </w:p>
          <w:p>
            <w:pPr>
              <w:pStyle w:val="TableParagraph"/>
              <w:spacing w:line="174" w:lineRule="exact"/>
              <w:ind w:left="121" w:right="98"/>
              <w:jc w:val="center"/>
              <w:rPr>
                <w:rFonts w:ascii="Times New Roman"/>
                <w:sz w:val="18"/>
              </w:rPr>
            </w:pPr>
            <w:r>
              <w:rPr>
                <w:rFonts w:ascii="Times New Roman"/>
                <w:sz w:val="18"/>
              </w:rPr>
              <w:t>0.84MPa</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spacing w:line="247" w:lineRule="exact"/>
              <w:ind w:left="171" w:right="151"/>
              <w:jc w:val="center"/>
              <w:rPr>
                <w:rFonts w:ascii="等线" w:eastAsia="等线" w:hint="eastAsia"/>
                <w:sz w:val="18"/>
              </w:rPr>
            </w:pPr>
            <w:r>
              <w:rPr>
                <w:rFonts w:ascii="Times New Roman" w:eastAsia="Times New Roman"/>
                <w:sz w:val="18"/>
              </w:rPr>
              <w:t xml:space="preserve">5 </w:t>
            </w:r>
            <w:r>
              <w:rPr>
                <w:rFonts w:ascii="等线" w:eastAsia="等线" w:hint="eastAsia"/>
                <w:sz w:val="18"/>
              </w:rPr>
              <w:t>只，</w:t>
            </w:r>
            <w:r>
              <w:rPr>
                <w:rFonts w:ascii="Times New Roman" w:eastAsia="Times New Roman"/>
                <w:sz w:val="18"/>
              </w:rPr>
              <w:t>1000L</w:t>
            </w:r>
            <w:r>
              <w:rPr>
                <w:rFonts w:ascii="等线" w:eastAsia="等线" w:hint="eastAsia"/>
                <w:sz w:val="18"/>
              </w:rPr>
              <w:t>、</w:t>
            </w:r>
          </w:p>
          <w:p>
            <w:pPr>
              <w:pStyle w:val="TableParagraph"/>
              <w:spacing w:line="174" w:lineRule="exact"/>
              <w:ind w:left="172" w:right="151"/>
              <w:jc w:val="center"/>
              <w:rPr>
                <w:rFonts w:ascii="Times New Roman"/>
                <w:sz w:val="18"/>
              </w:rPr>
            </w:pPr>
            <w:r>
              <w:rPr>
                <w:rFonts w:ascii="Times New Roman"/>
                <w:sz w:val="18"/>
              </w:rPr>
              <w:t>0.84MPa</w:t>
            </w:r>
          </w:p>
        </w:tc>
        <w:tc>
          <w:tcPr>
            <w:tcW w:w="991" w:type="dxa"/>
            <w:tcBorders>
              <w:top w:val="single" w:sz="4" w:space="0" w:color="000000"/>
              <w:left w:val="single" w:sz="4" w:space="0" w:color="000000"/>
              <w:bottom w:val="single" w:sz="4" w:space="0" w:color="000000"/>
              <w:right w:val="single" w:sz="4" w:space="0" w:color="000000"/>
            </w:tcBorders>
          </w:tcPr>
          <w:p>
            <w:pPr>
              <w:pStyle w:val="TableParagraph"/>
              <w:spacing w:before="105"/>
              <w:ind w:left="97" w:right="78"/>
              <w:jc w:val="center"/>
              <w:rPr>
                <w:sz w:val="18"/>
              </w:rPr>
            </w:pPr>
            <w:r>
              <w:rPr>
                <w:sz w:val="18"/>
              </w:rPr>
              <w:t xml:space="preserve">新增 </w:t>
            </w:r>
            <w:r>
              <w:rPr>
                <w:rFonts w:ascii="Times New Roman" w:eastAsia="Times New Roman"/>
                <w:sz w:val="18"/>
              </w:rPr>
              <w:t xml:space="preserve">2 </w:t>
            </w:r>
            <w:r>
              <w:rPr>
                <w:sz w:val="18"/>
              </w:rPr>
              <w:t>只</w:t>
            </w:r>
          </w:p>
        </w:tc>
        <w:tc>
          <w:tcPr>
            <w:tcW w:w="199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05"/>
              <w:ind w:left="459"/>
              <w:rPr>
                <w:sz w:val="18"/>
              </w:rPr>
            </w:pPr>
            <w:r>
              <w:rPr>
                <w:sz w:val="18"/>
              </w:rPr>
              <w:t>与空压机配套</w:t>
            </w:r>
          </w:p>
        </w:tc>
        <w:tc>
          <w:tcPr>
            <w:tcW w:w="121" w:type="dxa"/>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275"/>
        </w:trPr>
        <w:tc>
          <w:tcPr>
            <w:tcW w:w="427" w:type="dxa"/>
            <w:vMerge/>
            <w:tcBorders>
              <w:top w:val="nil"/>
              <w:right w:val="single" w:sz="4" w:space="0" w:color="000000"/>
            </w:tcBorders>
          </w:tcPr>
          <w:p>
            <w:pPr>
              <w:rPr>
                <w:sz w:val="2"/>
                <w:szCs w:val="2"/>
              </w:rPr>
            </w:pPr>
          </w:p>
        </w:tc>
        <w:tc>
          <w:tcPr>
            <w:tcW w:w="116" w:type="dxa"/>
            <w:vMerge/>
            <w:tcBorders>
              <w:top w:val="nil"/>
              <w:left w:val="single" w:sz="4" w:space="0" w:color="000000"/>
              <w:right w:val="single" w:sz="4" w:space="0" w:color="000000"/>
            </w:tcBorders>
          </w:tcPr>
          <w:p>
            <w:pPr>
              <w:rPr>
                <w:sz w:val="2"/>
                <w:szCs w:val="2"/>
              </w:rPr>
            </w:pPr>
          </w:p>
        </w:tc>
        <w:tc>
          <w:tcPr>
            <w:tcW w:w="692"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spacing w:before="5"/>
              <w:rPr>
                <w:b/>
                <w:sz w:val="20"/>
              </w:rPr>
            </w:pPr>
          </w:p>
          <w:p>
            <w:pPr>
              <w:pStyle w:val="TableParagraph"/>
              <w:spacing w:line="244" w:lineRule="auto"/>
              <w:ind w:left="174" w:right="145"/>
              <w:rPr>
                <w:sz w:val="18"/>
              </w:rPr>
            </w:pPr>
            <w:r>
              <w:rPr>
                <w:sz w:val="18"/>
              </w:rPr>
              <w:t>公用工程</w:t>
            </w:r>
          </w:p>
        </w:tc>
        <w:tc>
          <w:tcPr>
            <w:tcW w:w="103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1"/>
              <w:ind w:left="343"/>
              <w:rPr>
                <w:sz w:val="18"/>
              </w:rPr>
            </w:pPr>
            <w:r>
              <w:rPr>
                <w:sz w:val="18"/>
              </w:rPr>
              <w:t>给水</w:t>
            </w:r>
          </w:p>
        </w:tc>
        <w:tc>
          <w:tcPr>
            <w:tcW w:w="1829" w:type="dxa"/>
            <w:tcBorders>
              <w:top w:val="single" w:sz="4" w:space="0" w:color="000000"/>
              <w:left w:val="single" w:sz="4" w:space="0" w:color="000000"/>
              <w:bottom w:val="single" w:sz="4" w:space="0" w:color="000000"/>
              <w:right w:val="single" w:sz="4" w:space="0" w:color="000000"/>
            </w:tcBorders>
          </w:tcPr>
          <w:p>
            <w:pPr>
              <w:pStyle w:val="TableParagraph"/>
              <w:spacing w:before="33"/>
              <w:ind w:left="121" w:right="98"/>
              <w:jc w:val="center"/>
              <w:rPr>
                <w:rFonts w:ascii="Times New Roman"/>
                <w:sz w:val="18"/>
              </w:rPr>
            </w:pPr>
            <w:r>
              <w:rPr>
                <w:rFonts w:ascii="Times New Roman"/>
                <w:sz w:val="18"/>
              </w:rPr>
              <w:t>1050t/a</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spacing w:before="33"/>
              <w:ind w:left="173" w:right="151"/>
              <w:jc w:val="center"/>
              <w:rPr>
                <w:rFonts w:ascii="Times New Roman"/>
                <w:sz w:val="18"/>
              </w:rPr>
            </w:pPr>
            <w:r>
              <w:rPr>
                <w:rFonts w:ascii="Times New Roman"/>
                <w:sz w:val="18"/>
              </w:rPr>
              <w:t>1050t/a</w:t>
            </w:r>
          </w:p>
        </w:tc>
        <w:tc>
          <w:tcPr>
            <w:tcW w:w="991" w:type="dxa"/>
            <w:tcBorders>
              <w:top w:val="single" w:sz="4" w:space="0" w:color="000000"/>
              <w:left w:val="single" w:sz="4" w:space="0" w:color="000000"/>
              <w:bottom w:val="single" w:sz="4" w:space="0" w:color="000000"/>
              <w:right w:val="single" w:sz="4" w:space="0" w:color="000000"/>
            </w:tcBorders>
          </w:tcPr>
          <w:p>
            <w:pPr>
              <w:pStyle w:val="TableParagraph"/>
              <w:spacing w:before="21"/>
              <w:ind w:left="97" w:right="78"/>
              <w:jc w:val="center"/>
              <w:rPr>
                <w:sz w:val="18"/>
              </w:rPr>
            </w:pPr>
            <w:r>
              <w:rPr>
                <w:sz w:val="18"/>
              </w:rPr>
              <w:t>无变化</w:t>
            </w:r>
          </w:p>
        </w:tc>
        <w:tc>
          <w:tcPr>
            <w:tcW w:w="199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1"/>
              <w:ind w:left="279"/>
              <w:rPr>
                <w:sz w:val="18"/>
              </w:rPr>
            </w:pPr>
            <w:r>
              <w:rPr>
                <w:sz w:val="18"/>
              </w:rPr>
              <w:t>市政供水管网供给</w:t>
            </w:r>
          </w:p>
        </w:tc>
        <w:tc>
          <w:tcPr>
            <w:tcW w:w="121" w:type="dxa"/>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455"/>
        </w:trPr>
        <w:tc>
          <w:tcPr>
            <w:tcW w:w="427" w:type="dxa"/>
            <w:vMerge/>
            <w:tcBorders>
              <w:top w:val="nil"/>
              <w:right w:val="single" w:sz="4" w:space="0" w:color="000000"/>
            </w:tcBorders>
          </w:tcPr>
          <w:p>
            <w:pPr>
              <w:rPr>
                <w:sz w:val="2"/>
                <w:szCs w:val="2"/>
              </w:rPr>
            </w:pPr>
          </w:p>
        </w:tc>
        <w:tc>
          <w:tcPr>
            <w:tcW w:w="116" w:type="dxa"/>
            <w:vMerge/>
            <w:tcBorders>
              <w:top w:val="nil"/>
              <w:left w:val="single" w:sz="4" w:space="0" w:color="000000"/>
              <w:right w:val="single" w:sz="4" w:space="0" w:color="000000"/>
            </w:tcBorders>
          </w:tcPr>
          <w:p>
            <w:pPr>
              <w:rPr>
                <w:sz w:val="2"/>
                <w:szCs w:val="2"/>
              </w:rPr>
            </w:pPr>
          </w:p>
        </w:tc>
        <w:tc>
          <w:tcPr>
            <w:tcW w:w="692" w:type="dxa"/>
            <w:vMerge/>
            <w:tcBorders>
              <w:top w:val="nil"/>
              <w:left w:val="single" w:sz="4" w:space="0" w:color="000000"/>
              <w:bottom w:val="single" w:sz="4" w:space="0" w:color="000000"/>
              <w:right w:val="single" w:sz="4" w:space="0" w:color="000000"/>
            </w:tcBorders>
          </w:tcPr>
          <w:p>
            <w:pPr>
              <w:rPr>
                <w:sz w:val="2"/>
                <w:szCs w:val="2"/>
              </w:rPr>
            </w:pPr>
          </w:p>
        </w:tc>
        <w:tc>
          <w:tcPr>
            <w:tcW w:w="103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10"/>
              <w:ind w:left="343"/>
              <w:rPr>
                <w:sz w:val="18"/>
              </w:rPr>
            </w:pPr>
            <w:r>
              <w:rPr>
                <w:sz w:val="18"/>
              </w:rPr>
              <w:t>排水</w:t>
            </w:r>
          </w:p>
        </w:tc>
        <w:tc>
          <w:tcPr>
            <w:tcW w:w="1829" w:type="dxa"/>
            <w:tcBorders>
              <w:top w:val="single" w:sz="4" w:space="0" w:color="000000"/>
              <w:left w:val="single" w:sz="4" w:space="0" w:color="000000"/>
              <w:bottom w:val="single" w:sz="4" w:space="0" w:color="000000"/>
              <w:right w:val="single" w:sz="4" w:space="0" w:color="000000"/>
            </w:tcBorders>
          </w:tcPr>
          <w:p>
            <w:pPr>
              <w:pStyle w:val="TableParagraph"/>
              <w:spacing w:before="125"/>
              <w:ind w:left="121" w:right="98"/>
              <w:jc w:val="center"/>
              <w:rPr>
                <w:rFonts w:ascii="Times New Roman"/>
                <w:sz w:val="18"/>
              </w:rPr>
            </w:pPr>
            <w:r>
              <w:rPr>
                <w:rFonts w:ascii="Times New Roman"/>
                <w:sz w:val="18"/>
              </w:rPr>
              <w:t>840t/a</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spacing w:before="125"/>
              <w:ind w:left="173" w:right="151"/>
              <w:jc w:val="center"/>
              <w:rPr>
                <w:rFonts w:ascii="Times New Roman"/>
                <w:sz w:val="18"/>
              </w:rPr>
            </w:pPr>
            <w:r>
              <w:rPr>
                <w:rFonts w:ascii="Times New Roman"/>
                <w:sz w:val="18"/>
              </w:rPr>
              <w:t>840t/a</w:t>
            </w:r>
          </w:p>
        </w:tc>
        <w:tc>
          <w:tcPr>
            <w:tcW w:w="991" w:type="dxa"/>
            <w:tcBorders>
              <w:top w:val="single" w:sz="4" w:space="0" w:color="000000"/>
              <w:left w:val="single" w:sz="4" w:space="0" w:color="000000"/>
              <w:bottom w:val="single" w:sz="4" w:space="0" w:color="000000"/>
              <w:right w:val="single" w:sz="4" w:space="0" w:color="000000"/>
            </w:tcBorders>
          </w:tcPr>
          <w:p>
            <w:pPr>
              <w:pStyle w:val="TableParagraph"/>
              <w:spacing w:before="110"/>
              <w:ind w:left="97" w:right="78"/>
              <w:jc w:val="center"/>
              <w:rPr>
                <w:sz w:val="18"/>
              </w:rPr>
            </w:pPr>
            <w:r>
              <w:rPr>
                <w:sz w:val="18"/>
              </w:rPr>
              <w:t>无变化</w:t>
            </w:r>
          </w:p>
        </w:tc>
        <w:tc>
          <w:tcPr>
            <w:tcW w:w="1993" w:type="dxa"/>
            <w:gridSpan w:val="2"/>
            <w:tcBorders>
              <w:top w:val="single" w:sz="4" w:space="0" w:color="000000"/>
              <w:left w:val="single" w:sz="4" w:space="0" w:color="000000"/>
              <w:bottom w:val="single" w:sz="4" w:space="0" w:color="000000"/>
              <w:right w:val="single" w:sz="4" w:space="0" w:color="000000"/>
            </w:tcBorders>
          </w:tcPr>
          <w:p>
            <w:pPr>
              <w:pStyle w:val="TableParagraph"/>
              <w:spacing w:line="226" w:lineRule="exact"/>
              <w:ind w:left="79" w:right="67"/>
              <w:jc w:val="center"/>
              <w:rPr>
                <w:sz w:val="18"/>
              </w:rPr>
            </w:pPr>
            <w:r>
              <w:rPr>
                <w:sz w:val="18"/>
              </w:rPr>
              <w:t>接管滨海县城北污水</w:t>
            </w:r>
          </w:p>
          <w:p>
            <w:pPr>
              <w:pStyle w:val="TableParagraph"/>
              <w:spacing w:before="2" w:line="208" w:lineRule="exact"/>
              <w:ind w:left="79" w:right="67"/>
              <w:jc w:val="center"/>
              <w:rPr>
                <w:sz w:val="18"/>
              </w:rPr>
            </w:pPr>
            <w:r>
              <w:rPr>
                <w:sz w:val="18"/>
              </w:rPr>
              <w:t>处理厂</w:t>
            </w:r>
          </w:p>
        </w:tc>
        <w:tc>
          <w:tcPr>
            <w:tcW w:w="121" w:type="dxa"/>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690"/>
        </w:trPr>
        <w:tc>
          <w:tcPr>
            <w:tcW w:w="427" w:type="dxa"/>
            <w:vMerge/>
            <w:tcBorders>
              <w:top w:val="nil"/>
              <w:right w:val="single" w:sz="4" w:space="0" w:color="000000"/>
            </w:tcBorders>
          </w:tcPr>
          <w:p>
            <w:pPr>
              <w:rPr>
                <w:sz w:val="2"/>
                <w:szCs w:val="2"/>
              </w:rPr>
            </w:pPr>
          </w:p>
        </w:tc>
        <w:tc>
          <w:tcPr>
            <w:tcW w:w="116" w:type="dxa"/>
            <w:vMerge/>
            <w:tcBorders>
              <w:top w:val="nil"/>
              <w:left w:val="single" w:sz="4" w:space="0" w:color="000000"/>
              <w:right w:val="single" w:sz="4" w:space="0" w:color="000000"/>
            </w:tcBorders>
          </w:tcPr>
          <w:p>
            <w:pPr>
              <w:rPr>
                <w:sz w:val="2"/>
                <w:szCs w:val="2"/>
              </w:rPr>
            </w:pPr>
          </w:p>
        </w:tc>
        <w:tc>
          <w:tcPr>
            <w:tcW w:w="692" w:type="dxa"/>
            <w:vMerge/>
            <w:tcBorders>
              <w:top w:val="nil"/>
              <w:left w:val="single" w:sz="4" w:space="0" w:color="000000"/>
              <w:bottom w:val="single" w:sz="4" w:space="0" w:color="000000"/>
              <w:right w:val="single" w:sz="4" w:space="0" w:color="000000"/>
            </w:tcBorders>
          </w:tcPr>
          <w:p>
            <w:pPr>
              <w:rPr>
                <w:sz w:val="2"/>
                <w:szCs w:val="2"/>
              </w:rPr>
            </w:pPr>
          </w:p>
        </w:tc>
        <w:tc>
          <w:tcPr>
            <w:tcW w:w="103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2"/>
              <w:rPr>
                <w:b/>
                <w:sz w:val="17"/>
              </w:rPr>
            </w:pPr>
          </w:p>
          <w:p>
            <w:pPr>
              <w:pStyle w:val="TableParagraph"/>
              <w:ind w:left="343"/>
              <w:rPr>
                <w:sz w:val="18"/>
              </w:rPr>
            </w:pPr>
            <w:r>
              <w:rPr>
                <w:sz w:val="18"/>
              </w:rPr>
              <w:t>供电</w:t>
            </w:r>
          </w:p>
        </w:tc>
        <w:tc>
          <w:tcPr>
            <w:tcW w:w="1829" w:type="dxa"/>
            <w:tcBorders>
              <w:top w:val="single" w:sz="4" w:space="0" w:color="000000"/>
              <w:left w:val="single" w:sz="4" w:space="0" w:color="000000"/>
              <w:bottom w:val="single" w:sz="4" w:space="0" w:color="000000"/>
              <w:right w:val="single" w:sz="4" w:space="0" w:color="000000"/>
            </w:tcBorders>
          </w:tcPr>
          <w:p>
            <w:pPr>
              <w:pStyle w:val="TableParagraph"/>
              <w:spacing w:before="12"/>
              <w:rPr>
                <w:b/>
                <w:sz w:val="17"/>
              </w:rPr>
            </w:pPr>
          </w:p>
          <w:p>
            <w:pPr>
              <w:pStyle w:val="TableParagraph"/>
              <w:ind w:left="121" w:right="97"/>
              <w:jc w:val="center"/>
              <w:rPr>
                <w:sz w:val="18"/>
              </w:rPr>
            </w:pPr>
            <w:r>
              <w:rPr>
                <w:rFonts w:ascii="Times New Roman" w:eastAsia="Times New Roman"/>
                <w:sz w:val="18"/>
              </w:rPr>
              <w:t xml:space="preserve">60 </w:t>
            </w:r>
            <w:r>
              <w:rPr>
                <w:sz w:val="18"/>
              </w:rPr>
              <w:t>万千瓦时</w:t>
            </w:r>
            <w:r>
              <w:rPr>
                <w:rFonts w:ascii="Times New Roman" w:eastAsia="Times New Roman"/>
                <w:sz w:val="18"/>
              </w:rPr>
              <w:t>/</w:t>
            </w:r>
            <w:r>
              <w:rPr>
                <w:sz w:val="18"/>
              </w:rPr>
              <w:t>年</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spacing w:before="12"/>
              <w:rPr>
                <w:b/>
                <w:sz w:val="17"/>
              </w:rPr>
            </w:pPr>
          </w:p>
          <w:p>
            <w:pPr>
              <w:pStyle w:val="TableParagraph"/>
              <w:ind w:left="171" w:right="151"/>
              <w:jc w:val="center"/>
              <w:rPr>
                <w:sz w:val="18"/>
              </w:rPr>
            </w:pPr>
            <w:r>
              <w:rPr>
                <w:rFonts w:ascii="Times New Roman" w:eastAsia="Times New Roman"/>
                <w:sz w:val="18"/>
              </w:rPr>
              <w:t xml:space="preserve">100 </w:t>
            </w:r>
            <w:r>
              <w:rPr>
                <w:sz w:val="18"/>
              </w:rPr>
              <w:t>万千瓦时</w:t>
            </w:r>
            <w:r>
              <w:rPr>
                <w:rFonts w:ascii="Times New Roman" w:eastAsia="Times New Roman"/>
                <w:sz w:val="18"/>
              </w:rPr>
              <w:t>/</w:t>
            </w:r>
            <w:r>
              <w:rPr>
                <w:sz w:val="18"/>
              </w:rPr>
              <w:t>年</w:t>
            </w:r>
          </w:p>
        </w:tc>
        <w:tc>
          <w:tcPr>
            <w:tcW w:w="991" w:type="dxa"/>
            <w:tcBorders>
              <w:top w:val="single" w:sz="4" w:space="0" w:color="000000"/>
              <w:left w:val="single" w:sz="4" w:space="0" w:color="000000"/>
              <w:bottom w:val="single" w:sz="4" w:space="0" w:color="000000"/>
              <w:right w:val="single" w:sz="4" w:space="0" w:color="000000"/>
            </w:tcBorders>
          </w:tcPr>
          <w:p>
            <w:pPr>
              <w:pStyle w:val="TableParagraph"/>
              <w:spacing w:line="225" w:lineRule="exact"/>
              <w:ind w:left="97" w:right="78"/>
              <w:jc w:val="center"/>
              <w:rPr>
                <w:rFonts w:ascii="Times New Roman" w:eastAsia="Times New Roman"/>
                <w:sz w:val="18"/>
              </w:rPr>
            </w:pPr>
            <w:r>
              <w:rPr>
                <w:sz w:val="18"/>
              </w:rPr>
              <w:t xml:space="preserve">新增 </w:t>
            </w:r>
            <w:r>
              <w:rPr>
                <w:rFonts w:ascii="Times New Roman" w:eastAsia="Times New Roman"/>
                <w:sz w:val="18"/>
              </w:rPr>
              <w:t>40</w:t>
            </w:r>
          </w:p>
          <w:p>
            <w:pPr>
              <w:pStyle w:val="TableParagraph"/>
              <w:spacing w:before="4" w:line="230" w:lineRule="atLeast"/>
              <w:ind w:left="115" w:right="93"/>
              <w:jc w:val="center"/>
              <w:rPr>
                <w:sz w:val="18"/>
              </w:rPr>
            </w:pPr>
            <w:r>
              <w:rPr>
                <w:sz w:val="18"/>
              </w:rPr>
              <w:t>万千瓦时</w:t>
            </w:r>
            <w:r>
              <w:rPr>
                <w:rFonts w:ascii="Times New Roman" w:eastAsia="Times New Roman"/>
                <w:sz w:val="18"/>
              </w:rPr>
              <w:t xml:space="preserve">/ </w:t>
            </w:r>
            <w:r>
              <w:rPr>
                <w:sz w:val="18"/>
              </w:rPr>
              <w:t>年</w:t>
            </w:r>
          </w:p>
        </w:tc>
        <w:tc>
          <w:tcPr>
            <w:tcW w:w="199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2"/>
              <w:rPr>
                <w:b/>
                <w:sz w:val="17"/>
              </w:rPr>
            </w:pPr>
          </w:p>
          <w:p>
            <w:pPr>
              <w:pStyle w:val="TableParagraph"/>
              <w:ind w:left="639"/>
              <w:rPr>
                <w:sz w:val="18"/>
              </w:rPr>
            </w:pPr>
            <w:r>
              <w:rPr>
                <w:sz w:val="18"/>
              </w:rPr>
              <w:t>市政电网</w:t>
            </w:r>
          </w:p>
        </w:tc>
        <w:tc>
          <w:tcPr>
            <w:tcW w:w="121" w:type="dxa"/>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431"/>
        </w:trPr>
        <w:tc>
          <w:tcPr>
            <w:tcW w:w="427" w:type="dxa"/>
            <w:vMerge/>
            <w:tcBorders>
              <w:top w:val="nil"/>
              <w:right w:val="single" w:sz="4" w:space="0" w:color="000000"/>
            </w:tcBorders>
          </w:tcPr>
          <w:p>
            <w:pPr>
              <w:rPr>
                <w:sz w:val="2"/>
                <w:szCs w:val="2"/>
              </w:rPr>
            </w:pPr>
          </w:p>
        </w:tc>
        <w:tc>
          <w:tcPr>
            <w:tcW w:w="116" w:type="dxa"/>
            <w:vMerge/>
            <w:tcBorders>
              <w:top w:val="nil"/>
              <w:left w:val="single" w:sz="4" w:space="0" w:color="000000"/>
              <w:right w:val="single" w:sz="4" w:space="0" w:color="000000"/>
            </w:tcBorders>
          </w:tcPr>
          <w:p>
            <w:pPr>
              <w:rPr>
                <w:sz w:val="2"/>
                <w:szCs w:val="2"/>
              </w:rPr>
            </w:pPr>
          </w:p>
        </w:tc>
        <w:tc>
          <w:tcPr>
            <w:tcW w:w="692" w:type="dxa"/>
            <w:vMerge/>
            <w:tcBorders>
              <w:top w:val="nil"/>
              <w:left w:val="single" w:sz="4" w:space="0" w:color="000000"/>
              <w:bottom w:val="single" w:sz="4" w:space="0" w:color="000000"/>
              <w:right w:val="single" w:sz="4" w:space="0" w:color="000000"/>
            </w:tcBorders>
          </w:tcPr>
          <w:p>
            <w:pPr>
              <w:rPr>
                <w:sz w:val="2"/>
                <w:szCs w:val="2"/>
              </w:rPr>
            </w:pPr>
          </w:p>
        </w:tc>
        <w:tc>
          <w:tcPr>
            <w:tcW w:w="103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97"/>
              <w:ind w:left="163"/>
              <w:rPr>
                <w:sz w:val="18"/>
              </w:rPr>
            </w:pPr>
            <w:r>
              <w:rPr>
                <w:sz w:val="18"/>
              </w:rPr>
              <w:t>压缩空气</w:t>
            </w:r>
          </w:p>
        </w:tc>
        <w:tc>
          <w:tcPr>
            <w:tcW w:w="1829" w:type="dxa"/>
            <w:tcBorders>
              <w:top w:val="single" w:sz="4" w:space="0" w:color="000000"/>
              <w:left w:val="single" w:sz="4" w:space="0" w:color="000000"/>
              <w:bottom w:val="single" w:sz="4" w:space="0" w:color="000000"/>
              <w:right w:val="single" w:sz="4" w:space="0" w:color="000000"/>
            </w:tcBorders>
          </w:tcPr>
          <w:p>
            <w:pPr>
              <w:pStyle w:val="TableParagraph"/>
              <w:spacing w:line="225" w:lineRule="exact"/>
              <w:ind w:left="68" w:right="46"/>
              <w:jc w:val="center"/>
              <w:rPr>
                <w:sz w:val="18"/>
              </w:rPr>
            </w:pPr>
            <w:r>
              <w:rPr>
                <w:sz w:val="18"/>
              </w:rPr>
              <w:t xml:space="preserve">空压机 </w:t>
            </w:r>
            <w:r>
              <w:rPr>
                <w:rFonts w:ascii="Times New Roman" w:eastAsia="Times New Roman"/>
                <w:sz w:val="18"/>
              </w:rPr>
              <w:t xml:space="preserve">3 </w:t>
            </w:r>
            <w:r>
              <w:rPr>
                <w:sz w:val="18"/>
              </w:rPr>
              <w:t>台，供气量</w:t>
            </w:r>
          </w:p>
          <w:p>
            <w:pPr>
              <w:pStyle w:val="TableParagraph"/>
              <w:spacing w:line="185" w:lineRule="exact"/>
              <w:ind w:left="120" w:right="99"/>
              <w:jc w:val="center"/>
              <w:rPr>
                <w:rFonts w:ascii="Times New Roman"/>
                <w:sz w:val="18"/>
              </w:rPr>
            </w:pPr>
            <w:r>
              <w:rPr>
                <w:rFonts w:ascii="Times New Roman"/>
                <w:sz w:val="18"/>
              </w:rPr>
              <w:t>2.9m</w:t>
            </w:r>
            <w:r>
              <w:rPr>
                <w:rFonts w:ascii="Times New Roman"/>
                <w:position w:val="6"/>
                <w:sz w:val="12"/>
              </w:rPr>
              <w:t>3</w:t>
            </w:r>
            <w:r>
              <w:rPr>
                <w:rFonts w:ascii="Times New Roman"/>
                <w:sz w:val="18"/>
              </w:rPr>
              <w:t>/min</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spacing w:line="225" w:lineRule="exact"/>
              <w:ind w:left="75" w:right="55"/>
              <w:jc w:val="center"/>
              <w:rPr>
                <w:sz w:val="18"/>
              </w:rPr>
            </w:pPr>
            <w:r>
              <w:rPr>
                <w:sz w:val="18"/>
              </w:rPr>
              <w:t xml:space="preserve">空压机 </w:t>
            </w:r>
            <w:r>
              <w:rPr>
                <w:rFonts w:ascii="Times New Roman" w:eastAsia="Times New Roman"/>
                <w:sz w:val="18"/>
              </w:rPr>
              <w:t xml:space="preserve">5 </w:t>
            </w:r>
            <w:r>
              <w:rPr>
                <w:sz w:val="18"/>
              </w:rPr>
              <w:t>台，供气量</w:t>
            </w:r>
          </w:p>
          <w:p>
            <w:pPr>
              <w:pStyle w:val="TableParagraph"/>
              <w:spacing w:line="185" w:lineRule="exact"/>
              <w:ind w:left="171" w:right="151"/>
              <w:jc w:val="center"/>
              <w:rPr>
                <w:rFonts w:ascii="Times New Roman"/>
                <w:sz w:val="18"/>
              </w:rPr>
            </w:pPr>
            <w:r>
              <w:rPr>
                <w:rFonts w:ascii="Times New Roman"/>
                <w:sz w:val="18"/>
              </w:rPr>
              <w:t>4.5m</w:t>
            </w:r>
            <w:r>
              <w:rPr>
                <w:rFonts w:ascii="Times New Roman"/>
                <w:position w:val="6"/>
                <w:sz w:val="12"/>
              </w:rPr>
              <w:t>3</w:t>
            </w:r>
            <w:r>
              <w:rPr>
                <w:rFonts w:ascii="Times New Roman"/>
                <w:sz w:val="18"/>
              </w:rPr>
              <w:t>/min</w:t>
            </w:r>
          </w:p>
        </w:tc>
        <w:tc>
          <w:tcPr>
            <w:tcW w:w="991" w:type="dxa"/>
            <w:tcBorders>
              <w:top w:val="single" w:sz="4" w:space="0" w:color="000000"/>
              <w:left w:val="single" w:sz="4" w:space="0" w:color="000000"/>
              <w:bottom w:val="single" w:sz="4" w:space="0" w:color="000000"/>
              <w:right w:val="single" w:sz="4" w:space="0" w:color="000000"/>
            </w:tcBorders>
          </w:tcPr>
          <w:p>
            <w:pPr>
              <w:pStyle w:val="TableParagraph"/>
              <w:spacing w:before="97"/>
              <w:ind w:left="97" w:right="78"/>
              <w:jc w:val="center"/>
              <w:rPr>
                <w:sz w:val="18"/>
              </w:rPr>
            </w:pPr>
            <w:r>
              <w:rPr>
                <w:sz w:val="18"/>
              </w:rPr>
              <w:t xml:space="preserve">新增 </w:t>
            </w:r>
            <w:r>
              <w:rPr>
                <w:rFonts w:ascii="Times New Roman" w:eastAsia="Times New Roman"/>
                <w:sz w:val="18"/>
              </w:rPr>
              <w:t xml:space="preserve">2 </w:t>
            </w:r>
            <w:r>
              <w:rPr>
                <w:sz w:val="18"/>
              </w:rPr>
              <w:t>台</w:t>
            </w:r>
          </w:p>
        </w:tc>
        <w:tc>
          <w:tcPr>
            <w:tcW w:w="199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97"/>
              <w:ind w:left="367"/>
              <w:rPr>
                <w:sz w:val="18"/>
              </w:rPr>
            </w:pPr>
            <w:r>
              <w:rPr>
                <w:sz w:val="18"/>
              </w:rPr>
              <w:t>配套相应储气罐</w:t>
            </w:r>
          </w:p>
        </w:tc>
        <w:tc>
          <w:tcPr>
            <w:tcW w:w="121" w:type="dxa"/>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1852"/>
        </w:trPr>
        <w:tc>
          <w:tcPr>
            <w:tcW w:w="427" w:type="dxa"/>
            <w:vMerge/>
            <w:tcBorders>
              <w:top w:val="nil"/>
              <w:right w:val="single" w:sz="4" w:space="0" w:color="000000"/>
            </w:tcBorders>
          </w:tcPr>
          <w:p>
            <w:pPr>
              <w:rPr>
                <w:sz w:val="2"/>
                <w:szCs w:val="2"/>
              </w:rPr>
            </w:pPr>
          </w:p>
        </w:tc>
        <w:tc>
          <w:tcPr>
            <w:tcW w:w="116" w:type="dxa"/>
            <w:vMerge/>
            <w:tcBorders>
              <w:top w:val="nil"/>
              <w:left w:val="single" w:sz="4" w:space="0" w:color="000000"/>
              <w:right w:val="single" w:sz="4" w:space="0" w:color="000000"/>
            </w:tcBorders>
          </w:tcPr>
          <w:p>
            <w:pPr>
              <w:rPr>
                <w:sz w:val="2"/>
                <w:szCs w:val="2"/>
              </w:rPr>
            </w:pPr>
          </w:p>
        </w:tc>
        <w:tc>
          <w:tcPr>
            <w:tcW w:w="692" w:type="dxa"/>
            <w:vMerge w:val="restart"/>
            <w:tcBorders>
              <w:top w:val="single" w:sz="4" w:space="0" w:color="000000"/>
              <w:left w:val="single" w:sz="4" w:space="0" w:color="000000"/>
              <w:bottom w:val="thickThinMediumGap"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spacing w:before="150" w:line="242" w:lineRule="auto"/>
              <w:ind w:left="174" w:right="145"/>
              <w:rPr>
                <w:sz w:val="18"/>
              </w:rPr>
            </w:pPr>
            <w:r>
              <w:rPr>
                <w:sz w:val="18"/>
              </w:rPr>
              <w:t>环保工程</w:t>
            </w:r>
          </w:p>
        </w:tc>
        <w:tc>
          <w:tcPr>
            <w:tcW w:w="387" w:type="dxa"/>
            <w:vMerge w:val="restart"/>
            <w:tcBorders>
              <w:top w:val="single" w:sz="4" w:space="0" w:color="000000"/>
              <w:left w:val="single" w:sz="4" w:space="0" w:color="000000"/>
              <w:bottom w:val="thickThinMediumGap"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spacing w:before="150" w:line="242" w:lineRule="auto"/>
              <w:ind w:left="113" w:right="81"/>
              <w:rPr>
                <w:sz w:val="18"/>
              </w:rPr>
            </w:pPr>
            <w:r>
              <w:rPr>
                <w:sz w:val="18"/>
              </w:rPr>
              <w:t>废气</w:t>
            </w:r>
          </w:p>
        </w:tc>
        <w:tc>
          <w:tcPr>
            <w:tcW w:w="652" w:type="dxa"/>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spacing w:before="3"/>
              <w:rPr>
                <w:b/>
                <w:sz w:val="18"/>
              </w:rPr>
            </w:pPr>
          </w:p>
          <w:p>
            <w:pPr>
              <w:pStyle w:val="TableParagraph"/>
              <w:spacing w:line="242" w:lineRule="auto"/>
              <w:ind w:left="156" w:right="123"/>
              <w:rPr>
                <w:sz w:val="18"/>
              </w:rPr>
            </w:pPr>
            <w:r>
              <w:rPr>
                <w:sz w:val="18"/>
              </w:rPr>
              <w:t>工艺废气</w:t>
            </w:r>
          </w:p>
        </w:tc>
        <w:tc>
          <w:tcPr>
            <w:tcW w:w="1829"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spacing w:before="1"/>
              <w:rPr>
                <w:b/>
                <w:sz w:val="25"/>
              </w:rPr>
            </w:pPr>
          </w:p>
          <w:p>
            <w:pPr>
              <w:pStyle w:val="TableParagraph"/>
              <w:spacing w:line="242" w:lineRule="auto"/>
              <w:ind w:left="167" w:right="140" w:firstLine="14"/>
              <w:jc w:val="both"/>
              <w:rPr>
                <w:sz w:val="18"/>
              </w:rPr>
            </w:pPr>
            <w:r>
              <w:rPr>
                <w:sz w:val="18"/>
              </w:rPr>
              <w:t>“</w:t>
            </w:r>
            <w:r>
              <w:rPr>
                <w:rFonts w:ascii="Times New Roman" w:eastAsia="Times New Roman" w:hAnsi="Times New Roman"/>
                <w:sz w:val="18"/>
              </w:rPr>
              <w:t xml:space="preserve">UV </w:t>
            </w:r>
            <w:r>
              <w:rPr>
                <w:sz w:val="18"/>
              </w:rPr>
              <w:t>光解</w:t>
            </w:r>
            <w:r>
              <w:rPr>
                <w:rFonts w:ascii="Times New Roman" w:eastAsia="Times New Roman" w:hAnsi="Times New Roman"/>
                <w:sz w:val="18"/>
              </w:rPr>
              <w:t>+</w:t>
            </w:r>
            <w:r>
              <w:rPr>
                <w:sz w:val="18"/>
              </w:rPr>
              <w:t>二级活性炭吸附”</w:t>
            </w:r>
            <w:r>
              <w:rPr>
                <w:rFonts w:ascii="Times New Roman" w:eastAsia="Times New Roman" w:hAnsi="Times New Roman"/>
                <w:sz w:val="18"/>
              </w:rPr>
              <w:t xml:space="preserve">1 </w:t>
            </w:r>
            <w:r>
              <w:rPr>
                <w:sz w:val="18"/>
              </w:rPr>
              <w:t xml:space="preserve">套， </w:t>
            </w:r>
            <w:r>
              <w:rPr>
                <w:rFonts w:ascii="Times New Roman" w:eastAsia="Times New Roman" w:hAnsi="Times New Roman"/>
                <w:sz w:val="18"/>
              </w:rPr>
              <w:t xml:space="preserve">15m </w:t>
            </w:r>
            <w:r>
              <w:rPr>
                <w:spacing w:val="-23"/>
                <w:sz w:val="18"/>
              </w:rPr>
              <w:t xml:space="preserve">高 </w:t>
            </w:r>
            <w:r>
              <w:rPr>
                <w:rFonts w:ascii="Times New Roman" w:eastAsia="Times New Roman" w:hAnsi="Times New Roman"/>
                <w:sz w:val="18"/>
              </w:rPr>
              <w:t xml:space="preserve">DA001 </w:t>
            </w:r>
            <w:r>
              <w:rPr>
                <w:spacing w:val="-8"/>
                <w:sz w:val="18"/>
              </w:rPr>
              <w:t>排放</w:t>
            </w:r>
          </w:p>
        </w:tc>
        <w:tc>
          <w:tcPr>
            <w:tcW w:w="1845" w:type="dxa"/>
            <w:tcBorders>
              <w:top w:val="single" w:sz="4" w:space="0" w:color="000000"/>
              <w:left w:val="single" w:sz="4" w:space="0" w:color="000000"/>
              <w:bottom w:val="single" w:sz="4" w:space="0" w:color="000000"/>
              <w:right w:val="single" w:sz="4" w:space="0" w:color="000000"/>
            </w:tcBorders>
          </w:tcPr>
          <w:p>
            <w:pPr>
              <w:pStyle w:val="TableParagraph"/>
              <w:rPr>
                <w:b/>
                <w:sz w:val="20"/>
              </w:rPr>
            </w:pPr>
          </w:p>
          <w:p>
            <w:pPr>
              <w:pStyle w:val="TableParagraph"/>
              <w:rPr>
                <w:b/>
                <w:sz w:val="20"/>
              </w:rPr>
            </w:pPr>
          </w:p>
          <w:p>
            <w:pPr>
              <w:pStyle w:val="TableParagraph"/>
              <w:spacing w:before="3"/>
              <w:rPr>
                <w:b/>
                <w:sz w:val="14"/>
              </w:rPr>
            </w:pPr>
          </w:p>
          <w:p>
            <w:pPr>
              <w:pStyle w:val="TableParagraph"/>
              <w:ind w:left="142"/>
              <w:rPr>
                <w:sz w:val="18"/>
              </w:rPr>
            </w:pPr>
            <w:r>
              <w:rPr>
                <w:sz w:val="18"/>
              </w:rPr>
              <w:t>“催化燃烧”</w:t>
            </w:r>
            <w:r>
              <w:rPr>
                <w:rFonts w:ascii="Times New Roman" w:eastAsia="Times New Roman" w:hAnsi="Times New Roman"/>
                <w:sz w:val="18"/>
              </w:rPr>
              <w:t>1</w:t>
            </w:r>
            <w:r>
              <w:rPr>
                <w:rFonts w:ascii="Times New Roman" w:eastAsia="Times New Roman" w:hAnsi="Times New Roman"/>
                <w:spacing w:val="-8"/>
                <w:sz w:val="18"/>
              </w:rPr>
              <w:t xml:space="preserve"> </w:t>
            </w:r>
            <w:r>
              <w:rPr>
                <w:sz w:val="18"/>
              </w:rPr>
              <w:t>套，</w:t>
            </w:r>
          </w:p>
          <w:p>
            <w:pPr>
              <w:pStyle w:val="TableParagraph"/>
              <w:spacing w:before="3"/>
              <w:ind w:left="174"/>
              <w:rPr>
                <w:sz w:val="18"/>
              </w:rPr>
            </w:pPr>
            <w:r>
              <w:rPr>
                <w:rFonts w:ascii="Times New Roman" w:eastAsia="Times New Roman"/>
                <w:sz w:val="18"/>
              </w:rPr>
              <w:t>15m</w:t>
            </w:r>
            <w:r>
              <w:rPr>
                <w:rFonts w:ascii="Times New Roman" w:eastAsia="Times New Roman"/>
                <w:spacing w:val="-11"/>
                <w:sz w:val="18"/>
              </w:rPr>
              <w:t xml:space="preserve"> </w:t>
            </w:r>
            <w:r>
              <w:rPr>
                <w:spacing w:val="-23"/>
                <w:sz w:val="18"/>
              </w:rPr>
              <w:t xml:space="preserve">高 </w:t>
            </w:r>
            <w:r>
              <w:rPr>
                <w:rFonts w:ascii="Times New Roman" w:eastAsia="Times New Roman"/>
                <w:sz w:val="18"/>
              </w:rPr>
              <w:t>DA001</w:t>
            </w:r>
            <w:r>
              <w:rPr>
                <w:rFonts w:ascii="Times New Roman" w:eastAsia="Times New Roman"/>
                <w:spacing w:val="-8"/>
                <w:sz w:val="18"/>
              </w:rPr>
              <w:t xml:space="preserve"> </w:t>
            </w:r>
            <w:r>
              <w:rPr>
                <w:sz w:val="18"/>
              </w:rPr>
              <w:t>排放</w:t>
            </w:r>
          </w:p>
        </w:tc>
        <w:tc>
          <w:tcPr>
            <w:tcW w:w="991"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97" w:right="77"/>
              <w:jc w:val="center"/>
              <w:rPr>
                <w:sz w:val="18"/>
              </w:rPr>
            </w:pPr>
            <w:r>
              <w:rPr>
                <w:spacing w:val="-5"/>
                <w:sz w:val="18"/>
              </w:rPr>
              <w:t>拆除现有</w:t>
            </w:r>
            <w:r>
              <w:rPr>
                <w:sz w:val="18"/>
              </w:rPr>
              <w:t>“</w:t>
            </w:r>
            <w:r>
              <w:rPr>
                <w:rFonts w:ascii="Times New Roman" w:eastAsia="Times New Roman" w:hAnsi="Times New Roman"/>
                <w:sz w:val="18"/>
              </w:rPr>
              <w:t>UV</w:t>
            </w:r>
            <w:r>
              <w:rPr>
                <w:rFonts w:ascii="Times New Roman" w:eastAsia="Times New Roman" w:hAnsi="Times New Roman"/>
                <w:spacing w:val="-12"/>
                <w:sz w:val="18"/>
              </w:rPr>
              <w:t xml:space="preserve"> </w:t>
            </w:r>
            <w:r>
              <w:rPr>
                <w:sz w:val="18"/>
              </w:rPr>
              <w:t>光</w:t>
            </w:r>
          </w:p>
          <w:p>
            <w:pPr>
              <w:pStyle w:val="TableParagraph"/>
              <w:spacing w:line="242" w:lineRule="auto"/>
              <w:ind w:left="139" w:right="119" w:firstLine="2"/>
              <w:jc w:val="center"/>
              <w:rPr>
                <w:sz w:val="18"/>
              </w:rPr>
            </w:pPr>
            <w:r>
              <w:rPr>
                <w:sz w:val="18"/>
              </w:rPr>
              <w:t>解</w:t>
            </w:r>
            <w:r>
              <w:rPr>
                <w:rFonts w:ascii="Times New Roman" w:eastAsia="Times New Roman" w:hAnsi="Times New Roman"/>
                <w:sz w:val="18"/>
              </w:rPr>
              <w:t>+</w:t>
            </w:r>
            <w:r>
              <w:rPr>
                <w:sz w:val="18"/>
              </w:rPr>
              <w:t>二级</w:t>
            </w:r>
            <w:r>
              <w:rPr>
                <w:spacing w:val="-5"/>
                <w:sz w:val="18"/>
              </w:rPr>
              <w:t>活性炭吸</w:t>
            </w:r>
            <w:r>
              <w:rPr>
                <w:sz w:val="18"/>
              </w:rPr>
              <w:t xml:space="preserve">附”装 </w:t>
            </w:r>
            <w:r>
              <w:rPr>
                <w:spacing w:val="-5"/>
                <w:sz w:val="18"/>
              </w:rPr>
              <w:t>置，新建“催化燃</w:t>
            </w:r>
          </w:p>
          <w:p>
            <w:pPr>
              <w:pStyle w:val="TableParagraph"/>
              <w:spacing w:line="203" w:lineRule="exact"/>
              <w:ind w:left="95" w:right="78"/>
              <w:jc w:val="center"/>
              <w:rPr>
                <w:sz w:val="18"/>
              </w:rPr>
            </w:pPr>
            <w:r>
              <w:rPr>
                <w:sz w:val="18"/>
              </w:rPr>
              <w:t>烧”装置</w:t>
            </w:r>
          </w:p>
        </w:tc>
        <w:tc>
          <w:tcPr>
            <w:tcW w:w="1993" w:type="dxa"/>
            <w:gridSpan w:val="2"/>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spacing w:before="3"/>
              <w:rPr>
                <w:b/>
                <w:sz w:val="18"/>
              </w:rPr>
            </w:pPr>
          </w:p>
          <w:p>
            <w:pPr>
              <w:pStyle w:val="TableParagraph"/>
              <w:spacing w:line="242" w:lineRule="auto"/>
              <w:ind w:left="907" w:right="173" w:hanging="720"/>
              <w:rPr>
                <w:sz w:val="18"/>
              </w:rPr>
            </w:pPr>
            <w:r>
              <w:rPr>
                <w:sz w:val="18"/>
              </w:rPr>
              <w:t>新建，废气可达标排放</w:t>
            </w:r>
          </w:p>
        </w:tc>
        <w:tc>
          <w:tcPr>
            <w:tcW w:w="121" w:type="dxa"/>
            <w:tcBorders>
              <w:top w:val="nil"/>
              <w:left w:val="single" w:sz="4" w:space="0" w:color="000000"/>
              <w:bottom w:val="nil"/>
            </w:tcBorders>
          </w:tcPr>
          <w:p>
            <w:pPr>
              <w:pStyle w:val="TableParagraph"/>
              <w:rPr>
                <w:rFonts w:ascii="Times New Roman"/>
                <w:sz w:val="18"/>
              </w:rPr>
            </w:pPr>
          </w:p>
        </w:tc>
      </w:tr>
      <w:tr>
        <w:tblPrEx>
          <w:tblW w:w="0" w:type="auto"/>
          <w:tblInd w:w="298" w:type="dxa"/>
          <w:tblLayout w:type="fixed"/>
          <w:tblCellMar>
            <w:top w:w="0" w:type="dxa"/>
            <w:left w:w="0" w:type="dxa"/>
            <w:bottom w:w="0" w:type="dxa"/>
            <w:right w:w="0" w:type="dxa"/>
          </w:tblCellMar>
        </w:tblPrEx>
        <w:trPr>
          <w:trHeight w:val="273"/>
        </w:trPr>
        <w:tc>
          <w:tcPr>
            <w:tcW w:w="427" w:type="dxa"/>
            <w:vMerge/>
            <w:tcBorders>
              <w:top w:val="nil"/>
              <w:right w:val="single" w:sz="4" w:space="0" w:color="000000"/>
            </w:tcBorders>
          </w:tcPr>
          <w:p>
            <w:pPr>
              <w:rPr>
                <w:sz w:val="2"/>
                <w:szCs w:val="2"/>
              </w:rPr>
            </w:pPr>
          </w:p>
        </w:tc>
        <w:tc>
          <w:tcPr>
            <w:tcW w:w="116" w:type="dxa"/>
            <w:vMerge/>
            <w:tcBorders>
              <w:top w:val="nil"/>
              <w:left w:val="single" w:sz="4" w:space="0" w:color="000000"/>
              <w:right w:val="single" w:sz="4" w:space="0" w:color="000000"/>
            </w:tcBorders>
          </w:tcPr>
          <w:p>
            <w:pPr>
              <w:rPr>
                <w:sz w:val="2"/>
                <w:szCs w:val="2"/>
              </w:rPr>
            </w:pPr>
          </w:p>
        </w:tc>
        <w:tc>
          <w:tcPr>
            <w:tcW w:w="692" w:type="dxa"/>
            <w:vMerge/>
            <w:tcBorders>
              <w:top w:val="nil"/>
              <w:left w:val="single" w:sz="4" w:space="0" w:color="000000"/>
              <w:bottom w:val="thickThinMediumGap" w:sz="4" w:space="0" w:color="000000"/>
              <w:right w:val="single" w:sz="4" w:space="0" w:color="000000"/>
            </w:tcBorders>
          </w:tcPr>
          <w:p>
            <w:pPr>
              <w:rPr>
                <w:sz w:val="2"/>
                <w:szCs w:val="2"/>
              </w:rPr>
            </w:pPr>
          </w:p>
        </w:tc>
        <w:tc>
          <w:tcPr>
            <w:tcW w:w="387" w:type="dxa"/>
            <w:vMerge/>
            <w:tcBorders>
              <w:top w:val="nil"/>
              <w:left w:val="single" w:sz="4" w:space="0" w:color="000000"/>
              <w:bottom w:val="thickThinMediumGap" w:sz="4" w:space="0" w:color="000000"/>
              <w:right w:val="single" w:sz="4" w:space="0" w:color="000000"/>
            </w:tcBorders>
          </w:tcPr>
          <w:p>
            <w:pPr>
              <w:rPr>
                <w:sz w:val="2"/>
                <w:szCs w:val="2"/>
              </w:rPr>
            </w:pPr>
          </w:p>
        </w:tc>
        <w:tc>
          <w:tcPr>
            <w:tcW w:w="652" w:type="dxa"/>
            <w:tcBorders>
              <w:top w:val="single" w:sz="4" w:space="0" w:color="000000"/>
              <w:left w:val="single" w:sz="4" w:space="0" w:color="000000"/>
              <w:bottom w:val="thickThinMediumGap" w:sz="4" w:space="0" w:color="000000"/>
              <w:right w:val="single" w:sz="4" w:space="0" w:color="000000"/>
            </w:tcBorders>
          </w:tcPr>
          <w:p>
            <w:pPr>
              <w:pStyle w:val="TableParagraph"/>
              <w:spacing w:before="16"/>
              <w:ind w:left="156"/>
              <w:rPr>
                <w:sz w:val="18"/>
              </w:rPr>
            </w:pPr>
            <w:r>
              <w:rPr>
                <w:sz w:val="18"/>
              </w:rPr>
              <w:t>危废</w:t>
            </w:r>
          </w:p>
        </w:tc>
        <w:tc>
          <w:tcPr>
            <w:tcW w:w="1829" w:type="dxa"/>
            <w:tcBorders>
              <w:top w:val="single" w:sz="4" w:space="0" w:color="000000"/>
              <w:left w:val="single" w:sz="4" w:space="0" w:color="000000"/>
              <w:bottom w:val="thickThinMediumGap" w:sz="4" w:space="0" w:color="000000"/>
              <w:right w:val="single" w:sz="4" w:space="0" w:color="000000"/>
            </w:tcBorders>
          </w:tcPr>
          <w:p>
            <w:pPr>
              <w:pStyle w:val="TableParagraph"/>
              <w:spacing w:before="28"/>
              <w:ind w:left="19"/>
              <w:jc w:val="center"/>
              <w:rPr>
                <w:rFonts w:ascii="Times New Roman"/>
                <w:sz w:val="18"/>
              </w:rPr>
            </w:pPr>
            <w:r>
              <w:rPr>
                <w:rFonts w:ascii="Times New Roman"/>
                <w:sz w:val="18"/>
              </w:rPr>
              <w:t>/</w:t>
            </w:r>
          </w:p>
        </w:tc>
        <w:tc>
          <w:tcPr>
            <w:tcW w:w="1845" w:type="dxa"/>
            <w:tcBorders>
              <w:top w:val="single" w:sz="4" w:space="0" w:color="000000"/>
              <w:left w:val="single" w:sz="4" w:space="0" w:color="000000"/>
              <w:bottom w:val="thickThinMediumGap" w:sz="4" w:space="0" w:color="000000"/>
              <w:right w:val="single" w:sz="4" w:space="0" w:color="000000"/>
            </w:tcBorders>
          </w:tcPr>
          <w:p>
            <w:pPr>
              <w:pStyle w:val="TableParagraph"/>
              <w:spacing w:before="16"/>
              <w:ind w:left="73" w:right="55"/>
              <w:jc w:val="center"/>
              <w:rPr>
                <w:sz w:val="18"/>
              </w:rPr>
            </w:pPr>
            <w:r>
              <w:rPr>
                <w:sz w:val="18"/>
              </w:rPr>
              <w:t>“活性炭吸附”装置</w:t>
            </w:r>
          </w:p>
        </w:tc>
        <w:tc>
          <w:tcPr>
            <w:tcW w:w="991" w:type="dxa"/>
            <w:tcBorders>
              <w:top w:val="single" w:sz="4" w:space="0" w:color="000000"/>
              <w:left w:val="single" w:sz="4" w:space="0" w:color="000000"/>
              <w:bottom w:val="thickThinMediumGap" w:sz="4" w:space="0" w:color="000000"/>
              <w:right w:val="single" w:sz="4" w:space="0" w:color="000000"/>
            </w:tcBorders>
          </w:tcPr>
          <w:p>
            <w:pPr>
              <w:pStyle w:val="TableParagraph"/>
              <w:spacing w:before="16"/>
              <w:ind w:left="95" w:right="78"/>
              <w:jc w:val="center"/>
              <w:rPr>
                <w:sz w:val="18"/>
              </w:rPr>
            </w:pPr>
            <w:r>
              <w:rPr>
                <w:sz w:val="18"/>
              </w:rPr>
              <w:t>新增</w:t>
            </w:r>
          </w:p>
        </w:tc>
        <w:tc>
          <w:tcPr>
            <w:tcW w:w="1993"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before="16"/>
              <w:ind w:left="187"/>
              <w:rPr>
                <w:sz w:val="18"/>
              </w:rPr>
            </w:pPr>
            <w:r>
              <w:rPr>
                <w:sz w:val="18"/>
              </w:rPr>
              <w:t>新建，处理危废仓库</w:t>
            </w:r>
          </w:p>
        </w:tc>
        <w:tc>
          <w:tcPr>
            <w:tcW w:w="121" w:type="dxa"/>
            <w:tcBorders>
              <w:top w:val="nil"/>
              <w:left w:val="single" w:sz="4" w:space="0" w:color="000000"/>
            </w:tcBorders>
          </w:tcPr>
          <w:p>
            <w:pPr>
              <w:pStyle w:val="TableParagraph"/>
              <w:rPr>
                <w:rFonts w:ascii="Times New Roman"/>
                <w:sz w:val="18"/>
              </w:rPr>
            </w:pPr>
          </w:p>
        </w:tc>
      </w:tr>
    </w:tbl>
    <w:p>
      <w:pPr>
        <w:spacing w:after="0"/>
        <w:rPr>
          <w:rFonts w:ascii="Times New Roman"/>
          <w:sz w:val="18"/>
        </w:rPr>
        <w:sectPr>
          <w:footerReference w:type="default" r:id="rId29"/>
          <w:pgSz w:w="11910" w:h="16840"/>
          <w:pgMar w:top="1400" w:right="1140" w:bottom="960" w:left="1140" w:header="0" w:footer="768" w:gutter="0"/>
          <w:pgNumType w:start="20"/>
          <w:cols w:num="1" w:space="720"/>
        </w:sectPr>
      </w:pPr>
    </w:p>
    <w:tbl>
      <w:tblPr>
        <w:tblStyle w:val="TableNormal"/>
        <w:tblW w:w="0" w:type="auto"/>
        <w:tblInd w:w="2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27"/>
        <w:gridCol w:w="122"/>
        <w:gridCol w:w="686"/>
        <w:gridCol w:w="396"/>
        <w:gridCol w:w="644"/>
        <w:gridCol w:w="1829"/>
        <w:gridCol w:w="1844"/>
        <w:gridCol w:w="992"/>
        <w:gridCol w:w="1987"/>
        <w:gridCol w:w="125"/>
      </w:tblGrid>
      <w:tr>
        <w:tblPrEx>
          <w:tblW w:w="0" w:type="auto"/>
          <w:tblInd w:w="2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62"/>
        </w:trPr>
        <w:tc>
          <w:tcPr>
            <w:tcW w:w="427" w:type="dxa"/>
            <w:vMerge w:val="restart"/>
            <w:tcBorders>
              <w:right w:val="single" w:sz="4" w:space="0" w:color="000000"/>
            </w:tcBorders>
          </w:tcPr>
          <w:p>
            <w:pPr>
              <w:pStyle w:val="TableParagraph"/>
              <w:rPr>
                <w:rFonts w:ascii="Times New Roman"/>
                <w:sz w:val="20"/>
              </w:rPr>
            </w:pPr>
          </w:p>
        </w:tc>
        <w:tc>
          <w:tcPr>
            <w:tcW w:w="122" w:type="dxa"/>
            <w:vMerge w:val="restart"/>
            <w:tcBorders>
              <w:left w:val="single" w:sz="4" w:space="0" w:color="000000"/>
              <w:bottom w:val="nil"/>
              <w:right w:val="single" w:sz="4" w:space="0" w:color="000000"/>
            </w:tcBorders>
          </w:tcPr>
          <w:p>
            <w:pPr>
              <w:pStyle w:val="TableParagraph"/>
              <w:rPr>
                <w:rFonts w:ascii="Times New Roman"/>
                <w:sz w:val="20"/>
              </w:rPr>
            </w:pPr>
          </w:p>
        </w:tc>
        <w:tc>
          <w:tcPr>
            <w:tcW w:w="686"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96"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644" w:type="dxa"/>
            <w:tcBorders>
              <w:top w:val="single" w:sz="12" w:space="0" w:color="000000"/>
              <w:left w:val="single" w:sz="4" w:space="0" w:color="000000"/>
              <w:bottom w:val="single" w:sz="4" w:space="0" w:color="000000"/>
              <w:right w:val="single" w:sz="4" w:space="0" w:color="000000"/>
            </w:tcBorders>
          </w:tcPr>
          <w:p>
            <w:pPr>
              <w:pStyle w:val="TableParagraph"/>
              <w:ind w:left="147"/>
              <w:rPr>
                <w:sz w:val="18"/>
              </w:rPr>
            </w:pPr>
            <w:r>
              <w:rPr>
                <w:sz w:val="18"/>
              </w:rPr>
              <w:t>仓库</w:t>
            </w:r>
          </w:p>
        </w:tc>
        <w:tc>
          <w:tcPr>
            <w:tcW w:w="1829"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844" w:type="dxa"/>
            <w:tcBorders>
              <w:top w:val="single" w:sz="12" w:space="0" w:color="000000"/>
              <w:left w:val="single" w:sz="4" w:space="0" w:color="000000"/>
              <w:bottom w:val="single" w:sz="4" w:space="0" w:color="000000"/>
              <w:right w:val="single" w:sz="4" w:space="0" w:color="000000"/>
            </w:tcBorders>
          </w:tcPr>
          <w:p>
            <w:pPr>
              <w:pStyle w:val="TableParagraph"/>
              <w:ind w:left="77" w:right="56"/>
              <w:jc w:val="center"/>
              <w:rPr>
                <w:rFonts w:ascii="Times New Roman" w:eastAsia="Times New Roman"/>
                <w:sz w:val="18"/>
              </w:rPr>
            </w:pPr>
            <w:r>
              <w:rPr>
                <w:rFonts w:ascii="Times New Roman" w:eastAsia="Times New Roman"/>
                <w:sz w:val="18"/>
              </w:rPr>
              <w:t xml:space="preserve">1 </w:t>
            </w:r>
            <w:r>
              <w:rPr>
                <w:sz w:val="18"/>
              </w:rPr>
              <w:t>套，</w:t>
            </w:r>
            <w:r>
              <w:rPr>
                <w:rFonts w:ascii="Times New Roman" w:eastAsia="Times New Roman"/>
                <w:sz w:val="18"/>
              </w:rPr>
              <w:t xml:space="preserve">15m </w:t>
            </w:r>
            <w:r>
              <w:rPr>
                <w:sz w:val="18"/>
              </w:rPr>
              <w:t xml:space="preserve">高 </w:t>
            </w:r>
            <w:r>
              <w:rPr>
                <w:rFonts w:ascii="Times New Roman" w:eastAsia="Times New Roman"/>
                <w:sz w:val="18"/>
              </w:rPr>
              <w:t>DA001</w:t>
            </w:r>
          </w:p>
          <w:p>
            <w:pPr>
              <w:pStyle w:val="TableParagraph"/>
              <w:spacing w:before="4" w:line="208" w:lineRule="exact"/>
              <w:ind w:left="76" w:right="56"/>
              <w:jc w:val="center"/>
              <w:rPr>
                <w:sz w:val="18"/>
              </w:rPr>
            </w:pPr>
            <w:r>
              <w:rPr>
                <w:sz w:val="18"/>
              </w:rPr>
              <w:t>排放</w:t>
            </w:r>
          </w:p>
        </w:tc>
        <w:tc>
          <w:tcPr>
            <w:tcW w:w="992"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987" w:type="dxa"/>
            <w:tcBorders>
              <w:top w:val="single" w:sz="12" w:space="0" w:color="000000"/>
              <w:left w:val="single" w:sz="4" w:space="0" w:color="000000"/>
              <w:bottom w:val="single" w:sz="4" w:space="0" w:color="000000"/>
              <w:right w:val="single" w:sz="4" w:space="0" w:color="000000"/>
            </w:tcBorders>
          </w:tcPr>
          <w:p>
            <w:pPr>
              <w:pStyle w:val="TableParagraph"/>
              <w:ind w:left="166" w:right="150"/>
              <w:jc w:val="center"/>
              <w:rPr>
                <w:sz w:val="18"/>
              </w:rPr>
            </w:pPr>
            <w:r>
              <w:rPr>
                <w:sz w:val="18"/>
              </w:rPr>
              <w:t>逸散的有机废气</w:t>
            </w:r>
          </w:p>
        </w:tc>
        <w:tc>
          <w:tcPr>
            <w:tcW w:w="125" w:type="dxa"/>
            <w:tcBorders>
              <w:left w:val="single" w:sz="4" w:space="0" w:color="000000"/>
              <w:bottom w:val="nil"/>
            </w:tcBorders>
          </w:tcPr>
          <w:p>
            <w:pPr>
              <w:pStyle w:val="TableParagraph"/>
              <w:rPr>
                <w:rFonts w:ascii="Times New Roman"/>
                <w:sz w:val="20"/>
              </w:rPr>
            </w:pPr>
          </w:p>
        </w:tc>
      </w:tr>
      <w:tr>
        <w:tblPrEx>
          <w:tblW w:w="0" w:type="auto"/>
          <w:tblInd w:w="298" w:type="dxa"/>
          <w:tblLayout w:type="fixed"/>
          <w:tblCellMar>
            <w:top w:w="0" w:type="dxa"/>
            <w:left w:w="0" w:type="dxa"/>
            <w:bottom w:w="0" w:type="dxa"/>
            <w:right w:w="0" w:type="dxa"/>
          </w:tblCellMar>
        </w:tblPrEx>
        <w:trPr>
          <w:trHeight w:val="272"/>
        </w:trPr>
        <w:tc>
          <w:tcPr>
            <w:tcW w:w="427" w:type="dxa"/>
            <w:vMerge/>
            <w:tcBorders>
              <w:top w:val="nil"/>
              <w:right w:val="single" w:sz="4" w:space="0" w:color="000000"/>
            </w:tcBorders>
          </w:tcPr>
          <w:p>
            <w:pPr>
              <w:rPr>
                <w:sz w:val="2"/>
                <w:szCs w:val="2"/>
              </w:rPr>
            </w:pPr>
          </w:p>
        </w:tc>
        <w:tc>
          <w:tcPr>
            <w:tcW w:w="122" w:type="dxa"/>
            <w:vMerge/>
            <w:tcBorders>
              <w:top w:val="nil"/>
              <w:left w:val="single" w:sz="4" w:space="0" w:color="000000"/>
              <w:bottom w:val="nil"/>
              <w:right w:val="single" w:sz="4" w:space="0" w:color="000000"/>
            </w:tcBorders>
          </w:tcPr>
          <w:p>
            <w:pPr>
              <w:rPr>
                <w:sz w:val="2"/>
                <w:szCs w:val="2"/>
              </w:rPr>
            </w:pPr>
          </w:p>
        </w:tc>
        <w:tc>
          <w:tcPr>
            <w:tcW w:w="686" w:type="dxa"/>
            <w:vMerge/>
            <w:tcBorders>
              <w:top w:val="nil"/>
              <w:left w:val="single" w:sz="4" w:space="0" w:color="000000"/>
              <w:bottom w:val="single" w:sz="4" w:space="0" w:color="000000"/>
              <w:right w:val="single" w:sz="4" w:space="0" w:color="000000"/>
            </w:tcBorders>
          </w:tcPr>
          <w:p>
            <w:pPr>
              <w:rPr>
                <w:sz w:val="2"/>
                <w:szCs w:val="2"/>
              </w:rPr>
            </w:pPr>
          </w:p>
        </w:tc>
        <w:tc>
          <w:tcPr>
            <w:tcW w:w="104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8"/>
              <w:ind w:left="163"/>
              <w:rPr>
                <w:sz w:val="18"/>
              </w:rPr>
            </w:pPr>
            <w:r>
              <w:rPr>
                <w:sz w:val="18"/>
              </w:rPr>
              <w:t>生活污水</w:t>
            </w:r>
          </w:p>
        </w:tc>
        <w:tc>
          <w:tcPr>
            <w:tcW w:w="367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8"/>
              <w:ind w:left="1315" w:right="1298"/>
              <w:jc w:val="center"/>
              <w:rPr>
                <w:rFonts w:ascii="Times New Roman" w:eastAsia="Times New Roman"/>
                <w:sz w:val="12"/>
              </w:rPr>
            </w:pPr>
            <w:r>
              <w:rPr>
                <w:sz w:val="18"/>
              </w:rPr>
              <w:t>化粪池，</w:t>
            </w:r>
            <w:r>
              <w:rPr>
                <w:rFonts w:ascii="Times New Roman" w:eastAsia="Times New Roman"/>
                <w:sz w:val="18"/>
              </w:rPr>
              <w:t>2m</w:t>
            </w:r>
            <w:r>
              <w:rPr>
                <w:rFonts w:ascii="Times New Roman" w:eastAsia="Times New Roman"/>
                <w:position w:val="6"/>
                <w:sz w:val="12"/>
              </w:rPr>
              <w:t>3</w:t>
            </w:r>
          </w:p>
        </w:tc>
        <w:tc>
          <w:tcPr>
            <w:tcW w:w="992" w:type="dxa"/>
            <w:tcBorders>
              <w:top w:val="single" w:sz="4" w:space="0" w:color="000000"/>
              <w:left w:val="single" w:sz="4" w:space="0" w:color="000000"/>
              <w:bottom w:val="single" w:sz="4" w:space="0" w:color="000000"/>
              <w:right w:val="single" w:sz="4" w:space="0" w:color="000000"/>
            </w:tcBorders>
          </w:tcPr>
          <w:p>
            <w:pPr>
              <w:pStyle w:val="TableParagraph"/>
              <w:spacing w:before="18"/>
              <w:ind w:left="112" w:right="94"/>
              <w:jc w:val="center"/>
              <w:rPr>
                <w:sz w:val="18"/>
              </w:rPr>
            </w:pPr>
            <w:r>
              <w:rPr>
                <w:sz w:val="18"/>
              </w:rPr>
              <w:t>无变化</w:t>
            </w:r>
          </w:p>
        </w:tc>
        <w:tc>
          <w:tcPr>
            <w:tcW w:w="1987" w:type="dxa"/>
            <w:tcBorders>
              <w:top w:val="single" w:sz="4" w:space="0" w:color="000000"/>
              <w:left w:val="single" w:sz="4" w:space="0" w:color="000000"/>
              <w:bottom w:val="single" w:sz="4" w:space="0" w:color="000000"/>
              <w:right w:val="single" w:sz="4" w:space="0" w:color="000000"/>
            </w:tcBorders>
          </w:tcPr>
          <w:p>
            <w:pPr>
              <w:pStyle w:val="TableParagraph"/>
              <w:spacing w:before="18"/>
              <w:ind w:left="166" w:right="147"/>
              <w:jc w:val="center"/>
              <w:rPr>
                <w:sz w:val="18"/>
              </w:rPr>
            </w:pPr>
            <w:r>
              <w:rPr>
                <w:sz w:val="18"/>
              </w:rPr>
              <w:t>依托厂区现有</w:t>
            </w:r>
          </w:p>
        </w:tc>
        <w:tc>
          <w:tcPr>
            <w:tcW w:w="125" w:type="dxa"/>
            <w:tcBorders>
              <w:top w:val="nil"/>
              <w:left w:val="single" w:sz="4" w:space="0" w:color="000000"/>
              <w:bottom w:val="nil"/>
            </w:tcBorders>
          </w:tcPr>
          <w:p>
            <w:pPr>
              <w:pStyle w:val="TableParagraph"/>
              <w:rPr>
                <w:rFonts w:ascii="Times New Roman"/>
                <w:sz w:val="20"/>
              </w:rPr>
            </w:pPr>
          </w:p>
        </w:tc>
      </w:tr>
      <w:tr>
        <w:tblPrEx>
          <w:tblW w:w="0" w:type="auto"/>
          <w:tblInd w:w="298" w:type="dxa"/>
          <w:tblLayout w:type="fixed"/>
          <w:tblCellMar>
            <w:top w:w="0" w:type="dxa"/>
            <w:left w:w="0" w:type="dxa"/>
            <w:bottom w:w="0" w:type="dxa"/>
            <w:right w:w="0" w:type="dxa"/>
          </w:tblCellMar>
        </w:tblPrEx>
        <w:trPr>
          <w:trHeight w:val="272"/>
        </w:trPr>
        <w:tc>
          <w:tcPr>
            <w:tcW w:w="427" w:type="dxa"/>
            <w:vMerge/>
            <w:tcBorders>
              <w:top w:val="nil"/>
              <w:right w:val="single" w:sz="4" w:space="0" w:color="000000"/>
            </w:tcBorders>
          </w:tcPr>
          <w:p>
            <w:pPr>
              <w:rPr>
                <w:sz w:val="2"/>
                <w:szCs w:val="2"/>
              </w:rPr>
            </w:pPr>
          </w:p>
        </w:tc>
        <w:tc>
          <w:tcPr>
            <w:tcW w:w="122" w:type="dxa"/>
            <w:vMerge/>
            <w:tcBorders>
              <w:top w:val="nil"/>
              <w:left w:val="single" w:sz="4" w:space="0" w:color="000000"/>
              <w:bottom w:val="nil"/>
              <w:right w:val="single" w:sz="4" w:space="0" w:color="000000"/>
            </w:tcBorders>
          </w:tcPr>
          <w:p>
            <w:pPr>
              <w:rPr>
                <w:sz w:val="2"/>
                <w:szCs w:val="2"/>
              </w:rPr>
            </w:pPr>
          </w:p>
        </w:tc>
        <w:tc>
          <w:tcPr>
            <w:tcW w:w="686" w:type="dxa"/>
            <w:vMerge/>
            <w:tcBorders>
              <w:top w:val="nil"/>
              <w:left w:val="single" w:sz="4" w:space="0" w:color="000000"/>
              <w:bottom w:val="single" w:sz="4" w:space="0" w:color="000000"/>
              <w:right w:val="single" w:sz="4" w:space="0" w:color="000000"/>
            </w:tcBorders>
          </w:tcPr>
          <w:p>
            <w:pPr>
              <w:rPr>
                <w:sz w:val="2"/>
                <w:szCs w:val="2"/>
              </w:rPr>
            </w:pPr>
          </w:p>
        </w:tc>
        <w:tc>
          <w:tcPr>
            <w:tcW w:w="104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8"/>
              <w:ind w:left="163"/>
              <w:rPr>
                <w:sz w:val="18"/>
              </w:rPr>
            </w:pPr>
            <w:r>
              <w:rPr>
                <w:sz w:val="18"/>
              </w:rPr>
              <w:t>降噪设施</w:t>
            </w:r>
          </w:p>
        </w:tc>
        <w:tc>
          <w:tcPr>
            <w:tcW w:w="4665" w:type="dxa"/>
            <w:gridSpan w:val="3"/>
            <w:tcBorders>
              <w:top w:val="single" w:sz="4" w:space="0" w:color="000000"/>
              <w:left w:val="single" w:sz="4" w:space="0" w:color="000000"/>
              <w:bottom w:val="single" w:sz="4" w:space="0" w:color="000000"/>
              <w:right w:val="single" w:sz="4" w:space="0" w:color="000000"/>
            </w:tcBorders>
          </w:tcPr>
          <w:p>
            <w:pPr>
              <w:pStyle w:val="TableParagraph"/>
              <w:spacing w:before="18"/>
              <w:ind w:left="626"/>
              <w:rPr>
                <w:sz w:val="18"/>
              </w:rPr>
            </w:pPr>
            <w:r>
              <w:rPr>
                <w:sz w:val="18"/>
              </w:rPr>
              <w:t>采用低噪音设备，隔声、减震、消声等措施</w:t>
            </w:r>
          </w:p>
        </w:tc>
        <w:tc>
          <w:tcPr>
            <w:tcW w:w="1987" w:type="dxa"/>
            <w:tcBorders>
              <w:top w:val="single" w:sz="4" w:space="0" w:color="000000"/>
              <w:left w:val="single" w:sz="4" w:space="0" w:color="000000"/>
              <w:bottom w:val="single" w:sz="4" w:space="0" w:color="000000"/>
              <w:right w:val="single" w:sz="4" w:space="0" w:color="000000"/>
            </w:tcBorders>
          </w:tcPr>
          <w:p>
            <w:pPr>
              <w:pStyle w:val="TableParagraph"/>
              <w:spacing w:before="18"/>
              <w:ind w:left="166" w:right="147"/>
              <w:jc w:val="center"/>
              <w:rPr>
                <w:sz w:val="18"/>
              </w:rPr>
            </w:pPr>
            <w:r>
              <w:rPr>
                <w:sz w:val="18"/>
              </w:rPr>
              <w:t>厂界噪声达标排放</w:t>
            </w:r>
          </w:p>
        </w:tc>
        <w:tc>
          <w:tcPr>
            <w:tcW w:w="125" w:type="dxa"/>
            <w:tcBorders>
              <w:top w:val="nil"/>
              <w:left w:val="single" w:sz="4" w:space="0" w:color="000000"/>
              <w:bottom w:val="nil"/>
            </w:tcBorders>
          </w:tcPr>
          <w:p>
            <w:pPr>
              <w:pStyle w:val="TableParagraph"/>
              <w:rPr>
                <w:rFonts w:ascii="Times New Roman"/>
                <w:sz w:val="20"/>
              </w:rPr>
            </w:pPr>
          </w:p>
        </w:tc>
      </w:tr>
      <w:tr>
        <w:tblPrEx>
          <w:tblW w:w="0" w:type="auto"/>
          <w:tblInd w:w="298" w:type="dxa"/>
          <w:tblLayout w:type="fixed"/>
          <w:tblCellMar>
            <w:top w:w="0" w:type="dxa"/>
            <w:left w:w="0" w:type="dxa"/>
            <w:bottom w:w="0" w:type="dxa"/>
            <w:right w:w="0" w:type="dxa"/>
          </w:tblCellMar>
        </w:tblPrEx>
        <w:trPr>
          <w:trHeight w:val="923"/>
        </w:trPr>
        <w:tc>
          <w:tcPr>
            <w:tcW w:w="427" w:type="dxa"/>
            <w:vMerge/>
            <w:tcBorders>
              <w:top w:val="nil"/>
              <w:right w:val="single" w:sz="4" w:space="0" w:color="000000"/>
            </w:tcBorders>
          </w:tcPr>
          <w:p>
            <w:pPr>
              <w:rPr>
                <w:sz w:val="2"/>
                <w:szCs w:val="2"/>
              </w:rPr>
            </w:pPr>
          </w:p>
        </w:tc>
        <w:tc>
          <w:tcPr>
            <w:tcW w:w="122" w:type="dxa"/>
            <w:vMerge/>
            <w:tcBorders>
              <w:top w:val="nil"/>
              <w:left w:val="single" w:sz="4" w:space="0" w:color="000000"/>
              <w:bottom w:val="nil"/>
              <w:right w:val="single" w:sz="4" w:space="0" w:color="000000"/>
            </w:tcBorders>
          </w:tcPr>
          <w:p>
            <w:pPr>
              <w:rPr>
                <w:sz w:val="2"/>
                <w:szCs w:val="2"/>
              </w:rPr>
            </w:pPr>
          </w:p>
        </w:tc>
        <w:tc>
          <w:tcPr>
            <w:tcW w:w="686" w:type="dxa"/>
            <w:vMerge/>
            <w:tcBorders>
              <w:top w:val="nil"/>
              <w:left w:val="single" w:sz="4" w:space="0" w:color="000000"/>
              <w:bottom w:val="single" w:sz="4" w:space="0" w:color="000000"/>
              <w:right w:val="single" w:sz="4" w:space="0" w:color="000000"/>
            </w:tcBorders>
          </w:tcPr>
          <w:p>
            <w:pPr>
              <w:rPr>
                <w:sz w:val="2"/>
                <w:szCs w:val="2"/>
              </w:rPr>
            </w:pPr>
          </w:p>
        </w:tc>
        <w:tc>
          <w:tcPr>
            <w:tcW w:w="396" w:type="dxa"/>
            <w:vMerge w:val="restart"/>
            <w:tcBorders>
              <w:top w:val="single" w:sz="4" w:space="0" w:color="000000"/>
              <w:left w:val="single" w:sz="4" w:space="0" w:color="000000"/>
              <w:bottom w:val="single" w:sz="4" w:space="0" w:color="000000"/>
              <w:right w:val="single" w:sz="4" w:space="0" w:color="000000"/>
            </w:tcBorders>
          </w:tcPr>
          <w:p>
            <w:pPr>
              <w:pStyle w:val="TableParagraph"/>
              <w:rPr>
                <w:b/>
                <w:sz w:val="18"/>
              </w:rPr>
            </w:pPr>
          </w:p>
          <w:p>
            <w:pPr>
              <w:pStyle w:val="TableParagraph"/>
              <w:rPr>
                <w:b/>
                <w:sz w:val="18"/>
              </w:rPr>
            </w:pPr>
          </w:p>
          <w:p>
            <w:pPr>
              <w:pStyle w:val="TableParagraph"/>
              <w:rPr>
                <w:b/>
                <w:sz w:val="18"/>
              </w:rPr>
            </w:pPr>
          </w:p>
          <w:p>
            <w:pPr>
              <w:pStyle w:val="TableParagraph"/>
              <w:spacing w:before="131" w:line="242" w:lineRule="auto"/>
              <w:ind w:left="113" w:right="90"/>
              <w:rPr>
                <w:sz w:val="18"/>
              </w:rPr>
            </w:pPr>
            <w:r>
              <w:rPr>
                <w:sz w:val="18"/>
              </w:rPr>
              <w:t>固废</w:t>
            </w:r>
          </w:p>
        </w:tc>
        <w:tc>
          <w:tcPr>
            <w:tcW w:w="644" w:type="dxa"/>
            <w:tcBorders>
              <w:top w:val="single" w:sz="4" w:space="0" w:color="000000"/>
              <w:left w:val="single" w:sz="4" w:space="0" w:color="000000"/>
              <w:bottom w:val="single" w:sz="4" w:space="0" w:color="000000"/>
              <w:right w:val="single" w:sz="4" w:space="0" w:color="000000"/>
            </w:tcBorders>
          </w:tcPr>
          <w:p>
            <w:pPr>
              <w:pStyle w:val="TableParagraph"/>
              <w:spacing w:before="112" w:line="242" w:lineRule="auto"/>
              <w:ind w:left="147" w:right="124"/>
              <w:jc w:val="both"/>
              <w:rPr>
                <w:sz w:val="18"/>
              </w:rPr>
            </w:pPr>
            <w:r>
              <w:rPr>
                <w:sz w:val="18"/>
              </w:rPr>
              <w:t>一般工业固废</w:t>
            </w:r>
          </w:p>
        </w:tc>
        <w:tc>
          <w:tcPr>
            <w:tcW w:w="1829" w:type="dxa"/>
            <w:tcBorders>
              <w:top w:val="single" w:sz="4" w:space="0" w:color="000000"/>
              <w:left w:val="single" w:sz="4" w:space="0" w:color="000000"/>
              <w:bottom w:val="single" w:sz="4" w:space="0" w:color="000000"/>
              <w:right w:val="single" w:sz="4" w:space="0" w:color="000000"/>
            </w:tcBorders>
          </w:tcPr>
          <w:p>
            <w:pPr>
              <w:pStyle w:val="TableParagraph"/>
              <w:spacing w:before="124" w:line="242" w:lineRule="auto"/>
              <w:ind w:left="288" w:right="266"/>
              <w:jc w:val="center"/>
              <w:rPr>
                <w:rFonts w:ascii="Times New Roman" w:eastAsia="Times New Roman"/>
                <w:sz w:val="12"/>
              </w:rPr>
            </w:pPr>
            <w:r>
              <w:rPr>
                <w:rFonts w:ascii="Times New Roman" w:eastAsia="Times New Roman"/>
                <w:sz w:val="18"/>
              </w:rPr>
              <w:t>2#</w:t>
            </w:r>
            <w:r>
              <w:rPr>
                <w:sz w:val="18"/>
              </w:rPr>
              <w:t>车间内划分区域，占地面积约</w:t>
            </w:r>
            <w:r>
              <w:rPr>
                <w:rFonts w:ascii="Times New Roman" w:eastAsia="Times New Roman"/>
                <w:sz w:val="18"/>
              </w:rPr>
              <w:t>10m</w:t>
            </w:r>
            <w:r>
              <w:rPr>
                <w:rFonts w:ascii="Times New Roman" w:eastAsia="Times New Roman"/>
                <w:position w:val="6"/>
                <w:sz w:val="12"/>
              </w:rPr>
              <w:t>2</w:t>
            </w:r>
          </w:p>
        </w:tc>
        <w:tc>
          <w:tcPr>
            <w:tcW w:w="184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5" w:right="93"/>
              <w:jc w:val="center"/>
              <w:rPr>
                <w:sz w:val="18"/>
              </w:rPr>
            </w:pPr>
            <w:r>
              <w:rPr>
                <w:rFonts w:ascii="Times New Roman" w:eastAsia="Times New Roman"/>
                <w:sz w:val="18"/>
              </w:rPr>
              <w:t>1#</w:t>
            </w:r>
            <w:r>
              <w:rPr>
                <w:sz w:val="18"/>
              </w:rPr>
              <w:t xml:space="preserve">车间一般固废仓库占地面积约 </w:t>
            </w:r>
            <w:r>
              <w:rPr>
                <w:rFonts w:ascii="Times New Roman" w:eastAsia="Times New Roman"/>
                <w:sz w:val="18"/>
              </w:rPr>
              <w:t>10m</w:t>
            </w:r>
            <w:r>
              <w:rPr>
                <w:rFonts w:ascii="Times New Roman" w:eastAsia="Times New Roman"/>
                <w:position w:val="6"/>
                <w:sz w:val="12"/>
              </w:rPr>
              <w:t>2</w:t>
            </w:r>
            <w:r>
              <w:rPr>
                <w:sz w:val="18"/>
              </w:rPr>
              <w:t>，</w:t>
            </w:r>
          </w:p>
          <w:p>
            <w:pPr>
              <w:pStyle w:val="TableParagraph"/>
              <w:spacing w:line="230" w:lineRule="atLeast"/>
              <w:ind w:left="115" w:right="94"/>
              <w:jc w:val="center"/>
              <w:rPr>
                <w:rFonts w:ascii="Times New Roman" w:eastAsia="Times New Roman"/>
                <w:sz w:val="12"/>
              </w:rPr>
            </w:pPr>
            <w:r>
              <w:rPr>
                <w:rFonts w:ascii="Times New Roman" w:eastAsia="Times New Roman"/>
                <w:sz w:val="18"/>
              </w:rPr>
              <w:t>2#</w:t>
            </w:r>
            <w:r>
              <w:rPr>
                <w:sz w:val="18"/>
              </w:rPr>
              <w:t xml:space="preserve">车间一般固废仓库占地面积约 </w:t>
            </w:r>
            <w:r>
              <w:rPr>
                <w:rFonts w:ascii="Times New Roman" w:eastAsia="Times New Roman"/>
                <w:sz w:val="18"/>
              </w:rPr>
              <w:t>5m</w:t>
            </w:r>
            <w:r>
              <w:rPr>
                <w:rFonts w:ascii="Times New Roman" w:eastAsia="Times New Roman"/>
                <w:position w:val="6"/>
                <w:sz w:val="12"/>
              </w:rPr>
              <w:t>2</w:t>
            </w:r>
          </w:p>
        </w:tc>
        <w:tc>
          <w:tcPr>
            <w:tcW w:w="992" w:type="dxa"/>
            <w:tcBorders>
              <w:top w:val="single" w:sz="4" w:space="0" w:color="000000"/>
              <w:left w:val="single" w:sz="4" w:space="0" w:color="000000"/>
              <w:bottom w:val="single" w:sz="4" w:space="0" w:color="000000"/>
              <w:right w:val="single" w:sz="4" w:space="0" w:color="000000"/>
            </w:tcBorders>
          </w:tcPr>
          <w:p>
            <w:pPr>
              <w:pStyle w:val="TableParagraph"/>
              <w:spacing w:before="112" w:line="242" w:lineRule="auto"/>
              <w:ind w:left="117" w:right="96" w:hanging="3"/>
              <w:jc w:val="center"/>
              <w:rPr>
                <w:sz w:val="18"/>
              </w:rPr>
            </w:pPr>
            <w:r>
              <w:rPr>
                <w:sz w:val="18"/>
              </w:rPr>
              <w:t xml:space="preserve">新 增 </w:t>
            </w:r>
            <w:r>
              <w:rPr>
                <w:rFonts w:ascii="Times New Roman" w:eastAsia="Times New Roman"/>
                <w:sz w:val="18"/>
              </w:rPr>
              <w:t>10m</w:t>
            </w:r>
            <w:r>
              <w:rPr>
                <w:rFonts w:ascii="Times New Roman" w:eastAsia="Times New Roman"/>
                <w:position w:val="6"/>
                <w:sz w:val="12"/>
              </w:rPr>
              <w:t xml:space="preserve">2 </w:t>
            </w:r>
            <w:r>
              <w:rPr>
                <w:spacing w:val="-8"/>
                <w:sz w:val="18"/>
              </w:rPr>
              <w:t>一般</w:t>
            </w:r>
            <w:r>
              <w:rPr>
                <w:sz w:val="18"/>
              </w:rPr>
              <w:t>固废堆场</w:t>
            </w:r>
          </w:p>
        </w:tc>
        <w:tc>
          <w:tcPr>
            <w:tcW w:w="1987" w:type="dxa"/>
            <w:tcBorders>
              <w:top w:val="single" w:sz="4" w:space="0" w:color="000000"/>
              <w:left w:val="single" w:sz="4" w:space="0" w:color="000000"/>
              <w:bottom w:val="single" w:sz="4" w:space="0" w:color="000000"/>
              <w:right w:val="single" w:sz="4" w:space="0" w:color="000000"/>
            </w:tcBorders>
          </w:tcPr>
          <w:p>
            <w:pPr>
              <w:pStyle w:val="TableParagraph"/>
              <w:spacing w:before="9"/>
              <w:rPr>
                <w:b/>
                <w:sz w:val="17"/>
              </w:rPr>
            </w:pPr>
          </w:p>
          <w:p>
            <w:pPr>
              <w:pStyle w:val="TableParagraph"/>
              <w:spacing w:line="244" w:lineRule="auto"/>
              <w:ind w:left="278" w:right="57" w:hanging="135"/>
              <w:rPr>
                <w:sz w:val="18"/>
              </w:rPr>
            </w:pPr>
            <w:r>
              <w:rPr>
                <w:sz w:val="18"/>
              </w:rPr>
              <w:t xml:space="preserve">新建 </w:t>
            </w:r>
            <w:r>
              <w:rPr>
                <w:rFonts w:ascii="Times New Roman" w:eastAsia="Times New Roman"/>
                <w:sz w:val="18"/>
              </w:rPr>
              <w:t>10m</w:t>
            </w:r>
            <w:r>
              <w:rPr>
                <w:rFonts w:ascii="Times New Roman" w:eastAsia="Times New Roman"/>
                <w:position w:val="6"/>
                <w:sz w:val="12"/>
              </w:rPr>
              <w:t xml:space="preserve">2 </w:t>
            </w:r>
            <w:r>
              <w:rPr>
                <w:sz w:val="18"/>
              </w:rPr>
              <w:t>一般固废堆场，暂存一般固废</w:t>
            </w:r>
          </w:p>
        </w:tc>
        <w:tc>
          <w:tcPr>
            <w:tcW w:w="125" w:type="dxa"/>
            <w:tcBorders>
              <w:top w:val="nil"/>
              <w:left w:val="single" w:sz="4" w:space="0" w:color="000000"/>
              <w:bottom w:val="nil"/>
            </w:tcBorders>
          </w:tcPr>
          <w:p>
            <w:pPr>
              <w:pStyle w:val="TableParagraph"/>
              <w:rPr>
                <w:rFonts w:ascii="Times New Roman"/>
                <w:sz w:val="20"/>
              </w:rPr>
            </w:pPr>
          </w:p>
        </w:tc>
      </w:tr>
      <w:tr>
        <w:tblPrEx>
          <w:tblW w:w="0" w:type="auto"/>
          <w:tblInd w:w="298" w:type="dxa"/>
          <w:tblLayout w:type="fixed"/>
          <w:tblCellMar>
            <w:top w:w="0" w:type="dxa"/>
            <w:left w:w="0" w:type="dxa"/>
            <w:bottom w:w="0" w:type="dxa"/>
            <w:right w:w="0" w:type="dxa"/>
          </w:tblCellMar>
        </w:tblPrEx>
        <w:trPr>
          <w:trHeight w:val="686"/>
        </w:trPr>
        <w:tc>
          <w:tcPr>
            <w:tcW w:w="427" w:type="dxa"/>
            <w:vMerge/>
            <w:tcBorders>
              <w:top w:val="nil"/>
              <w:right w:val="single" w:sz="4" w:space="0" w:color="000000"/>
            </w:tcBorders>
          </w:tcPr>
          <w:p>
            <w:pPr>
              <w:rPr>
                <w:sz w:val="2"/>
                <w:szCs w:val="2"/>
              </w:rPr>
            </w:pPr>
          </w:p>
        </w:tc>
        <w:tc>
          <w:tcPr>
            <w:tcW w:w="122" w:type="dxa"/>
            <w:vMerge/>
            <w:tcBorders>
              <w:top w:val="nil"/>
              <w:left w:val="single" w:sz="4" w:space="0" w:color="000000"/>
              <w:bottom w:val="nil"/>
              <w:right w:val="single" w:sz="4" w:space="0" w:color="000000"/>
            </w:tcBorders>
          </w:tcPr>
          <w:p>
            <w:pPr>
              <w:rPr>
                <w:sz w:val="2"/>
                <w:szCs w:val="2"/>
              </w:rPr>
            </w:pPr>
          </w:p>
        </w:tc>
        <w:tc>
          <w:tcPr>
            <w:tcW w:w="686" w:type="dxa"/>
            <w:vMerge/>
            <w:tcBorders>
              <w:top w:val="nil"/>
              <w:left w:val="single" w:sz="4" w:space="0" w:color="000000"/>
              <w:bottom w:val="single" w:sz="4" w:space="0" w:color="000000"/>
              <w:right w:val="single" w:sz="4" w:space="0" w:color="000000"/>
            </w:tcBorders>
          </w:tcPr>
          <w:p>
            <w:pPr>
              <w:rPr>
                <w:sz w:val="2"/>
                <w:szCs w:val="2"/>
              </w:rPr>
            </w:pPr>
          </w:p>
        </w:tc>
        <w:tc>
          <w:tcPr>
            <w:tcW w:w="396" w:type="dxa"/>
            <w:vMerge/>
            <w:tcBorders>
              <w:top w:val="nil"/>
              <w:left w:val="single" w:sz="4" w:space="0" w:color="000000"/>
              <w:bottom w:val="single" w:sz="4" w:space="0" w:color="000000"/>
              <w:right w:val="single" w:sz="4" w:space="0" w:color="000000"/>
            </w:tcBorders>
          </w:tcPr>
          <w:p>
            <w:pPr>
              <w:rPr>
                <w:sz w:val="2"/>
                <w:szCs w:val="2"/>
              </w:rPr>
            </w:pPr>
          </w:p>
        </w:tc>
        <w:tc>
          <w:tcPr>
            <w:tcW w:w="644" w:type="dxa"/>
            <w:tcBorders>
              <w:top w:val="single" w:sz="4" w:space="0" w:color="000000"/>
              <w:left w:val="single" w:sz="4" w:space="0" w:color="000000"/>
              <w:bottom w:val="single" w:sz="4" w:space="0" w:color="000000"/>
              <w:right w:val="single" w:sz="4" w:space="0" w:color="000000"/>
            </w:tcBorders>
          </w:tcPr>
          <w:p>
            <w:pPr>
              <w:pStyle w:val="TableParagraph"/>
              <w:spacing w:before="108" w:line="242" w:lineRule="auto"/>
              <w:ind w:left="147" w:right="124"/>
              <w:rPr>
                <w:sz w:val="18"/>
              </w:rPr>
            </w:pPr>
            <w:r>
              <w:rPr>
                <w:sz w:val="18"/>
              </w:rPr>
              <w:t>危险废物</w:t>
            </w:r>
          </w:p>
        </w:tc>
        <w:tc>
          <w:tcPr>
            <w:tcW w:w="1829" w:type="dxa"/>
            <w:tcBorders>
              <w:top w:val="single" w:sz="4" w:space="0" w:color="000000"/>
              <w:left w:val="single" w:sz="4" w:space="0" w:color="000000"/>
              <w:bottom w:val="single" w:sz="4" w:space="0" w:color="000000"/>
              <w:right w:val="single" w:sz="4" w:space="0" w:color="000000"/>
            </w:tcBorders>
          </w:tcPr>
          <w:p>
            <w:pPr>
              <w:pStyle w:val="TableParagraph"/>
              <w:spacing w:before="108" w:line="242" w:lineRule="auto"/>
              <w:ind w:left="300" w:right="177" w:hanging="101"/>
              <w:rPr>
                <w:rFonts w:ascii="Times New Roman" w:eastAsia="Times New Roman"/>
                <w:sz w:val="12"/>
              </w:rPr>
            </w:pPr>
            <w:r>
              <w:rPr>
                <w:sz w:val="18"/>
              </w:rPr>
              <w:t xml:space="preserve">车间内划分区域， 占地面积约 </w:t>
            </w:r>
            <w:r>
              <w:rPr>
                <w:rFonts w:ascii="Times New Roman" w:eastAsia="Times New Roman"/>
                <w:sz w:val="18"/>
              </w:rPr>
              <w:t>5m</w:t>
            </w:r>
            <w:r>
              <w:rPr>
                <w:rFonts w:ascii="Times New Roman" w:eastAsia="Times New Roman"/>
                <w:position w:val="6"/>
                <w:sz w:val="12"/>
              </w:rPr>
              <w:t>2</w:t>
            </w:r>
          </w:p>
        </w:tc>
        <w:tc>
          <w:tcPr>
            <w:tcW w:w="1844" w:type="dxa"/>
            <w:tcBorders>
              <w:top w:val="single" w:sz="4" w:space="0" w:color="000000"/>
              <w:left w:val="single" w:sz="4" w:space="0" w:color="000000"/>
              <w:bottom w:val="single" w:sz="4" w:space="0" w:color="000000"/>
              <w:right w:val="single" w:sz="4" w:space="0" w:color="000000"/>
            </w:tcBorders>
          </w:tcPr>
          <w:p>
            <w:pPr>
              <w:pStyle w:val="TableParagraph"/>
              <w:spacing w:before="108" w:line="242" w:lineRule="auto"/>
              <w:ind w:left="353" w:right="94" w:hanging="238"/>
              <w:rPr>
                <w:rFonts w:ascii="Times New Roman" w:eastAsia="Times New Roman"/>
                <w:sz w:val="12"/>
              </w:rPr>
            </w:pPr>
            <w:r>
              <w:rPr>
                <w:rFonts w:ascii="Times New Roman" w:eastAsia="Times New Roman"/>
                <w:sz w:val="18"/>
              </w:rPr>
              <w:t>1#</w:t>
            </w:r>
            <w:r>
              <w:rPr>
                <w:sz w:val="18"/>
              </w:rPr>
              <w:t xml:space="preserve">车间西南侧新建， 占地面积 </w:t>
            </w:r>
            <w:r>
              <w:rPr>
                <w:rFonts w:ascii="Times New Roman" w:eastAsia="Times New Roman"/>
                <w:sz w:val="18"/>
              </w:rPr>
              <w:t>10m</w:t>
            </w:r>
            <w:r>
              <w:rPr>
                <w:rFonts w:ascii="Times New Roman" w:eastAsia="Times New Roman"/>
                <w:position w:val="6"/>
                <w:sz w:val="12"/>
              </w:rPr>
              <w:t>2</w:t>
            </w:r>
          </w:p>
        </w:tc>
        <w:tc>
          <w:tcPr>
            <w:tcW w:w="992" w:type="dxa"/>
            <w:tcBorders>
              <w:top w:val="single" w:sz="4" w:space="0" w:color="000000"/>
              <w:left w:val="single" w:sz="4" w:space="0" w:color="000000"/>
              <w:bottom w:val="single" w:sz="4" w:space="0" w:color="000000"/>
              <w:right w:val="single" w:sz="4" w:space="0" w:color="000000"/>
            </w:tcBorders>
          </w:tcPr>
          <w:p>
            <w:pPr>
              <w:pStyle w:val="TableParagraph"/>
              <w:spacing w:line="222" w:lineRule="exact"/>
              <w:ind w:left="139" w:firstLine="91"/>
              <w:rPr>
                <w:sz w:val="18"/>
              </w:rPr>
            </w:pPr>
            <w:r>
              <w:rPr>
                <w:sz w:val="18"/>
              </w:rPr>
              <w:t>拆除现</w:t>
            </w:r>
          </w:p>
          <w:p>
            <w:pPr>
              <w:pStyle w:val="TableParagraph"/>
              <w:spacing w:before="4" w:line="230" w:lineRule="atLeast"/>
              <w:ind w:left="139" w:right="120"/>
              <w:rPr>
                <w:sz w:val="18"/>
              </w:rPr>
            </w:pPr>
            <w:r>
              <w:rPr>
                <w:spacing w:val="-5"/>
                <w:sz w:val="18"/>
              </w:rPr>
              <w:t>有，新增危废仓库</w:t>
            </w:r>
          </w:p>
        </w:tc>
        <w:tc>
          <w:tcPr>
            <w:tcW w:w="1987" w:type="dxa"/>
            <w:tcBorders>
              <w:top w:val="single" w:sz="4" w:space="0" w:color="000000"/>
              <w:left w:val="single" w:sz="4" w:space="0" w:color="000000"/>
              <w:bottom w:val="single" w:sz="4" w:space="0" w:color="000000"/>
              <w:right w:val="single" w:sz="4" w:space="0" w:color="000000"/>
            </w:tcBorders>
          </w:tcPr>
          <w:p>
            <w:pPr>
              <w:pStyle w:val="TableParagraph"/>
              <w:spacing w:before="8"/>
              <w:rPr>
                <w:b/>
                <w:sz w:val="17"/>
              </w:rPr>
            </w:pPr>
          </w:p>
          <w:p>
            <w:pPr>
              <w:pStyle w:val="TableParagraph"/>
              <w:ind w:left="166" w:right="150"/>
              <w:jc w:val="center"/>
              <w:rPr>
                <w:sz w:val="18"/>
              </w:rPr>
            </w:pPr>
            <w:r>
              <w:rPr>
                <w:sz w:val="18"/>
              </w:rPr>
              <w:t>新建，暂存危险废物</w:t>
            </w:r>
          </w:p>
        </w:tc>
        <w:tc>
          <w:tcPr>
            <w:tcW w:w="125" w:type="dxa"/>
            <w:tcBorders>
              <w:top w:val="nil"/>
              <w:left w:val="single" w:sz="4" w:space="0" w:color="000000"/>
              <w:bottom w:val="nil"/>
            </w:tcBorders>
          </w:tcPr>
          <w:p>
            <w:pPr>
              <w:pStyle w:val="TableParagraph"/>
              <w:rPr>
                <w:rFonts w:ascii="Times New Roman"/>
                <w:sz w:val="20"/>
              </w:rPr>
            </w:pPr>
          </w:p>
        </w:tc>
      </w:tr>
      <w:tr>
        <w:tblPrEx>
          <w:tblW w:w="0" w:type="auto"/>
          <w:tblInd w:w="298" w:type="dxa"/>
          <w:tblLayout w:type="fixed"/>
          <w:tblCellMar>
            <w:top w:w="0" w:type="dxa"/>
            <w:left w:w="0" w:type="dxa"/>
            <w:bottom w:w="0" w:type="dxa"/>
            <w:right w:w="0" w:type="dxa"/>
          </w:tblCellMar>
        </w:tblPrEx>
        <w:trPr>
          <w:trHeight w:val="457"/>
        </w:trPr>
        <w:tc>
          <w:tcPr>
            <w:tcW w:w="427" w:type="dxa"/>
            <w:vMerge/>
            <w:tcBorders>
              <w:top w:val="nil"/>
              <w:right w:val="single" w:sz="4" w:space="0" w:color="000000"/>
            </w:tcBorders>
          </w:tcPr>
          <w:p>
            <w:pPr>
              <w:rPr>
                <w:sz w:val="2"/>
                <w:szCs w:val="2"/>
              </w:rPr>
            </w:pPr>
          </w:p>
        </w:tc>
        <w:tc>
          <w:tcPr>
            <w:tcW w:w="122" w:type="dxa"/>
            <w:vMerge/>
            <w:tcBorders>
              <w:top w:val="nil"/>
              <w:left w:val="single" w:sz="4" w:space="0" w:color="000000"/>
              <w:bottom w:val="nil"/>
              <w:right w:val="single" w:sz="4" w:space="0" w:color="000000"/>
            </w:tcBorders>
          </w:tcPr>
          <w:p>
            <w:pPr>
              <w:rPr>
                <w:sz w:val="2"/>
                <w:szCs w:val="2"/>
              </w:rPr>
            </w:pPr>
          </w:p>
        </w:tc>
        <w:tc>
          <w:tcPr>
            <w:tcW w:w="686" w:type="dxa"/>
            <w:vMerge/>
            <w:tcBorders>
              <w:top w:val="nil"/>
              <w:left w:val="single" w:sz="4" w:space="0" w:color="000000"/>
              <w:bottom w:val="single" w:sz="4" w:space="0" w:color="000000"/>
              <w:right w:val="single" w:sz="4" w:space="0" w:color="000000"/>
            </w:tcBorders>
          </w:tcPr>
          <w:p>
            <w:pPr>
              <w:rPr>
                <w:sz w:val="2"/>
                <w:szCs w:val="2"/>
              </w:rPr>
            </w:pPr>
          </w:p>
        </w:tc>
        <w:tc>
          <w:tcPr>
            <w:tcW w:w="396" w:type="dxa"/>
            <w:vMerge/>
            <w:tcBorders>
              <w:top w:val="nil"/>
              <w:left w:val="single" w:sz="4" w:space="0" w:color="000000"/>
              <w:bottom w:val="single" w:sz="4" w:space="0" w:color="000000"/>
              <w:right w:val="single" w:sz="4" w:space="0" w:color="000000"/>
            </w:tcBorders>
          </w:tcPr>
          <w:p>
            <w:pPr>
              <w:rPr>
                <w:sz w:val="2"/>
                <w:szCs w:val="2"/>
              </w:rPr>
            </w:pPr>
          </w:p>
        </w:tc>
        <w:tc>
          <w:tcPr>
            <w:tcW w:w="644" w:type="dxa"/>
            <w:tcBorders>
              <w:top w:val="single" w:sz="4" w:space="0" w:color="000000"/>
              <w:left w:val="single" w:sz="4" w:space="0" w:color="000000"/>
              <w:bottom w:val="single" w:sz="4" w:space="0" w:color="000000"/>
              <w:right w:val="single" w:sz="4" w:space="0" w:color="000000"/>
            </w:tcBorders>
          </w:tcPr>
          <w:p>
            <w:pPr>
              <w:pStyle w:val="TableParagraph"/>
              <w:spacing w:line="225" w:lineRule="exact"/>
              <w:ind w:left="147"/>
              <w:rPr>
                <w:sz w:val="18"/>
              </w:rPr>
            </w:pPr>
            <w:r>
              <w:rPr>
                <w:sz w:val="18"/>
              </w:rPr>
              <w:t>生活</w:t>
            </w:r>
          </w:p>
          <w:p>
            <w:pPr>
              <w:pStyle w:val="TableParagraph"/>
              <w:spacing w:before="4" w:line="208" w:lineRule="exact"/>
              <w:ind w:left="147"/>
              <w:rPr>
                <w:sz w:val="18"/>
              </w:rPr>
            </w:pPr>
            <w:r>
              <w:rPr>
                <w:sz w:val="18"/>
              </w:rPr>
              <w:t>垃圾</w:t>
            </w:r>
          </w:p>
        </w:tc>
        <w:tc>
          <w:tcPr>
            <w:tcW w:w="367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12"/>
              <w:ind w:left="1034"/>
              <w:rPr>
                <w:sz w:val="18"/>
              </w:rPr>
            </w:pPr>
            <w:r>
              <w:rPr>
                <w:sz w:val="18"/>
              </w:rPr>
              <w:t xml:space="preserve">生活垃圾收集桶 </w:t>
            </w:r>
            <w:r>
              <w:rPr>
                <w:rFonts w:ascii="Times New Roman" w:eastAsia="Times New Roman"/>
                <w:sz w:val="18"/>
              </w:rPr>
              <w:t xml:space="preserve">2 </w:t>
            </w:r>
            <w:r>
              <w:rPr>
                <w:sz w:val="18"/>
              </w:rPr>
              <w:t>个</w:t>
            </w:r>
          </w:p>
        </w:tc>
        <w:tc>
          <w:tcPr>
            <w:tcW w:w="992" w:type="dxa"/>
            <w:tcBorders>
              <w:top w:val="single" w:sz="4" w:space="0" w:color="000000"/>
              <w:left w:val="single" w:sz="4" w:space="0" w:color="000000"/>
              <w:bottom w:val="single" w:sz="4" w:space="0" w:color="000000"/>
              <w:right w:val="single" w:sz="4" w:space="0" w:color="000000"/>
            </w:tcBorders>
          </w:tcPr>
          <w:p>
            <w:pPr>
              <w:pStyle w:val="TableParagraph"/>
              <w:spacing w:before="112"/>
              <w:ind w:left="112" w:right="94"/>
              <w:jc w:val="center"/>
              <w:rPr>
                <w:sz w:val="18"/>
              </w:rPr>
            </w:pPr>
            <w:r>
              <w:rPr>
                <w:sz w:val="18"/>
              </w:rPr>
              <w:t>无变化</w:t>
            </w:r>
          </w:p>
        </w:tc>
        <w:tc>
          <w:tcPr>
            <w:tcW w:w="1987" w:type="dxa"/>
            <w:tcBorders>
              <w:top w:val="single" w:sz="4" w:space="0" w:color="000000"/>
              <w:left w:val="single" w:sz="4" w:space="0" w:color="000000"/>
              <w:bottom w:val="single" w:sz="4" w:space="0" w:color="000000"/>
              <w:right w:val="single" w:sz="4" w:space="0" w:color="000000"/>
            </w:tcBorders>
          </w:tcPr>
          <w:p>
            <w:pPr>
              <w:pStyle w:val="TableParagraph"/>
              <w:spacing w:line="225" w:lineRule="exact"/>
              <w:ind w:left="166" w:right="150"/>
              <w:jc w:val="center"/>
              <w:rPr>
                <w:sz w:val="18"/>
              </w:rPr>
            </w:pPr>
            <w:r>
              <w:rPr>
                <w:sz w:val="18"/>
              </w:rPr>
              <w:t>依托现有，暂存生活</w:t>
            </w:r>
          </w:p>
          <w:p>
            <w:pPr>
              <w:pStyle w:val="TableParagraph"/>
              <w:spacing w:before="4" w:line="208" w:lineRule="exact"/>
              <w:ind w:left="166" w:right="147"/>
              <w:jc w:val="center"/>
              <w:rPr>
                <w:sz w:val="18"/>
              </w:rPr>
            </w:pPr>
            <w:r>
              <w:rPr>
                <w:sz w:val="18"/>
              </w:rPr>
              <w:t>垃圾</w:t>
            </w:r>
          </w:p>
        </w:tc>
        <w:tc>
          <w:tcPr>
            <w:tcW w:w="125" w:type="dxa"/>
            <w:tcBorders>
              <w:top w:val="nil"/>
              <w:left w:val="single" w:sz="4" w:space="0" w:color="000000"/>
              <w:bottom w:val="nil"/>
            </w:tcBorders>
          </w:tcPr>
          <w:p>
            <w:pPr>
              <w:pStyle w:val="TableParagraph"/>
              <w:rPr>
                <w:rFonts w:ascii="Times New Roman"/>
                <w:sz w:val="20"/>
              </w:rPr>
            </w:pPr>
          </w:p>
        </w:tc>
      </w:tr>
      <w:tr>
        <w:tblPrEx>
          <w:tblW w:w="0" w:type="auto"/>
          <w:tblInd w:w="298" w:type="dxa"/>
          <w:tblLayout w:type="fixed"/>
          <w:tblCellMar>
            <w:top w:w="0" w:type="dxa"/>
            <w:left w:w="0" w:type="dxa"/>
            <w:bottom w:w="0" w:type="dxa"/>
            <w:right w:w="0" w:type="dxa"/>
          </w:tblCellMar>
        </w:tblPrEx>
        <w:trPr>
          <w:trHeight w:val="10601"/>
        </w:trPr>
        <w:tc>
          <w:tcPr>
            <w:tcW w:w="427" w:type="dxa"/>
            <w:vMerge/>
            <w:tcBorders>
              <w:top w:val="nil"/>
              <w:right w:val="single" w:sz="4" w:space="0" w:color="000000"/>
            </w:tcBorders>
          </w:tcPr>
          <w:p>
            <w:pPr>
              <w:rPr>
                <w:sz w:val="2"/>
                <w:szCs w:val="2"/>
              </w:rPr>
            </w:pPr>
          </w:p>
        </w:tc>
        <w:tc>
          <w:tcPr>
            <w:tcW w:w="8625" w:type="dxa"/>
            <w:gridSpan w:val="9"/>
            <w:tcBorders>
              <w:top w:val="single" w:sz="4" w:space="0" w:color="000000"/>
              <w:left w:val="single" w:sz="4" w:space="0" w:color="000000"/>
            </w:tcBorders>
          </w:tcPr>
          <w:p>
            <w:pPr>
              <w:pStyle w:val="TableParagraph"/>
              <w:spacing w:before="5"/>
              <w:rPr>
                <w:b/>
                <w:sz w:val="18"/>
              </w:rPr>
            </w:pPr>
          </w:p>
          <w:p>
            <w:pPr>
              <w:pStyle w:val="TableParagraph"/>
              <w:numPr>
                <w:ilvl w:val="0"/>
                <w:numId w:val="13"/>
              </w:numPr>
              <w:tabs>
                <w:tab w:val="left" w:pos="693"/>
              </w:tabs>
              <w:spacing w:before="1" w:after="0" w:line="240" w:lineRule="auto"/>
              <w:ind w:left="692" w:right="0" w:hanging="161"/>
              <w:jc w:val="left"/>
              <w:rPr>
                <w:b/>
                <w:sz w:val="21"/>
              </w:rPr>
            </w:pPr>
            <w:r>
              <w:rPr>
                <w:b/>
                <w:sz w:val="21"/>
              </w:rPr>
              <w:t>项目用排水平衡</w:t>
            </w:r>
          </w:p>
          <w:p>
            <w:pPr>
              <w:pStyle w:val="TableParagraph"/>
              <w:spacing w:before="139" w:line="364" w:lineRule="auto"/>
              <w:ind w:left="110" w:right="84" w:firstLine="419"/>
              <w:jc w:val="both"/>
              <w:rPr>
                <w:sz w:val="21"/>
              </w:rPr>
            </w:pPr>
            <w:r>
              <w:rPr>
                <w:sz w:val="21"/>
              </w:rPr>
              <w:t xml:space="preserve">扩建项目无生产工艺用水：印刷机在更换印刷产品及油墨时，使用刮刀和抹布进行清洁，不需用水或溶剂；车间地面清洁方式为简单的清扫，不需水冲洗。厂区现有员工 </w:t>
            </w:r>
            <w:r>
              <w:rPr>
                <w:rFonts w:ascii="Times New Roman" w:eastAsia="Times New Roman"/>
                <w:sz w:val="21"/>
              </w:rPr>
              <w:t xml:space="preserve">70 </w:t>
            </w:r>
            <w:r>
              <w:rPr>
                <w:sz w:val="21"/>
              </w:rPr>
              <w:t>人，不新增员工，无食堂、宿舍。因此，本次扩建项目无生产废水、生活污水，不增加废水总量。</w:t>
            </w:r>
          </w:p>
          <w:p>
            <w:pPr>
              <w:pStyle w:val="TableParagraph"/>
              <w:numPr>
                <w:ilvl w:val="0"/>
                <w:numId w:val="13"/>
              </w:numPr>
              <w:tabs>
                <w:tab w:val="left" w:pos="693"/>
              </w:tabs>
              <w:spacing w:before="0" w:after="0" w:line="268" w:lineRule="exact"/>
              <w:ind w:left="692" w:right="0" w:hanging="161"/>
              <w:jc w:val="left"/>
              <w:rPr>
                <w:b/>
                <w:sz w:val="21"/>
              </w:rPr>
            </w:pPr>
            <w:r>
              <w:rPr>
                <w:b/>
                <w:sz w:val="21"/>
              </w:rPr>
              <w:t>劳动定员及工作制度</w:t>
            </w:r>
          </w:p>
          <w:p>
            <w:pPr>
              <w:pStyle w:val="TableParagraph"/>
              <w:spacing w:before="139"/>
              <w:ind w:left="530"/>
              <w:rPr>
                <w:sz w:val="21"/>
              </w:rPr>
            </w:pPr>
            <w:r>
              <w:rPr>
                <w:sz w:val="21"/>
              </w:rPr>
              <w:t xml:space="preserve">劳动定员：厂区现有员工 </w:t>
            </w:r>
            <w:r>
              <w:rPr>
                <w:rFonts w:ascii="Times New Roman" w:eastAsia="Times New Roman"/>
                <w:sz w:val="21"/>
              </w:rPr>
              <w:t xml:space="preserve">70 </w:t>
            </w:r>
            <w:r>
              <w:rPr>
                <w:sz w:val="21"/>
              </w:rPr>
              <w:t>人，不新增员工，无食堂、宿舍。</w:t>
            </w:r>
          </w:p>
          <w:p>
            <w:pPr>
              <w:pStyle w:val="TableParagraph"/>
              <w:spacing w:before="141"/>
              <w:ind w:left="530"/>
              <w:rPr>
                <w:sz w:val="21"/>
              </w:rPr>
            </w:pPr>
            <w:r>
              <w:rPr>
                <w:sz w:val="21"/>
              </w:rPr>
              <w:t xml:space="preserve">工作制度：年工作天数 </w:t>
            </w:r>
            <w:r>
              <w:rPr>
                <w:rFonts w:ascii="Times New Roman" w:eastAsia="Times New Roman"/>
                <w:sz w:val="21"/>
              </w:rPr>
              <w:t xml:space="preserve">300 </w:t>
            </w:r>
            <w:r>
              <w:rPr>
                <w:sz w:val="21"/>
              </w:rPr>
              <w:t xml:space="preserve">天，每天 </w:t>
            </w:r>
            <w:r>
              <w:rPr>
                <w:rFonts w:ascii="Times New Roman" w:eastAsia="Times New Roman"/>
                <w:sz w:val="21"/>
              </w:rPr>
              <w:t xml:space="preserve">8 </w:t>
            </w:r>
            <w:r>
              <w:rPr>
                <w:sz w:val="21"/>
              </w:rPr>
              <w:t xml:space="preserve">小时，年工作时间为 </w:t>
            </w:r>
            <w:r>
              <w:rPr>
                <w:rFonts w:ascii="Times New Roman" w:eastAsia="Times New Roman"/>
                <w:sz w:val="21"/>
              </w:rPr>
              <w:t xml:space="preserve">2400 </w:t>
            </w:r>
            <w:r>
              <w:rPr>
                <w:sz w:val="21"/>
              </w:rPr>
              <w:t>小时。</w:t>
            </w:r>
          </w:p>
          <w:p>
            <w:pPr>
              <w:pStyle w:val="TableParagraph"/>
              <w:numPr>
                <w:ilvl w:val="0"/>
                <w:numId w:val="13"/>
              </w:numPr>
              <w:tabs>
                <w:tab w:val="left" w:pos="693"/>
              </w:tabs>
              <w:spacing w:before="139" w:after="0" w:line="240" w:lineRule="auto"/>
              <w:ind w:left="692" w:right="0" w:hanging="161"/>
              <w:jc w:val="left"/>
              <w:rPr>
                <w:b/>
                <w:sz w:val="21"/>
              </w:rPr>
            </w:pPr>
            <w:r>
              <w:rPr>
                <w:b/>
                <w:sz w:val="21"/>
              </w:rPr>
              <w:t>厂区平面布置情况</w:t>
            </w:r>
          </w:p>
          <w:p>
            <w:pPr>
              <w:pStyle w:val="TableParagraph"/>
              <w:spacing w:before="139"/>
              <w:ind w:left="530"/>
              <w:jc w:val="both"/>
              <w:rPr>
                <w:sz w:val="21"/>
              </w:rPr>
            </w:pPr>
            <w:r>
              <w:rPr>
                <w:sz w:val="21"/>
              </w:rPr>
              <w:t xml:space="preserve">扩建项目位于东坎高新技术产业园盘洋大道 </w:t>
            </w:r>
            <w:r>
              <w:rPr>
                <w:rFonts w:ascii="Times New Roman" w:eastAsia="Times New Roman"/>
                <w:sz w:val="21"/>
              </w:rPr>
              <w:t xml:space="preserve">11 </w:t>
            </w:r>
            <w:r>
              <w:rPr>
                <w:sz w:val="21"/>
              </w:rPr>
              <w:t>号现有厂区内，地理位置</w:t>
            </w:r>
            <w:hyperlink w:anchor="_bookmark74" w:history="1">
              <w:r>
                <w:rPr>
                  <w:sz w:val="21"/>
                </w:rPr>
                <w:t>见附图一</w:t>
              </w:r>
            </w:hyperlink>
            <w:r>
              <w:rPr>
                <w:sz w:val="21"/>
              </w:rPr>
              <w:t>。</w:t>
            </w:r>
          </w:p>
          <w:p>
            <w:pPr>
              <w:pStyle w:val="TableParagraph"/>
              <w:spacing w:before="139" w:line="364" w:lineRule="auto"/>
              <w:ind w:left="110" w:right="84" w:firstLine="419"/>
              <w:jc w:val="both"/>
              <w:rPr>
                <w:sz w:val="21"/>
              </w:rPr>
            </w:pPr>
            <w:r>
              <w:rPr>
                <w:spacing w:val="-3"/>
                <w:w w:val="100"/>
                <w:sz w:val="21"/>
              </w:rPr>
              <w:t>扩建项目位于现有厂区内空置的</w:t>
            </w:r>
            <w:r>
              <w:rPr>
                <w:spacing w:val="-3"/>
                <w:sz w:val="21"/>
              </w:rPr>
              <w:t xml:space="preserve"> </w:t>
            </w:r>
            <w:r>
              <w:rPr>
                <w:rFonts w:ascii="Times New Roman" w:eastAsia="Times New Roman"/>
                <w:w w:val="100"/>
                <w:sz w:val="21"/>
              </w:rPr>
              <w:t>1#</w:t>
            </w:r>
            <w:r>
              <w:rPr>
                <w:spacing w:val="-2"/>
                <w:w w:val="100"/>
                <w:sz w:val="21"/>
              </w:rPr>
              <w:t>车间</w:t>
            </w:r>
            <w:r>
              <w:rPr>
                <w:spacing w:val="-3"/>
                <w:w w:val="100"/>
                <w:sz w:val="21"/>
              </w:rPr>
              <w:t>（车间内平面布置见</w:t>
            </w:r>
            <w:hyperlink w:anchor="_bookmark79" w:history="1">
              <w:r>
                <w:rPr>
                  <w:spacing w:val="-2"/>
                  <w:w w:val="100"/>
                  <w:sz w:val="21"/>
                </w:rPr>
                <w:t>附图四</w:t>
              </w:r>
            </w:hyperlink>
            <w:r>
              <w:rPr>
                <w:spacing w:val="-106"/>
                <w:w w:val="100"/>
                <w:sz w:val="21"/>
              </w:rPr>
              <w:t>）</w:t>
            </w:r>
            <w:r>
              <w:rPr>
                <w:spacing w:val="-3"/>
                <w:w w:val="100"/>
                <w:sz w:val="21"/>
              </w:rPr>
              <w:t>；</w:t>
            </w:r>
            <w:r>
              <w:rPr>
                <w:rFonts w:ascii="Times New Roman" w:eastAsia="Times New Roman"/>
                <w:w w:val="100"/>
                <w:sz w:val="21"/>
              </w:rPr>
              <w:t>2#</w:t>
            </w:r>
            <w:r>
              <w:rPr>
                <w:spacing w:val="-3"/>
                <w:w w:val="100"/>
                <w:sz w:val="21"/>
              </w:rPr>
              <w:t>车间为现有水</w:t>
            </w:r>
            <w:r>
              <w:rPr>
                <w:spacing w:val="-3"/>
                <w:sz w:val="21"/>
              </w:rPr>
              <w:t>性油墨食品包装生产车间。</w:t>
            </w:r>
            <w:r>
              <w:rPr>
                <w:rFonts w:ascii="Times New Roman" w:eastAsia="Times New Roman"/>
                <w:sz w:val="21"/>
              </w:rPr>
              <w:t>1#</w:t>
            </w:r>
            <w:r>
              <w:rPr>
                <w:spacing w:val="-4"/>
                <w:sz w:val="21"/>
              </w:rPr>
              <w:t>车间西南侧新建甲类仓库，暂存油墨、有机溶剂、机油等危险</w:t>
            </w:r>
            <w:r>
              <w:rPr>
                <w:spacing w:val="-5"/>
                <w:sz w:val="21"/>
              </w:rPr>
              <w:t>品；甲类仓库内设危废仓库，暂存废油墨、废印版、废胶粘剂、废包装桶等危险废物；各车</w:t>
            </w:r>
            <w:r>
              <w:rPr>
                <w:spacing w:val="-4"/>
                <w:sz w:val="21"/>
              </w:rPr>
              <w:t>间内设配料间、固化间、成品暂存间、一般固废暂存区，可独立完成从原料到产品的生产全过程。纵观厂房的平面布置，各分区的布置规划整齐，既方便内外交通联系，又方便原辅材</w:t>
            </w:r>
            <w:r>
              <w:rPr>
                <w:spacing w:val="-3"/>
                <w:sz w:val="21"/>
              </w:rPr>
              <w:t>料和成品的运输，厂区平面布置较合理。建设项目厂区平面布置及车间布局详见</w:t>
            </w:r>
            <w:hyperlink w:anchor="_bookmark75" w:history="1">
              <w:r>
                <w:rPr>
                  <w:spacing w:val="-3"/>
                  <w:sz w:val="21"/>
                </w:rPr>
                <w:t>附图三</w:t>
              </w:r>
            </w:hyperlink>
            <w:r>
              <w:rPr>
                <w:sz w:val="21"/>
              </w:rPr>
              <w:t>。</w:t>
            </w:r>
          </w:p>
        </w:tc>
      </w:tr>
    </w:tbl>
    <w:p>
      <w:pPr>
        <w:spacing w:after="0" w:line="364" w:lineRule="auto"/>
        <w:jc w:val="both"/>
        <w:rPr>
          <w:sz w:val="21"/>
        </w:rPr>
        <w:sectPr>
          <w:footerReference w:type="default" r:id="rId30"/>
          <w:pgSz w:w="11910" w:h="16840"/>
          <w:pgMar w:top="1400" w:right="1140" w:bottom="960" w:left="1140" w:header="0" w:footer="768" w:gutter="0"/>
          <w:pgNumType w:start="21"/>
          <w:cols w:num="1" w:space="720"/>
        </w:sectPr>
      </w:pPr>
    </w:p>
    <w:tbl>
      <w:tblPr>
        <w:tblStyle w:val="TableNormal"/>
        <w:tblW w:w="0" w:type="auto"/>
        <w:tblInd w:w="2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27"/>
        <w:gridCol w:w="8625"/>
      </w:tblGrid>
      <w:tr>
        <w:tblPrEx>
          <w:tblW w:w="0" w:type="auto"/>
          <w:tblInd w:w="2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3779"/>
        </w:trPr>
        <w:tc>
          <w:tcPr>
            <w:tcW w:w="427" w:type="dxa"/>
            <w:tcBorders>
              <w:right w:val="single" w:sz="4"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47" w:line="242" w:lineRule="auto"/>
              <w:ind w:left="107" w:right="91"/>
              <w:jc w:val="both"/>
              <w:rPr>
                <w:sz w:val="21"/>
              </w:rPr>
            </w:pPr>
            <w:r>
              <w:rPr>
                <w:sz w:val="21"/>
              </w:rPr>
              <w:t>工艺流程和产排污环节</w:t>
            </w:r>
          </w:p>
        </w:tc>
        <w:tc>
          <w:tcPr>
            <w:tcW w:w="8625" w:type="dxa"/>
            <w:tcBorders>
              <w:left w:val="single" w:sz="4" w:space="0" w:color="000000"/>
            </w:tcBorders>
          </w:tcPr>
          <w:p>
            <w:pPr>
              <w:pStyle w:val="TableParagraph"/>
              <w:spacing w:before="121"/>
              <w:ind w:left="110"/>
              <w:rPr>
                <w:b/>
                <w:sz w:val="21"/>
              </w:rPr>
            </w:pPr>
            <w:r>
              <w:rPr>
                <w:b/>
                <w:sz w:val="21"/>
              </w:rPr>
              <w:t>一、施工期工艺流程简述</w:t>
            </w:r>
          </w:p>
          <w:p>
            <w:pPr>
              <w:pStyle w:val="TableParagraph"/>
              <w:spacing w:before="98" w:line="364" w:lineRule="auto"/>
              <w:ind w:left="110" w:right="84" w:firstLine="419"/>
              <w:jc w:val="both"/>
              <w:rPr>
                <w:sz w:val="21"/>
              </w:rPr>
            </w:pPr>
            <w:r>
              <w:rPr>
                <w:sz w:val="21"/>
              </w:rPr>
              <w:t xml:space="preserve">本项目位于滨海县东坎高新技术产业园盘洋大道 </w:t>
            </w:r>
            <w:r>
              <w:rPr>
                <w:rFonts w:ascii="Times New Roman" w:eastAsia="Times New Roman"/>
                <w:sz w:val="21"/>
              </w:rPr>
              <w:t xml:space="preserve">11 </w:t>
            </w:r>
            <w:r>
              <w:rPr>
                <w:sz w:val="21"/>
              </w:rPr>
              <w:t>号现有厂区，现有标准生产车间内。本项目施工期只进行设备安装、地面防渗等简单施工。项目施工期短，施工工艺简单， 不再着重分析施工期工艺流程。</w:t>
            </w:r>
          </w:p>
          <w:p>
            <w:pPr>
              <w:pStyle w:val="TableParagraph"/>
              <w:spacing w:before="120"/>
              <w:ind w:left="110"/>
              <w:rPr>
                <w:b/>
                <w:sz w:val="21"/>
              </w:rPr>
            </w:pPr>
            <w:r>
              <w:rPr>
                <w:b/>
                <w:sz w:val="21"/>
              </w:rPr>
              <w:t>二、运营期工艺流程简述</w:t>
            </w:r>
          </w:p>
          <w:p>
            <w:pPr>
              <w:pStyle w:val="TableParagraph"/>
              <w:spacing w:before="98" w:line="364" w:lineRule="auto"/>
              <w:ind w:left="110" w:right="83" w:firstLine="419"/>
              <w:rPr>
                <w:sz w:val="21"/>
              </w:rPr>
            </w:pPr>
            <w:r>
              <w:rPr>
                <w:sz w:val="21"/>
              </w:rPr>
              <w:t>扩建项目产品为食品包装封口膜、单片压花膜，两种产品仅图案、尺寸不同，均采用相同设备生产、产排污相同。</w:t>
            </w:r>
          </w:p>
          <w:p>
            <w:pPr>
              <w:pStyle w:val="TableParagraph"/>
              <w:ind w:left="532"/>
              <w:rPr>
                <w:b/>
                <w:sz w:val="21"/>
              </w:rPr>
            </w:pPr>
            <w:r>
              <w:rPr>
                <w:rFonts w:ascii="Times New Roman" w:eastAsia="Times New Roman"/>
                <w:b/>
                <w:sz w:val="21"/>
              </w:rPr>
              <w:t>1.</w:t>
            </w:r>
            <w:r>
              <w:rPr>
                <w:b/>
                <w:sz w:val="21"/>
              </w:rPr>
              <w:t>生产工艺</w:t>
            </w:r>
          </w:p>
          <w:p>
            <w:pPr>
              <w:pStyle w:val="TableParagraph"/>
              <w:spacing w:before="140"/>
              <w:ind w:left="530"/>
              <w:rPr>
                <w:sz w:val="21"/>
              </w:rPr>
            </w:pPr>
            <w:r>
              <w:rPr>
                <w:sz w:val="21"/>
              </w:rPr>
              <w:t>食品包装封口膜、单片压花膜的生产工艺及产物节点见下</w:t>
            </w:r>
            <w:hyperlink w:anchor="_bookmark13" w:history="1">
              <w:r>
                <w:rPr>
                  <w:sz w:val="21"/>
                </w:rPr>
                <w:t xml:space="preserve">图 </w:t>
              </w:r>
              <w:r>
                <w:rPr>
                  <w:rFonts w:ascii="Times New Roman" w:eastAsia="Times New Roman"/>
                  <w:sz w:val="21"/>
                </w:rPr>
                <w:t>2-2</w:t>
              </w:r>
            </w:hyperlink>
            <w:r>
              <w:rPr>
                <w:sz w:val="21"/>
              </w:rPr>
              <w:t>。</w:t>
            </w:r>
          </w:p>
          <w:p>
            <w:pPr>
              <w:pStyle w:val="TableParagraph"/>
              <w:spacing w:before="9"/>
              <w:rPr>
                <w:b/>
                <w:sz w:val="19"/>
              </w:rPr>
            </w:pPr>
          </w:p>
          <w:p>
            <w:pPr>
              <w:pStyle w:val="TableParagraph"/>
              <w:tabs>
                <w:tab w:val="left" w:pos="3726"/>
              </w:tabs>
              <w:ind w:left="399"/>
              <w:rPr>
                <w:sz w:val="20"/>
              </w:rPr>
            </w:pPr>
            <w:r>
              <w:rPr>
                <w:sz w:val="20"/>
              </w:rPr>
              <w:t>油</w:t>
            </w:r>
            <w:r>
              <w:rPr>
                <w:spacing w:val="14"/>
                <w:sz w:val="20"/>
              </w:rPr>
              <w:t>墨</w:t>
            </w:r>
            <w:r>
              <w:rPr>
                <w:spacing w:val="7"/>
                <w:sz w:val="20"/>
              </w:rPr>
              <w:t>、</w:t>
            </w:r>
            <w:r>
              <w:rPr>
                <w:sz w:val="20"/>
              </w:rPr>
              <w:t>粘</w:t>
            </w:r>
            <w:r>
              <w:rPr>
                <w:spacing w:val="22"/>
                <w:sz w:val="20"/>
              </w:rPr>
              <w:t>合</w:t>
            </w:r>
            <w:r>
              <w:rPr>
                <w:sz w:val="20"/>
              </w:rPr>
              <w:t>剂</w:t>
            </w:r>
            <w:r>
              <w:rPr>
                <w:spacing w:val="7"/>
                <w:sz w:val="20"/>
              </w:rPr>
              <w:t>、</w:t>
            </w:r>
            <w:r>
              <w:rPr>
                <w:sz w:val="20"/>
              </w:rPr>
              <w:t>溶剂</w:t>
            </w:r>
            <w:r>
              <w:rPr>
                <w:sz w:val="20"/>
              </w:rPr>
              <w:tab/>
            </w:r>
            <w:r>
              <w:rPr>
                <w:rFonts w:ascii="Times New Roman" w:eastAsia="Times New Roman"/>
                <w:spacing w:val="4"/>
                <w:sz w:val="20"/>
              </w:rPr>
              <w:t>PET</w:t>
            </w:r>
            <w:r>
              <w:rPr>
                <w:spacing w:val="7"/>
                <w:sz w:val="20"/>
              </w:rPr>
              <w:t>膜、</w:t>
            </w:r>
            <w:r>
              <w:rPr>
                <w:rFonts w:ascii="Times New Roman" w:eastAsia="Times New Roman"/>
                <w:spacing w:val="3"/>
                <w:sz w:val="20"/>
              </w:rPr>
              <w:t>PE</w:t>
            </w:r>
            <w:r>
              <w:rPr>
                <w:spacing w:val="7"/>
                <w:sz w:val="20"/>
              </w:rPr>
              <w:t>膜、</w:t>
            </w:r>
            <w:r>
              <w:rPr>
                <w:sz w:val="20"/>
              </w:rPr>
              <w:t>铝箔</w:t>
            </w:r>
          </w:p>
          <w:p>
            <w:pPr>
              <w:pStyle w:val="TableParagraph"/>
              <w:spacing w:before="75"/>
              <w:ind w:right="1561"/>
              <w:jc w:val="right"/>
              <w:rPr>
                <w:sz w:val="20"/>
              </w:rPr>
            </w:pPr>
            <w:r>
              <w:rPr>
                <w:rFonts w:ascii="Times New Roman" w:eastAsia="Times New Roman"/>
                <w:sz w:val="20"/>
              </w:rPr>
              <w:t>G2-2</w:t>
            </w:r>
            <w:r>
              <w:rPr>
                <w:sz w:val="20"/>
              </w:rPr>
              <w:t>印刷废气</w:t>
            </w:r>
          </w:p>
          <w:p>
            <w:pPr>
              <w:pStyle w:val="TableParagraph"/>
              <w:tabs>
                <w:tab w:val="left" w:pos="5788"/>
              </w:tabs>
              <w:spacing w:before="38" w:line="172" w:lineRule="auto"/>
              <w:ind w:left="3486"/>
              <w:rPr>
                <w:sz w:val="20"/>
              </w:rPr>
            </w:pPr>
            <w:r>
              <w:rPr>
                <w:position w:val="-11"/>
                <w:sz w:val="20"/>
              </w:rPr>
              <w:t>油墨</w:t>
            </w:r>
            <w:r>
              <w:rPr>
                <w:position w:val="-11"/>
                <w:sz w:val="20"/>
              </w:rPr>
              <w:tab/>
            </w:r>
            <w:r>
              <w:rPr>
                <w:rFonts w:ascii="Times New Roman" w:eastAsia="Times New Roman"/>
                <w:spacing w:val="3"/>
                <w:sz w:val="20"/>
              </w:rPr>
              <w:t>S2-2</w:t>
            </w:r>
            <w:r>
              <w:rPr>
                <w:sz w:val="20"/>
              </w:rPr>
              <w:t>废</w:t>
            </w:r>
            <w:r>
              <w:rPr>
                <w:spacing w:val="22"/>
                <w:sz w:val="20"/>
              </w:rPr>
              <w:t>油</w:t>
            </w:r>
            <w:r>
              <w:rPr>
                <w:sz w:val="20"/>
              </w:rPr>
              <w:t>墨</w:t>
            </w:r>
          </w:p>
          <w:p>
            <w:pPr>
              <w:pStyle w:val="TableParagraph"/>
              <w:tabs>
                <w:tab w:val="left" w:pos="4426"/>
                <w:tab w:val="left" w:pos="5788"/>
              </w:tabs>
              <w:spacing w:line="217" w:lineRule="exact"/>
              <w:ind w:left="2456"/>
              <w:rPr>
                <w:sz w:val="20"/>
              </w:rPr>
            </w:pPr>
            <w:r>
              <w:rPr>
                <w:rFonts w:ascii="Times New Roman" w:eastAsia="Times New Roman"/>
                <w:spacing w:val="3"/>
                <w:sz w:val="20"/>
              </w:rPr>
              <w:t>G2-1</w:t>
            </w:r>
            <w:r>
              <w:rPr>
                <w:sz w:val="20"/>
              </w:rPr>
              <w:t>废气</w:t>
            </w:r>
            <w:r>
              <w:rPr>
                <w:sz w:val="20"/>
              </w:rPr>
              <w:tab/>
            </w:r>
            <w:r>
              <w:rPr>
                <w:position w:val="1"/>
                <w:sz w:val="20"/>
              </w:rPr>
              <w:t>印</w:t>
            </w:r>
            <w:r>
              <w:rPr>
                <w:spacing w:val="-40"/>
                <w:position w:val="1"/>
                <w:sz w:val="20"/>
              </w:rPr>
              <w:t xml:space="preserve"> </w:t>
            </w:r>
            <w:r>
              <w:rPr>
                <w:position w:val="1"/>
                <w:sz w:val="20"/>
              </w:rPr>
              <w:t>刷</w:t>
            </w:r>
            <w:r>
              <w:rPr>
                <w:position w:val="1"/>
                <w:sz w:val="20"/>
              </w:rPr>
              <w:tab/>
            </w:r>
            <w:r>
              <w:rPr>
                <w:rFonts w:ascii="Times New Roman" w:eastAsia="Times New Roman"/>
                <w:spacing w:val="3"/>
                <w:position w:val="1"/>
                <w:sz w:val="20"/>
              </w:rPr>
              <w:t>S2-3</w:t>
            </w:r>
            <w:r>
              <w:rPr>
                <w:position w:val="1"/>
                <w:sz w:val="20"/>
              </w:rPr>
              <w:t>废</w:t>
            </w:r>
            <w:r>
              <w:rPr>
                <w:spacing w:val="22"/>
                <w:position w:val="1"/>
                <w:sz w:val="20"/>
              </w:rPr>
              <w:t>印</w:t>
            </w:r>
            <w:r>
              <w:rPr>
                <w:position w:val="1"/>
                <w:sz w:val="20"/>
              </w:rPr>
              <w:t>版</w:t>
            </w:r>
          </w:p>
          <w:p>
            <w:pPr>
              <w:pStyle w:val="TableParagraph"/>
              <w:spacing w:before="2"/>
              <w:ind w:left="5788"/>
              <w:rPr>
                <w:sz w:val="20"/>
              </w:rPr>
            </w:pPr>
            <w:r>
              <w:rPr>
                <w:rFonts w:ascii="Times New Roman" w:eastAsia="Times New Roman"/>
                <w:sz w:val="20"/>
              </w:rPr>
              <w:t>N</w:t>
            </w:r>
            <w:r>
              <w:rPr>
                <w:sz w:val="20"/>
              </w:rPr>
              <w:t>噪声</w:t>
            </w:r>
          </w:p>
          <w:p>
            <w:pPr>
              <w:pStyle w:val="TableParagraph"/>
              <w:tabs>
                <w:tab w:val="left" w:pos="5787"/>
              </w:tabs>
              <w:spacing w:before="24"/>
              <w:ind w:left="1104"/>
              <w:rPr>
                <w:sz w:val="20"/>
              </w:rPr>
            </w:pPr>
            <w:r>
              <w:rPr>
                <w:sz w:val="20"/>
              </w:rPr>
              <w:t>配</w:t>
            </w:r>
            <w:r>
              <w:rPr>
                <w:spacing w:val="-39"/>
                <w:sz w:val="20"/>
              </w:rPr>
              <w:t xml:space="preserve"> </w:t>
            </w:r>
            <w:r>
              <w:rPr>
                <w:sz w:val="20"/>
              </w:rPr>
              <w:t>料</w:t>
            </w:r>
            <w:r>
              <w:rPr>
                <w:sz w:val="20"/>
              </w:rPr>
              <w:tab/>
            </w:r>
            <w:r>
              <w:rPr>
                <w:rFonts w:ascii="Times New Roman" w:eastAsia="Times New Roman"/>
                <w:spacing w:val="3"/>
                <w:sz w:val="20"/>
              </w:rPr>
              <w:t>G2-3</w:t>
            </w:r>
            <w:r>
              <w:rPr>
                <w:sz w:val="20"/>
              </w:rPr>
              <w:t>复</w:t>
            </w:r>
            <w:r>
              <w:rPr>
                <w:spacing w:val="22"/>
                <w:sz w:val="20"/>
              </w:rPr>
              <w:t>合</w:t>
            </w:r>
            <w:r>
              <w:rPr>
                <w:sz w:val="20"/>
              </w:rPr>
              <w:t>废气</w:t>
            </w:r>
          </w:p>
          <w:p>
            <w:pPr>
              <w:pStyle w:val="TableParagraph"/>
              <w:tabs>
                <w:tab w:val="left" w:pos="5788"/>
              </w:tabs>
              <w:spacing w:before="143" w:line="206" w:lineRule="exact"/>
              <w:ind w:left="3429"/>
              <w:rPr>
                <w:sz w:val="20"/>
              </w:rPr>
            </w:pPr>
            <w:r>
              <w:rPr>
                <w:position w:val="1"/>
                <w:sz w:val="20"/>
              </w:rPr>
              <w:t>胶</w:t>
            </w:r>
            <w:r>
              <w:rPr>
                <w:spacing w:val="22"/>
                <w:position w:val="1"/>
                <w:sz w:val="20"/>
              </w:rPr>
              <w:t>粘</w:t>
            </w:r>
            <w:r>
              <w:rPr>
                <w:position w:val="1"/>
                <w:sz w:val="20"/>
              </w:rPr>
              <w:t>剂</w:t>
            </w:r>
            <w:r>
              <w:rPr>
                <w:position w:val="1"/>
                <w:sz w:val="20"/>
              </w:rPr>
              <w:tab/>
            </w:r>
            <w:r>
              <w:rPr>
                <w:rFonts w:ascii="Times New Roman" w:eastAsia="Times New Roman"/>
                <w:spacing w:val="3"/>
                <w:sz w:val="20"/>
              </w:rPr>
              <w:t>S2-4</w:t>
            </w:r>
            <w:r>
              <w:rPr>
                <w:sz w:val="20"/>
              </w:rPr>
              <w:t>废</w:t>
            </w:r>
            <w:r>
              <w:rPr>
                <w:spacing w:val="22"/>
                <w:sz w:val="20"/>
              </w:rPr>
              <w:t>粘</w:t>
            </w:r>
            <w:r>
              <w:rPr>
                <w:sz w:val="20"/>
              </w:rPr>
              <w:t>合剂</w:t>
            </w:r>
          </w:p>
          <w:p>
            <w:pPr>
              <w:pStyle w:val="TableParagraph"/>
              <w:spacing w:line="136" w:lineRule="exact"/>
              <w:ind w:left="4426"/>
              <w:rPr>
                <w:sz w:val="20"/>
              </w:rPr>
            </w:pPr>
            <w:r>
              <w:rPr>
                <w:sz w:val="20"/>
              </w:rPr>
              <w:t>复 合</w:t>
            </w:r>
          </w:p>
          <w:p>
            <w:pPr>
              <w:pStyle w:val="TableParagraph"/>
              <w:spacing w:line="196" w:lineRule="exact"/>
              <w:ind w:left="5788"/>
              <w:rPr>
                <w:sz w:val="20"/>
              </w:rPr>
            </w:pPr>
            <w:r>
              <w:rPr>
                <w:rFonts w:ascii="Times New Roman" w:eastAsia="Times New Roman"/>
                <w:sz w:val="20"/>
              </w:rPr>
              <w:t>N</w:t>
            </w:r>
            <w:r>
              <w:rPr>
                <w:sz w:val="20"/>
              </w:rPr>
              <w:t>噪声</w:t>
            </w:r>
          </w:p>
          <w:p>
            <w:pPr>
              <w:pStyle w:val="TableParagraph"/>
              <w:tabs>
                <w:tab w:val="left" w:pos="4958"/>
              </w:tabs>
              <w:spacing w:before="63"/>
              <w:ind w:right="1561"/>
              <w:jc w:val="right"/>
              <w:rPr>
                <w:sz w:val="20"/>
              </w:rPr>
            </w:pPr>
            <w:r>
              <w:rPr>
                <w:rFonts w:ascii="Times New Roman" w:eastAsia="Times New Roman"/>
                <w:spacing w:val="2"/>
                <w:position w:val="-3"/>
                <w:sz w:val="20"/>
              </w:rPr>
              <w:t>S2-1</w:t>
            </w:r>
            <w:r>
              <w:rPr>
                <w:position w:val="-3"/>
                <w:sz w:val="20"/>
              </w:rPr>
              <w:t>废</w:t>
            </w:r>
            <w:r>
              <w:rPr>
                <w:spacing w:val="22"/>
                <w:position w:val="-3"/>
                <w:sz w:val="20"/>
              </w:rPr>
              <w:t>包</w:t>
            </w:r>
            <w:r>
              <w:rPr>
                <w:position w:val="-3"/>
                <w:sz w:val="20"/>
              </w:rPr>
              <w:t>材</w:t>
            </w:r>
            <w:r>
              <w:rPr>
                <w:position w:val="-3"/>
                <w:sz w:val="20"/>
              </w:rPr>
              <w:tab/>
            </w:r>
            <w:r>
              <w:rPr>
                <w:rFonts w:ascii="Times New Roman" w:eastAsia="Times New Roman"/>
                <w:spacing w:val="3"/>
                <w:sz w:val="20"/>
              </w:rPr>
              <w:t>G2-4</w:t>
            </w:r>
            <w:r>
              <w:rPr>
                <w:sz w:val="20"/>
              </w:rPr>
              <w:t>固</w:t>
            </w:r>
            <w:r>
              <w:rPr>
                <w:spacing w:val="22"/>
                <w:sz w:val="20"/>
              </w:rPr>
              <w:t>化</w:t>
            </w:r>
            <w:r>
              <w:rPr>
                <w:sz w:val="20"/>
              </w:rPr>
              <w:t>废气</w:t>
            </w:r>
          </w:p>
          <w:p>
            <w:pPr>
              <w:pStyle w:val="TableParagraph"/>
              <w:spacing w:before="7"/>
              <w:rPr>
                <w:b/>
                <w:sz w:val="18"/>
              </w:rPr>
            </w:pPr>
          </w:p>
          <w:p>
            <w:pPr>
              <w:pStyle w:val="TableParagraph"/>
              <w:ind w:left="4426"/>
              <w:rPr>
                <w:sz w:val="20"/>
              </w:rPr>
            </w:pPr>
            <w:r>
              <w:rPr>
                <w:sz w:val="20"/>
              </w:rPr>
              <w:t>固 化</w:t>
            </w:r>
          </w:p>
          <w:p>
            <w:pPr>
              <w:pStyle w:val="TableParagraph"/>
              <w:rPr>
                <w:b/>
                <w:sz w:val="20"/>
              </w:rPr>
            </w:pPr>
          </w:p>
          <w:p>
            <w:pPr>
              <w:pStyle w:val="TableParagraph"/>
              <w:spacing w:before="11"/>
              <w:rPr>
                <w:b/>
                <w:sz w:val="15"/>
              </w:rPr>
            </w:pPr>
          </w:p>
          <w:p>
            <w:pPr>
              <w:pStyle w:val="TableParagraph"/>
              <w:spacing w:before="1" w:line="219" w:lineRule="exact"/>
              <w:ind w:left="5788"/>
              <w:rPr>
                <w:sz w:val="20"/>
              </w:rPr>
            </w:pPr>
            <w:r>
              <w:rPr>
                <w:rFonts w:ascii="Times New Roman" w:eastAsia="Times New Roman"/>
                <w:sz w:val="20"/>
              </w:rPr>
              <w:t>S2-5</w:t>
            </w:r>
            <w:r>
              <w:rPr>
                <w:sz w:val="20"/>
              </w:rPr>
              <w:t>废边角料</w:t>
            </w:r>
          </w:p>
          <w:p>
            <w:pPr>
              <w:pStyle w:val="TableParagraph"/>
              <w:tabs>
                <w:tab w:val="left" w:pos="5788"/>
              </w:tabs>
              <w:spacing w:line="309" w:lineRule="exact"/>
              <w:ind w:left="4426"/>
              <w:rPr>
                <w:sz w:val="20"/>
              </w:rPr>
            </w:pPr>
            <w:r>
              <w:rPr>
                <w:position w:val="9"/>
                <w:sz w:val="20"/>
              </w:rPr>
              <w:t>模</w:t>
            </w:r>
            <w:r>
              <w:rPr>
                <w:spacing w:val="-41"/>
                <w:position w:val="9"/>
                <w:sz w:val="20"/>
              </w:rPr>
              <w:t xml:space="preserve"> </w:t>
            </w:r>
            <w:r>
              <w:rPr>
                <w:position w:val="9"/>
                <w:sz w:val="20"/>
              </w:rPr>
              <w:t>切</w:t>
            </w:r>
            <w:r>
              <w:rPr>
                <w:position w:val="9"/>
                <w:sz w:val="20"/>
              </w:rPr>
              <w:tab/>
            </w:r>
            <w:r>
              <w:rPr>
                <w:rFonts w:ascii="Times New Roman" w:eastAsia="Times New Roman"/>
                <w:spacing w:val="5"/>
                <w:sz w:val="20"/>
              </w:rPr>
              <w:t>N</w:t>
            </w:r>
            <w:r>
              <w:rPr>
                <w:sz w:val="20"/>
              </w:rPr>
              <w:t>噪声</w:t>
            </w:r>
          </w:p>
          <w:p>
            <w:pPr>
              <w:pStyle w:val="TableParagraph"/>
              <w:spacing w:before="7"/>
              <w:rPr>
                <w:b/>
                <w:sz w:val="39"/>
              </w:rPr>
            </w:pPr>
          </w:p>
          <w:p>
            <w:pPr>
              <w:pStyle w:val="TableParagraph"/>
              <w:tabs>
                <w:tab w:val="left" w:pos="5788"/>
              </w:tabs>
              <w:spacing w:line="182" w:lineRule="auto"/>
              <w:ind w:left="4426"/>
              <w:rPr>
                <w:sz w:val="20"/>
              </w:rPr>
            </w:pPr>
            <w:r>
              <w:rPr>
                <w:position w:val="-7"/>
                <w:sz w:val="20"/>
              </w:rPr>
              <w:t>分</w:t>
            </w:r>
            <w:r>
              <w:rPr>
                <w:spacing w:val="-40"/>
                <w:position w:val="-7"/>
                <w:sz w:val="20"/>
              </w:rPr>
              <w:t xml:space="preserve"> </w:t>
            </w:r>
            <w:r>
              <w:rPr>
                <w:position w:val="-7"/>
                <w:sz w:val="20"/>
              </w:rPr>
              <w:t>切</w:t>
            </w:r>
            <w:r>
              <w:rPr>
                <w:position w:val="-7"/>
                <w:sz w:val="20"/>
              </w:rPr>
              <w:tab/>
            </w:r>
            <w:r>
              <w:rPr>
                <w:rFonts w:ascii="Times New Roman" w:eastAsia="Times New Roman"/>
                <w:spacing w:val="3"/>
                <w:sz w:val="20"/>
              </w:rPr>
              <w:t>S2-6</w:t>
            </w:r>
            <w:r>
              <w:rPr>
                <w:sz w:val="20"/>
              </w:rPr>
              <w:t>废</w:t>
            </w:r>
            <w:r>
              <w:rPr>
                <w:spacing w:val="22"/>
                <w:sz w:val="20"/>
              </w:rPr>
              <w:t>边</w:t>
            </w:r>
            <w:r>
              <w:rPr>
                <w:sz w:val="20"/>
              </w:rPr>
              <w:t>角料</w:t>
            </w:r>
          </w:p>
          <w:p>
            <w:pPr>
              <w:pStyle w:val="TableParagraph"/>
              <w:spacing w:line="225" w:lineRule="exact"/>
              <w:ind w:left="5788"/>
              <w:rPr>
                <w:sz w:val="20"/>
              </w:rPr>
            </w:pPr>
            <w:r>
              <w:rPr>
                <w:rFonts w:ascii="Times New Roman" w:eastAsia="Times New Roman"/>
                <w:sz w:val="20"/>
              </w:rPr>
              <w:t>N</w:t>
            </w:r>
            <w:r>
              <w:rPr>
                <w:sz w:val="20"/>
              </w:rPr>
              <w:t>噪声</w:t>
            </w:r>
          </w:p>
          <w:p>
            <w:pPr>
              <w:pStyle w:val="TableParagraph"/>
              <w:spacing w:before="63"/>
              <w:ind w:left="1979"/>
              <w:rPr>
                <w:b/>
                <w:sz w:val="20"/>
              </w:rPr>
            </w:pPr>
            <w:r>
              <w:rPr>
                <w:b/>
                <w:sz w:val="20"/>
              </w:rPr>
              <w:t>图 例：</w:t>
            </w:r>
          </w:p>
          <w:p>
            <w:pPr>
              <w:pStyle w:val="TableParagraph"/>
              <w:tabs>
                <w:tab w:val="left" w:pos="4426"/>
                <w:tab w:val="left" w:pos="5788"/>
              </w:tabs>
              <w:spacing w:before="111" w:line="235" w:lineRule="auto"/>
              <w:ind w:left="2031" w:right="1594"/>
              <w:rPr>
                <w:sz w:val="20"/>
              </w:rPr>
            </w:pPr>
            <w:r>
              <w:rPr>
                <w:rFonts w:ascii="Times New Roman" w:eastAsia="Times New Roman" w:hAnsi="Times New Roman"/>
                <w:spacing w:val="6"/>
                <w:position w:val="2"/>
                <w:sz w:val="20"/>
              </w:rPr>
              <w:t>G</w:t>
            </w:r>
            <w:r>
              <w:rPr>
                <w:spacing w:val="6"/>
                <w:position w:val="2"/>
                <w:sz w:val="20"/>
              </w:rPr>
              <w:t>—</w:t>
            </w:r>
            <w:r>
              <w:rPr>
                <w:position w:val="2"/>
                <w:sz w:val="20"/>
              </w:rPr>
              <w:t>废气</w:t>
            </w:r>
            <w:r>
              <w:rPr>
                <w:position w:val="2"/>
                <w:sz w:val="20"/>
              </w:rPr>
              <w:tab/>
            </w:r>
            <w:r>
              <w:rPr>
                <w:sz w:val="20"/>
              </w:rPr>
              <w:t>检</w:t>
            </w:r>
            <w:r>
              <w:rPr>
                <w:spacing w:val="-40"/>
                <w:sz w:val="20"/>
              </w:rPr>
              <w:t xml:space="preserve"> </w:t>
            </w:r>
            <w:r>
              <w:rPr>
                <w:sz w:val="20"/>
              </w:rPr>
              <w:t>查</w:t>
            </w:r>
            <w:r>
              <w:rPr>
                <w:sz w:val="20"/>
              </w:rPr>
              <w:tab/>
            </w:r>
            <w:r>
              <w:rPr>
                <w:rFonts w:ascii="Times New Roman" w:eastAsia="Times New Roman" w:hAnsi="Times New Roman"/>
                <w:spacing w:val="3"/>
                <w:sz w:val="20"/>
              </w:rPr>
              <w:t>S2-7</w:t>
            </w:r>
            <w:r>
              <w:rPr>
                <w:sz w:val="20"/>
              </w:rPr>
              <w:t>不</w:t>
            </w:r>
            <w:r>
              <w:rPr>
                <w:spacing w:val="22"/>
                <w:sz w:val="20"/>
              </w:rPr>
              <w:t>合</w:t>
            </w:r>
            <w:r>
              <w:rPr>
                <w:sz w:val="20"/>
              </w:rPr>
              <w:t>格</w:t>
            </w:r>
            <w:r>
              <w:rPr>
                <w:spacing w:val="-17"/>
                <w:sz w:val="20"/>
              </w:rPr>
              <w:t>品</w:t>
            </w:r>
            <w:r>
              <w:rPr>
                <w:rFonts w:ascii="Times New Roman" w:eastAsia="Times New Roman" w:hAnsi="Times New Roman"/>
                <w:sz w:val="20"/>
              </w:rPr>
              <w:t>S</w:t>
            </w:r>
            <w:r>
              <w:rPr>
                <w:rFonts w:ascii="Times New Roman" w:eastAsia="Times New Roman" w:hAnsi="Times New Roman"/>
                <w:spacing w:val="6"/>
                <w:sz w:val="20"/>
              </w:rPr>
              <w:t xml:space="preserve"> </w:t>
            </w:r>
            <w:r>
              <w:rPr>
                <w:spacing w:val="7"/>
                <w:sz w:val="20"/>
              </w:rPr>
              <w:t>—</w:t>
            </w:r>
            <w:r>
              <w:rPr>
                <w:sz w:val="20"/>
              </w:rPr>
              <w:t>固废</w:t>
            </w:r>
          </w:p>
          <w:p>
            <w:pPr>
              <w:pStyle w:val="TableParagraph"/>
              <w:spacing w:before="25"/>
              <w:ind w:left="2031"/>
              <w:rPr>
                <w:sz w:val="20"/>
              </w:rPr>
            </w:pPr>
            <w:r>
              <w:rPr>
                <w:rFonts w:ascii="Times New Roman" w:eastAsia="Times New Roman" w:hAnsi="Times New Roman"/>
                <w:spacing w:val="5"/>
                <w:sz w:val="20"/>
              </w:rPr>
              <w:t>N</w:t>
            </w:r>
            <w:r>
              <w:rPr>
                <w:spacing w:val="1"/>
                <w:sz w:val="20"/>
              </w:rPr>
              <w:t>—噪声</w:t>
            </w:r>
          </w:p>
          <w:p>
            <w:pPr>
              <w:pStyle w:val="TableParagraph"/>
              <w:spacing w:before="22"/>
              <w:ind w:left="4452"/>
              <w:rPr>
                <w:sz w:val="20"/>
              </w:rPr>
            </w:pPr>
            <w:r>
              <w:rPr>
                <w:sz w:val="20"/>
              </w:rPr>
              <w:t>成品</w:t>
            </w:r>
          </w:p>
          <w:p>
            <w:pPr>
              <w:pStyle w:val="TableParagraph"/>
              <w:spacing w:before="17"/>
              <w:ind w:left="2333"/>
              <w:rPr>
                <w:b/>
                <w:sz w:val="21"/>
              </w:rPr>
            </w:pPr>
            <w:bookmarkStart w:id="13" w:name="_bookmark13"/>
            <w:bookmarkEnd w:id="13"/>
            <w:r>
              <w:rPr>
                <w:b/>
                <w:sz w:val="21"/>
              </w:rPr>
              <w:t xml:space="preserve">图 </w:t>
            </w:r>
            <w:r>
              <w:rPr>
                <w:rFonts w:ascii="Times New Roman" w:eastAsia="Times New Roman"/>
                <w:b/>
                <w:sz w:val="21"/>
              </w:rPr>
              <w:t xml:space="preserve">2-2 </w:t>
            </w:r>
            <w:r>
              <w:rPr>
                <w:b/>
                <w:sz w:val="21"/>
              </w:rPr>
              <w:t>扩建项目生产工艺流程及产污节点图</w:t>
            </w:r>
          </w:p>
          <w:p>
            <w:pPr>
              <w:pStyle w:val="TableParagraph"/>
              <w:numPr>
                <w:ilvl w:val="0"/>
                <w:numId w:val="14"/>
              </w:numPr>
              <w:tabs>
                <w:tab w:val="left" w:pos="849"/>
              </w:tabs>
              <w:spacing w:before="2" w:after="0" w:line="240" w:lineRule="auto"/>
              <w:ind w:left="848" w:right="0" w:hanging="319"/>
              <w:jc w:val="left"/>
              <w:rPr>
                <w:sz w:val="21"/>
              </w:rPr>
            </w:pPr>
            <w:r>
              <w:rPr>
                <w:spacing w:val="-2"/>
                <w:sz w:val="21"/>
              </w:rPr>
              <w:t>配料</w:t>
            </w:r>
          </w:p>
          <w:p>
            <w:pPr>
              <w:pStyle w:val="TableParagraph"/>
              <w:spacing w:before="141" w:line="364" w:lineRule="auto"/>
              <w:ind w:left="530" w:right="720"/>
              <w:rPr>
                <w:sz w:val="21"/>
              </w:rPr>
            </w:pPr>
            <w:r>
              <w:rPr>
                <w:sz w:val="21"/>
              </w:rPr>
              <w:t xml:space="preserve">在密闭的配料间中，将原墨和溶剂、胶粘剂和水，按照适当比例进行人工调配。该工序产生配料废气 </w:t>
            </w:r>
            <w:r>
              <w:rPr>
                <w:rFonts w:ascii="Times New Roman" w:eastAsia="Times New Roman"/>
                <w:sz w:val="21"/>
              </w:rPr>
              <w:t>G2-1</w:t>
            </w:r>
            <w:r>
              <w:rPr>
                <w:sz w:val="21"/>
              </w:rPr>
              <w:t xml:space="preserve">、废包材 </w:t>
            </w:r>
            <w:r>
              <w:rPr>
                <w:rFonts w:ascii="Times New Roman" w:eastAsia="Times New Roman"/>
                <w:sz w:val="21"/>
              </w:rPr>
              <w:t>S2-1</w:t>
            </w:r>
            <w:r>
              <w:rPr>
                <w:sz w:val="21"/>
              </w:rPr>
              <w:t>。</w:t>
            </w:r>
          </w:p>
          <w:p>
            <w:pPr>
              <w:pStyle w:val="TableParagraph"/>
              <w:numPr>
                <w:ilvl w:val="0"/>
                <w:numId w:val="14"/>
              </w:numPr>
              <w:tabs>
                <w:tab w:val="left" w:pos="849"/>
              </w:tabs>
              <w:spacing w:before="0" w:after="0" w:line="267" w:lineRule="exact"/>
              <w:ind w:left="848" w:right="0" w:hanging="319"/>
              <w:jc w:val="left"/>
              <w:rPr>
                <w:sz w:val="21"/>
              </w:rPr>
            </w:pPr>
            <w:r>
              <w:rPr>
                <w:spacing w:val="-2"/>
                <w:sz w:val="21"/>
              </w:rPr>
              <w:t>印刷</w:t>
            </w:r>
          </w:p>
          <w:p>
            <w:pPr>
              <w:pStyle w:val="TableParagraph"/>
              <w:spacing w:before="139" w:line="367" w:lineRule="auto"/>
              <w:ind w:left="110" w:right="80" w:firstLine="419"/>
              <w:rPr>
                <w:sz w:val="21"/>
              </w:rPr>
            </w:pPr>
            <w:r>
              <w:rPr>
                <w:spacing w:val="4"/>
                <w:w w:val="100"/>
                <w:sz w:val="21"/>
              </w:rPr>
              <w:t>建设单位采用凹版印刷（</w:t>
            </w:r>
            <w:r>
              <w:rPr>
                <w:spacing w:val="-14"/>
                <w:w w:val="100"/>
                <w:sz w:val="21"/>
              </w:rPr>
              <w:t>简称“凹印”</w:t>
            </w:r>
            <w:r>
              <w:rPr>
                <w:spacing w:val="-99"/>
                <w:w w:val="100"/>
                <w:sz w:val="21"/>
              </w:rPr>
              <w:t>）</w:t>
            </w:r>
            <w:r>
              <w:rPr>
                <w:spacing w:val="3"/>
                <w:w w:val="100"/>
                <w:sz w:val="21"/>
              </w:rPr>
              <w:t>，把油墨填入下凹印纹，承印物与印版直接接</w:t>
            </w:r>
            <w:r>
              <w:rPr>
                <w:spacing w:val="-3"/>
                <w:sz w:val="21"/>
              </w:rPr>
              <w:t>触，能够呈现细腻的层次感。凹印工艺示意见</w:t>
            </w:r>
            <w:hyperlink w:anchor="_bookmark14" w:history="1">
              <w:r>
                <w:rPr>
                  <w:spacing w:val="-27"/>
                  <w:sz w:val="21"/>
                </w:rPr>
                <w:t xml:space="preserve">图 </w:t>
              </w:r>
              <w:r>
                <w:rPr>
                  <w:rFonts w:ascii="Times New Roman" w:eastAsia="Times New Roman" w:hAnsi="Times New Roman"/>
                  <w:sz w:val="21"/>
                </w:rPr>
                <w:t>2-3</w:t>
              </w:r>
            </w:hyperlink>
            <w:r>
              <w:rPr>
                <w:sz w:val="21"/>
              </w:rPr>
              <w:t>。</w:t>
            </w:r>
          </w:p>
        </w:tc>
      </w:tr>
    </w:tbl>
    <w:p>
      <w:pPr>
        <w:rPr>
          <w:sz w:val="2"/>
          <w:szCs w:val="2"/>
        </w:rPr>
      </w:pPr>
      <w:r>
        <w:pict>
          <v:group id="_x0000_s1189" o:spid="_x0000_s1188" style="width:245.15pt;height:305.7pt;margin-top:286.4pt;margin-left:133pt;mso-height-relative:page;mso-position-horizontal-relative:page;mso-position-vertical-relative:page;mso-width-relative:page;position:absolute;z-index:-251637760" coordorigin="2661,5729" coordsize="4903,6114">
            <v:shape id="_x0000_s1190" o:spid="_x0000_s1189" style="width:693;height:651;left:2580;position:absolute;top:12805" coordorigin="2580,12805" coordsize="693,651" path="m5984,6602l7014,6602,7014,6184,5984,6184,5984,6602xm6499,6602l6499,7143e" filled="f" stroked="t" strokecolor="black">
              <v:path arrowok="t"/>
            </v:shape>
            <v:shape id="_x0000_s1191" o:spid="_x0000_s1190" style="width:101;height:149;left:6449;position:absolute;top:7130" coordorigin="6449,7130" coordsize="101,149" path="m6549,7130l6449,7130,6499,7279,6549,7130xe" filled="t" fillcolor="black" stroked="f">
              <v:path arrowok="t"/>
            </v:shape>
            <v:shape id="_x0000_s1192" o:spid="_x0000_s1191" style="width:469;height:221;left:7014;position:absolute;top:5961" coordorigin="7015,5962" coordsize="469,221" path="m7015,6182l7067,6104,7130,6032,7191,5983,7238,5974,7256,5995,7267,6029,7277,6067,7289,6096,7309,6108,7336,6103,7366,6086,7397,6060,7420,6038,7442,6013,7463,5988,7483,5962e" filled="f" stroked="t" strokecolor="black">
              <v:stroke dashstyle="dot"/>
              <v:path arrowok="t"/>
            </v:shape>
            <v:shape id="_x0000_s1193" o:spid="_x0000_s1192" style="width:127;height:151;left:7435;position:absolute;top:5849" coordorigin="7435,5850" coordsize="127,151" path="m7562,5850l7435,5943,7517,6000,7562,5850xe" filled="t" fillcolor="black" stroked="f">
              <v:path arrowok="t"/>
            </v:shape>
            <v:line id="_x0000_s1194" o:spid="_x0000_s1193" style="position:absolute" from="7015,6393" to="7425,6393" coordsize="21600,21600" stroked="t" strokecolor="black">
              <v:stroke dashstyle="dot"/>
            </v:line>
            <v:shape id="_x0000_s1195" o:spid="_x0000_s1194" style="width:151;height:100;left:7412;position:absolute;top:6343" coordorigin="7413,6344" coordsize="151,100" path="m7413,6344l7413,6443,7563,6393,7413,6344xe" filled="t" fillcolor="black" stroked="f">
              <v:path arrowok="t"/>
            </v:shape>
            <v:rect id="_x0000_s1196" o:spid="_x0000_s1195" style="width:1031;height:418;left:5983;position:absolute;top:7278" coordsize="21600,21600" filled="f" stroked="t" strokecolor="black"/>
            <v:shape id="_x0000_s1197" o:spid="_x0000_s1196" style="width:469;height:221;left:7014;position:absolute;top:7056" coordorigin="7015,7056" coordsize="469,221" path="m7015,7277l7067,7198,7130,7126,7191,7077,7238,7068,7256,7089,7267,7124,7277,7161,7289,7190,7309,7203,7336,7198,7366,7180,7397,7155,7420,7132,7442,7108,7463,7083,7483,7056e" filled="f" stroked="t" strokecolor="black">
              <v:stroke dashstyle="dot"/>
              <v:path arrowok="t"/>
            </v:shape>
            <v:shape id="_x0000_s1198" o:spid="_x0000_s1197" style="width:127;height:151;left:7435;position:absolute;top:6944" coordorigin="7435,6944" coordsize="127,151" path="m7562,6944l7435,7038,7517,7095,7562,6944xe" filled="t" fillcolor="black" stroked="f">
              <v:path arrowok="t"/>
            </v:shape>
            <v:line id="_x0000_s1199" o:spid="_x0000_s1198" style="position:absolute" from="7015,7488" to="7425,7488" coordsize="21600,21600" stroked="t" strokecolor="black">
              <v:stroke dashstyle="dot"/>
            </v:line>
            <v:shape id="_x0000_s1200" o:spid="_x0000_s1199" style="width:151;height:100;left:7412;position:absolute;top:7438" coordorigin="7413,7438" coordsize="151,100" path="m7413,7438l7413,7537,7563,7488,7413,7438xe" filled="t" fillcolor="black" stroked="f">
              <v:path arrowok="t"/>
            </v:shape>
            <v:shape id="_x0000_s1201" o:spid="_x0000_s1200" style="width:693;height:901;left:2580;position:absolute;top:13831" coordorigin="2580,13831" coordsize="693,901" path="m6499,7697l6499,8129m5984,8683l7014,8683,7014,8265,5984,8265,5984,8683xm6499,8683l6499,9025e" filled="f" stroked="t" strokecolor="black">
              <v:path arrowok="t"/>
            </v:shape>
            <v:shape id="_x0000_s1202" o:spid="_x0000_s1201" style="width:101;height:1045;left:6449;position:absolute;top:8116" coordorigin="6449,8116" coordsize="101,1045" path="m6549,9013l6449,9013,6499,9161,6549,9013m6549,8116l6449,8116,6499,8265,6549,8116e" filled="t" fillcolor="black" stroked="f">
              <v:path arrowok="t"/>
            </v:shape>
            <v:line id="_x0000_s1203" o:spid="_x0000_s1202" style="position:absolute" from="6499,5729" to="6499,6048" coordsize="21600,21600" stroked="t" strokecolor="black"/>
            <v:shape id="_x0000_s1204" o:spid="_x0000_s1203" style="width:101;height:149;left:6449;position:absolute;top:6035" coordorigin="6449,6036" coordsize="101,149" path="m6549,6036l6449,6036,6499,6184,6549,6036xe" filled="t" fillcolor="black" stroked="f">
              <v:path arrowok="t"/>
            </v:shape>
            <v:shape id="_x0000_s1205" o:spid="_x0000_s1204" style="width:2144;height:548;left:3702;position:absolute;top:6393" coordorigin="3703,6393" coordsize="2144,548" path="m3703,6941l5285,6941,5285,6393,5846,6393e" filled="f" stroked="t" strokecolor="black">
              <v:path arrowok="t"/>
            </v:shape>
            <v:shape id="_x0000_s1206" o:spid="_x0000_s1205" style="width:151;height:100;left:5833;position:absolute;top:6343" coordorigin="5834,6344" coordsize="151,100" path="m5834,6344l5834,6443,5984,6393,5834,6344xe" filled="t" fillcolor="black" stroked="f">
              <v:path arrowok="t"/>
            </v:shape>
            <v:shape id="_x0000_s1207" o:spid="_x0000_s1206" style="width:693;height:892;left:2580;position:absolute;top:14824" coordorigin="2580,14824" coordsize="693,892" path="m5984,9579l7014,9579,7014,9161,5984,9161,5984,9579xm6499,9579l6499,9921m5984,10476l7014,10476,7014,10058,5984,10058,5984,10476xe" filled="f" stroked="t" strokecolor="black">
              <v:path arrowok="t"/>
            </v:shape>
            <v:shape id="_x0000_s1208" o:spid="_x0000_s1207" style="width:101;height:149;left:6449;position:absolute;top:9908" coordorigin="6449,9909" coordsize="101,149" path="m6549,9909l6449,9909,6499,10058,6549,9909xe" filled="t" fillcolor="black" stroked="f">
              <v:path arrowok="t"/>
            </v:shape>
            <v:line id="_x0000_s1209" o:spid="_x0000_s1208" style="position:absolute" from="6499,10476" to="6499,10818" coordsize="21600,21600" stroked="t" strokecolor="black"/>
            <v:shape id="_x0000_s1210" o:spid="_x0000_s1209" style="width:101;height:149;left:6449;position:absolute;top:10805" coordorigin="6449,10805" coordsize="101,149" path="m6549,10805l6449,10805,6499,10954,6549,10805xe" filled="t" fillcolor="black" stroked="f">
              <v:path arrowok="t"/>
            </v:shape>
            <v:shape id="_x0000_s1211" o:spid="_x0000_s1210" style="width:469;height:221;left:3693;position:absolute;top:6519" coordorigin="3694,6520" coordsize="469,221" path="m3694,6740l3746,6661,3809,6590,3870,6541,3917,6532,3935,6553,3947,6587,3956,6625,3968,6654,3989,6666,4015,6661,4045,6644,4076,6618,4099,6596,4121,6571,4142,6546,4163,6520e" filled="f" stroked="t" strokecolor="black">
              <v:stroke dashstyle="dot"/>
              <v:path arrowok="t"/>
            </v:shape>
            <v:shape id="_x0000_s1212" o:spid="_x0000_s1211" style="width:127;height:151;left:4114;position:absolute;top:6407" coordorigin="4114,6408" coordsize="127,151" path="m4241,6408l4114,6501,4196,6558,4241,6408xe" filled="t" fillcolor="black" stroked="f">
              <v:path arrowok="t"/>
            </v:shape>
            <v:line id="_x0000_s1213" o:spid="_x0000_s1212" style="position:absolute" from="3187,7150" to="3187,7641" coordsize="21600,21600" stroked="t" strokecolor="black">
              <v:stroke dashstyle="dot"/>
            </v:line>
            <v:shape id="_x0000_s1214" o:spid="_x0000_s1213" style="width:101;height:149;left:3137;position:absolute;top:7628" coordorigin="3137,7628" coordsize="101,149" path="m3237,7628l3137,7628,3187,7777,3237,7628xe" filled="t" fillcolor="black" stroked="f">
              <v:path arrowok="t"/>
            </v:shape>
            <v:rect id="_x0000_s1215" o:spid="_x0000_s1214" style="width:1031;height:418;left:2672;position:absolute;top:6732" coordsize="21600,21600" filled="t" fillcolor="white" stroked="f"/>
            <v:shape id="_x0000_s1216" o:spid="_x0000_s1215" style="width:693;height:964;left:355;position:absolute;top:12496" coordorigin="356,12497" coordsize="693,964" path="m2672,7150l3703,7150,3703,6732,2672,6732,2672,7150xm3187,5729l3187,6596e" filled="f" stroked="t" strokecolor="black">
              <v:path arrowok="t"/>
            </v:shape>
            <v:shape id="_x0000_s1217" o:spid="_x0000_s1216" style="width:101;height:149;left:3137;position:absolute;top:6583" coordorigin="3137,6584" coordsize="101,149" path="m3237,6584l3137,6584,3187,6732,3237,6584xe" filled="t" fillcolor="black" stroked="f">
              <v:path arrowok="t"/>
            </v:shape>
            <v:shape id="_x0000_s1218" o:spid="_x0000_s1217" style="width:2144;height:547;left:3702;position:absolute;top:6940" coordorigin="3703,6941" coordsize="2144,547" path="m3703,6941l5285,6941,5285,7488,5846,7488e" filled="f" stroked="t" strokecolor="black">
              <v:path arrowok="t"/>
            </v:shape>
            <v:shape id="_x0000_s1219" o:spid="_x0000_s1218" style="width:151;height:100;left:5833;position:absolute;top:7438" coordorigin="5834,7438" coordsize="151,100" path="m5834,7438l5834,7537,5984,7488,5834,7438xe" filled="t" fillcolor="black" stroked="f">
              <v:path arrowok="t"/>
            </v:shape>
            <v:shape id="_x0000_s1220" o:spid="_x0000_s1219" style="width:469;height:221;left:7014;position:absolute;top:8054" coordorigin="7015,8054" coordsize="469,221" path="m7015,8275l7067,8196,7130,8124,7191,8075,7238,8066,7256,8087,7267,8122,7277,8159,7289,8188,7309,8201,7336,8196,7366,8178,7397,8153,7420,8130,7442,8106,7463,8081,7483,8054e" filled="f" stroked="t" strokecolor="black">
              <v:stroke dashstyle="dot"/>
              <v:path arrowok="t"/>
            </v:shape>
            <v:shape id="_x0000_s1221" o:spid="_x0000_s1220" style="width:127;height:151;left:7435;position:absolute;top:7942" coordorigin="7435,7942" coordsize="127,151" path="m7562,7942l7435,8036,7517,8093,7562,7942xe" filled="t" fillcolor="black" stroked="f">
              <v:path arrowok="t"/>
            </v:shape>
            <v:rect id="_x0000_s1222" o:spid="_x0000_s1221" style="width:1031;height:418;left:5983;position:absolute;top:10953" coordsize="21600,21600" filled="f" stroked="t" strokecolor="black"/>
            <v:line id="_x0000_s1223" o:spid="_x0000_s1222" style="position:absolute" from="7015,9324" to="7425,9324" coordsize="21600,21600" stroked="t" strokecolor="black">
              <v:stroke dashstyle="dot"/>
            </v:line>
            <v:shape id="_x0000_s1224" o:spid="_x0000_s1223" style="width:151;height:100;left:7412;position:absolute;top:9274" coordorigin="7413,9274" coordsize="151,100" path="m7413,9274l7413,9373,7563,9324,7413,9274xe" filled="t" fillcolor="black" stroked="f">
              <v:path arrowok="t"/>
            </v:shape>
            <v:line id="_x0000_s1225" o:spid="_x0000_s1224" style="position:absolute" from="7015,10327" to="7425,10327" coordsize="21600,21600" stroked="t" strokecolor="black">
              <v:stroke dashstyle="dot"/>
            </v:line>
            <v:shape id="_x0000_s1226" o:spid="_x0000_s1225" style="width:151;height:100;left:7412;position:absolute;top:10277" coordorigin="7413,10277" coordsize="151,100" path="m7413,10277l7413,10376,7563,10327,7413,10277xe" filled="t" fillcolor="black" stroked="f">
              <v:path arrowok="t"/>
            </v:shape>
            <v:line id="_x0000_s1227" o:spid="_x0000_s1226" style="position:absolute" from="7015,11163" to="7425,11163" coordsize="21600,21600" stroked="t" strokecolor="black">
              <v:stroke dashstyle="dot"/>
            </v:line>
            <v:shape id="_x0000_s1228" o:spid="_x0000_s1227" style="width:151;height:100;left:7412;position:absolute;top:11113" coordorigin="7413,11113" coordsize="151,100" path="m7413,11113l7413,11212,7563,11163,7413,11113xe" filled="t" fillcolor="black" stroked="f">
              <v:path arrowok="t"/>
            </v:shape>
            <v:line id="_x0000_s1229" o:spid="_x0000_s1228" style="position:absolute" from="6499,11372" to="6499,11706" coordsize="21600,21600" stroked="t" strokecolor="black"/>
            <v:shape id="_x0000_s1230" o:spid="_x0000_s1229" style="width:101;height:149;left:6449;position:absolute;top:11693" coordorigin="6449,11693" coordsize="101,149" path="m6549,11693l6449,11693,6499,11842,6549,11693xe" filled="t" fillcolor="black" stroked="f">
              <v:path arrowok="t"/>
            </v:shape>
          </v:group>
        </w:pict>
      </w:r>
      <w:r>
        <w:pict>
          <v:rect id="_x0000_s1231" o:spid="_x0000_s1230" style="width:56.95pt;height:65.85pt;margin-top:529.2pt;margin-left:185.6pt;mso-height-relative:page;mso-position-horizontal-relative:page;mso-position-vertical-relative:page;mso-width-relative:page;position:absolute;z-index:-251636736" coordsize="21600,21600" filled="f" stroked="t" strokecolor="black"/>
        </w:pict>
      </w:r>
    </w:p>
    <w:p>
      <w:pPr>
        <w:spacing w:after="0"/>
        <w:rPr>
          <w:sz w:val="2"/>
          <w:szCs w:val="2"/>
        </w:rPr>
        <w:sectPr>
          <w:footerReference w:type="default" r:id="rId31"/>
          <w:pgSz w:w="11910" w:h="16840"/>
          <w:pgMar w:top="1400" w:right="1140" w:bottom="960" w:left="1140" w:header="0" w:footer="768" w:gutter="0"/>
          <w:pgNumType w:start="22"/>
          <w:cols w:num="1" w:space="720"/>
        </w:sectPr>
      </w:pPr>
    </w:p>
    <w:p>
      <w:pPr>
        <w:pStyle w:val="BodyText"/>
        <w:rPr>
          <w:b/>
          <w:sz w:val="20"/>
        </w:rPr>
      </w:pPr>
      <w:r>
        <w:pict>
          <v:group id="_x0000_s1232" o:spid="_x0000_s1231" style="width:453.6pt;height:685pt;margin-top:70.9pt;margin-left:70.9pt;mso-height-relative:page;mso-position-horizontal-relative:page;mso-position-vertical-relative:page;mso-width-relative:page;position:absolute;z-index:-251635712" coordorigin="1419,1418" coordsize="9072,13700">
            <v:line id="_x0000_s1233" o:spid="_x0000_s1232" style="position:absolute" from="1438,1428" to="1851,1428" coordsize="21600,21600" stroked="t" strokecolor="black"/>
            <v:rect id="_x0000_s1234" o:spid="_x0000_s1233" style="width:20;height:20;left:1850;position:absolute;top:1418" coordsize="21600,21600" filled="t" fillcolor="black" stroked="f"/>
            <v:line id="_x0000_s1235" o:spid="_x0000_s1234" style="position:absolute" from="1870,1428" to="10471,1428" coordsize="21600,21600" stroked="t" strokecolor="black"/>
            <v:line id="_x0000_s1236" o:spid="_x0000_s1235" style="position:absolute" from="1428,1418" to="1428,15118" coordsize="21600,21600" stroked="t" strokecolor="black"/>
            <v:line id="_x0000_s1237" o:spid="_x0000_s1236" style="position:absolute" from="1438,15108" to="1851,15108" coordsize="21600,21600" stroked="t" strokecolor="black"/>
            <v:line id="_x0000_s1238" o:spid="_x0000_s1237" style="position:absolute" from="1856,1438" to="1856,15098" coordsize="21600,21600" stroked="t" strokecolor="black"/>
            <v:rect id="_x0000_s1239" o:spid="_x0000_s1238" style="width:20;height:20;left:1850;position:absolute;top:15098" coordsize="21600,21600" filled="t" fillcolor="black" stroked="f"/>
            <v:line id="_x0000_s1240" o:spid="_x0000_s1239" style="position:absolute" from="1870,15108" to="10471,15108" coordsize="21600,21600" stroked="t" strokecolor="black"/>
            <v:line id="_x0000_s1241" o:spid="_x0000_s1240" style="position:absolute" from="10480,1418" to="10480,15118" coordsize="21600,21600" stroked="t" strokecolor="black"/>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42" o:spid="_x0000_s1241" type="#_x0000_t75" style="width:7104;height:3551;left:2697;position:absolute;top:1556" coordsize="21600,21600" filled="f" stroked="f">
              <v:imagedata r:id="rId32" o:title=""/>
              <o:lock v:ext="edit" aspectratio="t"/>
            </v:shape>
          </v:group>
        </w:pic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28"/>
        </w:rPr>
      </w:pPr>
    </w:p>
    <w:p>
      <w:pPr>
        <w:pStyle w:val="Heading3"/>
        <w:spacing w:before="78"/>
        <w:ind w:left="429" w:right="5"/>
        <w:jc w:val="center"/>
      </w:pPr>
      <w:bookmarkStart w:id="14" w:name="_bookmark14"/>
      <w:bookmarkEnd w:id="14"/>
      <w:r>
        <w:t xml:space="preserve">图 </w:t>
      </w:r>
      <w:r>
        <w:rPr>
          <w:rFonts w:ascii="Times New Roman" w:eastAsia="Times New Roman"/>
        </w:rPr>
        <w:t xml:space="preserve">2-3 </w:t>
      </w:r>
      <w:r>
        <w:t>凹印工艺示意图</w:t>
      </w:r>
    </w:p>
    <w:p>
      <w:pPr>
        <w:pStyle w:val="BodyText"/>
        <w:spacing w:before="12"/>
        <w:rPr>
          <w:b/>
          <w:sz w:val="18"/>
        </w:rPr>
      </w:pPr>
    </w:p>
    <w:p>
      <w:pPr>
        <w:pStyle w:val="BodyText"/>
        <w:spacing w:line="364" w:lineRule="auto"/>
        <w:ind w:left="821" w:right="390" w:firstLine="419"/>
        <w:jc w:val="both"/>
      </w:pPr>
      <w:r>
        <w:rPr>
          <w:spacing w:val="-3"/>
        </w:rPr>
        <w:t>根据客户需要，将外购的塑料膜置于凹版印刷机上，在塑料薄膜特定位置印刷客户需要</w:t>
      </w:r>
      <w:r>
        <w:rPr>
          <w:spacing w:val="13"/>
        </w:rPr>
        <w:t xml:space="preserve">的图案。本次使用 </w:t>
      </w:r>
      <w:r>
        <w:rPr>
          <w:rFonts w:ascii="Times New Roman" w:eastAsia="Times New Roman" w:hAnsi="Times New Roman"/>
        </w:rPr>
        <w:t xml:space="preserve">10  </w:t>
      </w:r>
      <w:r>
        <w:rPr>
          <w:spacing w:val="13"/>
        </w:rPr>
        <w:t xml:space="preserve">色凹版印刷机，每个印刷色组各设 </w:t>
      </w:r>
      <w:r>
        <w:rPr>
          <w:rFonts w:ascii="Times New Roman" w:eastAsia="Times New Roman" w:hAnsi="Times New Roman"/>
        </w:rPr>
        <w:t xml:space="preserve">1  </w:t>
      </w:r>
      <w:r>
        <w:rPr>
          <w:spacing w:val="15"/>
        </w:rPr>
        <w:t>个烘箱</w:t>
      </w:r>
      <w:r>
        <w:rPr>
          <w:spacing w:val="14"/>
        </w:rPr>
        <w:t>（</w:t>
      </w:r>
      <w:r>
        <w:rPr>
          <w:spacing w:val="12"/>
        </w:rPr>
        <w:t>电加热，温度约</w:t>
      </w:r>
      <w:r>
        <w:rPr>
          <w:rFonts w:ascii="Times New Roman" w:eastAsia="Times New Roman" w:hAnsi="Times New Roman"/>
          <w:spacing w:val="12"/>
          <w:w w:val="100"/>
        </w:rPr>
        <w:t>35~</w:t>
      </w:r>
      <w:r>
        <w:rPr>
          <w:rFonts w:ascii="Times New Roman" w:eastAsia="Times New Roman" w:hAnsi="Times New Roman"/>
          <w:spacing w:val="-3"/>
          <w:w w:val="100"/>
        </w:rPr>
        <w:t>6</w:t>
      </w:r>
      <w:r>
        <w:rPr>
          <w:rFonts w:ascii="Times New Roman" w:eastAsia="Times New Roman" w:hAnsi="Times New Roman"/>
          <w:spacing w:val="4"/>
          <w:w w:val="100"/>
        </w:rPr>
        <w:t>0</w:t>
      </w:r>
      <w:r>
        <w:rPr>
          <w:spacing w:val="2"/>
          <w:w w:val="100"/>
        </w:rPr>
        <w:t>℃</w:t>
      </w:r>
      <w:r>
        <w:rPr>
          <w:spacing w:val="-99"/>
          <w:w w:val="100"/>
        </w:rPr>
        <w:t>）</w:t>
      </w:r>
      <w:r>
        <w:rPr>
          <w:spacing w:val="1"/>
          <w:w w:val="100"/>
        </w:rPr>
        <w:t>：每种颜色印完后快速烘干，再进行下一种颜色的印刷；烘箱下方设置有墨槽，</w:t>
      </w:r>
      <w:r>
        <w:rPr>
          <w:spacing w:val="-4"/>
        </w:rPr>
        <w:t>烘箱上设有进风口和出风口。印刷过程使用的印版外协制作，版辊、墨槽、凹版等不进行清</w:t>
      </w:r>
      <w:r>
        <w:rPr>
          <w:spacing w:val="-3"/>
        </w:rPr>
        <w:t>洗，使用刮刀和抹布进行清洁。</w:t>
      </w:r>
    </w:p>
    <w:p>
      <w:pPr>
        <w:pStyle w:val="BodyText"/>
        <w:spacing w:line="364" w:lineRule="auto"/>
        <w:ind w:left="1241" w:right="2382"/>
        <w:jc w:val="both"/>
      </w:pPr>
      <w:r>
        <w:rPr>
          <w:spacing w:val="-8"/>
        </w:rPr>
        <w:t xml:space="preserve">该工序产生印刷废气 </w:t>
      </w:r>
      <w:r>
        <w:rPr>
          <w:rFonts w:ascii="Times New Roman" w:eastAsia="Times New Roman"/>
        </w:rPr>
        <w:t>G2-2</w:t>
      </w:r>
      <w:r>
        <w:rPr>
          <w:spacing w:val="-11"/>
        </w:rPr>
        <w:t xml:space="preserve">、废油墨 </w:t>
      </w:r>
      <w:r>
        <w:rPr>
          <w:rFonts w:ascii="Times New Roman" w:eastAsia="Times New Roman"/>
        </w:rPr>
        <w:t>S2-2</w:t>
      </w:r>
      <w:r>
        <w:rPr>
          <w:spacing w:val="-12"/>
        </w:rPr>
        <w:t xml:space="preserve">、废印版 </w:t>
      </w:r>
      <w:r>
        <w:rPr>
          <w:rFonts w:ascii="Times New Roman" w:eastAsia="Times New Roman"/>
        </w:rPr>
        <w:t>S2-3</w:t>
      </w:r>
      <w:r>
        <w:rPr>
          <w:spacing w:val="15"/>
        </w:rPr>
        <w:t>、噪声</w:t>
      </w:r>
      <w:r>
        <w:rPr>
          <w:rFonts w:ascii="Times New Roman" w:eastAsia="Times New Roman"/>
        </w:rPr>
        <w:t>N</w:t>
      </w:r>
      <w:r>
        <w:t>。</w:t>
      </w:r>
      <w:r>
        <w:rPr>
          <w:rFonts w:ascii="Times New Roman" w:eastAsia="Times New Roman"/>
        </w:rPr>
        <w:t>3</w:t>
      </w:r>
      <w:r>
        <w:t>）</w:t>
      </w:r>
      <w:r>
        <w:rPr>
          <w:spacing w:val="-2"/>
        </w:rPr>
        <w:t>复合</w:t>
      </w:r>
    </w:p>
    <w:p>
      <w:pPr>
        <w:pStyle w:val="BodyText"/>
        <w:spacing w:line="364" w:lineRule="auto"/>
        <w:ind w:left="821" w:right="390" w:firstLine="419"/>
        <w:jc w:val="both"/>
      </w:pPr>
      <w:r>
        <w:t>根据产品特点，部分产品需要复合，在复合间内完成。将印刷后的塑料膜和相同材质的未印刷的塑料膜放在复合机上，用涂布机将胶粘剂均匀涂抹在塑料膜上；然后用复合机将两层薄膜粘合在一起。</w:t>
      </w:r>
    </w:p>
    <w:p>
      <w:pPr>
        <w:pStyle w:val="BodyText"/>
        <w:spacing w:line="367" w:lineRule="auto"/>
        <w:ind w:left="1241" w:right="3464"/>
        <w:jc w:val="both"/>
      </w:pPr>
      <w:r>
        <w:rPr>
          <w:spacing w:val="-8"/>
        </w:rPr>
        <w:t xml:space="preserve">该工序产生复合废气 </w:t>
      </w:r>
      <w:r>
        <w:rPr>
          <w:rFonts w:ascii="Times New Roman" w:eastAsia="Times New Roman"/>
        </w:rPr>
        <w:t>G2-3</w:t>
      </w:r>
      <w:r>
        <w:rPr>
          <w:spacing w:val="-10"/>
        </w:rPr>
        <w:t xml:space="preserve">、废胶粘剂 </w:t>
      </w:r>
      <w:r>
        <w:rPr>
          <w:rFonts w:ascii="Times New Roman" w:eastAsia="Times New Roman"/>
        </w:rPr>
        <w:t>S2-4</w:t>
      </w:r>
      <w:r>
        <w:rPr>
          <w:spacing w:val="15"/>
        </w:rPr>
        <w:t>、噪声</w:t>
      </w:r>
      <w:r>
        <w:rPr>
          <w:rFonts w:ascii="Times New Roman" w:eastAsia="Times New Roman"/>
        </w:rPr>
        <w:t>N</w:t>
      </w:r>
      <w:r>
        <w:t>。</w:t>
      </w:r>
      <w:r>
        <w:rPr>
          <w:rFonts w:ascii="Times New Roman" w:eastAsia="Times New Roman"/>
        </w:rPr>
        <w:t>4</w:t>
      </w:r>
      <w:r>
        <w:t>）</w:t>
      </w:r>
      <w:r>
        <w:rPr>
          <w:spacing w:val="-2"/>
        </w:rPr>
        <w:t>固化</w:t>
      </w:r>
    </w:p>
    <w:p>
      <w:pPr>
        <w:pStyle w:val="BodyText"/>
        <w:spacing w:line="364" w:lineRule="auto"/>
        <w:ind w:left="821" w:right="390" w:firstLine="419"/>
        <w:jc w:val="both"/>
      </w:pPr>
      <w:r>
        <w:t xml:space="preserve">将复合后的薄膜由人工送入封闭固化间，使聚氨酯胶粘剂在一定时间内充分反应，达到最佳复合强度。固化过程采用电加热，固化温度约 </w:t>
      </w:r>
      <w:r>
        <w:rPr>
          <w:rFonts w:ascii="Times New Roman" w:eastAsia="Times New Roman" w:hAnsi="Times New Roman"/>
        </w:rPr>
        <w:t>50~55</w:t>
      </w:r>
      <w:r>
        <w:t xml:space="preserve">℃，固化时间为 </w:t>
      </w:r>
      <w:r>
        <w:rPr>
          <w:rFonts w:ascii="Times New Roman" w:eastAsia="Times New Roman" w:hAnsi="Times New Roman"/>
        </w:rPr>
        <w:t>24h</w:t>
      </w:r>
      <w:r>
        <w:t>。</w:t>
      </w:r>
    </w:p>
    <w:p>
      <w:pPr>
        <w:pStyle w:val="BodyText"/>
        <w:spacing w:line="364" w:lineRule="auto"/>
        <w:ind w:left="1241" w:right="5797"/>
        <w:jc w:val="both"/>
      </w:pPr>
      <w:r>
        <w:rPr>
          <w:spacing w:val="-8"/>
        </w:rPr>
        <w:t xml:space="preserve">该工序产生固化废气 </w:t>
      </w:r>
      <w:r>
        <w:rPr>
          <w:rFonts w:ascii="Times New Roman" w:eastAsia="Times New Roman"/>
        </w:rPr>
        <w:t>G2-4</w:t>
      </w:r>
      <w:r>
        <w:rPr>
          <w:spacing w:val="-13"/>
        </w:rPr>
        <w:t>。</w:t>
      </w:r>
      <w:r>
        <w:rPr>
          <w:rFonts w:ascii="Times New Roman" w:eastAsia="Times New Roman"/>
        </w:rPr>
        <w:t>5</w:t>
      </w:r>
      <w:r>
        <w:t>）</w:t>
      </w:r>
      <w:r>
        <w:rPr>
          <w:spacing w:val="-2"/>
        </w:rPr>
        <w:t>模切</w:t>
      </w:r>
    </w:p>
    <w:p>
      <w:pPr>
        <w:pStyle w:val="BodyText"/>
        <w:spacing w:line="364" w:lineRule="auto"/>
        <w:ind w:left="821" w:right="393" w:firstLine="419"/>
      </w:pPr>
      <w:r>
        <w:t>用模切机在压力的作用下，将印刷品或其他板状坯料轧切成所需形状或切痕的成型工艺。根据塑料薄膜、铝箔的特性，同时参考现有生产经验，该工序不考虑粉尘的产生。</w:t>
      </w:r>
    </w:p>
    <w:p>
      <w:pPr>
        <w:pStyle w:val="BodyText"/>
        <w:spacing w:line="364" w:lineRule="auto"/>
        <w:ind w:left="1241" w:right="4996"/>
      </w:pPr>
      <w:r>
        <w:rPr>
          <w:spacing w:val="-8"/>
        </w:rPr>
        <w:t xml:space="preserve">该工序产生废边角料 </w:t>
      </w:r>
      <w:r>
        <w:rPr>
          <w:rFonts w:ascii="Times New Roman" w:eastAsia="Times New Roman"/>
        </w:rPr>
        <w:t>S2-5</w:t>
      </w:r>
      <w:r>
        <w:rPr>
          <w:spacing w:val="-14"/>
        </w:rPr>
        <w:t xml:space="preserve">、噪声 </w:t>
      </w:r>
      <w:r>
        <w:rPr>
          <w:rFonts w:ascii="Times New Roman" w:eastAsia="Times New Roman"/>
        </w:rPr>
        <w:t>N</w:t>
      </w:r>
      <w:r>
        <w:rPr>
          <w:spacing w:val="-12"/>
        </w:rPr>
        <w:t>。</w:t>
      </w:r>
      <w:r>
        <w:rPr>
          <w:rFonts w:ascii="Times New Roman" w:eastAsia="Times New Roman"/>
        </w:rPr>
        <w:t>6</w:t>
      </w:r>
      <w:r>
        <w:t>）</w:t>
      </w:r>
      <w:r>
        <w:rPr>
          <w:spacing w:val="-2"/>
        </w:rPr>
        <w:t>分切</w:t>
      </w:r>
    </w:p>
    <w:p>
      <w:pPr>
        <w:pStyle w:val="BodyText"/>
        <w:spacing w:line="367" w:lineRule="auto"/>
        <w:ind w:left="821" w:right="390" w:firstLine="419"/>
      </w:pPr>
      <w:r>
        <w:t>根据产品要求，采用分切机将复合膜分切成不同规格的膜卷，分切过程产生废复合膜边角料。根据塑料薄膜、铝箔的特性，同时参考现有生产经验，该工序不考虑粉尘的产生。</w:t>
      </w:r>
    </w:p>
    <w:p>
      <w:pPr>
        <w:pStyle w:val="BodyText"/>
        <w:spacing w:line="265" w:lineRule="exact"/>
        <w:ind w:left="1241"/>
      </w:pPr>
      <w:r>
        <w:t xml:space="preserve">该工序产生废边角料 </w:t>
      </w:r>
      <w:r>
        <w:rPr>
          <w:rFonts w:ascii="Times New Roman" w:eastAsia="Times New Roman"/>
        </w:rPr>
        <w:t>S2-6</w:t>
      </w:r>
      <w:r>
        <w:t xml:space="preserve">、噪声 </w:t>
      </w:r>
      <w:r>
        <w:rPr>
          <w:rFonts w:ascii="Times New Roman" w:eastAsia="Times New Roman"/>
        </w:rPr>
        <w:t>N</w:t>
      </w:r>
      <w:r>
        <w:t>。</w:t>
      </w:r>
    </w:p>
    <w:p>
      <w:pPr>
        <w:spacing w:after="0" w:line="265" w:lineRule="exact"/>
        <w:sectPr>
          <w:footerReference w:type="default" r:id="rId33"/>
          <w:pgSz w:w="11910" w:h="16840"/>
          <w:pgMar w:top="1400" w:right="1140" w:bottom="960" w:left="1140" w:header="0" w:footer="768" w:gutter="0"/>
          <w:pgNumType w:start="23"/>
          <w:cols w:num="1" w:space="720"/>
        </w:sectPr>
      </w:pPr>
    </w:p>
    <w:p>
      <w:pPr>
        <w:pStyle w:val="BodyText"/>
        <w:spacing w:before="60"/>
        <w:ind w:left="1241"/>
      </w:pPr>
      <w:r>
        <w:pict>
          <v:group id="_x0000_s1243" o:spid="_x0000_s1242" style="width:453.6pt;height:691.8pt;margin-top:70.9pt;margin-left:70.9pt;mso-height-relative:page;mso-position-horizontal-relative:page;mso-position-vertical-relative:page;mso-width-relative:page;position:absolute;z-index:-251634688" coordorigin="1419,1418" coordsize="9072,13836">
            <v:line id="_x0000_s1244" o:spid="_x0000_s1243" style="position:absolute" from="1438,1428" to="1851,1428" coordsize="21600,21600" stroked="t" strokecolor="black"/>
            <v:rect id="_x0000_s1245" o:spid="_x0000_s1244" style="width:20;height:20;left:1850;position:absolute;top:1418" coordsize="21600,21600" filled="t" fillcolor="black" stroked="f"/>
            <v:line id="_x0000_s1246" o:spid="_x0000_s1245" style="position:absolute" from="1870,1428" to="10471,1428" coordsize="21600,21600" stroked="t" strokecolor="black"/>
            <v:line id="_x0000_s1247" o:spid="_x0000_s1246" style="position:absolute" from="1428,1418" to="1428,15254" coordsize="21600,21600" stroked="t" strokecolor="black"/>
            <v:line id="_x0000_s1248" o:spid="_x0000_s1247" style="position:absolute" from="1438,15245" to="1851,15245" coordsize="21600,21600" stroked="t" strokecolor="black"/>
            <v:line id="_x0000_s1249" o:spid="_x0000_s1248" style="position:absolute" from="1856,1438" to="1856,15235" coordsize="21600,21600" stroked="t" strokecolor="black"/>
            <v:rect id="_x0000_s1250" o:spid="_x0000_s1249" style="width:20;height:20;left:1850;position:absolute;top:15235" coordsize="21600,21600" filled="t" fillcolor="black" stroked="f"/>
            <v:line id="_x0000_s1251" o:spid="_x0000_s1250" style="position:absolute" from="1870,15245" to="10471,15245" coordsize="21600,21600" stroked="t" strokecolor="black"/>
            <v:line id="_x0000_s1252" o:spid="_x0000_s1251" style="position:absolute" from="10480,1418" to="10480,15254" coordsize="21600,21600" stroked="t" strokecolor="black"/>
          </v:group>
        </w:pict>
      </w:r>
      <w:r>
        <w:rPr>
          <w:rFonts w:ascii="Times New Roman" w:eastAsia="Times New Roman"/>
        </w:rPr>
        <w:t>7</w:t>
      </w:r>
      <w:r>
        <w:t>）检验</w:t>
      </w:r>
    </w:p>
    <w:p>
      <w:pPr>
        <w:pStyle w:val="BodyText"/>
        <w:spacing w:before="139" w:line="367" w:lineRule="auto"/>
        <w:ind w:left="821" w:right="393" w:firstLine="419"/>
      </w:pPr>
      <w:r>
        <w:t>用品检机对半成品进行尺寸、外观、物理机械性能（拉断力、剥离力等）等指标的检测，合格产品包装待售。</w:t>
      </w:r>
    </w:p>
    <w:p>
      <w:pPr>
        <w:pStyle w:val="BodyText"/>
        <w:spacing w:line="264" w:lineRule="exact"/>
        <w:ind w:left="1241"/>
      </w:pPr>
      <w:r>
        <w:t xml:space="preserve">该工序产生不合格品 </w:t>
      </w:r>
      <w:r>
        <w:rPr>
          <w:rFonts w:ascii="Times New Roman" w:eastAsia="Times New Roman"/>
        </w:rPr>
        <w:t>S2-7</w:t>
      </w:r>
      <w:r>
        <w:t>。</w:t>
      </w:r>
    </w:p>
    <w:p>
      <w:pPr>
        <w:pStyle w:val="Heading3"/>
        <w:spacing w:before="139"/>
        <w:ind w:left="1243"/>
      </w:pPr>
      <w:r>
        <w:rPr>
          <w:rFonts w:ascii="Times New Roman" w:eastAsia="Times New Roman"/>
        </w:rPr>
        <w:t>2.</w:t>
      </w:r>
      <w:r>
        <w:t>产污工序</w:t>
      </w:r>
    </w:p>
    <w:p>
      <w:pPr>
        <w:pStyle w:val="BodyText"/>
        <w:spacing w:before="139"/>
        <w:ind w:left="1241"/>
      </w:pPr>
      <w:r>
        <w:t>扩建项目产污工序见</w:t>
      </w:r>
      <w:hyperlink w:anchor="_bookmark15" w:history="1">
        <w:r>
          <w:t xml:space="preserve">表 </w:t>
        </w:r>
        <w:r>
          <w:rPr>
            <w:rFonts w:ascii="Times New Roman" w:eastAsia="Times New Roman"/>
          </w:rPr>
          <w:t>2-8</w:t>
        </w:r>
      </w:hyperlink>
      <w:r>
        <w:t>。</w:t>
      </w:r>
    </w:p>
    <w:p>
      <w:pPr>
        <w:pStyle w:val="Heading3"/>
        <w:spacing w:before="139" w:after="4"/>
        <w:ind w:left="427" w:right="5"/>
        <w:jc w:val="center"/>
      </w:pPr>
      <w:bookmarkStart w:id="15" w:name="_bookmark15"/>
      <w:bookmarkEnd w:id="15"/>
      <w:r>
        <w:t xml:space="preserve">表 </w:t>
      </w:r>
      <w:r>
        <w:rPr>
          <w:rFonts w:ascii="Times New Roman" w:eastAsia="Times New Roman"/>
        </w:rPr>
        <w:t xml:space="preserve">2-8 </w:t>
      </w:r>
      <w:r>
        <w:t>建设项目产污工序一览表</w:t>
      </w:r>
    </w:p>
    <w:tbl>
      <w:tblPr>
        <w:tblStyle w:val="TableNormal"/>
        <w:tblW w:w="0" w:type="auto"/>
        <w:tblInd w:w="8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95"/>
        <w:gridCol w:w="708"/>
        <w:gridCol w:w="1700"/>
        <w:gridCol w:w="1265"/>
        <w:gridCol w:w="2126"/>
        <w:gridCol w:w="2004"/>
      </w:tblGrid>
      <w:tr>
        <w:tblPrEx>
          <w:tblW w:w="0" w:type="auto"/>
          <w:tblInd w:w="8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82"/>
        </w:trPr>
        <w:tc>
          <w:tcPr>
            <w:tcW w:w="595" w:type="dxa"/>
          </w:tcPr>
          <w:p>
            <w:pPr>
              <w:pStyle w:val="TableParagraph"/>
              <w:spacing w:before="23"/>
              <w:ind w:left="98" w:right="84"/>
              <w:jc w:val="center"/>
              <w:rPr>
                <w:b/>
                <w:sz w:val="18"/>
              </w:rPr>
            </w:pPr>
            <w:r>
              <w:rPr>
                <w:b/>
                <w:sz w:val="18"/>
              </w:rPr>
              <w:t>序号</w:t>
            </w:r>
          </w:p>
        </w:tc>
        <w:tc>
          <w:tcPr>
            <w:tcW w:w="708" w:type="dxa"/>
          </w:tcPr>
          <w:p>
            <w:pPr>
              <w:pStyle w:val="TableParagraph"/>
              <w:spacing w:before="23"/>
              <w:ind w:left="152" w:right="140"/>
              <w:jc w:val="center"/>
              <w:rPr>
                <w:b/>
                <w:sz w:val="18"/>
              </w:rPr>
            </w:pPr>
            <w:r>
              <w:rPr>
                <w:b/>
                <w:sz w:val="18"/>
              </w:rPr>
              <w:t>项目</w:t>
            </w:r>
          </w:p>
        </w:tc>
        <w:tc>
          <w:tcPr>
            <w:tcW w:w="1700" w:type="dxa"/>
          </w:tcPr>
          <w:p>
            <w:pPr>
              <w:pStyle w:val="TableParagraph"/>
              <w:spacing w:before="23"/>
              <w:ind w:left="357" w:right="342"/>
              <w:jc w:val="center"/>
              <w:rPr>
                <w:b/>
                <w:sz w:val="18"/>
              </w:rPr>
            </w:pPr>
            <w:r>
              <w:rPr>
                <w:b/>
                <w:sz w:val="18"/>
              </w:rPr>
              <w:t>名称</w:t>
            </w:r>
          </w:p>
        </w:tc>
        <w:tc>
          <w:tcPr>
            <w:tcW w:w="1265" w:type="dxa"/>
          </w:tcPr>
          <w:p>
            <w:pPr>
              <w:pStyle w:val="TableParagraph"/>
              <w:spacing w:before="23"/>
              <w:ind w:left="250" w:right="241"/>
              <w:jc w:val="center"/>
              <w:rPr>
                <w:b/>
                <w:sz w:val="18"/>
              </w:rPr>
            </w:pPr>
            <w:r>
              <w:rPr>
                <w:b/>
                <w:sz w:val="18"/>
              </w:rPr>
              <w:t>产污编号</w:t>
            </w:r>
          </w:p>
        </w:tc>
        <w:tc>
          <w:tcPr>
            <w:tcW w:w="2126" w:type="dxa"/>
            <w:tcBorders>
              <w:right w:val="single" w:sz="6" w:space="0" w:color="000000"/>
            </w:tcBorders>
          </w:tcPr>
          <w:p>
            <w:pPr>
              <w:pStyle w:val="TableParagraph"/>
              <w:spacing w:before="23"/>
              <w:ind w:left="594" w:right="577"/>
              <w:jc w:val="center"/>
              <w:rPr>
                <w:b/>
                <w:sz w:val="18"/>
              </w:rPr>
            </w:pPr>
            <w:r>
              <w:rPr>
                <w:b/>
                <w:sz w:val="18"/>
              </w:rPr>
              <w:t>污染物</w:t>
            </w:r>
          </w:p>
        </w:tc>
        <w:tc>
          <w:tcPr>
            <w:tcW w:w="2004" w:type="dxa"/>
            <w:tcBorders>
              <w:left w:val="single" w:sz="6" w:space="0" w:color="000000"/>
            </w:tcBorders>
          </w:tcPr>
          <w:p>
            <w:pPr>
              <w:pStyle w:val="TableParagraph"/>
              <w:spacing w:before="23"/>
              <w:ind w:left="261" w:right="248"/>
              <w:jc w:val="center"/>
              <w:rPr>
                <w:b/>
                <w:sz w:val="18"/>
              </w:rPr>
            </w:pPr>
            <w:r>
              <w:rPr>
                <w:b/>
                <w:sz w:val="18"/>
              </w:rPr>
              <w:t>产污工序</w:t>
            </w:r>
          </w:p>
        </w:tc>
      </w:tr>
      <w:tr>
        <w:tblPrEx>
          <w:tblW w:w="0" w:type="auto"/>
          <w:tblInd w:w="831" w:type="dxa"/>
          <w:tblLayout w:type="fixed"/>
          <w:tblCellMar>
            <w:top w:w="0" w:type="dxa"/>
            <w:left w:w="0" w:type="dxa"/>
            <w:bottom w:w="0" w:type="dxa"/>
            <w:right w:w="0" w:type="dxa"/>
          </w:tblCellMar>
        </w:tblPrEx>
        <w:trPr>
          <w:trHeight w:val="282"/>
        </w:trPr>
        <w:tc>
          <w:tcPr>
            <w:tcW w:w="595" w:type="dxa"/>
          </w:tcPr>
          <w:p>
            <w:pPr>
              <w:pStyle w:val="TableParagraph"/>
              <w:spacing w:before="38"/>
              <w:ind w:left="13"/>
              <w:jc w:val="center"/>
              <w:rPr>
                <w:rFonts w:ascii="Times New Roman"/>
                <w:sz w:val="18"/>
              </w:rPr>
            </w:pPr>
            <w:r>
              <w:rPr>
                <w:rFonts w:ascii="Times New Roman"/>
                <w:sz w:val="18"/>
              </w:rPr>
              <w:t>1</w:t>
            </w:r>
          </w:p>
        </w:tc>
        <w:tc>
          <w:tcPr>
            <w:tcW w:w="708" w:type="dxa"/>
            <w:vMerge w:val="restart"/>
          </w:tcPr>
          <w:p>
            <w:pPr>
              <w:pStyle w:val="TableParagraph"/>
              <w:rPr>
                <w:b/>
                <w:sz w:val="18"/>
              </w:rPr>
            </w:pPr>
          </w:p>
          <w:p>
            <w:pPr>
              <w:pStyle w:val="TableParagraph"/>
              <w:rPr>
                <w:b/>
                <w:sz w:val="18"/>
              </w:rPr>
            </w:pPr>
          </w:p>
          <w:p>
            <w:pPr>
              <w:pStyle w:val="TableParagraph"/>
              <w:spacing w:before="151"/>
              <w:ind w:left="172"/>
              <w:rPr>
                <w:sz w:val="18"/>
              </w:rPr>
            </w:pPr>
            <w:r>
              <w:rPr>
                <w:sz w:val="18"/>
              </w:rPr>
              <w:t>废气</w:t>
            </w:r>
          </w:p>
        </w:tc>
        <w:tc>
          <w:tcPr>
            <w:tcW w:w="1700" w:type="dxa"/>
          </w:tcPr>
          <w:p>
            <w:pPr>
              <w:pStyle w:val="TableParagraph"/>
              <w:spacing w:before="26"/>
              <w:ind w:left="357" w:right="342"/>
              <w:jc w:val="center"/>
              <w:rPr>
                <w:sz w:val="18"/>
              </w:rPr>
            </w:pPr>
            <w:r>
              <w:rPr>
                <w:sz w:val="18"/>
              </w:rPr>
              <w:t>配料废气</w:t>
            </w:r>
          </w:p>
        </w:tc>
        <w:tc>
          <w:tcPr>
            <w:tcW w:w="1265" w:type="dxa"/>
          </w:tcPr>
          <w:p>
            <w:pPr>
              <w:pStyle w:val="TableParagraph"/>
              <w:spacing w:before="38"/>
              <w:ind w:left="250" w:right="240"/>
              <w:jc w:val="center"/>
              <w:rPr>
                <w:rFonts w:ascii="Times New Roman"/>
                <w:sz w:val="18"/>
              </w:rPr>
            </w:pPr>
            <w:r>
              <w:rPr>
                <w:rFonts w:ascii="Times New Roman"/>
                <w:sz w:val="18"/>
              </w:rPr>
              <w:t>G2-1</w:t>
            </w:r>
          </w:p>
        </w:tc>
        <w:tc>
          <w:tcPr>
            <w:tcW w:w="2126" w:type="dxa"/>
            <w:tcBorders>
              <w:right w:val="single" w:sz="6" w:space="0" w:color="000000"/>
            </w:tcBorders>
          </w:tcPr>
          <w:p>
            <w:pPr>
              <w:pStyle w:val="TableParagraph"/>
              <w:spacing w:before="26"/>
              <w:ind w:left="594" w:right="579"/>
              <w:jc w:val="center"/>
              <w:rPr>
                <w:sz w:val="18"/>
              </w:rPr>
            </w:pPr>
            <w:r>
              <w:rPr>
                <w:sz w:val="18"/>
              </w:rPr>
              <w:t>非甲烷总烃</w:t>
            </w:r>
          </w:p>
        </w:tc>
        <w:tc>
          <w:tcPr>
            <w:tcW w:w="2004" w:type="dxa"/>
            <w:tcBorders>
              <w:left w:val="single" w:sz="6" w:space="0" w:color="000000"/>
            </w:tcBorders>
          </w:tcPr>
          <w:p>
            <w:pPr>
              <w:pStyle w:val="TableParagraph"/>
              <w:spacing w:before="26"/>
              <w:ind w:left="261" w:right="250"/>
              <w:jc w:val="center"/>
              <w:rPr>
                <w:sz w:val="18"/>
              </w:rPr>
            </w:pPr>
            <w:r>
              <w:rPr>
                <w:sz w:val="18"/>
              </w:rPr>
              <w:t>配料</w:t>
            </w:r>
          </w:p>
        </w:tc>
      </w:tr>
      <w:tr>
        <w:tblPrEx>
          <w:tblW w:w="0" w:type="auto"/>
          <w:tblInd w:w="831" w:type="dxa"/>
          <w:tblLayout w:type="fixed"/>
          <w:tblCellMar>
            <w:top w:w="0" w:type="dxa"/>
            <w:left w:w="0" w:type="dxa"/>
            <w:bottom w:w="0" w:type="dxa"/>
            <w:right w:w="0" w:type="dxa"/>
          </w:tblCellMar>
        </w:tblPrEx>
        <w:trPr>
          <w:trHeight w:val="283"/>
        </w:trPr>
        <w:tc>
          <w:tcPr>
            <w:tcW w:w="595" w:type="dxa"/>
          </w:tcPr>
          <w:p>
            <w:pPr>
              <w:pStyle w:val="TableParagraph"/>
              <w:spacing w:before="38"/>
              <w:ind w:left="13"/>
              <w:jc w:val="center"/>
              <w:rPr>
                <w:rFonts w:ascii="Times New Roman"/>
                <w:sz w:val="18"/>
              </w:rPr>
            </w:pPr>
            <w:r>
              <w:rPr>
                <w:rFonts w:ascii="Times New Roman"/>
                <w:sz w:val="18"/>
              </w:rPr>
              <w:t>2</w:t>
            </w:r>
          </w:p>
        </w:tc>
        <w:tc>
          <w:tcPr>
            <w:tcW w:w="708" w:type="dxa"/>
            <w:vMerge/>
            <w:tcBorders>
              <w:top w:val="nil"/>
            </w:tcBorders>
          </w:tcPr>
          <w:p>
            <w:pPr>
              <w:rPr>
                <w:sz w:val="2"/>
                <w:szCs w:val="2"/>
              </w:rPr>
            </w:pPr>
          </w:p>
        </w:tc>
        <w:tc>
          <w:tcPr>
            <w:tcW w:w="1700" w:type="dxa"/>
          </w:tcPr>
          <w:p>
            <w:pPr>
              <w:pStyle w:val="TableParagraph"/>
              <w:spacing w:before="26"/>
              <w:ind w:left="357" w:right="342"/>
              <w:jc w:val="center"/>
              <w:rPr>
                <w:sz w:val="18"/>
              </w:rPr>
            </w:pPr>
            <w:r>
              <w:rPr>
                <w:sz w:val="18"/>
              </w:rPr>
              <w:t>印刷废气</w:t>
            </w:r>
          </w:p>
        </w:tc>
        <w:tc>
          <w:tcPr>
            <w:tcW w:w="1265" w:type="dxa"/>
          </w:tcPr>
          <w:p>
            <w:pPr>
              <w:pStyle w:val="TableParagraph"/>
              <w:spacing w:before="38"/>
              <w:ind w:left="250" w:right="240"/>
              <w:jc w:val="center"/>
              <w:rPr>
                <w:rFonts w:ascii="Times New Roman"/>
                <w:sz w:val="18"/>
              </w:rPr>
            </w:pPr>
            <w:r>
              <w:rPr>
                <w:rFonts w:ascii="Times New Roman"/>
                <w:sz w:val="18"/>
              </w:rPr>
              <w:t>G2-2</w:t>
            </w:r>
          </w:p>
        </w:tc>
        <w:tc>
          <w:tcPr>
            <w:tcW w:w="2126" w:type="dxa"/>
            <w:tcBorders>
              <w:right w:val="single" w:sz="6" w:space="0" w:color="000000"/>
            </w:tcBorders>
          </w:tcPr>
          <w:p>
            <w:pPr>
              <w:pStyle w:val="TableParagraph"/>
              <w:spacing w:before="26"/>
              <w:ind w:left="594" w:right="579"/>
              <w:jc w:val="center"/>
              <w:rPr>
                <w:sz w:val="18"/>
              </w:rPr>
            </w:pPr>
            <w:r>
              <w:rPr>
                <w:sz w:val="18"/>
              </w:rPr>
              <w:t>非甲烷总烃</w:t>
            </w:r>
          </w:p>
        </w:tc>
        <w:tc>
          <w:tcPr>
            <w:tcW w:w="2004" w:type="dxa"/>
            <w:tcBorders>
              <w:left w:val="single" w:sz="6" w:space="0" w:color="000000"/>
            </w:tcBorders>
          </w:tcPr>
          <w:p>
            <w:pPr>
              <w:pStyle w:val="TableParagraph"/>
              <w:spacing w:before="26"/>
              <w:ind w:left="261" w:right="250"/>
              <w:jc w:val="center"/>
              <w:rPr>
                <w:sz w:val="18"/>
              </w:rPr>
            </w:pPr>
            <w:r>
              <w:rPr>
                <w:sz w:val="18"/>
              </w:rPr>
              <w:t>印刷</w:t>
            </w:r>
          </w:p>
        </w:tc>
      </w:tr>
      <w:tr>
        <w:tblPrEx>
          <w:tblW w:w="0" w:type="auto"/>
          <w:tblInd w:w="831" w:type="dxa"/>
          <w:tblLayout w:type="fixed"/>
          <w:tblCellMar>
            <w:top w:w="0" w:type="dxa"/>
            <w:left w:w="0" w:type="dxa"/>
            <w:bottom w:w="0" w:type="dxa"/>
            <w:right w:w="0" w:type="dxa"/>
          </w:tblCellMar>
        </w:tblPrEx>
        <w:trPr>
          <w:trHeight w:val="282"/>
        </w:trPr>
        <w:tc>
          <w:tcPr>
            <w:tcW w:w="595" w:type="dxa"/>
          </w:tcPr>
          <w:p>
            <w:pPr>
              <w:pStyle w:val="TableParagraph"/>
              <w:spacing w:before="38"/>
              <w:ind w:left="13"/>
              <w:jc w:val="center"/>
              <w:rPr>
                <w:rFonts w:ascii="Times New Roman"/>
                <w:sz w:val="18"/>
              </w:rPr>
            </w:pPr>
            <w:r>
              <w:rPr>
                <w:rFonts w:ascii="Times New Roman"/>
                <w:sz w:val="18"/>
              </w:rPr>
              <w:t>3</w:t>
            </w:r>
          </w:p>
        </w:tc>
        <w:tc>
          <w:tcPr>
            <w:tcW w:w="708" w:type="dxa"/>
            <w:vMerge/>
            <w:tcBorders>
              <w:top w:val="nil"/>
            </w:tcBorders>
          </w:tcPr>
          <w:p>
            <w:pPr>
              <w:rPr>
                <w:sz w:val="2"/>
                <w:szCs w:val="2"/>
              </w:rPr>
            </w:pPr>
          </w:p>
        </w:tc>
        <w:tc>
          <w:tcPr>
            <w:tcW w:w="1700" w:type="dxa"/>
          </w:tcPr>
          <w:p>
            <w:pPr>
              <w:pStyle w:val="TableParagraph"/>
              <w:spacing w:before="26"/>
              <w:ind w:left="357" w:right="342"/>
              <w:jc w:val="center"/>
              <w:rPr>
                <w:sz w:val="18"/>
              </w:rPr>
            </w:pPr>
            <w:r>
              <w:rPr>
                <w:sz w:val="18"/>
              </w:rPr>
              <w:t>复合废气</w:t>
            </w:r>
          </w:p>
        </w:tc>
        <w:tc>
          <w:tcPr>
            <w:tcW w:w="1265" w:type="dxa"/>
          </w:tcPr>
          <w:p>
            <w:pPr>
              <w:pStyle w:val="TableParagraph"/>
              <w:spacing w:before="38"/>
              <w:ind w:left="250" w:right="240"/>
              <w:jc w:val="center"/>
              <w:rPr>
                <w:rFonts w:ascii="Times New Roman"/>
                <w:sz w:val="18"/>
              </w:rPr>
            </w:pPr>
            <w:r>
              <w:rPr>
                <w:rFonts w:ascii="Times New Roman"/>
                <w:sz w:val="18"/>
              </w:rPr>
              <w:t>G2-3</w:t>
            </w:r>
          </w:p>
        </w:tc>
        <w:tc>
          <w:tcPr>
            <w:tcW w:w="2126" w:type="dxa"/>
            <w:tcBorders>
              <w:right w:val="single" w:sz="6" w:space="0" w:color="000000"/>
            </w:tcBorders>
          </w:tcPr>
          <w:p>
            <w:pPr>
              <w:pStyle w:val="TableParagraph"/>
              <w:spacing w:before="26"/>
              <w:ind w:left="594" w:right="579"/>
              <w:jc w:val="center"/>
              <w:rPr>
                <w:sz w:val="18"/>
              </w:rPr>
            </w:pPr>
            <w:r>
              <w:rPr>
                <w:sz w:val="18"/>
              </w:rPr>
              <w:t>非甲烷总烃</w:t>
            </w:r>
          </w:p>
        </w:tc>
        <w:tc>
          <w:tcPr>
            <w:tcW w:w="2004" w:type="dxa"/>
            <w:tcBorders>
              <w:left w:val="single" w:sz="6" w:space="0" w:color="000000"/>
            </w:tcBorders>
          </w:tcPr>
          <w:p>
            <w:pPr>
              <w:pStyle w:val="TableParagraph"/>
              <w:spacing w:before="26"/>
              <w:ind w:left="261" w:right="250"/>
              <w:jc w:val="center"/>
              <w:rPr>
                <w:sz w:val="18"/>
              </w:rPr>
            </w:pPr>
            <w:r>
              <w:rPr>
                <w:sz w:val="18"/>
              </w:rPr>
              <w:t>复合</w:t>
            </w:r>
          </w:p>
        </w:tc>
      </w:tr>
      <w:tr>
        <w:tblPrEx>
          <w:tblW w:w="0" w:type="auto"/>
          <w:tblInd w:w="831" w:type="dxa"/>
          <w:tblLayout w:type="fixed"/>
          <w:tblCellMar>
            <w:top w:w="0" w:type="dxa"/>
            <w:left w:w="0" w:type="dxa"/>
            <w:bottom w:w="0" w:type="dxa"/>
            <w:right w:w="0" w:type="dxa"/>
          </w:tblCellMar>
        </w:tblPrEx>
        <w:trPr>
          <w:trHeight w:val="282"/>
        </w:trPr>
        <w:tc>
          <w:tcPr>
            <w:tcW w:w="595" w:type="dxa"/>
          </w:tcPr>
          <w:p>
            <w:pPr>
              <w:pStyle w:val="TableParagraph"/>
              <w:spacing w:before="38"/>
              <w:ind w:left="13"/>
              <w:jc w:val="center"/>
              <w:rPr>
                <w:rFonts w:ascii="Times New Roman"/>
                <w:sz w:val="18"/>
              </w:rPr>
            </w:pPr>
            <w:r>
              <w:rPr>
                <w:rFonts w:ascii="Times New Roman"/>
                <w:sz w:val="18"/>
              </w:rPr>
              <w:t>4</w:t>
            </w:r>
          </w:p>
        </w:tc>
        <w:tc>
          <w:tcPr>
            <w:tcW w:w="708" w:type="dxa"/>
            <w:vMerge/>
            <w:tcBorders>
              <w:top w:val="nil"/>
            </w:tcBorders>
          </w:tcPr>
          <w:p>
            <w:pPr>
              <w:rPr>
                <w:sz w:val="2"/>
                <w:szCs w:val="2"/>
              </w:rPr>
            </w:pPr>
          </w:p>
        </w:tc>
        <w:tc>
          <w:tcPr>
            <w:tcW w:w="1700" w:type="dxa"/>
          </w:tcPr>
          <w:p>
            <w:pPr>
              <w:pStyle w:val="TableParagraph"/>
              <w:spacing w:before="26"/>
              <w:ind w:left="357" w:right="342"/>
              <w:jc w:val="center"/>
              <w:rPr>
                <w:sz w:val="18"/>
              </w:rPr>
            </w:pPr>
            <w:r>
              <w:rPr>
                <w:sz w:val="18"/>
              </w:rPr>
              <w:t>固化废气</w:t>
            </w:r>
          </w:p>
        </w:tc>
        <w:tc>
          <w:tcPr>
            <w:tcW w:w="1265" w:type="dxa"/>
          </w:tcPr>
          <w:p>
            <w:pPr>
              <w:pStyle w:val="TableParagraph"/>
              <w:spacing w:before="38"/>
              <w:ind w:left="250" w:right="240"/>
              <w:jc w:val="center"/>
              <w:rPr>
                <w:rFonts w:ascii="Times New Roman"/>
                <w:sz w:val="18"/>
              </w:rPr>
            </w:pPr>
            <w:r>
              <w:rPr>
                <w:rFonts w:ascii="Times New Roman"/>
                <w:sz w:val="18"/>
              </w:rPr>
              <w:t>G2-4</w:t>
            </w:r>
          </w:p>
        </w:tc>
        <w:tc>
          <w:tcPr>
            <w:tcW w:w="2126" w:type="dxa"/>
            <w:tcBorders>
              <w:right w:val="single" w:sz="6" w:space="0" w:color="000000"/>
            </w:tcBorders>
          </w:tcPr>
          <w:p>
            <w:pPr>
              <w:pStyle w:val="TableParagraph"/>
              <w:spacing w:before="26"/>
              <w:ind w:left="594" w:right="579"/>
              <w:jc w:val="center"/>
              <w:rPr>
                <w:sz w:val="18"/>
              </w:rPr>
            </w:pPr>
            <w:r>
              <w:rPr>
                <w:sz w:val="18"/>
              </w:rPr>
              <w:t>非甲烷总烃</w:t>
            </w:r>
          </w:p>
        </w:tc>
        <w:tc>
          <w:tcPr>
            <w:tcW w:w="2004" w:type="dxa"/>
            <w:tcBorders>
              <w:left w:val="single" w:sz="6" w:space="0" w:color="000000"/>
            </w:tcBorders>
          </w:tcPr>
          <w:p>
            <w:pPr>
              <w:pStyle w:val="TableParagraph"/>
              <w:spacing w:before="26"/>
              <w:ind w:left="261" w:right="250"/>
              <w:jc w:val="center"/>
              <w:rPr>
                <w:sz w:val="18"/>
              </w:rPr>
            </w:pPr>
            <w:r>
              <w:rPr>
                <w:sz w:val="18"/>
              </w:rPr>
              <w:t>固化</w:t>
            </w:r>
          </w:p>
        </w:tc>
      </w:tr>
      <w:tr>
        <w:tblPrEx>
          <w:tblW w:w="0" w:type="auto"/>
          <w:tblInd w:w="831" w:type="dxa"/>
          <w:tblLayout w:type="fixed"/>
          <w:tblCellMar>
            <w:top w:w="0" w:type="dxa"/>
            <w:left w:w="0" w:type="dxa"/>
            <w:bottom w:w="0" w:type="dxa"/>
            <w:right w:w="0" w:type="dxa"/>
          </w:tblCellMar>
        </w:tblPrEx>
        <w:trPr>
          <w:trHeight w:val="282"/>
        </w:trPr>
        <w:tc>
          <w:tcPr>
            <w:tcW w:w="595" w:type="dxa"/>
          </w:tcPr>
          <w:p>
            <w:pPr>
              <w:pStyle w:val="TableParagraph"/>
              <w:spacing w:before="38"/>
              <w:ind w:left="13"/>
              <w:jc w:val="center"/>
              <w:rPr>
                <w:rFonts w:ascii="Times New Roman"/>
                <w:sz w:val="18"/>
              </w:rPr>
            </w:pPr>
            <w:r>
              <w:rPr>
                <w:rFonts w:ascii="Times New Roman"/>
                <w:sz w:val="18"/>
              </w:rPr>
              <w:t>5</w:t>
            </w:r>
          </w:p>
        </w:tc>
        <w:tc>
          <w:tcPr>
            <w:tcW w:w="708" w:type="dxa"/>
            <w:vMerge/>
            <w:tcBorders>
              <w:top w:val="nil"/>
            </w:tcBorders>
          </w:tcPr>
          <w:p>
            <w:pPr>
              <w:rPr>
                <w:sz w:val="2"/>
                <w:szCs w:val="2"/>
              </w:rPr>
            </w:pPr>
          </w:p>
        </w:tc>
        <w:tc>
          <w:tcPr>
            <w:tcW w:w="1700" w:type="dxa"/>
          </w:tcPr>
          <w:p>
            <w:pPr>
              <w:pStyle w:val="TableParagraph"/>
              <w:spacing w:before="26"/>
              <w:ind w:left="357" w:right="342"/>
              <w:jc w:val="center"/>
              <w:rPr>
                <w:sz w:val="18"/>
              </w:rPr>
            </w:pPr>
            <w:r>
              <w:rPr>
                <w:sz w:val="18"/>
              </w:rPr>
              <w:t>危废仓库</w:t>
            </w:r>
          </w:p>
        </w:tc>
        <w:tc>
          <w:tcPr>
            <w:tcW w:w="1265" w:type="dxa"/>
          </w:tcPr>
          <w:p>
            <w:pPr>
              <w:pStyle w:val="TableParagraph"/>
              <w:spacing w:before="38"/>
              <w:ind w:left="8"/>
              <w:jc w:val="center"/>
              <w:rPr>
                <w:rFonts w:ascii="Times New Roman"/>
                <w:sz w:val="18"/>
              </w:rPr>
            </w:pPr>
            <w:r>
              <w:rPr>
                <w:rFonts w:ascii="Times New Roman"/>
                <w:sz w:val="18"/>
              </w:rPr>
              <w:t>/</w:t>
            </w:r>
          </w:p>
        </w:tc>
        <w:tc>
          <w:tcPr>
            <w:tcW w:w="2126" w:type="dxa"/>
            <w:tcBorders>
              <w:right w:val="single" w:sz="6" w:space="0" w:color="000000"/>
            </w:tcBorders>
          </w:tcPr>
          <w:p>
            <w:pPr>
              <w:pStyle w:val="TableParagraph"/>
              <w:spacing w:before="26"/>
              <w:ind w:left="594" w:right="579"/>
              <w:jc w:val="center"/>
              <w:rPr>
                <w:sz w:val="18"/>
              </w:rPr>
            </w:pPr>
            <w:r>
              <w:rPr>
                <w:sz w:val="18"/>
              </w:rPr>
              <w:t>非甲烷总烃</w:t>
            </w:r>
          </w:p>
        </w:tc>
        <w:tc>
          <w:tcPr>
            <w:tcW w:w="2004" w:type="dxa"/>
            <w:tcBorders>
              <w:left w:val="single" w:sz="6" w:space="0" w:color="000000"/>
            </w:tcBorders>
          </w:tcPr>
          <w:p>
            <w:pPr>
              <w:pStyle w:val="TableParagraph"/>
              <w:spacing w:before="26"/>
              <w:ind w:left="261" w:right="250"/>
              <w:jc w:val="center"/>
              <w:rPr>
                <w:sz w:val="18"/>
              </w:rPr>
            </w:pPr>
            <w:r>
              <w:rPr>
                <w:sz w:val="18"/>
              </w:rPr>
              <w:t>危废暂存</w:t>
            </w:r>
          </w:p>
        </w:tc>
      </w:tr>
      <w:tr>
        <w:tblPrEx>
          <w:tblW w:w="0" w:type="auto"/>
          <w:tblInd w:w="831" w:type="dxa"/>
          <w:tblLayout w:type="fixed"/>
          <w:tblCellMar>
            <w:top w:w="0" w:type="dxa"/>
            <w:left w:w="0" w:type="dxa"/>
            <w:bottom w:w="0" w:type="dxa"/>
            <w:right w:w="0" w:type="dxa"/>
          </w:tblCellMar>
        </w:tblPrEx>
        <w:trPr>
          <w:trHeight w:val="568"/>
        </w:trPr>
        <w:tc>
          <w:tcPr>
            <w:tcW w:w="595" w:type="dxa"/>
          </w:tcPr>
          <w:p>
            <w:pPr>
              <w:pStyle w:val="TableParagraph"/>
              <w:spacing w:before="2"/>
              <w:rPr>
                <w:b/>
                <w:sz w:val="14"/>
              </w:rPr>
            </w:pPr>
          </w:p>
          <w:p>
            <w:pPr>
              <w:pStyle w:val="TableParagraph"/>
              <w:ind w:left="13"/>
              <w:jc w:val="center"/>
              <w:rPr>
                <w:rFonts w:ascii="Times New Roman"/>
                <w:sz w:val="18"/>
              </w:rPr>
            </w:pPr>
            <w:r>
              <w:rPr>
                <w:rFonts w:ascii="Times New Roman"/>
                <w:sz w:val="18"/>
              </w:rPr>
              <w:t>6</w:t>
            </w:r>
          </w:p>
        </w:tc>
        <w:tc>
          <w:tcPr>
            <w:tcW w:w="708" w:type="dxa"/>
          </w:tcPr>
          <w:p>
            <w:pPr>
              <w:pStyle w:val="TableParagraph"/>
              <w:spacing w:before="1"/>
              <w:rPr>
                <w:b/>
                <w:sz w:val="13"/>
              </w:rPr>
            </w:pPr>
          </w:p>
          <w:p>
            <w:pPr>
              <w:pStyle w:val="TableParagraph"/>
              <w:ind w:left="149" w:right="142"/>
              <w:jc w:val="center"/>
              <w:rPr>
                <w:sz w:val="18"/>
              </w:rPr>
            </w:pPr>
            <w:r>
              <w:rPr>
                <w:sz w:val="18"/>
              </w:rPr>
              <w:t>废水</w:t>
            </w:r>
          </w:p>
        </w:tc>
        <w:tc>
          <w:tcPr>
            <w:tcW w:w="1700" w:type="dxa"/>
          </w:tcPr>
          <w:p>
            <w:pPr>
              <w:pStyle w:val="TableParagraph"/>
              <w:spacing w:before="1"/>
              <w:rPr>
                <w:b/>
                <w:sz w:val="13"/>
              </w:rPr>
            </w:pPr>
          </w:p>
          <w:p>
            <w:pPr>
              <w:pStyle w:val="TableParagraph"/>
              <w:ind w:left="357" w:right="342"/>
              <w:jc w:val="center"/>
              <w:rPr>
                <w:sz w:val="18"/>
              </w:rPr>
            </w:pPr>
            <w:r>
              <w:rPr>
                <w:sz w:val="18"/>
              </w:rPr>
              <w:t>生活污水</w:t>
            </w:r>
          </w:p>
        </w:tc>
        <w:tc>
          <w:tcPr>
            <w:tcW w:w="1265" w:type="dxa"/>
          </w:tcPr>
          <w:p>
            <w:pPr>
              <w:pStyle w:val="TableParagraph"/>
              <w:spacing w:before="2"/>
              <w:rPr>
                <w:b/>
                <w:sz w:val="14"/>
              </w:rPr>
            </w:pPr>
          </w:p>
          <w:p>
            <w:pPr>
              <w:pStyle w:val="TableParagraph"/>
              <w:ind w:left="8"/>
              <w:jc w:val="center"/>
              <w:rPr>
                <w:rFonts w:ascii="Times New Roman"/>
                <w:sz w:val="18"/>
              </w:rPr>
            </w:pPr>
            <w:r>
              <w:rPr>
                <w:rFonts w:ascii="Times New Roman"/>
                <w:sz w:val="18"/>
              </w:rPr>
              <w:t>/</w:t>
            </w:r>
          </w:p>
        </w:tc>
        <w:tc>
          <w:tcPr>
            <w:tcW w:w="2126" w:type="dxa"/>
            <w:tcBorders>
              <w:right w:val="single" w:sz="6" w:space="0" w:color="000000"/>
            </w:tcBorders>
          </w:tcPr>
          <w:p>
            <w:pPr>
              <w:pStyle w:val="TableParagraph"/>
              <w:spacing w:before="50" w:line="244" w:lineRule="auto"/>
              <w:ind w:left="614" w:right="105" w:hanging="490"/>
              <w:rPr>
                <w:sz w:val="18"/>
              </w:rPr>
            </w:pPr>
            <w:r>
              <w:rPr>
                <w:rFonts w:ascii="Times New Roman" w:eastAsia="Times New Roman"/>
                <w:sz w:val="18"/>
              </w:rPr>
              <w:t>pH</w:t>
            </w:r>
            <w:r>
              <w:rPr>
                <w:sz w:val="18"/>
              </w:rPr>
              <w:t>、</w:t>
            </w:r>
            <w:r>
              <w:rPr>
                <w:rFonts w:ascii="Times New Roman" w:eastAsia="Times New Roman"/>
                <w:sz w:val="18"/>
              </w:rPr>
              <w:t>COD</w:t>
            </w:r>
            <w:r>
              <w:rPr>
                <w:sz w:val="18"/>
              </w:rPr>
              <w:t>、</w:t>
            </w:r>
            <w:r>
              <w:rPr>
                <w:rFonts w:ascii="Times New Roman" w:eastAsia="Times New Roman"/>
                <w:sz w:val="18"/>
              </w:rPr>
              <w:t>SS</w:t>
            </w:r>
            <w:r>
              <w:rPr>
                <w:sz w:val="18"/>
              </w:rPr>
              <w:t>、氨氮、总氮、总磷</w:t>
            </w:r>
          </w:p>
        </w:tc>
        <w:tc>
          <w:tcPr>
            <w:tcW w:w="2004" w:type="dxa"/>
            <w:tcBorders>
              <w:left w:val="single" w:sz="6" w:space="0" w:color="000000"/>
            </w:tcBorders>
          </w:tcPr>
          <w:p>
            <w:pPr>
              <w:pStyle w:val="TableParagraph"/>
              <w:spacing w:before="1"/>
              <w:rPr>
                <w:b/>
                <w:sz w:val="13"/>
              </w:rPr>
            </w:pPr>
          </w:p>
          <w:p>
            <w:pPr>
              <w:pStyle w:val="TableParagraph"/>
              <w:ind w:left="261" w:right="250"/>
              <w:jc w:val="center"/>
              <w:rPr>
                <w:sz w:val="18"/>
              </w:rPr>
            </w:pPr>
            <w:r>
              <w:rPr>
                <w:sz w:val="18"/>
              </w:rPr>
              <w:t>员工生活</w:t>
            </w:r>
          </w:p>
        </w:tc>
      </w:tr>
      <w:tr>
        <w:tblPrEx>
          <w:tblW w:w="0" w:type="auto"/>
          <w:tblInd w:w="831" w:type="dxa"/>
          <w:tblLayout w:type="fixed"/>
          <w:tblCellMar>
            <w:top w:w="0" w:type="dxa"/>
            <w:left w:w="0" w:type="dxa"/>
            <w:bottom w:w="0" w:type="dxa"/>
            <w:right w:w="0" w:type="dxa"/>
          </w:tblCellMar>
        </w:tblPrEx>
        <w:trPr>
          <w:trHeight w:val="282"/>
        </w:trPr>
        <w:tc>
          <w:tcPr>
            <w:tcW w:w="595" w:type="dxa"/>
          </w:tcPr>
          <w:p>
            <w:pPr>
              <w:pStyle w:val="TableParagraph"/>
              <w:spacing w:before="38"/>
              <w:ind w:left="13"/>
              <w:jc w:val="center"/>
              <w:rPr>
                <w:rFonts w:ascii="Times New Roman"/>
                <w:sz w:val="18"/>
              </w:rPr>
            </w:pPr>
            <w:r>
              <w:rPr>
                <w:rFonts w:ascii="Times New Roman"/>
                <w:sz w:val="18"/>
              </w:rPr>
              <w:t>7</w:t>
            </w:r>
          </w:p>
        </w:tc>
        <w:tc>
          <w:tcPr>
            <w:tcW w:w="708" w:type="dxa"/>
          </w:tcPr>
          <w:p>
            <w:pPr>
              <w:pStyle w:val="TableParagraph"/>
              <w:spacing w:before="23"/>
              <w:ind w:left="149" w:right="142"/>
              <w:jc w:val="center"/>
              <w:rPr>
                <w:sz w:val="18"/>
              </w:rPr>
            </w:pPr>
            <w:r>
              <w:rPr>
                <w:sz w:val="18"/>
              </w:rPr>
              <w:t>噪声</w:t>
            </w:r>
          </w:p>
        </w:tc>
        <w:tc>
          <w:tcPr>
            <w:tcW w:w="1700" w:type="dxa"/>
          </w:tcPr>
          <w:p>
            <w:pPr>
              <w:pStyle w:val="TableParagraph"/>
              <w:spacing w:before="23"/>
              <w:ind w:left="357" w:right="342"/>
              <w:jc w:val="center"/>
              <w:rPr>
                <w:sz w:val="18"/>
              </w:rPr>
            </w:pPr>
            <w:r>
              <w:rPr>
                <w:sz w:val="18"/>
              </w:rPr>
              <w:t>设备噪声</w:t>
            </w:r>
          </w:p>
        </w:tc>
        <w:tc>
          <w:tcPr>
            <w:tcW w:w="1265" w:type="dxa"/>
          </w:tcPr>
          <w:p>
            <w:pPr>
              <w:pStyle w:val="TableParagraph"/>
              <w:spacing w:before="38"/>
              <w:ind w:left="12"/>
              <w:jc w:val="center"/>
              <w:rPr>
                <w:rFonts w:ascii="Times New Roman"/>
                <w:sz w:val="18"/>
              </w:rPr>
            </w:pPr>
            <w:r>
              <w:rPr>
                <w:rFonts w:ascii="Times New Roman"/>
                <w:w w:val="99"/>
                <w:sz w:val="18"/>
              </w:rPr>
              <w:t>N</w:t>
            </w:r>
          </w:p>
        </w:tc>
        <w:tc>
          <w:tcPr>
            <w:tcW w:w="2126" w:type="dxa"/>
            <w:tcBorders>
              <w:right w:val="single" w:sz="6" w:space="0" w:color="000000"/>
            </w:tcBorders>
          </w:tcPr>
          <w:p>
            <w:pPr>
              <w:pStyle w:val="TableParagraph"/>
              <w:spacing w:before="23"/>
              <w:ind w:left="594" w:right="577"/>
              <w:jc w:val="center"/>
              <w:rPr>
                <w:sz w:val="18"/>
              </w:rPr>
            </w:pPr>
            <w:r>
              <w:rPr>
                <w:sz w:val="18"/>
              </w:rPr>
              <w:t>噪声</w:t>
            </w:r>
          </w:p>
        </w:tc>
        <w:tc>
          <w:tcPr>
            <w:tcW w:w="2004" w:type="dxa"/>
            <w:tcBorders>
              <w:left w:val="single" w:sz="6" w:space="0" w:color="000000"/>
            </w:tcBorders>
          </w:tcPr>
          <w:p>
            <w:pPr>
              <w:pStyle w:val="TableParagraph"/>
              <w:spacing w:before="23"/>
              <w:ind w:left="261" w:right="250"/>
              <w:jc w:val="center"/>
              <w:rPr>
                <w:sz w:val="18"/>
              </w:rPr>
            </w:pPr>
            <w:r>
              <w:rPr>
                <w:sz w:val="18"/>
              </w:rPr>
              <w:t>设备运转</w:t>
            </w:r>
          </w:p>
        </w:tc>
      </w:tr>
      <w:tr>
        <w:tblPrEx>
          <w:tblW w:w="0" w:type="auto"/>
          <w:tblInd w:w="831" w:type="dxa"/>
          <w:tblLayout w:type="fixed"/>
          <w:tblCellMar>
            <w:top w:w="0" w:type="dxa"/>
            <w:left w:w="0" w:type="dxa"/>
            <w:bottom w:w="0" w:type="dxa"/>
            <w:right w:w="0" w:type="dxa"/>
          </w:tblCellMar>
        </w:tblPrEx>
        <w:trPr>
          <w:trHeight w:val="282"/>
        </w:trPr>
        <w:tc>
          <w:tcPr>
            <w:tcW w:w="595" w:type="dxa"/>
          </w:tcPr>
          <w:p>
            <w:pPr>
              <w:pStyle w:val="TableParagraph"/>
              <w:spacing w:before="38"/>
              <w:ind w:left="13"/>
              <w:jc w:val="center"/>
              <w:rPr>
                <w:rFonts w:ascii="Times New Roman"/>
                <w:sz w:val="18"/>
              </w:rPr>
            </w:pPr>
            <w:r>
              <w:rPr>
                <w:rFonts w:ascii="Times New Roman"/>
                <w:sz w:val="18"/>
              </w:rPr>
              <w:t>8</w:t>
            </w:r>
          </w:p>
        </w:tc>
        <w:tc>
          <w:tcPr>
            <w:tcW w:w="708" w:type="dxa"/>
            <w:vMerge w:val="restart"/>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9"/>
              <w:rPr>
                <w:b/>
                <w:sz w:val="19"/>
              </w:rPr>
            </w:pPr>
          </w:p>
          <w:p>
            <w:pPr>
              <w:pStyle w:val="TableParagraph"/>
              <w:spacing w:before="1"/>
              <w:ind w:left="172"/>
              <w:rPr>
                <w:sz w:val="18"/>
              </w:rPr>
            </w:pPr>
            <w:r>
              <w:rPr>
                <w:sz w:val="18"/>
              </w:rPr>
              <w:t>固废</w:t>
            </w:r>
          </w:p>
        </w:tc>
        <w:tc>
          <w:tcPr>
            <w:tcW w:w="1700" w:type="dxa"/>
          </w:tcPr>
          <w:p>
            <w:pPr>
              <w:pStyle w:val="TableParagraph"/>
              <w:spacing w:before="23"/>
              <w:ind w:left="354" w:right="342"/>
              <w:jc w:val="center"/>
              <w:rPr>
                <w:sz w:val="18"/>
              </w:rPr>
            </w:pPr>
            <w:r>
              <w:rPr>
                <w:sz w:val="18"/>
              </w:rPr>
              <w:t>废包材</w:t>
            </w:r>
          </w:p>
        </w:tc>
        <w:tc>
          <w:tcPr>
            <w:tcW w:w="1265" w:type="dxa"/>
          </w:tcPr>
          <w:p>
            <w:pPr>
              <w:pStyle w:val="TableParagraph"/>
              <w:spacing w:before="23"/>
              <w:ind w:left="250" w:right="239"/>
              <w:jc w:val="center"/>
              <w:rPr>
                <w:sz w:val="18"/>
              </w:rPr>
            </w:pPr>
            <w:r>
              <w:rPr>
                <w:rFonts w:ascii="Times New Roman" w:eastAsia="Times New Roman"/>
                <w:sz w:val="18"/>
              </w:rPr>
              <w:t xml:space="preserve">S1 </w:t>
            </w:r>
            <w:r>
              <w:rPr>
                <w:sz w:val="18"/>
              </w:rPr>
              <w:t>等</w:t>
            </w:r>
          </w:p>
        </w:tc>
        <w:tc>
          <w:tcPr>
            <w:tcW w:w="2126" w:type="dxa"/>
            <w:vMerge w:val="restart"/>
            <w:tcBorders>
              <w:right w:val="single" w:sz="6" w:space="0" w:color="000000"/>
            </w:tcBorders>
          </w:tcPr>
          <w:p>
            <w:pPr>
              <w:pStyle w:val="TableParagraph"/>
              <w:spacing w:before="11"/>
              <w:rPr>
                <w:b/>
                <w:sz w:val="24"/>
              </w:rPr>
            </w:pPr>
          </w:p>
          <w:p>
            <w:pPr>
              <w:pStyle w:val="TableParagraph"/>
              <w:ind w:left="525"/>
              <w:rPr>
                <w:sz w:val="18"/>
              </w:rPr>
            </w:pPr>
            <w:r>
              <w:rPr>
                <w:sz w:val="18"/>
              </w:rPr>
              <w:t>一般工业固废</w:t>
            </w:r>
          </w:p>
        </w:tc>
        <w:tc>
          <w:tcPr>
            <w:tcW w:w="2004" w:type="dxa"/>
            <w:tcBorders>
              <w:left w:val="single" w:sz="6" w:space="0" w:color="000000"/>
            </w:tcBorders>
          </w:tcPr>
          <w:p>
            <w:pPr>
              <w:pStyle w:val="TableParagraph"/>
              <w:spacing w:before="23"/>
              <w:ind w:left="261" w:right="250"/>
              <w:jc w:val="center"/>
              <w:rPr>
                <w:sz w:val="18"/>
              </w:rPr>
            </w:pPr>
            <w:r>
              <w:rPr>
                <w:sz w:val="18"/>
              </w:rPr>
              <w:t>原料包装</w:t>
            </w:r>
          </w:p>
        </w:tc>
      </w:tr>
      <w:tr>
        <w:tblPrEx>
          <w:tblW w:w="0" w:type="auto"/>
          <w:tblInd w:w="831" w:type="dxa"/>
          <w:tblLayout w:type="fixed"/>
          <w:tblCellMar>
            <w:top w:w="0" w:type="dxa"/>
            <w:left w:w="0" w:type="dxa"/>
            <w:bottom w:w="0" w:type="dxa"/>
            <w:right w:w="0" w:type="dxa"/>
          </w:tblCellMar>
        </w:tblPrEx>
        <w:trPr>
          <w:trHeight w:val="282"/>
        </w:trPr>
        <w:tc>
          <w:tcPr>
            <w:tcW w:w="595" w:type="dxa"/>
          </w:tcPr>
          <w:p>
            <w:pPr>
              <w:pStyle w:val="TableParagraph"/>
              <w:spacing w:before="38"/>
              <w:ind w:left="13"/>
              <w:jc w:val="center"/>
              <w:rPr>
                <w:rFonts w:ascii="Times New Roman"/>
                <w:sz w:val="18"/>
              </w:rPr>
            </w:pPr>
            <w:r>
              <w:rPr>
                <w:rFonts w:ascii="Times New Roman"/>
                <w:sz w:val="18"/>
              </w:rPr>
              <w:t>9</w:t>
            </w:r>
          </w:p>
        </w:tc>
        <w:tc>
          <w:tcPr>
            <w:tcW w:w="708" w:type="dxa"/>
            <w:vMerge/>
            <w:tcBorders>
              <w:top w:val="nil"/>
            </w:tcBorders>
          </w:tcPr>
          <w:p>
            <w:pPr>
              <w:rPr>
                <w:sz w:val="2"/>
                <w:szCs w:val="2"/>
              </w:rPr>
            </w:pPr>
          </w:p>
        </w:tc>
        <w:tc>
          <w:tcPr>
            <w:tcW w:w="1700" w:type="dxa"/>
          </w:tcPr>
          <w:p>
            <w:pPr>
              <w:pStyle w:val="TableParagraph"/>
              <w:spacing w:before="26"/>
              <w:ind w:left="357" w:right="342"/>
              <w:jc w:val="center"/>
              <w:rPr>
                <w:sz w:val="18"/>
              </w:rPr>
            </w:pPr>
            <w:r>
              <w:rPr>
                <w:sz w:val="18"/>
              </w:rPr>
              <w:t>废边角料</w:t>
            </w:r>
          </w:p>
        </w:tc>
        <w:tc>
          <w:tcPr>
            <w:tcW w:w="1265" w:type="dxa"/>
          </w:tcPr>
          <w:p>
            <w:pPr>
              <w:pStyle w:val="TableParagraph"/>
              <w:spacing w:before="26"/>
              <w:ind w:left="250" w:right="240"/>
              <w:jc w:val="center"/>
              <w:rPr>
                <w:rFonts w:ascii="Times New Roman" w:eastAsia="Times New Roman"/>
                <w:sz w:val="18"/>
              </w:rPr>
            </w:pPr>
            <w:r>
              <w:rPr>
                <w:rFonts w:ascii="Times New Roman" w:eastAsia="Times New Roman"/>
                <w:sz w:val="18"/>
              </w:rPr>
              <w:t>S5</w:t>
            </w:r>
            <w:r>
              <w:rPr>
                <w:sz w:val="18"/>
              </w:rPr>
              <w:t>、</w:t>
            </w:r>
            <w:r>
              <w:rPr>
                <w:rFonts w:ascii="Times New Roman" w:eastAsia="Times New Roman"/>
                <w:sz w:val="18"/>
              </w:rPr>
              <w:t>S6</w:t>
            </w:r>
          </w:p>
        </w:tc>
        <w:tc>
          <w:tcPr>
            <w:tcW w:w="2126" w:type="dxa"/>
            <w:vMerge/>
            <w:tcBorders>
              <w:top w:val="nil"/>
              <w:right w:val="single" w:sz="6" w:space="0" w:color="000000"/>
            </w:tcBorders>
          </w:tcPr>
          <w:p>
            <w:pPr>
              <w:rPr>
                <w:sz w:val="2"/>
                <w:szCs w:val="2"/>
              </w:rPr>
            </w:pPr>
          </w:p>
        </w:tc>
        <w:tc>
          <w:tcPr>
            <w:tcW w:w="2004" w:type="dxa"/>
            <w:tcBorders>
              <w:left w:val="single" w:sz="6" w:space="0" w:color="000000"/>
            </w:tcBorders>
          </w:tcPr>
          <w:p>
            <w:pPr>
              <w:pStyle w:val="TableParagraph"/>
              <w:spacing w:before="26"/>
              <w:ind w:left="261" w:right="247"/>
              <w:jc w:val="center"/>
              <w:rPr>
                <w:sz w:val="18"/>
              </w:rPr>
            </w:pPr>
            <w:r>
              <w:rPr>
                <w:sz w:val="18"/>
              </w:rPr>
              <w:t>模切、分切</w:t>
            </w:r>
          </w:p>
        </w:tc>
      </w:tr>
      <w:tr>
        <w:tblPrEx>
          <w:tblW w:w="0" w:type="auto"/>
          <w:tblInd w:w="831" w:type="dxa"/>
          <w:tblLayout w:type="fixed"/>
          <w:tblCellMar>
            <w:top w:w="0" w:type="dxa"/>
            <w:left w:w="0" w:type="dxa"/>
            <w:bottom w:w="0" w:type="dxa"/>
            <w:right w:w="0" w:type="dxa"/>
          </w:tblCellMar>
        </w:tblPrEx>
        <w:trPr>
          <w:trHeight w:val="282"/>
        </w:trPr>
        <w:tc>
          <w:tcPr>
            <w:tcW w:w="595" w:type="dxa"/>
          </w:tcPr>
          <w:p>
            <w:pPr>
              <w:pStyle w:val="TableParagraph"/>
              <w:spacing w:before="38"/>
              <w:ind w:left="98" w:right="84"/>
              <w:jc w:val="center"/>
              <w:rPr>
                <w:rFonts w:ascii="Times New Roman"/>
                <w:sz w:val="18"/>
              </w:rPr>
            </w:pPr>
            <w:r>
              <w:rPr>
                <w:rFonts w:ascii="Times New Roman"/>
                <w:sz w:val="18"/>
              </w:rPr>
              <w:t>10</w:t>
            </w:r>
          </w:p>
        </w:tc>
        <w:tc>
          <w:tcPr>
            <w:tcW w:w="708" w:type="dxa"/>
            <w:vMerge/>
            <w:tcBorders>
              <w:top w:val="nil"/>
            </w:tcBorders>
          </w:tcPr>
          <w:p>
            <w:pPr>
              <w:rPr>
                <w:sz w:val="2"/>
                <w:szCs w:val="2"/>
              </w:rPr>
            </w:pPr>
          </w:p>
        </w:tc>
        <w:tc>
          <w:tcPr>
            <w:tcW w:w="1700" w:type="dxa"/>
          </w:tcPr>
          <w:p>
            <w:pPr>
              <w:pStyle w:val="TableParagraph"/>
              <w:spacing w:before="26"/>
              <w:ind w:left="357" w:right="342"/>
              <w:jc w:val="center"/>
              <w:rPr>
                <w:sz w:val="18"/>
              </w:rPr>
            </w:pPr>
            <w:r>
              <w:rPr>
                <w:sz w:val="18"/>
              </w:rPr>
              <w:t>不合格品</w:t>
            </w:r>
          </w:p>
        </w:tc>
        <w:tc>
          <w:tcPr>
            <w:tcW w:w="1265" w:type="dxa"/>
          </w:tcPr>
          <w:p>
            <w:pPr>
              <w:pStyle w:val="TableParagraph"/>
              <w:spacing w:before="26"/>
              <w:ind w:left="250" w:right="239"/>
              <w:jc w:val="center"/>
              <w:rPr>
                <w:sz w:val="18"/>
              </w:rPr>
            </w:pPr>
            <w:r>
              <w:rPr>
                <w:rFonts w:ascii="Times New Roman" w:eastAsia="Times New Roman"/>
                <w:sz w:val="18"/>
              </w:rPr>
              <w:t xml:space="preserve">S7 </w:t>
            </w:r>
            <w:r>
              <w:rPr>
                <w:sz w:val="18"/>
              </w:rPr>
              <w:t>等</w:t>
            </w:r>
          </w:p>
        </w:tc>
        <w:tc>
          <w:tcPr>
            <w:tcW w:w="2126" w:type="dxa"/>
            <w:vMerge/>
            <w:tcBorders>
              <w:top w:val="nil"/>
              <w:right w:val="single" w:sz="6" w:space="0" w:color="000000"/>
            </w:tcBorders>
          </w:tcPr>
          <w:p>
            <w:pPr>
              <w:rPr>
                <w:sz w:val="2"/>
                <w:szCs w:val="2"/>
              </w:rPr>
            </w:pPr>
          </w:p>
        </w:tc>
        <w:tc>
          <w:tcPr>
            <w:tcW w:w="2004" w:type="dxa"/>
            <w:tcBorders>
              <w:left w:val="single" w:sz="6" w:space="0" w:color="000000"/>
            </w:tcBorders>
          </w:tcPr>
          <w:p>
            <w:pPr>
              <w:pStyle w:val="TableParagraph"/>
              <w:spacing w:before="26"/>
              <w:ind w:left="261" w:right="250"/>
              <w:jc w:val="center"/>
              <w:rPr>
                <w:sz w:val="18"/>
              </w:rPr>
            </w:pPr>
            <w:r>
              <w:rPr>
                <w:sz w:val="18"/>
              </w:rPr>
              <w:t>检查</w:t>
            </w:r>
          </w:p>
        </w:tc>
      </w:tr>
      <w:tr>
        <w:tblPrEx>
          <w:tblW w:w="0" w:type="auto"/>
          <w:tblInd w:w="831" w:type="dxa"/>
          <w:tblLayout w:type="fixed"/>
          <w:tblCellMar>
            <w:top w:w="0" w:type="dxa"/>
            <w:left w:w="0" w:type="dxa"/>
            <w:bottom w:w="0" w:type="dxa"/>
            <w:right w:w="0" w:type="dxa"/>
          </w:tblCellMar>
        </w:tblPrEx>
        <w:trPr>
          <w:trHeight w:val="282"/>
        </w:trPr>
        <w:tc>
          <w:tcPr>
            <w:tcW w:w="595" w:type="dxa"/>
          </w:tcPr>
          <w:p>
            <w:pPr>
              <w:pStyle w:val="TableParagraph"/>
              <w:spacing w:before="38"/>
              <w:ind w:left="98" w:right="84"/>
              <w:jc w:val="center"/>
              <w:rPr>
                <w:rFonts w:ascii="Times New Roman"/>
                <w:sz w:val="18"/>
              </w:rPr>
            </w:pPr>
            <w:r>
              <w:rPr>
                <w:rFonts w:ascii="Times New Roman"/>
                <w:sz w:val="18"/>
              </w:rPr>
              <w:t>11</w:t>
            </w:r>
          </w:p>
        </w:tc>
        <w:tc>
          <w:tcPr>
            <w:tcW w:w="708" w:type="dxa"/>
            <w:vMerge/>
            <w:tcBorders>
              <w:top w:val="nil"/>
            </w:tcBorders>
          </w:tcPr>
          <w:p>
            <w:pPr>
              <w:rPr>
                <w:sz w:val="2"/>
                <w:szCs w:val="2"/>
              </w:rPr>
            </w:pPr>
          </w:p>
        </w:tc>
        <w:tc>
          <w:tcPr>
            <w:tcW w:w="1700" w:type="dxa"/>
          </w:tcPr>
          <w:p>
            <w:pPr>
              <w:pStyle w:val="TableParagraph"/>
              <w:spacing w:before="26"/>
              <w:ind w:left="354" w:right="342"/>
              <w:jc w:val="center"/>
              <w:rPr>
                <w:sz w:val="18"/>
              </w:rPr>
            </w:pPr>
            <w:r>
              <w:rPr>
                <w:sz w:val="18"/>
              </w:rPr>
              <w:t>废油墨</w:t>
            </w:r>
          </w:p>
        </w:tc>
        <w:tc>
          <w:tcPr>
            <w:tcW w:w="1265" w:type="dxa"/>
          </w:tcPr>
          <w:p>
            <w:pPr>
              <w:pStyle w:val="TableParagraph"/>
              <w:spacing w:before="38"/>
              <w:ind w:left="250" w:right="240"/>
              <w:jc w:val="center"/>
              <w:rPr>
                <w:rFonts w:ascii="Times New Roman"/>
                <w:sz w:val="18"/>
              </w:rPr>
            </w:pPr>
            <w:r>
              <w:rPr>
                <w:rFonts w:ascii="Times New Roman"/>
                <w:sz w:val="18"/>
              </w:rPr>
              <w:t>S2</w:t>
            </w:r>
          </w:p>
        </w:tc>
        <w:tc>
          <w:tcPr>
            <w:tcW w:w="2126" w:type="dxa"/>
            <w:vMerge w:val="restart"/>
            <w:tcBorders>
              <w:right w:val="single" w:sz="6" w:space="0" w:color="000000"/>
            </w:tcBorders>
          </w:tcPr>
          <w:p>
            <w:pPr>
              <w:pStyle w:val="TableParagraph"/>
              <w:rPr>
                <w:b/>
                <w:sz w:val="18"/>
              </w:rPr>
            </w:pPr>
          </w:p>
          <w:p>
            <w:pPr>
              <w:pStyle w:val="TableParagraph"/>
              <w:rPr>
                <w:b/>
                <w:sz w:val="18"/>
              </w:rPr>
            </w:pPr>
          </w:p>
          <w:p>
            <w:pPr>
              <w:pStyle w:val="TableParagraph"/>
              <w:rPr>
                <w:b/>
                <w:sz w:val="18"/>
              </w:rPr>
            </w:pPr>
          </w:p>
          <w:p>
            <w:pPr>
              <w:pStyle w:val="TableParagraph"/>
              <w:rPr>
                <w:b/>
                <w:sz w:val="18"/>
              </w:rPr>
            </w:pPr>
          </w:p>
          <w:p>
            <w:pPr>
              <w:pStyle w:val="TableParagraph"/>
              <w:spacing w:before="6"/>
              <w:rPr>
                <w:b/>
                <w:sz w:val="21"/>
              </w:rPr>
            </w:pPr>
          </w:p>
          <w:p>
            <w:pPr>
              <w:pStyle w:val="TableParagraph"/>
              <w:ind w:left="705"/>
              <w:rPr>
                <w:sz w:val="18"/>
              </w:rPr>
            </w:pPr>
            <w:r>
              <w:rPr>
                <w:sz w:val="18"/>
              </w:rPr>
              <w:t>危险固废</w:t>
            </w:r>
          </w:p>
        </w:tc>
        <w:tc>
          <w:tcPr>
            <w:tcW w:w="2004" w:type="dxa"/>
            <w:vMerge w:val="restart"/>
            <w:tcBorders>
              <w:left w:val="single" w:sz="6" w:space="0" w:color="000000"/>
            </w:tcBorders>
          </w:tcPr>
          <w:p>
            <w:pPr>
              <w:pStyle w:val="TableParagraph"/>
              <w:spacing w:before="6"/>
              <w:rPr>
                <w:b/>
                <w:sz w:val="13"/>
              </w:rPr>
            </w:pPr>
          </w:p>
          <w:p>
            <w:pPr>
              <w:pStyle w:val="TableParagraph"/>
              <w:ind w:left="261" w:right="250"/>
              <w:jc w:val="center"/>
              <w:rPr>
                <w:sz w:val="18"/>
              </w:rPr>
            </w:pPr>
            <w:r>
              <w:rPr>
                <w:sz w:val="18"/>
              </w:rPr>
              <w:t>印刷</w:t>
            </w:r>
          </w:p>
        </w:tc>
      </w:tr>
      <w:tr>
        <w:tblPrEx>
          <w:tblW w:w="0" w:type="auto"/>
          <w:tblInd w:w="831" w:type="dxa"/>
          <w:tblLayout w:type="fixed"/>
          <w:tblCellMar>
            <w:top w:w="0" w:type="dxa"/>
            <w:left w:w="0" w:type="dxa"/>
            <w:bottom w:w="0" w:type="dxa"/>
            <w:right w:w="0" w:type="dxa"/>
          </w:tblCellMar>
        </w:tblPrEx>
        <w:trPr>
          <w:trHeight w:val="283"/>
        </w:trPr>
        <w:tc>
          <w:tcPr>
            <w:tcW w:w="595" w:type="dxa"/>
          </w:tcPr>
          <w:p>
            <w:pPr>
              <w:pStyle w:val="TableParagraph"/>
              <w:spacing w:before="38"/>
              <w:ind w:left="98" w:right="84"/>
              <w:jc w:val="center"/>
              <w:rPr>
                <w:rFonts w:ascii="Times New Roman"/>
                <w:sz w:val="18"/>
              </w:rPr>
            </w:pPr>
            <w:r>
              <w:rPr>
                <w:rFonts w:ascii="Times New Roman"/>
                <w:sz w:val="18"/>
              </w:rPr>
              <w:t>12</w:t>
            </w:r>
          </w:p>
        </w:tc>
        <w:tc>
          <w:tcPr>
            <w:tcW w:w="708" w:type="dxa"/>
            <w:vMerge/>
            <w:tcBorders>
              <w:top w:val="nil"/>
            </w:tcBorders>
          </w:tcPr>
          <w:p>
            <w:pPr>
              <w:rPr>
                <w:sz w:val="2"/>
                <w:szCs w:val="2"/>
              </w:rPr>
            </w:pPr>
          </w:p>
        </w:tc>
        <w:tc>
          <w:tcPr>
            <w:tcW w:w="1700" w:type="dxa"/>
          </w:tcPr>
          <w:p>
            <w:pPr>
              <w:pStyle w:val="TableParagraph"/>
              <w:spacing w:before="26"/>
              <w:ind w:left="354" w:right="342"/>
              <w:jc w:val="center"/>
              <w:rPr>
                <w:sz w:val="18"/>
              </w:rPr>
            </w:pPr>
            <w:r>
              <w:rPr>
                <w:sz w:val="18"/>
              </w:rPr>
              <w:t>废印版</w:t>
            </w:r>
          </w:p>
        </w:tc>
        <w:tc>
          <w:tcPr>
            <w:tcW w:w="1265" w:type="dxa"/>
          </w:tcPr>
          <w:p>
            <w:pPr>
              <w:pStyle w:val="TableParagraph"/>
              <w:spacing w:before="38"/>
              <w:ind w:left="250" w:right="240"/>
              <w:jc w:val="center"/>
              <w:rPr>
                <w:rFonts w:ascii="Times New Roman"/>
                <w:sz w:val="18"/>
              </w:rPr>
            </w:pPr>
            <w:r>
              <w:rPr>
                <w:rFonts w:ascii="Times New Roman"/>
                <w:sz w:val="18"/>
              </w:rPr>
              <w:t>S3</w:t>
            </w:r>
          </w:p>
        </w:tc>
        <w:tc>
          <w:tcPr>
            <w:tcW w:w="2126" w:type="dxa"/>
            <w:vMerge/>
            <w:tcBorders>
              <w:top w:val="nil"/>
              <w:right w:val="single" w:sz="6" w:space="0" w:color="000000"/>
            </w:tcBorders>
          </w:tcPr>
          <w:p>
            <w:pPr>
              <w:rPr>
                <w:sz w:val="2"/>
                <w:szCs w:val="2"/>
              </w:rPr>
            </w:pPr>
          </w:p>
        </w:tc>
        <w:tc>
          <w:tcPr>
            <w:tcW w:w="2004" w:type="dxa"/>
            <w:vMerge/>
            <w:tcBorders>
              <w:top w:val="nil"/>
              <w:left w:val="single" w:sz="6" w:space="0" w:color="000000"/>
            </w:tcBorders>
          </w:tcPr>
          <w:p>
            <w:pPr>
              <w:rPr>
                <w:sz w:val="2"/>
                <w:szCs w:val="2"/>
              </w:rPr>
            </w:pPr>
          </w:p>
        </w:tc>
      </w:tr>
      <w:tr>
        <w:tblPrEx>
          <w:tblW w:w="0" w:type="auto"/>
          <w:tblInd w:w="831" w:type="dxa"/>
          <w:tblLayout w:type="fixed"/>
          <w:tblCellMar>
            <w:top w:w="0" w:type="dxa"/>
            <w:left w:w="0" w:type="dxa"/>
            <w:bottom w:w="0" w:type="dxa"/>
            <w:right w:w="0" w:type="dxa"/>
          </w:tblCellMar>
        </w:tblPrEx>
        <w:trPr>
          <w:trHeight w:val="282"/>
        </w:trPr>
        <w:tc>
          <w:tcPr>
            <w:tcW w:w="595" w:type="dxa"/>
          </w:tcPr>
          <w:p>
            <w:pPr>
              <w:pStyle w:val="TableParagraph"/>
              <w:spacing w:before="38"/>
              <w:ind w:left="98" w:right="84"/>
              <w:jc w:val="center"/>
              <w:rPr>
                <w:rFonts w:ascii="Times New Roman"/>
                <w:sz w:val="18"/>
              </w:rPr>
            </w:pPr>
            <w:r>
              <w:rPr>
                <w:rFonts w:ascii="Times New Roman"/>
                <w:sz w:val="18"/>
              </w:rPr>
              <w:t>13</w:t>
            </w:r>
          </w:p>
        </w:tc>
        <w:tc>
          <w:tcPr>
            <w:tcW w:w="708" w:type="dxa"/>
            <w:vMerge/>
            <w:tcBorders>
              <w:top w:val="nil"/>
            </w:tcBorders>
          </w:tcPr>
          <w:p>
            <w:pPr>
              <w:rPr>
                <w:sz w:val="2"/>
                <w:szCs w:val="2"/>
              </w:rPr>
            </w:pPr>
          </w:p>
        </w:tc>
        <w:tc>
          <w:tcPr>
            <w:tcW w:w="1700" w:type="dxa"/>
          </w:tcPr>
          <w:p>
            <w:pPr>
              <w:pStyle w:val="TableParagraph"/>
              <w:spacing w:before="26"/>
              <w:ind w:left="357" w:right="342"/>
              <w:jc w:val="center"/>
              <w:rPr>
                <w:sz w:val="18"/>
              </w:rPr>
            </w:pPr>
            <w:r>
              <w:rPr>
                <w:sz w:val="18"/>
              </w:rPr>
              <w:t>废胶粘剂</w:t>
            </w:r>
          </w:p>
        </w:tc>
        <w:tc>
          <w:tcPr>
            <w:tcW w:w="1265" w:type="dxa"/>
          </w:tcPr>
          <w:p>
            <w:pPr>
              <w:pStyle w:val="TableParagraph"/>
              <w:spacing w:before="38"/>
              <w:ind w:left="250" w:right="239"/>
              <w:jc w:val="center"/>
              <w:rPr>
                <w:rFonts w:ascii="Times New Roman"/>
                <w:sz w:val="18"/>
              </w:rPr>
            </w:pPr>
            <w:r>
              <w:rPr>
                <w:rFonts w:ascii="Times New Roman"/>
                <w:sz w:val="18"/>
              </w:rPr>
              <w:t>S4</w:t>
            </w:r>
          </w:p>
        </w:tc>
        <w:tc>
          <w:tcPr>
            <w:tcW w:w="2126" w:type="dxa"/>
            <w:vMerge/>
            <w:tcBorders>
              <w:top w:val="nil"/>
              <w:right w:val="single" w:sz="6" w:space="0" w:color="000000"/>
            </w:tcBorders>
          </w:tcPr>
          <w:p>
            <w:pPr>
              <w:rPr>
                <w:sz w:val="2"/>
                <w:szCs w:val="2"/>
              </w:rPr>
            </w:pPr>
          </w:p>
        </w:tc>
        <w:tc>
          <w:tcPr>
            <w:tcW w:w="2004" w:type="dxa"/>
            <w:tcBorders>
              <w:left w:val="single" w:sz="6" w:space="0" w:color="000000"/>
            </w:tcBorders>
          </w:tcPr>
          <w:p>
            <w:pPr>
              <w:pStyle w:val="TableParagraph"/>
              <w:spacing w:before="26"/>
              <w:ind w:left="261" w:right="250"/>
              <w:jc w:val="center"/>
              <w:rPr>
                <w:sz w:val="18"/>
              </w:rPr>
            </w:pPr>
            <w:r>
              <w:rPr>
                <w:sz w:val="18"/>
              </w:rPr>
              <w:t>复合</w:t>
            </w:r>
          </w:p>
        </w:tc>
      </w:tr>
      <w:tr>
        <w:tblPrEx>
          <w:tblW w:w="0" w:type="auto"/>
          <w:tblInd w:w="831" w:type="dxa"/>
          <w:tblLayout w:type="fixed"/>
          <w:tblCellMar>
            <w:top w:w="0" w:type="dxa"/>
            <w:left w:w="0" w:type="dxa"/>
            <w:bottom w:w="0" w:type="dxa"/>
            <w:right w:w="0" w:type="dxa"/>
          </w:tblCellMar>
        </w:tblPrEx>
        <w:trPr>
          <w:trHeight w:val="285"/>
        </w:trPr>
        <w:tc>
          <w:tcPr>
            <w:tcW w:w="595" w:type="dxa"/>
          </w:tcPr>
          <w:p>
            <w:pPr>
              <w:pStyle w:val="TableParagraph"/>
              <w:spacing w:before="38"/>
              <w:ind w:left="98" w:right="84"/>
              <w:jc w:val="center"/>
              <w:rPr>
                <w:rFonts w:ascii="Times New Roman"/>
                <w:sz w:val="18"/>
              </w:rPr>
            </w:pPr>
            <w:r>
              <w:rPr>
                <w:rFonts w:ascii="Times New Roman"/>
                <w:sz w:val="18"/>
              </w:rPr>
              <w:t>14</w:t>
            </w:r>
          </w:p>
        </w:tc>
        <w:tc>
          <w:tcPr>
            <w:tcW w:w="708" w:type="dxa"/>
            <w:vMerge/>
            <w:tcBorders>
              <w:top w:val="nil"/>
            </w:tcBorders>
          </w:tcPr>
          <w:p>
            <w:pPr>
              <w:rPr>
                <w:sz w:val="2"/>
                <w:szCs w:val="2"/>
              </w:rPr>
            </w:pPr>
          </w:p>
        </w:tc>
        <w:tc>
          <w:tcPr>
            <w:tcW w:w="1700" w:type="dxa"/>
          </w:tcPr>
          <w:p>
            <w:pPr>
              <w:pStyle w:val="TableParagraph"/>
              <w:spacing w:before="26"/>
              <w:ind w:left="357" w:right="342"/>
              <w:jc w:val="center"/>
              <w:rPr>
                <w:sz w:val="18"/>
              </w:rPr>
            </w:pPr>
            <w:r>
              <w:rPr>
                <w:sz w:val="18"/>
              </w:rPr>
              <w:t>废刮刀</w:t>
            </w:r>
            <w:r>
              <w:rPr>
                <w:rFonts w:ascii="Times New Roman" w:eastAsia="Times New Roman"/>
                <w:sz w:val="18"/>
              </w:rPr>
              <w:t>/</w:t>
            </w:r>
            <w:r>
              <w:rPr>
                <w:sz w:val="18"/>
              </w:rPr>
              <w:t>抹布</w:t>
            </w:r>
          </w:p>
        </w:tc>
        <w:tc>
          <w:tcPr>
            <w:tcW w:w="1265" w:type="dxa"/>
          </w:tcPr>
          <w:p>
            <w:pPr>
              <w:pStyle w:val="TableParagraph"/>
              <w:spacing w:before="38"/>
              <w:ind w:left="8"/>
              <w:jc w:val="center"/>
              <w:rPr>
                <w:rFonts w:ascii="Times New Roman"/>
                <w:sz w:val="18"/>
              </w:rPr>
            </w:pPr>
            <w:r>
              <w:rPr>
                <w:rFonts w:ascii="Times New Roman"/>
                <w:sz w:val="18"/>
              </w:rPr>
              <w:t>/</w:t>
            </w:r>
          </w:p>
        </w:tc>
        <w:tc>
          <w:tcPr>
            <w:tcW w:w="2126" w:type="dxa"/>
            <w:vMerge/>
            <w:tcBorders>
              <w:top w:val="nil"/>
              <w:right w:val="single" w:sz="6" w:space="0" w:color="000000"/>
            </w:tcBorders>
          </w:tcPr>
          <w:p>
            <w:pPr>
              <w:rPr>
                <w:sz w:val="2"/>
                <w:szCs w:val="2"/>
              </w:rPr>
            </w:pPr>
          </w:p>
        </w:tc>
        <w:tc>
          <w:tcPr>
            <w:tcW w:w="2004" w:type="dxa"/>
            <w:tcBorders>
              <w:left w:val="single" w:sz="6" w:space="0" w:color="000000"/>
            </w:tcBorders>
          </w:tcPr>
          <w:p>
            <w:pPr>
              <w:pStyle w:val="TableParagraph"/>
              <w:spacing w:before="26"/>
              <w:ind w:left="261" w:right="247"/>
              <w:jc w:val="center"/>
              <w:rPr>
                <w:sz w:val="18"/>
              </w:rPr>
            </w:pPr>
            <w:r>
              <w:rPr>
                <w:sz w:val="18"/>
              </w:rPr>
              <w:t>设备清理</w:t>
            </w:r>
            <w:r>
              <w:rPr>
                <w:rFonts w:ascii="Times New Roman" w:eastAsia="Times New Roman"/>
                <w:sz w:val="18"/>
              </w:rPr>
              <w:t>/</w:t>
            </w:r>
            <w:r>
              <w:rPr>
                <w:sz w:val="18"/>
              </w:rPr>
              <w:t>保养</w:t>
            </w:r>
          </w:p>
        </w:tc>
      </w:tr>
      <w:tr>
        <w:tblPrEx>
          <w:tblW w:w="0" w:type="auto"/>
          <w:tblInd w:w="831" w:type="dxa"/>
          <w:tblLayout w:type="fixed"/>
          <w:tblCellMar>
            <w:top w:w="0" w:type="dxa"/>
            <w:left w:w="0" w:type="dxa"/>
            <w:bottom w:w="0" w:type="dxa"/>
            <w:right w:w="0" w:type="dxa"/>
          </w:tblCellMar>
        </w:tblPrEx>
        <w:trPr>
          <w:trHeight w:val="282"/>
        </w:trPr>
        <w:tc>
          <w:tcPr>
            <w:tcW w:w="595" w:type="dxa"/>
          </w:tcPr>
          <w:p>
            <w:pPr>
              <w:pStyle w:val="TableParagraph"/>
              <w:spacing w:before="38"/>
              <w:ind w:left="98" w:right="84"/>
              <w:jc w:val="center"/>
              <w:rPr>
                <w:rFonts w:ascii="Times New Roman"/>
                <w:sz w:val="18"/>
              </w:rPr>
            </w:pPr>
            <w:r>
              <w:rPr>
                <w:rFonts w:ascii="Times New Roman"/>
                <w:sz w:val="18"/>
              </w:rPr>
              <w:t>15</w:t>
            </w:r>
          </w:p>
        </w:tc>
        <w:tc>
          <w:tcPr>
            <w:tcW w:w="708" w:type="dxa"/>
            <w:vMerge/>
            <w:tcBorders>
              <w:top w:val="nil"/>
            </w:tcBorders>
          </w:tcPr>
          <w:p>
            <w:pPr>
              <w:rPr>
                <w:sz w:val="2"/>
                <w:szCs w:val="2"/>
              </w:rPr>
            </w:pPr>
          </w:p>
        </w:tc>
        <w:tc>
          <w:tcPr>
            <w:tcW w:w="1700" w:type="dxa"/>
          </w:tcPr>
          <w:p>
            <w:pPr>
              <w:pStyle w:val="TableParagraph"/>
              <w:spacing w:before="24"/>
              <w:ind w:left="357" w:right="342"/>
              <w:jc w:val="center"/>
              <w:rPr>
                <w:sz w:val="18"/>
              </w:rPr>
            </w:pPr>
            <w:r>
              <w:rPr>
                <w:sz w:val="18"/>
              </w:rPr>
              <w:t>废包装桶</w:t>
            </w:r>
          </w:p>
        </w:tc>
        <w:tc>
          <w:tcPr>
            <w:tcW w:w="1265" w:type="dxa"/>
          </w:tcPr>
          <w:p>
            <w:pPr>
              <w:pStyle w:val="TableParagraph"/>
              <w:spacing w:before="38"/>
              <w:ind w:left="8"/>
              <w:jc w:val="center"/>
              <w:rPr>
                <w:rFonts w:ascii="Times New Roman"/>
                <w:sz w:val="18"/>
              </w:rPr>
            </w:pPr>
            <w:r>
              <w:rPr>
                <w:rFonts w:ascii="Times New Roman"/>
                <w:sz w:val="18"/>
              </w:rPr>
              <w:t>/</w:t>
            </w:r>
          </w:p>
        </w:tc>
        <w:tc>
          <w:tcPr>
            <w:tcW w:w="2126" w:type="dxa"/>
            <w:vMerge/>
            <w:tcBorders>
              <w:top w:val="nil"/>
              <w:right w:val="single" w:sz="6" w:space="0" w:color="000000"/>
            </w:tcBorders>
          </w:tcPr>
          <w:p>
            <w:pPr>
              <w:rPr>
                <w:sz w:val="2"/>
                <w:szCs w:val="2"/>
              </w:rPr>
            </w:pPr>
          </w:p>
        </w:tc>
        <w:tc>
          <w:tcPr>
            <w:tcW w:w="2004" w:type="dxa"/>
            <w:tcBorders>
              <w:left w:val="single" w:sz="6" w:space="0" w:color="000000"/>
            </w:tcBorders>
          </w:tcPr>
          <w:p>
            <w:pPr>
              <w:pStyle w:val="TableParagraph"/>
              <w:spacing w:before="24"/>
              <w:ind w:left="261" w:right="250"/>
              <w:jc w:val="center"/>
              <w:rPr>
                <w:sz w:val="18"/>
              </w:rPr>
            </w:pPr>
            <w:r>
              <w:rPr>
                <w:sz w:val="18"/>
              </w:rPr>
              <w:t>原料包装</w:t>
            </w:r>
          </w:p>
        </w:tc>
      </w:tr>
      <w:tr>
        <w:tblPrEx>
          <w:tblW w:w="0" w:type="auto"/>
          <w:tblInd w:w="831" w:type="dxa"/>
          <w:tblLayout w:type="fixed"/>
          <w:tblCellMar>
            <w:top w:w="0" w:type="dxa"/>
            <w:left w:w="0" w:type="dxa"/>
            <w:bottom w:w="0" w:type="dxa"/>
            <w:right w:w="0" w:type="dxa"/>
          </w:tblCellMar>
        </w:tblPrEx>
        <w:trPr>
          <w:trHeight w:val="282"/>
        </w:trPr>
        <w:tc>
          <w:tcPr>
            <w:tcW w:w="595" w:type="dxa"/>
          </w:tcPr>
          <w:p>
            <w:pPr>
              <w:pStyle w:val="TableParagraph"/>
              <w:spacing w:before="38"/>
              <w:ind w:left="98" w:right="84"/>
              <w:jc w:val="center"/>
              <w:rPr>
                <w:rFonts w:ascii="Times New Roman"/>
                <w:sz w:val="18"/>
              </w:rPr>
            </w:pPr>
            <w:r>
              <w:rPr>
                <w:rFonts w:ascii="Times New Roman"/>
                <w:sz w:val="18"/>
              </w:rPr>
              <w:t>16</w:t>
            </w:r>
          </w:p>
        </w:tc>
        <w:tc>
          <w:tcPr>
            <w:tcW w:w="708" w:type="dxa"/>
            <w:vMerge/>
            <w:tcBorders>
              <w:top w:val="nil"/>
            </w:tcBorders>
          </w:tcPr>
          <w:p>
            <w:pPr>
              <w:rPr>
                <w:sz w:val="2"/>
                <w:szCs w:val="2"/>
              </w:rPr>
            </w:pPr>
          </w:p>
        </w:tc>
        <w:tc>
          <w:tcPr>
            <w:tcW w:w="1700" w:type="dxa"/>
          </w:tcPr>
          <w:p>
            <w:pPr>
              <w:pStyle w:val="TableParagraph"/>
              <w:spacing w:before="23"/>
              <w:ind w:left="357" w:right="342"/>
              <w:jc w:val="center"/>
              <w:rPr>
                <w:sz w:val="18"/>
              </w:rPr>
            </w:pPr>
            <w:r>
              <w:rPr>
                <w:sz w:val="18"/>
              </w:rPr>
              <w:t>废催化剂</w:t>
            </w:r>
          </w:p>
        </w:tc>
        <w:tc>
          <w:tcPr>
            <w:tcW w:w="1265" w:type="dxa"/>
          </w:tcPr>
          <w:p>
            <w:pPr>
              <w:pStyle w:val="TableParagraph"/>
              <w:spacing w:before="38"/>
              <w:ind w:left="8"/>
              <w:jc w:val="center"/>
              <w:rPr>
                <w:rFonts w:ascii="Times New Roman"/>
                <w:sz w:val="18"/>
              </w:rPr>
            </w:pPr>
            <w:r>
              <w:rPr>
                <w:rFonts w:ascii="Times New Roman"/>
                <w:sz w:val="18"/>
              </w:rPr>
              <w:t>/</w:t>
            </w:r>
          </w:p>
        </w:tc>
        <w:tc>
          <w:tcPr>
            <w:tcW w:w="2126" w:type="dxa"/>
            <w:vMerge/>
            <w:tcBorders>
              <w:top w:val="nil"/>
              <w:right w:val="single" w:sz="6" w:space="0" w:color="000000"/>
            </w:tcBorders>
          </w:tcPr>
          <w:p>
            <w:pPr>
              <w:rPr>
                <w:sz w:val="2"/>
                <w:szCs w:val="2"/>
              </w:rPr>
            </w:pPr>
          </w:p>
        </w:tc>
        <w:tc>
          <w:tcPr>
            <w:tcW w:w="2004" w:type="dxa"/>
            <w:tcBorders>
              <w:left w:val="single" w:sz="6" w:space="0" w:color="000000"/>
            </w:tcBorders>
          </w:tcPr>
          <w:p>
            <w:pPr>
              <w:pStyle w:val="TableParagraph"/>
              <w:spacing w:before="23"/>
              <w:ind w:left="261" w:right="250"/>
              <w:jc w:val="center"/>
              <w:rPr>
                <w:sz w:val="18"/>
              </w:rPr>
            </w:pPr>
            <w:r>
              <w:rPr>
                <w:sz w:val="18"/>
              </w:rPr>
              <w:t>废气处理</w:t>
            </w:r>
          </w:p>
        </w:tc>
      </w:tr>
      <w:tr>
        <w:tblPrEx>
          <w:tblW w:w="0" w:type="auto"/>
          <w:tblInd w:w="831" w:type="dxa"/>
          <w:tblLayout w:type="fixed"/>
          <w:tblCellMar>
            <w:top w:w="0" w:type="dxa"/>
            <w:left w:w="0" w:type="dxa"/>
            <w:bottom w:w="0" w:type="dxa"/>
            <w:right w:w="0" w:type="dxa"/>
          </w:tblCellMar>
        </w:tblPrEx>
        <w:trPr>
          <w:trHeight w:val="282"/>
        </w:trPr>
        <w:tc>
          <w:tcPr>
            <w:tcW w:w="595" w:type="dxa"/>
          </w:tcPr>
          <w:p>
            <w:pPr>
              <w:pStyle w:val="TableParagraph"/>
              <w:spacing w:before="38"/>
              <w:ind w:left="98" w:right="84"/>
              <w:jc w:val="center"/>
              <w:rPr>
                <w:rFonts w:ascii="Times New Roman"/>
                <w:sz w:val="18"/>
              </w:rPr>
            </w:pPr>
            <w:r>
              <w:rPr>
                <w:rFonts w:ascii="Times New Roman"/>
                <w:sz w:val="18"/>
              </w:rPr>
              <w:t>17</w:t>
            </w:r>
          </w:p>
        </w:tc>
        <w:tc>
          <w:tcPr>
            <w:tcW w:w="708" w:type="dxa"/>
            <w:vMerge/>
            <w:tcBorders>
              <w:top w:val="nil"/>
            </w:tcBorders>
          </w:tcPr>
          <w:p>
            <w:pPr>
              <w:rPr>
                <w:sz w:val="2"/>
                <w:szCs w:val="2"/>
              </w:rPr>
            </w:pPr>
          </w:p>
        </w:tc>
        <w:tc>
          <w:tcPr>
            <w:tcW w:w="1700" w:type="dxa"/>
          </w:tcPr>
          <w:p>
            <w:pPr>
              <w:pStyle w:val="TableParagraph"/>
              <w:spacing w:before="24"/>
              <w:ind w:left="357" w:right="342"/>
              <w:jc w:val="center"/>
              <w:rPr>
                <w:sz w:val="18"/>
              </w:rPr>
            </w:pPr>
            <w:r>
              <w:rPr>
                <w:sz w:val="18"/>
              </w:rPr>
              <w:t>废活性炭</w:t>
            </w:r>
          </w:p>
        </w:tc>
        <w:tc>
          <w:tcPr>
            <w:tcW w:w="1265" w:type="dxa"/>
          </w:tcPr>
          <w:p>
            <w:pPr>
              <w:pStyle w:val="TableParagraph"/>
              <w:spacing w:before="38"/>
              <w:ind w:left="8"/>
              <w:jc w:val="center"/>
              <w:rPr>
                <w:rFonts w:ascii="Times New Roman"/>
                <w:sz w:val="18"/>
              </w:rPr>
            </w:pPr>
            <w:r>
              <w:rPr>
                <w:rFonts w:ascii="Times New Roman"/>
                <w:sz w:val="18"/>
              </w:rPr>
              <w:t>/</w:t>
            </w:r>
          </w:p>
        </w:tc>
        <w:tc>
          <w:tcPr>
            <w:tcW w:w="2126" w:type="dxa"/>
            <w:vMerge/>
            <w:tcBorders>
              <w:top w:val="nil"/>
              <w:right w:val="single" w:sz="6" w:space="0" w:color="000000"/>
            </w:tcBorders>
          </w:tcPr>
          <w:p>
            <w:pPr>
              <w:rPr>
                <w:sz w:val="2"/>
                <w:szCs w:val="2"/>
              </w:rPr>
            </w:pPr>
          </w:p>
        </w:tc>
        <w:tc>
          <w:tcPr>
            <w:tcW w:w="2004" w:type="dxa"/>
            <w:tcBorders>
              <w:left w:val="single" w:sz="6" w:space="0" w:color="000000"/>
            </w:tcBorders>
          </w:tcPr>
          <w:p>
            <w:pPr>
              <w:pStyle w:val="TableParagraph"/>
              <w:spacing w:before="24"/>
              <w:ind w:left="261" w:right="250"/>
              <w:jc w:val="center"/>
              <w:rPr>
                <w:sz w:val="18"/>
              </w:rPr>
            </w:pPr>
            <w:r>
              <w:rPr>
                <w:sz w:val="18"/>
              </w:rPr>
              <w:t>危废仓库废气处理</w:t>
            </w:r>
          </w:p>
        </w:tc>
      </w:tr>
      <w:tr>
        <w:tblPrEx>
          <w:tblW w:w="0" w:type="auto"/>
          <w:tblInd w:w="831" w:type="dxa"/>
          <w:tblLayout w:type="fixed"/>
          <w:tblCellMar>
            <w:top w:w="0" w:type="dxa"/>
            <w:left w:w="0" w:type="dxa"/>
            <w:bottom w:w="0" w:type="dxa"/>
            <w:right w:w="0" w:type="dxa"/>
          </w:tblCellMar>
        </w:tblPrEx>
        <w:trPr>
          <w:trHeight w:val="282"/>
        </w:trPr>
        <w:tc>
          <w:tcPr>
            <w:tcW w:w="595" w:type="dxa"/>
          </w:tcPr>
          <w:p>
            <w:pPr>
              <w:pStyle w:val="TableParagraph"/>
              <w:spacing w:before="38"/>
              <w:ind w:left="98" w:right="84"/>
              <w:jc w:val="center"/>
              <w:rPr>
                <w:rFonts w:ascii="Times New Roman"/>
                <w:sz w:val="18"/>
              </w:rPr>
            </w:pPr>
            <w:r>
              <w:rPr>
                <w:rFonts w:ascii="Times New Roman"/>
                <w:sz w:val="18"/>
              </w:rPr>
              <w:t>18</w:t>
            </w:r>
          </w:p>
        </w:tc>
        <w:tc>
          <w:tcPr>
            <w:tcW w:w="708" w:type="dxa"/>
            <w:vMerge/>
            <w:tcBorders>
              <w:top w:val="nil"/>
            </w:tcBorders>
          </w:tcPr>
          <w:p>
            <w:pPr>
              <w:rPr>
                <w:sz w:val="2"/>
                <w:szCs w:val="2"/>
              </w:rPr>
            </w:pPr>
          </w:p>
        </w:tc>
        <w:tc>
          <w:tcPr>
            <w:tcW w:w="1700" w:type="dxa"/>
          </w:tcPr>
          <w:p>
            <w:pPr>
              <w:pStyle w:val="TableParagraph"/>
              <w:spacing w:before="23"/>
              <w:ind w:left="357" w:right="342"/>
              <w:jc w:val="center"/>
              <w:rPr>
                <w:sz w:val="18"/>
              </w:rPr>
            </w:pPr>
            <w:r>
              <w:rPr>
                <w:sz w:val="18"/>
              </w:rPr>
              <w:t>废油</w:t>
            </w:r>
          </w:p>
        </w:tc>
        <w:tc>
          <w:tcPr>
            <w:tcW w:w="1265" w:type="dxa"/>
          </w:tcPr>
          <w:p>
            <w:pPr>
              <w:pStyle w:val="TableParagraph"/>
              <w:spacing w:line="207" w:lineRule="exact"/>
              <w:ind w:left="8"/>
              <w:jc w:val="center"/>
              <w:rPr>
                <w:rFonts w:ascii="Times New Roman"/>
                <w:sz w:val="18"/>
              </w:rPr>
            </w:pPr>
            <w:r>
              <w:rPr>
                <w:rFonts w:ascii="Times New Roman"/>
                <w:sz w:val="18"/>
              </w:rPr>
              <w:t>/</w:t>
            </w:r>
          </w:p>
        </w:tc>
        <w:tc>
          <w:tcPr>
            <w:tcW w:w="2126" w:type="dxa"/>
            <w:vMerge/>
            <w:tcBorders>
              <w:top w:val="nil"/>
              <w:right w:val="single" w:sz="6" w:space="0" w:color="000000"/>
            </w:tcBorders>
          </w:tcPr>
          <w:p>
            <w:pPr>
              <w:rPr>
                <w:sz w:val="2"/>
                <w:szCs w:val="2"/>
              </w:rPr>
            </w:pPr>
          </w:p>
        </w:tc>
        <w:tc>
          <w:tcPr>
            <w:tcW w:w="2004" w:type="dxa"/>
            <w:tcBorders>
              <w:left w:val="single" w:sz="6" w:space="0" w:color="000000"/>
            </w:tcBorders>
          </w:tcPr>
          <w:p>
            <w:pPr>
              <w:pStyle w:val="TableParagraph"/>
              <w:spacing w:before="23"/>
              <w:ind w:left="261" w:right="250"/>
              <w:jc w:val="center"/>
              <w:rPr>
                <w:sz w:val="18"/>
              </w:rPr>
            </w:pPr>
            <w:r>
              <w:rPr>
                <w:sz w:val="18"/>
              </w:rPr>
              <w:t>设备维修保养</w:t>
            </w:r>
          </w:p>
        </w:tc>
      </w:tr>
      <w:tr>
        <w:tblPrEx>
          <w:tblW w:w="0" w:type="auto"/>
          <w:tblInd w:w="831" w:type="dxa"/>
          <w:tblLayout w:type="fixed"/>
          <w:tblCellMar>
            <w:top w:w="0" w:type="dxa"/>
            <w:left w:w="0" w:type="dxa"/>
            <w:bottom w:w="0" w:type="dxa"/>
            <w:right w:w="0" w:type="dxa"/>
          </w:tblCellMar>
        </w:tblPrEx>
        <w:trPr>
          <w:trHeight w:val="282"/>
        </w:trPr>
        <w:tc>
          <w:tcPr>
            <w:tcW w:w="595" w:type="dxa"/>
          </w:tcPr>
          <w:p>
            <w:pPr>
              <w:pStyle w:val="TableParagraph"/>
              <w:spacing w:before="38"/>
              <w:ind w:left="98" w:right="84"/>
              <w:jc w:val="center"/>
              <w:rPr>
                <w:rFonts w:ascii="Times New Roman"/>
                <w:sz w:val="18"/>
              </w:rPr>
            </w:pPr>
            <w:r>
              <w:rPr>
                <w:rFonts w:ascii="Times New Roman"/>
                <w:sz w:val="18"/>
              </w:rPr>
              <w:t>19</w:t>
            </w:r>
          </w:p>
        </w:tc>
        <w:tc>
          <w:tcPr>
            <w:tcW w:w="708" w:type="dxa"/>
            <w:vMerge/>
            <w:tcBorders>
              <w:top w:val="nil"/>
            </w:tcBorders>
          </w:tcPr>
          <w:p>
            <w:pPr>
              <w:rPr>
                <w:sz w:val="2"/>
                <w:szCs w:val="2"/>
              </w:rPr>
            </w:pPr>
          </w:p>
        </w:tc>
        <w:tc>
          <w:tcPr>
            <w:tcW w:w="1700" w:type="dxa"/>
          </w:tcPr>
          <w:p>
            <w:pPr>
              <w:pStyle w:val="TableParagraph"/>
              <w:spacing w:before="24"/>
              <w:ind w:left="354" w:right="342"/>
              <w:jc w:val="center"/>
              <w:rPr>
                <w:sz w:val="18"/>
              </w:rPr>
            </w:pPr>
            <w:r>
              <w:rPr>
                <w:sz w:val="18"/>
              </w:rPr>
              <w:t>废油桶</w:t>
            </w:r>
          </w:p>
        </w:tc>
        <w:tc>
          <w:tcPr>
            <w:tcW w:w="1265" w:type="dxa"/>
          </w:tcPr>
          <w:p>
            <w:pPr>
              <w:pStyle w:val="TableParagraph"/>
              <w:spacing w:line="207" w:lineRule="exact"/>
              <w:ind w:left="8"/>
              <w:jc w:val="center"/>
              <w:rPr>
                <w:rFonts w:ascii="Times New Roman"/>
                <w:sz w:val="18"/>
              </w:rPr>
            </w:pPr>
            <w:r>
              <w:rPr>
                <w:rFonts w:ascii="Times New Roman"/>
                <w:sz w:val="18"/>
              </w:rPr>
              <w:t>/</w:t>
            </w:r>
          </w:p>
        </w:tc>
        <w:tc>
          <w:tcPr>
            <w:tcW w:w="2126" w:type="dxa"/>
            <w:vMerge/>
            <w:tcBorders>
              <w:top w:val="nil"/>
              <w:right w:val="single" w:sz="6" w:space="0" w:color="000000"/>
            </w:tcBorders>
          </w:tcPr>
          <w:p>
            <w:pPr>
              <w:rPr>
                <w:sz w:val="2"/>
                <w:szCs w:val="2"/>
              </w:rPr>
            </w:pPr>
          </w:p>
        </w:tc>
        <w:tc>
          <w:tcPr>
            <w:tcW w:w="2004" w:type="dxa"/>
            <w:tcBorders>
              <w:left w:val="single" w:sz="6" w:space="0" w:color="000000"/>
            </w:tcBorders>
          </w:tcPr>
          <w:p>
            <w:pPr>
              <w:pStyle w:val="TableParagraph"/>
              <w:spacing w:before="24"/>
              <w:ind w:left="261" w:right="250"/>
              <w:jc w:val="center"/>
              <w:rPr>
                <w:sz w:val="18"/>
              </w:rPr>
            </w:pPr>
            <w:r>
              <w:rPr>
                <w:sz w:val="18"/>
              </w:rPr>
              <w:t>原料包装</w:t>
            </w:r>
          </w:p>
        </w:tc>
      </w:tr>
    </w:tbl>
    <w:p>
      <w:pPr>
        <w:spacing w:after="0"/>
        <w:jc w:val="center"/>
        <w:rPr>
          <w:sz w:val="18"/>
        </w:rPr>
        <w:sectPr>
          <w:footerReference w:type="default" r:id="rId34"/>
          <w:pgSz w:w="11910" w:h="16840"/>
          <w:pgMar w:top="1360" w:right="1140" w:bottom="1040" w:left="1140" w:header="0" w:footer="768" w:gutter="0"/>
          <w:pgNumType w:start="24"/>
          <w:cols w:num="1" w:space="720"/>
        </w:sectPr>
      </w:pPr>
    </w:p>
    <w:p>
      <w:pPr>
        <w:pStyle w:val="BodyText"/>
        <w:spacing w:before="3"/>
        <w:rPr>
          <w:b/>
          <w:sz w:val="14"/>
        </w:rPr>
      </w:pPr>
    </w:p>
    <w:p>
      <w:pPr>
        <w:pStyle w:val="Heading3"/>
        <w:spacing w:before="78"/>
        <w:ind w:left="1243"/>
      </w:pPr>
      <w:r>
        <w:rPr>
          <w:rFonts w:ascii="Times New Roman" w:eastAsia="Times New Roman"/>
        </w:rPr>
        <w:t>1.</w:t>
      </w:r>
      <w:r>
        <w:t>现有项目概况</w:t>
      </w:r>
    </w:p>
    <w:p>
      <w:pPr>
        <w:pStyle w:val="BodyText"/>
        <w:spacing w:before="139"/>
        <w:ind w:left="1241"/>
      </w:pPr>
      <w:r>
        <w:rPr>
          <w:spacing w:val="-1"/>
        </w:rPr>
        <w:t>江苏沃源包装制品有限公</w:t>
      </w:r>
      <w:hyperlink w:anchor="_bookmark65" w:history="1">
        <w:r>
          <w:t>司（营业执照见附件三</w:t>
        </w:r>
      </w:hyperlink>
      <w:r>
        <w:rPr>
          <w:spacing w:val="-3"/>
        </w:rPr>
        <w:t>）</w:t>
      </w:r>
      <w:r>
        <w:rPr>
          <w:spacing w:val="5"/>
        </w:rPr>
        <w:t xml:space="preserve">成立于 </w:t>
      </w:r>
      <w:r>
        <w:rPr>
          <w:rFonts w:ascii="Times New Roman" w:eastAsia="Times New Roman"/>
        </w:rPr>
        <w:t>2013</w:t>
      </w:r>
      <w:r>
        <w:rPr>
          <w:rFonts w:ascii="Times New Roman" w:eastAsia="Times New Roman"/>
          <w:spacing w:val="49"/>
        </w:rPr>
        <w:t xml:space="preserve"> </w:t>
      </w:r>
      <w:r>
        <w:rPr>
          <w:spacing w:val="-2"/>
        </w:rPr>
        <w:t>年，注册于东坎高新技</w:t>
      </w:r>
    </w:p>
    <w:p>
      <w:pPr>
        <w:pStyle w:val="BodyText"/>
        <w:spacing w:before="141"/>
        <w:ind w:left="821"/>
        <w:jc w:val="both"/>
      </w:pPr>
      <w:r>
        <w:rPr>
          <w:spacing w:val="2"/>
        </w:rPr>
        <w:t xml:space="preserve">术产业园盘洋大道 </w:t>
      </w:r>
      <w:r>
        <w:rPr>
          <w:rFonts w:ascii="Times New Roman" w:eastAsia="Times New Roman"/>
          <w:spacing w:val="-4"/>
        </w:rPr>
        <w:t>11</w:t>
      </w:r>
      <w:r>
        <w:rPr>
          <w:rFonts w:ascii="Times New Roman" w:eastAsia="Times New Roman"/>
        </w:rPr>
        <w:t xml:space="preserve">  </w:t>
      </w:r>
      <w:r>
        <w:rPr>
          <w:spacing w:val="-3"/>
        </w:rPr>
        <w:t>号，从事食品包装膜、单片压花膜的制造、加工，包装装潢印刷品的</w:t>
      </w:r>
    </w:p>
    <w:p>
      <w:pPr>
        <w:pStyle w:val="BodyText"/>
        <w:spacing w:before="139"/>
        <w:ind w:left="821"/>
        <w:jc w:val="both"/>
      </w:pPr>
      <w:r>
        <w:rPr>
          <w:spacing w:val="-3"/>
          <w:w w:val="100"/>
        </w:rPr>
        <w:t>印刷。现有“年产食品包装膜</w:t>
      </w:r>
      <w:r>
        <w:rPr>
          <w:spacing w:val="-55"/>
        </w:rPr>
        <w:t xml:space="preserve"> </w:t>
      </w:r>
      <w:r>
        <w:rPr>
          <w:rFonts w:ascii="Times New Roman" w:eastAsia="Times New Roman" w:hAnsi="Times New Roman"/>
          <w:w w:val="100"/>
        </w:rPr>
        <w:t>800</w:t>
      </w:r>
      <w:r>
        <w:rPr>
          <w:rFonts w:ascii="Times New Roman" w:eastAsia="Times New Roman" w:hAnsi="Times New Roman"/>
          <w:spacing w:val="-12"/>
        </w:rPr>
        <w:t xml:space="preserve"> </w:t>
      </w:r>
      <w:r>
        <w:rPr>
          <w:spacing w:val="-3"/>
          <w:w w:val="100"/>
        </w:rPr>
        <w:t>吨、单片压花膜</w:t>
      </w:r>
      <w:r>
        <w:rPr>
          <w:spacing w:val="-55"/>
        </w:rPr>
        <w:t xml:space="preserve"> </w:t>
      </w:r>
      <w:r>
        <w:rPr>
          <w:rFonts w:ascii="Times New Roman" w:eastAsia="Times New Roman" w:hAnsi="Times New Roman"/>
          <w:spacing w:val="-3"/>
          <w:w w:val="100"/>
        </w:rPr>
        <w:t>7</w:t>
      </w:r>
      <w:r>
        <w:rPr>
          <w:rFonts w:ascii="Times New Roman" w:eastAsia="Times New Roman" w:hAnsi="Times New Roman"/>
          <w:w w:val="100"/>
        </w:rPr>
        <w:t>.5</w:t>
      </w:r>
      <w:r>
        <w:rPr>
          <w:rFonts w:ascii="Times New Roman" w:eastAsia="Times New Roman" w:hAnsi="Times New Roman"/>
          <w:spacing w:val="-12"/>
        </w:rPr>
        <w:t xml:space="preserve"> </w:t>
      </w:r>
      <w:r>
        <w:rPr>
          <w:spacing w:val="-18"/>
          <w:w w:val="100"/>
        </w:rPr>
        <w:t>亿片项目”，于</w:t>
      </w:r>
      <w:r>
        <w:rPr>
          <w:spacing w:val="-55"/>
        </w:rPr>
        <w:t xml:space="preserve"> </w:t>
      </w:r>
      <w:r>
        <w:rPr>
          <w:rFonts w:ascii="Times New Roman" w:eastAsia="Times New Roman" w:hAnsi="Times New Roman"/>
          <w:w w:val="100"/>
        </w:rPr>
        <w:t>2013</w:t>
      </w:r>
      <w:r>
        <w:rPr>
          <w:rFonts w:ascii="Times New Roman" w:eastAsia="Times New Roman" w:hAnsi="Times New Roman"/>
          <w:spacing w:val="-15"/>
        </w:rPr>
        <w:t xml:space="preserve"> </w:t>
      </w:r>
      <w:r>
        <w:rPr>
          <w:w w:val="100"/>
        </w:rPr>
        <w:t>年</w:t>
      </w:r>
      <w:r>
        <w:rPr>
          <w:spacing w:val="-53"/>
        </w:rPr>
        <w:t xml:space="preserve"> </w:t>
      </w:r>
      <w:r>
        <w:rPr>
          <w:rFonts w:ascii="Times New Roman" w:eastAsia="Times New Roman" w:hAnsi="Times New Roman"/>
          <w:spacing w:val="-3"/>
          <w:w w:val="100"/>
        </w:rPr>
        <w:t>1</w:t>
      </w:r>
      <w:r>
        <w:rPr>
          <w:rFonts w:ascii="Times New Roman" w:eastAsia="Times New Roman" w:hAnsi="Times New Roman"/>
          <w:w w:val="100"/>
        </w:rPr>
        <w:t>2</w:t>
      </w:r>
      <w:r>
        <w:rPr>
          <w:rFonts w:ascii="Times New Roman" w:eastAsia="Times New Roman" w:hAnsi="Times New Roman"/>
          <w:spacing w:val="-12"/>
        </w:rPr>
        <w:t xml:space="preserve"> </w:t>
      </w:r>
      <w:r>
        <w:rPr>
          <w:spacing w:val="-1"/>
          <w:w w:val="100"/>
        </w:rPr>
        <w:t>月获得滨海</w:t>
      </w:r>
    </w:p>
    <w:p>
      <w:pPr>
        <w:pStyle w:val="BodyText"/>
        <w:spacing w:before="139" w:line="364" w:lineRule="auto"/>
        <w:ind w:left="821" w:right="389"/>
        <w:jc w:val="both"/>
      </w:pPr>
      <w:r>
        <w:rPr>
          <w:spacing w:val="-3"/>
          <w:w w:val="100"/>
        </w:rPr>
        <w:t>县环境保护局的环评批复</w:t>
      </w:r>
      <w:r>
        <w:rPr>
          <w:w w:val="100"/>
        </w:rPr>
        <w:t>（</w:t>
      </w:r>
      <w:r>
        <w:rPr>
          <w:spacing w:val="-2"/>
          <w:w w:val="100"/>
        </w:rPr>
        <w:t>滨环管</w:t>
      </w:r>
      <w:r>
        <w:rPr>
          <w:rFonts w:ascii="Times New Roman" w:eastAsia="Times New Roman" w:hAnsi="Times New Roman"/>
          <w:spacing w:val="-1"/>
          <w:w w:val="100"/>
        </w:rPr>
        <w:t>[</w:t>
      </w:r>
      <w:r>
        <w:rPr>
          <w:rFonts w:ascii="Times New Roman" w:eastAsia="Times New Roman" w:hAnsi="Times New Roman"/>
          <w:w w:val="100"/>
        </w:rPr>
        <w:t>2</w:t>
      </w:r>
      <w:r>
        <w:rPr>
          <w:rFonts w:ascii="Times New Roman" w:eastAsia="Times New Roman" w:hAnsi="Times New Roman"/>
          <w:spacing w:val="-3"/>
          <w:w w:val="100"/>
        </w:rPr>
        <w:t>0</w:t>
      </w:r>
      <w:r>
        <w:rPr>
          <w:rFonts w:ascii="Times New Roman" w:eastAsia="Times New Roman" w:hAnsi="Times New Roman"/>
          <w:w w:val="100"/>
        </w:rPr>
        <w:t>13</w:t>
      </w:r>
      <w:r>
        <w:rPr>
          <w:rFonts w:ascii="Times New Roman" w:eastAsia="Times New Roman" w:hAnsi="Times New Roman"/>
          <w:spacing w:val="-1"/>
          <w:w w:val="100"/>
        </w:rPr>
        <w:t>]</w:t>
      </w:r>
      <w:r>
        <w:rPr>
          <w:rFonts w:ascii="Times New Roman" w:eastAsia="Times New Roman" w:hAnsi="Times New Roman"/>
          <w:w w:val="100"/>
        </w:rPr>
        <w:t>1</w:t>
      </w:r>
      <w:r>
        <w:rPr>
          <w:rFonts w:ascii="Times New Roman" w:eastAsia="Times New Roman" w:hAnsi="Times New Roman"/>
          <w:spacing w:val="-3"/>
          <w:w w:val="100"/>
        </w:rPr>
        <w:t>7</w:t>
      </w:r>
      <w:r>
        <w:rPr>
          <w:rFonts w:ascii="Times New Roman" w:eastAsia="Times New Roman" w:hAnsi="Times New Roman"/>
          <w:w w:val="100"/>
        </w:rPr>
        <w:t>6</w:t>
      </w:r>
      <w:r>
        <w:rPr>
          <w:rFonts w:ascii="Times New Roman" w:eastAsia="Times New Roman" w:hAnsi="Times New Roman"/>
        </w:rPr>
        <w:t xml:space="preserve"> </w:t>
      </w:r>
      <w:r>
        <w:rPr>
          <w:w w:val="100"/>
        </w:rPr>
        <w:t>号</w:t>
      </w:r>
      <w:r>
        <w:rPr>
          <w:spacing w:val="-108"/>
          <w:w w:val="100"/>
        </w:rPr>
        <w:t>）</w:t>
      </w:r>
      <w:r>
        <w:rPr>
          <w:spacing w:val="-3"/>
          <w:w w:val="100"/>
        </w:rPr>
        <w:t>，该项目于</w:t>
      </w:r>
      <w:r>
        <w:rPr>
          <w:spacing w:val="-65"/>
        </w:rPr>
        <w:t xml:space="preserve"> </w:t>
      </w:r>
      <w:r>
        <w:rPr>
          <w:rFonts w:ascii="Times New Roman" w:eastAsia="Times New Roman" w:hAnsi="Times New Roman"/>
          <w:w w:val="100"/>
        </w:rPr>
        <w:t>20</w:t>
      </w:r>
      <w:r>
        <w:rPr>
          <w:rFonts w:ascii="Times New Roman" w:eastAsia="Times New Roman" w:hAnsi="Times New Roman"/>
          <w:spacing w:val="-3"/>
          <w:w w:val="100"/>
        </w:rPr>
        <w:t>1</w:t>
      </w:r>
      <w:r>
        <w:rPr>
          <w:rFonts w:ascii="Times New Roman" w:eastAsia="Times New Roman" w:hAnsi="Times New Roman"/>
          <w:w w:val="100"/>
        </w:rPr>
        <w:t>6</w:t>
      </w:r>
      <w:r>
        <w:rPr>
          <w:rFonts w:ascii="Times New Roman" w:eastAsia="Times New Roman" w:hAnsi="Times New Roman"/>
        </w:rPr>
        <w:t xml:space="preserve"> </w:t>
      </w:r>
      <w:r>
        <w:rPr>
          <w:w w:val="100"/>
        </w:rPr>
        <w:t>年</w:t>
      </w:r>
      <w:r>
        <w:rPr>
          <w:spacing w:val="-65"/>
        </w:rPr>
        <w:t xml:space="preserve"> </w:t>
      </w:r>
      <w:r>
        <w:rPr>
          <w:rFonts w:ascii="Times New Roman" w:eastAsia="Times New Roman" w:hAnsi="Times New Roman"/>
          <w:w w:val="100"/>
        </w:rPr>
        <w:t>7</w:t>
      </w:r>
      <w:r>
        <w:rPr>
          <w:rFonts w:ascii="Times New Roman" w:eastAsia="Times New Roman" w:hAnsi="Times New Roman"/>
        </w:rPr>
        <w:t xml:space="preserve"> </w:t>
      </w:r>
      <w:r>
        <w:rPr>
          <w:spacing w:val="-3"/>
          <w:w w:val="100"/>
        </w:rPr>
        <w:t>月完成环保设施竣工验收（</w:t>
      </w:r>
      <w:r>
        <w:rPr>
          <w:spacing w:val="-2"/>
          <w:w w:val="100"/>
        </w:rPr>
        <w:t>滨环验</w:t>
      </w:r>
      <w:r>
        <w:rPr>
          <w:rFonts w:ascii="Times New Roman" w:eastAsia="Times New Roman" w:hAnsi="Times New Roman"/>
          <w:spacing w:val="-4"/>
          <w:w w:val="100"/>
        </w:rPr>
        <w:t>[</w:t>
      </w:r>
      <w:r>
        <w:rPr>
          <w:rFonts w:ascii="Times New Roman" w:eastAsia="Times New Roman" w:hAnsi="Times New Roman"/>
          <w:w w:val="100"/>
        </w:rPr>
        <w:t>2016</w:t>
      </w:r>
      <w:r>
        <w:rPr>
          <w:rFonts w:ascii="Times New Roman" w:eastAsia="Times New Roman" w:hAnsi="Times New Roman"/>
          <w:spacing w:val="-1"/>
          <w:w w:val="100"/>
        </w:rPr>
        <w:t>]</w:t>
      </w:r>
      <w:r>
        <w:rPr>
          <w:rFonts w:ascii="Times New Roman" w:eastAsia="Times New Roman" w:hAnsi="Times New Roman"/>
          <w:spacing w:val="-3"/>
          <w:w w:val="100"/>
        </w:rPr>
        <w:t>1</w:t>
      </w:r>
      <w:r>
        <w:rPr>
          <w:rFonts w:ascii="Times New Roman" w:eastAsia="Times New Roman" w:hAnsi="Times New Roman"/>
          <w:w w:val="100"/>
        </w:rPr>
        <w:t>6</w:t>
      </w:r>
      <w:r>
        <w:rPr>
          <w:rFonts w:ascii="Times New Roman" w:eastAsia="Times New Roman" w:hAnsi="Times New Roman"/>
        </w:rPr>
        <w:t xml:space="preserve"> </w:t>
      </w:r>
      <w:r>
        <w:rPr>
          <w:spacing w:val="-3"/>
          <w:w w:val="100"/>
        </w:rPr>
        <w:t>号</w:t>
      </w:r>
      <w:r>
        <w:rPr>
          <w:spacing w:val="-106"/>
          <w:w w:val="100"/>
        </w:rPr>
        <w:t>）</w:t>
      </w:r>
      <w:r>
        <w:rPr>
          <w:spacing w:val="-2"/>
          <w:w w:val="100"/>
        </w:rPr>
        <w:t>；于</w:t>
      </w:r>
      <w:r>
        <w:rPr>
          <w:spacing w:val="-53"/>
        </w:rPr>
        <w:t xml:space="preserve"> </w:t>
      </w:r>
      <w:r>
        <w:rPr>
          <w:rFonts w:ascii="Times New Roman" w:eastAsia="Times New Roman" w:hAnsi="Times New Roman"/>
          <w:w w:val="100"/>
        </w:rPr>
        <w:t>2020</w:t>
      </w:r>
      <w:r>
        <w:rPr>
          <w:rFonts w:ascii="Times New Roman" w:eastAsia="Times New Roman" w:hAnsi="Times New Roman"/>
        </w:rPr>
        <w:t xml:space="preserve"> </w:t>
      </w:r>
      <w:r>
        <w:rPr>
          <w:spacing w:val="-3"/>
          <w:w w:val="100"/>
        </w:rPr>
        <w:t>年增加“二级活性炭</w:t>
      </w:r>
      <w:r>
        <w:rPr>
          <w:rFonts w:ascii="Times New Roman" w:eastAsia="Times New Roman" w:hAnsi="Times New Roman"/>
          <w:spacing w:val="-2"/>
          <w:w w:val="100"/>
        </w:rPr>
        <w:t>+U</w:t>
      </w:r>
      <w:r>
        <w:rPr>
          <w:rFonts w:ascii="Times New Roman" w:eastAsia="Times New Roman" w:hAnsi="Times New Roman"/>
          <w:w w:val="100"/>
        </w:rPr>
        <w:t>V</w:t>
      </w:r>
      <w:r>
        <w:rPr>
          <w:rFonts w:ascii="Times New Roman" w:eastAsia="Times New Roman" w:hAnsi="Times New Roman"/>
        </w:rPr>
        <w:t xml:space="preserve"> </w:t>
      </w:r>
      <w:r>
        <w:rPr>
          <w:spacing w:val="-3"/>
          <w:w w:val="100"/>
        </w:rPr>
        <w:t>光解”废气处理装置，将废气引</w:t>
      </w:r>
      <w:r>
        <w:rPr>
          <w:spacing w:val="-4"/>
        </w:rPr>
        <w:t xml:space="preserve">入废气装置处理后，于 </w:t>
      </w:r>
      <w:r>
        <w:rPr>
          <w:rFonts w:ascii="Times New Roman" w:eastAsia="Times New Roman" w:hAnsi="Times New Roman"/>
        </w:rPr>
        <w:t xml:space="preserve">2020 </w:t>
      </w:r>
      <w:r>
        <w:rPr>
          <w:spacing w:val="-7"/>
        </w:rPr>
        <w:t xml:space="preserve">年 </w:t>
      </w:r>
      <w:r>
        <w:rPr>
          <w:rFonts w:ascii="Times New Roman" w:eastAsia="Times New Roman" w:hAnsi="Times New Roman"/>
        </w:rPr>
        <w:t xml:space="preserve">7 </w:t>
      </w:r>
      <w:r>
        <w:rPr>
          <w:spacing w:val="-3"/>
        </w:rPr>
        <w:t>月完成环评登记备案</w:t>
      </w:r>
      <w:r>
        <w:t>（</w:t>
      </w:r>
      <w:r>
        <w:rPr>
          <w:spacing w:val="-3"/>
        </w:rPr>
        <w:t>备案号：</w:t>
      </w:r>
      <w:r>
        <w:rPr>
          <w:rFonts w:ascii="Times New Roman" w:eastAsia="Times New Roman" w:hAnsi="Times New Roman"/>
        </w:rPr>
        <w:t>202032092200000311</w:t>
      </w:r>
      <w:r>
        <w:rPr>
          <w:spacing w:val="-2"/>
        </w:rPr>
        <w:t>，见</w:t>
      </w:r>
      <w:hyperlink w:anchor="_bookmark67" w:history="1">
        <w:r>
          <w:rPr>
            <w:spacing w:val="-1"/>
            <w:w w:val="100"/>
          </w:rPr>
          <w:t>附件六</w:t>
        </w:r>
      </w:hyperlink>
      <w:r>
        <w:rPr>
          <w:rFonts w:ascii="Times New Roman" w:eastAsia="Times New Roman" w:hAnsi="Times New Roman"/>
          <w:spacing w:val="-4"/>
          <w:w w:val="100"/>
        </w:rPr>
        <w:t>-</w:t>
      </w:r>
      <w:r>
        <w:rPr>
          <w:rFonts w:ascii="Times New Roman" w:eastAsia="Times New Roman" w:hAnsi="Times New Roman"/>
          <w:w w:val="100"/>
        </w:rPr>
        <w:t>3</w:t>
      </w:r>
      <w:r>
        <w:rPr>
          <w:spacing w:val="-106"/>
          <w:w w:val="100"/>
        </w:rPr>
        <w:t>）。</w:t>
      </w:r>
    </w:p>
    <w:p>
      <w:pPr>
        <w:pStyle w:val="BodyText"/>
        <w:spacing w:line="364" w:lineRule="auto"/>
        <w:ind w:left="821" w:right="389" w:firstLine="419"/>
        <w:jc w:val="both"/>
      </w:pPr>
      <w:r>
        <w:rPr>
          <w:spacing w:val="-5"/>
        </w:rPr>
        <w:t xml:space="preserve">该项目实际建设情况年产食品包装膜 </w:t>
      </w:r>
      <w:r>
        <w:rPr>
          <w:rFonts w:ascii="Times New Roman" w:eastAsia="Times New Roman" w:hAnsi="Times New Roman"/>
        </w:rPr>
        <w:t xml:space="preserve">600 </w:t>
      </w:r>
      <w:r>
        <w:rPr>
          <w:spacing w:val="-7"/>
        </w:rPr>
        <w:t xml:space="preserve">吨、单片压花膜 </w:t>
      </w:r>
      <w:r>
        <w:rPr>
          <w:rFonts w:ascii="Times New Roman" w:eastAsia="Times New Roman" w:hAnsi="Times New Roman"/>
        </w:rPr>
        <w:t xml:space="preserve">6 </w:t>
      </w:r>
      <w:r>
        <w:rPr>
          <w:spacing w:val="-3"/>
        </w:rPr>
        <w:t>亿片，建成运营过程后，为</w:t>
      </w:r>
      <w:r>
        <w:rPr>
          <w:spacing w:val="-4"/>
        </w:rPr>
        <w:t xml:space="preserve">避免生产废气对大气环境的污染，建设单位于 </w:t>
      </w:r>
      <w:r>
        <w:rPr>
          <w:rFonts w:ascii="Times New Roman" w:eastAsia="Times New Roman" w:hAnsi="Times New Roman"/>
        </w:rPr>
        <w:t xml:space="preserve">2020 </w:t>
      </w:r>
      <w:r>
        <w:rPr>
          <w:spacing w:val="-3"/>
        </w:rPr>
        <w:t>年增加“二级活性炭</w:t>
      </w:r>
      <w:r>
        <w:rPr>
          <w:rFonts w:ascii="Times New Roman" w:eastAsia="Times New Roman" w:hAnsi="Times New Roman"/>
        </w:rPr>
        <w:t xml:space="preserve">+UV </w:t>
      </w:r>
      <w:r>
        <w:rPr>
          <w:spacing w:val="-3"/>
        </w:rPr>
        <w:t>光解”废气处</w:t>
      </w:r>
      <w:r>
        <w:rPr>
          <w:spacing w:val="-6"/>
        </w:rPr>
        <w:t xml:space="preserve">理装置，将废气引入废气装置处理后，经 </w:t>
      </w:r>
      <w:r>
        <w:rPr>
          <w:rFonts w:ascii="Times New Roman" w:eastAsia="Times New Roman" w:hAnsi="Times New Roman"/>
        </w:rPr>
        <w:t xml:space="preserve">15m </w:t>
      </w:r>
      <w:r>
        <w:rPr>
          <w:spacing w:val="11"/>
        </w:rPr>
        <w:t>高排气筒</w:t>
      </w:r>
      <w:r>
        <w:rPr>
          <w:rFonts w:ascii="Times New Roman" w:eastAsia="Times New Roman" w:hAnsi="Times New Roman"/>
        </w:rPr>
        <w:t xml:space="preserve">DA001 </w:t>
      </w:r>
      <w:r>
        <w:rPr>
          <w:spacing w:val="-3"/>
        </w:rPr>
        <w:t>排入环境空气。</w:t>
      </w:r>
    </w:p>
    <w:p>
      <w:pPr>
        <w:pStyle w:val="BodyText"/>
        <w:spacing w:line="238" w:lineRule="exact"/>
        <w:ind w:left="1241"/>
        <w:jc w:val="both"/>
      </w:pPr>
      <w:r>
        <w:t>现有项目环评审批及验收情况见下</w:t>
      </w:r>
      <w:hyperlink w:anchor="_bookmark16" w:history="1">
        <w:r>
          <w:t xml:space="preserve">表 </w:t>
        </w:r>
        <w:r>
          <w:rPr>
            <w:rFonts w:ascii="Times New Roman" w:eastAsia="Times New Roman"/>
          </w:rPr>
          <w:t>2-9</w:t>
        </w:r>
      </w:hyperlink>
      <w:r>
        <w:t xml:space="preserve">。 </w:t>
      </w:r>
    </w:p>
    <w:p>
      <w:pPr>
        <w:pStyle w:val="BodyText"/>
        <w:spacing w:line="204" w:lineRule="exact"/>
        <w:ind w:left="396"/>
      </w:pPr>
      <w:r>
        <w:rPr>
          <w:w w:val="100"/>
        </w:rPr>
        <w:t>与</w:t>
      </w:r>
    </w:p>
    <w:p>
      <w:pPr>
        <w:pStyle w:val="Heading3"/>
        <w:tabs>
          <w:tab w:val="left" w:pos="3360"/>
        </w:tabs>
        <w:spacing w:line="199" w:lineRule="auto"/>
        <w:ind w:left="396"/>
      </w:pPr>
      <w:r>
        <w:pict>
          <v:shape id="_x0000_s1253" o:spid="_x0000_s1252" type="#_x0000_t202" style="width:420.7pt;height:60.4pt;margin-top:12.3pt;margin-left:98.05pt;mso-height-relative:page;mso-position-horizontal-relative:page;mso-width-relative:page;position:absolute;z-index:251684864"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576"/>
                    <w:gridCol w:w="3121"/>
                    <w:gridCol w:w="2704"/>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34"/>
                    </w:trPr>
                    <w:tc>
                      <w:tcPr>
                        <w:tcW w:w="2576" w:type="dxa"/>
                      </w:tcPr>
                      <w:p>
                        <w:pPr>
                          <w:pStyle w:val="TableParagraph"/>
                          <w:spacing w:line="215" w:lineRule="exact"/>
                          <w:ind w:left="75" w:right="62"/>
                          <w:jc w:val="center"/>
                          <w:rPr>
                            <w:b/>
                            <w:sz w:val="18"/>
                          </w:rPr>
                        </w:pPr>
                        <w:r>
                          <w:rPr>
                            <w:b/>
                            <w:sz w:val="18"/>
                          </w:rPr>
                          <w:t>项目名称</w:t>
                        </w:r>
                      </w:p>
                    </w:tc>
                    <w:tc>
                      <w:tcPr>
                        <w:tcW w:w="3121" w:type="dxa"/>
                      </w:tcPr>
                      <w:p>
                        <w:pPr>
                          <w:pStyle w:val="TableParagraph"/>
                          <w:spacing w:line="215" w:lineRule="exact"/>
                          <w:ind w:left="1017"/>
                          <w:rPr>
                            <w:b/>
                            <w:sz w:val="18"/>
                          </w:rPr>
                        </w:pPr>
                        <w:r>
                          <w:rPr>
                            <w:b/>
                            <w:sz w:val="18"/>
                          </w:rPr>
                          <w:t>环评批复情况</w:t>
                        </w:r>
                      </w:p>
                    </w:tc>
                    <w:tc>
                      <w:tcPr>
                        <w:tcW w:w="2704" w:type="dxa"/>
                      </w:tcPr>
                      <w:p>
                        <w:pPr>
                          <w:pStyle w:val="TableParagraph"/>
                          <w:spacing w:line="215" w:lineRule="exact"/>
                          <w:ind w:left="787" w:right="781"/>
                          <w:jc w:val="center"/>
                          <w:rPr>
                            <w:b/>
                            <w:sz w:val="18"/>
                          </w:rPr>
                        </w:pPr>
                        <w:r>
                          <w:rPr>
                            <w:b/>
                            <w:sz w:val="18"/>
                          </w:rPr>
                          <w:t>竣工验收情况</w:t>
                        </w:r>
                      </w:p>
                    </w:tc>
                  </w:tr>
                  <w:tr>
                    <w:tblPrEx>
                      <w:tblW w:w="0" w:type="auto"/>
                      <w:tblInd w:w="5" w:type="dxa"/>
                      <w:tblLayout w:type="fixed"/>
                      <w:tblCellMar>
                        <w:top w:w="0" w:type="dxa"/>
                        <w:left w:w="0" w:type="dxa"/>
                        <w:bottom w:w="0" w:type="dxa"/>
                        <w:right w:w="0" w:type="dxa"/>
                      </w:tblCellMar>
                    </w:tblPrEx>
                    <w:trPr>
                      <w:trHeight w:val="465"/>
                    </w:trPr>
                    <w:tc>
                      <w:tcPr>
                        <w:tcW w:w="2576" w:type="dxa"/>
                      </w:tcPr>
                      <w:p>
                        <w:pPr>
                          <w:pStyle w:val="TableParagraph"/>
                          <w:ind w:left="78" w:right="62"/>
                          <w:jc w:val="center"/>
                          <w:rPr>
                            <w:sz w:val="18"/>
                          </w:rPr>
                        </w:pPr>
                        <w:r>
                          <w:rPr>
                            <w:sz w:val="18"/>
                          </w:rPr>
                          <w:t xml:space="preserve">新建年产食品包装膜 </w:t>
                        </w:r>
                        <w:r>
                          <w:rPr>
                            <w:rFonts w:ascii="Times New Roman" w:eastAsia="Times New Roman"/>
                            <w:sz w:val="18"/>
                          </w:rPr>
                          <w:t xml:space="preserve">800 </w:t>
                        </w:r>
                        <w:r>
                          <w:rPr>
                            <w:sz w:val="18"/>
                          </w:rPr>
                          <w:t>吨、</w:t>
                        </w:r>
                      </w:p>
                      <w:p>
                        <w:pPr>
                          <w:pStyle w:val="TableParagraph"/>
                          <w:spacing w:before="2" w:line="213" w:lineRule="exact"/>
                          <w:ind w:left="77" w:right="62"/>
                          <w:jc w:val="center"/>
                          <w:rPr>
                            <w:sz w:val="18"/>
                          </w:rPr>
                        </w:pPr>
                        <w:r>
                          <w:rPr>
                            <w:sz w:val="18"/>
                          </w:rPr>
                          <w:t xml:space="preserve">单片压花膜 </w:t>
                        </w:r>
                        <w:r>
                          <w:rPr>
                            <w:rFonts w:ascii="Times New Roman" w:eastAsia="Times New Roman"/>
                            <w:sz w:val="18"/>
                          </w:rPr>
                          <w:t xml:space="preserve">7.5 </w:t>
                        </w:r>
                        <w:r>
                          <w:rPr>
                            <w:sz w:val="18"/>
                          </w:rPr>
                          <w:t>亿片项目</w:t>
                        </w:r>
                      </w:p>
                    </w:tc>
                    <w:tc>
                      <w:tcPr>
                        <w:tcW w:w="3121" w:type="dxa"/>
                      </w:tcPr>
                      <w:p>
                        <w:pPr>
                          <w:pStyle w:val="TableParagraph"/>
                          <w:ind w:left="325" w:right="315"/>
                          <w:jc w:val="center"/>
                          <w:rPr>
                            <w:sz w:val="18"/>
                          </w:rPr>
                        </w:pPr>
                        <w:r>
                          <w:rPr>
                            <w:sz w:val="18"/>
                          </w:rPr>
                          <w:t xml:space="preserve">于 </w:t>
                        </w:r>
                        <w:r>
                          <w:rPr>
                            <w:rFonts w:ascii="Times New Roman" w:eastAsia="Times New Roman"/>
                            <w:sz w:val="18"/>
                          </w:rPr>
                          <w:t xml:space="preserve">2013 </w:t>
                        </w:r>
                        <w:r>
                          <w:rPr>
                            <w:sz w:val="18"/>
                          </w:rPr>
                          <w:t xml:space="preserve">年 </w:t>
                        </w:r>
                        <w:r>
                          <w:rPr>
                            <w:rFonts w:ascii="Times New Roman" w:eastAsia="Times New Roman"/>
                            <w:sz w:val="18"/>
                          </w:rPr>
                          <w:t xml:space="preserve">12 </w:t>
                        </w:r>
                        <w:r>
                          <w:rPr>
                            <w:sz w:val="18"/>
                          </w:rPr>
                          <w:t>月获得环评批复</w:t>
                        </w:r>
                      </w:p>
                      <w:p>
                        <w:pPr>
                          <w:pStyle w:val="TableParagraph"/>
                          <w:spacing w:before="2" w:line="213" w:lineRule="exact"/>
                          <w:ind w:left="325" w:right="315"/>
                          <w:jc w:val="center"/>
                          <w:rPr>
                            <w:sz w:val="18"/>
                          </w:rPr>
                        </w:pPr>
                        <w:r>
                          <w:rPr>
                            <w:sz w:val="18"/>
                          </w:rPr>
                          <w:t>（滨环管</w:t>
                        </w:r>
                        <w:r>
                          <w:rPr>
                            <w:rFonts w:ascii="Times New Roman" w:eastAsia="Times New Roman"/>
                            <w:sz w:val="18"/>
                          </w:rPr>
                          <w:t xml:space="preserve">[2013]176 </w:t>
                        </w:r>
                        <w:r>
                          <w:rPr>
                            <w:sz w:val="18"/>
                          </w:rPr>
                          <w:t>号）</w:t>
                        </w:r>
                      </w:p>
                    </w:tc>
                    <w:tc>
                      <w:tcPr>
                        <w:tcW w:w="2704" w:type="dxa"/>
                      </w:tcPr>
                      <w:p>
                        <w:pPr>
                          <w:pStyle w:val="TableParagraph"/>
                          <w:ind w:left="145"/>
                          <w:rPr>
                            <w:sz w:val="18"/>
                          </w:rPr>
                        </w:pPr>
                        <w:r>
                          <w:rPr>
                            <w:sz w:val="18"/>
                          </w:rPr>
                          <w:t xml:space="preserve">于 </w:t>
                        </w:r>
                        <w:r>
                          <w:rPr>
                            <w:rFonts w:ascii="Times New Roman" w:eastAsia="Times New Roman"/>
                            <w:sz w:val="18"/>
                          </w:rPr>
                          <w:t xml:space="preserve">2016 </w:t>
                        </w:r>
                        <w:r>
                          <w:rPr>
                            <w:sz w:val="18"/>
                          </w:rPr>
                          <w:t xml:space="preserve">年 </w:t>
                        </w:r>
                        <w:r>
                          <w:rPr>
                            <w:rFonts w:ascii="Times New Roman" w:eastAsia="Times New Roman"/>
                            <w:sz w:val="18"/>
                          </w:rPr>
                          <w:t xml:space="preserve">7 </w:t>
                        </w:r>
                        <w:r>
                          <w:rPr>
                            <w:sz w:val="18"/>
                          </w:rPr>
                          <w:t>月完成环保设施竣</w:t>
                        </w:r>
                      </w:p>
                      <w:p>
                        <w:pPr>
                          <w:pStyle w:val="TableParagraph"/>
                          <w:spacing w:before="2" w:line="213" w:lineRule="exact"/>
                          <w:ind w:left="193"/>
                          <w:rPr>
                            <w:sz w:val="18"/>
                          </w:rPr>
                        </w:pPr>
                        <w:r>
                          <w:rPr>
                            <w:sz w:val="18"/>
                          </w:rPr>
                          <w:t>工验收（滨环验</w:t>
                        </w:r>
                        <w:r>
                          <w:rPr>
                            <w:rFonts w:ascii="Times New Roman" w:eastAsia="Times New Roman"/>
                            <w:sz w:val="18"/>
                          </w:rPr>
                          <w:t xml:space="preserve">[2016]16 </w:t>
                        </w:r>
                        <w:r>
                          <w:rPr>
                            <w:sz w:val="18"/>
                          </w:rPr>
                          <w:t>号）</w:t>
                        </w:r>
                      </w:p>
                    </w:tc>
                  </w:tr>
                  <w:tr>
                    <w:tblPrEx>
                      <w:tblW w:w="0" w:type="auto"/>
                      <w:tblInd w:w="5" w:type="dxa"/>
                      <w:tblLayout w:type="fixed"/>
                      <w:tblCellMar>
                        <w:top w:w="0" w:type="dxa"/>
                        <w:left w:w="0" w:type="dxa"/>
                        <w:bottom w:w="0" w:type="dxa"/>
                        <w:right w:w="0" w:type="dxa"/>
                      </w:tblCellMar>
                    </w:tblPrEx>
                    <w:trPr>
                      <w:trHeight w:val="467"/>
                    </w:trPr>
                    <w:tc>
                      <w:tcPr>
                        <w:tcW w:w="2576" w:type="dxa"/>
                      </w:tcPr>
                      <w:p>
                        <w:pPr>
                          <w:pStyle w:val="TableParagraph"/>
                          <w:spacing w:before="2" w:line="230" w:lineRule="atLeast"/>
                          <w:ind w:left="1108" w:right="42" w:hanging="984"/>
                          <w:rPr>
                            <w:sz w:val="18"/>
                          </w:rPr>
                        </w:pPr>
                        <w:r>
                          <w:rPr>
                            <w:sz w:val="18"/>
                          </w:rPr>
                          <w:t xml:space="preserve">建设一套 </w:t>
                        </w:r>
                        <w:r>
                          <w:rPr>
                            <w:rFonts w:ascii="Times New Roman" w:eastAsia="Times New Roman"/>
                            <w:sz w:val="18"/>
                          </w:rPr>
                          <w:t xml:space="preserve">VOCs </w:t>
                        </w:r>
                        <w:r>
                          <w:rPr>
                            <w:sz w:val="18"/>
                          </w:rPr>
                          <w:t>环保治理工程项目</w:t>
                        </w:r>
                      </w:p>
                    </w:tc>
                    <w:tc>
                      <w:tcPr>
                        <w:tcW w:w="3121" w:type="dxa"/>
                      </w:tcPr>
                      <w:p>
                        <w:pPr>
                          <w:pStyle w:val="TableParagraph"/>
                          <w:spacing w:before="2"/>
                          <w:ind w:left="263"/>
                          <w:rPr>
                            <w:sz w:val="18"/>
                          </w:rPr>
                        </w:pPr>
                        <w:r>
                          <w:rPr>
                            <w:sz w:val="18"/>
                          </w:rPr>
                          <w:t xml:space="preserve">于 </w:t>
                        </w:r>
                        <w:r>
                          <w:rPr>
                            <w:rFonts w:ascii="Times New Roman" w:eastAsia="Times New Roman"/>
                            <w:sz w:val="18"/>
                          </w:rPr>
                          <w:t xml:space="preserve">2020 </w:t>
                        </w:r>
                        <w:r>
                          <w:rPr>
                            <w:sz w:val="18"/>
                          </w:rPr>
                          <w:t xml:space="preserve">年 </w:t>
                        </w:r>
                        <w:r>
                          <w:rPr>
                            <w:rFonts w:ascii="Times New Roman" w:eastAsia="Times New Roman"/>
                            <w:sz w:val="18"/>
                          </w:rPr>
                          <w:t xml:space="preserve">7 </w:t>
                        </w:r>
                        <w:r>
                          <w:rPr>
                            <w:sz w:val="18"/>
                          </w:rPr>
                          <w:t>月完成环评登记备案</w:t>
                        </w:r>
                      </w:p>
                      <w:p>
                        <w:pPr>
                          <w:pStyle w:val="TableParagraph"/>
                          <w:spacing w:before="2" w:line="213" w:lineRule="exact"/>
                          <w:ind w:left="213"/>
                          <w:rPr>
                            <w:sz w:val="18"/>
                          </w:rPr>
                        </w:pPr>
                        <w:r>
                          <w:rPr>
                            <w:sz w:val="18"/>
                          </w:rPr>
                          <w:t>（备案号：</w:t>
                        </w:r>
                        <w:r>
                          <w:rPr>
                            <w:rFonts w:ascii="Times New Roman" w:eastAsia="Times New Roman"/>
                            <w:sz w:val="18"/>
                          </w:rPr>
                          <w:t>202032092200000311</w:t>
                        </w:r>
                        <w:r>
                          <w:rPr>
                            <w:sz w:val="18"/>
                          </w:rPr>
                          <w:t>）</w:t>
                        </w:r>
                      </w:p>
                    </w:tc>
                    <w:tc>
                      <w:tcPr>
                        <w:tcW w:w="2704" w:type="dxa"/>
                      </w:tcPr>
                      <w:p>
                        <w:pPr>
                          <w:pStyle w:val="TableParagraph"/>
                          <w:spacing w:before="131"/>
                          <w:ind w:left="9"/>
                          <w:jc w:val="center"/>
                          <w:rPr>
                            <w:rFonts w:ascii="Times New Roman"/>
                            <w:sz w:val="18"/>
                          </w:rPr>
                        </w:pPr>
                        <w:r>
                          <w:rPr>
                            <w:rFonts w:ascii="Times New Roman"/>
                            <w:sz w:val="18"/>
                          </w:rPr>
                          <w:t>/</w:t>
                        </w:r>
                      </w:p>
                    </w:tc>
                  </w:tr>
                </w:tbl>
                <w:p>
                  <w:pPr>
                    <w:pStyle w:val="BodyText"/>
                  </w:pPr>
                </w:p>
              </w:txbxContent>
            </v:textbox>
          </v:shape>
        </w:pict>
      </w:r>
      <w:r>
        <w:rPr>
          <w:b w:val="0"/>
          <w:position w:val="-6"/>
        </w:rPr>
        <w:t>项</w:t>
      </w:r>
      <w:r>
        <w:rPr>
          <w:b w:val="0"/>
          <w:position w:val="-6"/>
        </w:rPr>
        <w:tab/>
      </w:r>
      <w:bookmarkStart w:id="16" w:name="_bookmark16"/>
      <w:bookmarkEnd w:id="16"/>
      <w:r>
        <w:t>表</w:t>
      </w:r>
      <w:r>
        <w:rPr>
          <w:spacing w:val="-51"/>
        </w:rPr>
        <w:t xml:space="preserve"> </w:t>
      </w:r>
      <w:r>
        <w:rPr>
          <w:rFonts w:ascii="Times New Roman" w:eastAsia="Times New Roman"/>
        </w:rPr>
        <w:t>2-9</w:t>
      </w:r>
      <w:r>
        <w:rPr>
          <w:rFonts w:ascii="Times New Roman" w:eastAsia="Times New Roman"/>
          <w:spacing w:val="-10"/>
        </w:rPr>
        <w:t xml:space="preserve"> </w:t>
      </w:r>
      <w:r>
        <w:t>现有项目环评审</w:t>
      </w:r>
      <w:r>
        <w:rPr>
          <w:spacing w:val="-3"/>
        </w:rPr>
        <w:t>批</w:t>
      </w:r>
      <w:r>
        <w:t>及验收情况</w:t>
      </w:r>
    </w:p>
    <w:p>
      <w:pPr>
        <w:pStyle w:val="BodyText"/>
        <w:spacing w:before="17" w:line="242" w:lineRule="auto"/>
        <w:ind w:left="396" w:right="9016"/>
        <w:jc w:val="both"/>
      </w:pPr>
      <w:r>
        <w:t>目有关的原</w:t>
      </w:r>
    </w:p>
    <w:p>
      <w:pPr>
        <w:pStyle w:val="BodyText"/>
        <w:spacing w:before="10" w:line="232" w:lineRule="auto"/>
        <w:ind w:left="396" w:right="392"/>
        <w:jc w:val="both"/>
      </w:pPr>
      <w:r>
        <w:rPr>
          <w:spacing w:val="3"/>
          <w:position w:val="1"/>
        </w:rPr>
        <w:t xml:space="preserve">有     </w:t>
      </w:r>
      <w:r>
        <w:rPr>
          <w:spacing w:val="-5"/>
        </w:rPr>
        <w:t xml:space="preserve">现有项目员工共 </w:t>
      </w:r>
      <w:r>
        <w:rPr>
          <w:rFonts w:ascii="Times New Roman" w:eastAsia="Times New Roman"/>
        </w:rPr>
        <w:t>70</w:t>
      </w:r>
      <w:r>
        <w:rPr>
          <w:rFonts w:ascii="Times New Roman" w:eastAsia="Times New Roman"/>
          <w:spacing w:val="19"/>
        </w:rPr>
        <w:t xml:space="preserve"> </w:t>
      </w:r>
      <w:r>
        <w:rPr>
          <w:spacing w:val="-5"/>
        </w:rPr>
        <w:t xml:space="preserve">人，年工作天数均为 </w:t>
      </w:r>
      <w:r>
        <w:rPr>
          <w:rFonts w:ascii="Times New Roman" w:eastAsia="Times New Roman"/>
        </w:rPr>
        <w:t>300</w:t>
      </w:r>
      <w:r>
        <w:rPr>
          <w:rFonts w:ascii="Times New Roman" w:eastAsia="Times New Roman"/>
          <w:spacing w:val="21"/>
        </w:rPr>
        <w:t xml:space="preserve"> </w:t>
      </w:r>
      <w:r>
        <w:rPr>
          <w:spacing w:val="-5"/>
        </w:rPr>
        <w:t xml:space="preserve">天，每天 </w:t>
      </w:r>
      <w:r>
        <w:rPr>
          <w:rFonts w:ascii="Times New Roman" w:eastAsia="Times New Roman"/>
        </w:rPr>
        <w:t>8</w:t>
      </w:r>
      <w:r>
        <w:rPr>
          <w:rFonts w:ascii="Times New Roman" w:eastAsia="Times New Roman"/>
          <w:spacing w:val="22"/>
        </w:rPr>
        <w:t xml:space="preserve"> </w:t>
      </w:r>
      <w:r>
        <w:rPr>
          <w:spacing w:val="-5"/>
        </w:rPr>
        <w:t xml:space="preserve">小时，年工作时间为 </w:t>
      </w:r>
      <w:r>
        <w:rPr>
          <w:rFonts w:ascii="Times New Roman" w:eastAsia="Times New Roman"/>
        </w:rPr>
        <w:t>2400</w:t>
      </w:r>
      <w:r>
        <w:rPr>
          <w:rFonts w:ascii="Times New Roman" w:eastAsia="Times New Roman"/>
          <w:spacing w:val="19"/>
        </w:rPr>
        <w:t xml:space="preserve"> </w:t>
      </w:r>
      <w:r>
        <w:t>小环</w:t>
      </w:r>
    </w:p>
    <w:p>
      <w:pPr>
        <w:pStyle w:val="BodyText"/>
        <w:spacing w:line="100" w:lineRule="auto"/>
        <w:ind w:left="396"/>
        <w:jc w:val="both"/>
      </w:pPr>
      <w:r>
        <w:rPr>
          <w:position w:val="-11"/>
        </w:rPr>
        <w:t xml:space="preserve">境 </w:t>
      </w:r>
      <w:r>
        <w:t>时。厂区内不设置食堂、浴室，职工用餐均外购解决。</w:t>
      </w:r>
    </w:p>
    <w:p>
      <w:pPr>
        <w:tabs>
          <w:tab w:val="left" w:pos="1243"/>
        </w:tabs>
        <w:spacing w:before="53" w:line="230" w:lineRule="auto"/>
        <w:ind w:left="396" w:right="6535" w:firstLine="0"/>
        <w:jc w:val="left"/>
        <w:rPr>
          <w:sz w:val="21"/>
        </w:rPr>
      </w:pPr>
      <w:r>
        <w:rPr>
          <w:position w:val="1"/>
          <w:sz w:val="21"/>
        </w:rPr>
        <w:t>污</w:t>
      </w:r>
      <w:r>
        <w:rPr>
          <w:position w:val="1"/>
          <w:sz w:val="21"/>
        </w:rPr>
        <w:tab/>
      </w:r>
      <w:r>
        <w:rPr>
          <w:rFonts w:ascii="Times New Roman" w:eastAsia="Times New Roman"/>
          <w:b/>
          <w:sz w:val="21"/>
        </w:rPr>
        <w:t>2.</w:t>
      </w:r>
      <w:r>
        <w:rPr>
          <w:b/>
          <w:sz w:val="21"/>
        </w:rPr>
        <w:t>现有项目生产工</w:t>
      </w:r>
      <w:r>
        <w:rPr>
          <w:b/>
          <w:spacing w:val="-17"/>
          <w:sz w:val="21"/>
        </w:rPr>
        <w:t>艺</w:t>
      </w:r>
      <w:r>
        <w:rPr>
          <w:sz w:val="21"/>
        </w:rPr>
        <w:t>染</w:t>
      </w:r>
    </w:p>
    <w:p>
      <w:pPr>
        <w:tabs>
          <w:tab w:val="left" w:pos="4475"/>
        </w:tabs>
        <w:spacing w:before="0" w:line="274" w:lineRule="exact"/>
        <w:ind w:left="396" w:right="0" w:firstLine="0"/>
        <w:jc w:val="both"/>
        <w:rPr>
          <w:sz w:val="18"/>
        </w:rPr>
      </w:pPr>
      <w:r>
        <w:rPr>
          <w:w w:val="105"/>
          <w:position w:val="-3"/>
          <w:sz w:val="21"/>
        </w:rPr>
        <w:t>问</w:t>
      </w:r>
      <w:r>
        <w:rPr>
          <w:w w:val="105"/>
          <w:position w:val="-3"/>
          <w:sz w:val="21"/>
        </w:rPr>
        <w:tab/>
      </w:r>
      <w:r>
        <w:rPr>
          <w:rFonts w:ascii="Times New Roman" w:eastAsia="Times New Roman"/>
          <w:spacing w:val="3"/>
          <w:w w:val="105"/>
          <w:sz w:val="18"/>
        </w:rPr>
        <w:t>PET</w:t>
      </w:r>
      <w:r>
        <w:rPr>
          <w:spacing w:val="7"/>
          <w:w w:val="105"/>
          <w:sz w:val="18"/>
        </w:rPr>
        <w:t>膜</w:t>
      </w:r>
      <w:r>
        <w:rPr>
          <w:spacing w:val="6"/>
          <w:w w:val="105"/>
          <w:sz w:val="18"/>
        </w:rPr>
        <w:t>、</w:t>
      </w:r>
      <w:r>
        <w:rPr>
          <w:rFonts w:ascii="Times New Roman" w:eastAsia="Times New Roman"/>
          <w:spacing w:val="3"/>
          <w:w w:val="105"/>
          <w:sz w:val="18"/>
        </w:rPr>
        <w:t>PE</w:t>
      </w:r>
      <w:r>
        <w:rPr>
          <w:w w:val="105"/>
          <w:sz w:val="18"/>
        </w:rPr>
        <w:t>膜</w:t>
      </w:r>
    </w:p>
    <w:p>
      <w:pPr>
        <w:tabs>
          <w:tab w:val="left" w:pos="6112"/>
        </w:tabs>
        <w:spacing w:before="6"/>
        <w:ind w:left="396" w:right="0" w:firstLine="0"/>
        <w:jc w:val="both"/>
        <w:rPr>
          <w:sz w:val="18"/>
        </w:rPr>
      </w:pPr>
      <w:r>
        <w:pict>
          <v:group id="_x0000_s1254" o:spid="_x0000_s1253" style="width:74.4pt;height:35.9pt;margin-top:7.3pt;margin-left:284.65pt;mso-height-relative:page;mso-position-horizontal-relative:page;mso-width-relative:page;position:absolute;z-index:-251633664" coordorigin="5694,147" coordsize="1488,718">
            <v:shape id="_x0000_s1255" o:spid="_x0000_s1254" style="width:439;height:208;left:6669;position:absolute;top:251" coordorigin="6669,252" coordsize="439,208" path="m6669,459l6718,385,6777,317,6834,272,6878,263,6895,283,6906,315,6915,351,6926,378,6945,389,6970,385,6998,368,7027,345,7049,323,7069,300,7089,276,7108,252e" filled="f" stroked="t" strokecolor="black">
              <v:stroke dashstyle="dot"/>
              <v:path arrowok="t"/>
            </v:shape>
            <v:shape id="_x0000_s1256" o:spid="_x0000_s1255" style="width:119;height:141;left:7062;position:absolute;top:146" coordorigin="7063,147" coordsize="119,141" path="m7182,147l7063,235,7140,288,7182,147xe" filled="t" fillcolor="black" stroked="f">
              <v:path arrowok="t"/>
            </v:shape>
            <v:shape id="_x0000_s1257" o:spid="_x0000_s1256" type="#_x0000_t202" style="width:966;height:393;left:5704;position:absolute;top:460" coordsize="21600,21600" filled="f" stroked="t" strokecolor="black">
              <v:textbox inset="0,0,0,0">
                <w:txbxContent>
                  <w:p>
                    <w:pPr>
                      <w:spacing w:before="74"/>
                      <w:ind w:left="262" w:right="0" w:firstLine="0"/>
                      <w:jc w:val="left"/>
                      <w:rPr>
                        <w:sz w:val="18"/>
                      </w:rPr>
                    </w:pPr>
                    <w:r>
                      <w:rPr>
                        <w:w w:val="105"/>
                        <w:sz w:val="18"/>
                      </w:rPr>
                      <w:t>印 刷</w:t>
                    </w:r>
                  </w:p>
                </w:txbxContent>
              </v:textbox>
            </v:shape>
          </v:group>
        </w:pict>
      </w:r>
      <w:r>
        <w:pict>
          <v:group id="_x0000_s1258" o:spid="_x0000_s1257" style="width:4.7pt;height:21.4pt;margin-top:1.65pt;margin-left:306.95pt;mso-height-relative:page;mso-position-horizontal-relative:page;mso-width-relative:page;position:absolute;z-index:-251632640" coordorigin="6140,33" coordsize="94,428">
            <v:line id="_x0000_s1259" o:spid="_x0000_s1258" style="position:absolute" from="6187,33" to="6187,333" coordsize="21600,21600" stroked="t" strokecolor="black"/>
            <v:shape id="_x0000_s1260" o:spid="_x0000_s1259" style="width:94;height:140;left:6139;position:absolute;top:321" coordorigin="6140,321" coordsize="94,140" path="m6233,321l6140,321,6187,461,6233,321xe" filled="t" fillcolor="black" stroked="f">
              <v:path arrowok="t"/>
            </v:shape>
          </v:group>
        </w:pict>
      </w:r>
      <w:r>
        <w:rPr>
          <w:w w:val="105"/>
          <w:sz w:val="21"/>
        </w:rPr>
        <w:t>题</w:t>
      </w:r>
      <w:r>
        <w:rPr>
          <w:w w:val="105"/>
          <w:sz w:val="21"/>
        </w:rPr>
        <w:tab/>
      </w:r>
      <w:r>
        <w:rPr>
          <w:rFonts w:ascii="Times New Roman" w:eastAsia="Times New Roman"/>
          <w:spacing w:val="3"/>
          <w:w w:val="105"/>
          <w:sz w:val="18"/>
        </w:rPr>
        <w:t>G1-1</w:t>
      </w:r>
      <w:r>
        <w:rPr>
          <w:w w:val="105"/>
          <w:sz w:val="18"/>
        </w:rPr>
        <w:t>印</w:t>
      </w:r>
      <w:r>
        <w:rPr>
          <w:spacing w:val="20"/>
          <w:w w:val="105"/>
          <w:sz w:val="18"/>
        </w:rPr>
        <w:t>刷</w:t>
      </w:r>
      <w:r>
        <w:rPr>
          <w:w w:val="105"/>
          <w:sz w:val="18"/>
        </w:rPr>
        <w:t>废气</w:t>
      </w:r>
    </w:p>
    <w:p>
      <w:pPr>
        <w:spacing w:before="13"/>
        <w:ind w:left="6113" w:right="0" w:firstLine="0"/>
        <w:jc w:val="left"/>
        <w:rPr>
          <w:sz w:val="18"/>
        </w:rPr>
      </w:pPr>
      <w:r>
        <w:rPr>
          <w:rFonts w:ascii="Times New Roman" w:eastAsia="Times New Roman"/>
          <w:w w:val="105"/>
          <w:sz w:val="18"/>
        </w:rPr>
        <w:t>S1-1</w:t>
      </w:r>
      <w:r>
        <w:rPr>
          <w:w w:val="105"/>
          <w:sz w:val="18"/>
        </w:rPr>
        <w:t>废油墨</w:t>
      </w:r>
    </w:p>
    <w:p>
      <w:pPr>
        <w:spacing w:after="0"/>
        <w:jc w:val="left"/>
        <w:rPr>
          <w:sz w:val="18"/>
        </w:rPr>
        <w:sectPr>
          <w:footerReference w:type="default" r:id="rId35"/>
          <w:pgSz w:w="11910" w:h="16840"/>
          <w:pgMar w:top="1400" w:right="1140" w:bottom="1040" w:left="1140" w:header="0" w:footer="768" w:gutter="0"/>
          <w:pgNumType w:start="25"/>
          <w:cols w:num="1" w:space="720"/>
        </w:sectPr>
      </w:pPr>
    </w:p>
    <w:p>
      <w:pPr>
        <w:spacing w:before="26"/>
        <w:ind w:left="0" w:right="4" w:firstLine="0"/>
        <w:jc w:val="right"/>
        <w:rPr>
          <w:sz w:val="18"/>
        </w:rPr>
      </w:pPr>
      <w:r>
        <w:rPr>
          <w:spacing w:val="4"/>
          <w:sz w:val="18"/>
        </w:rPr>
        <w:t>水性油墨</w:t>
      </w:r>
    </w:p>
    <w:p>
      <w:pPr>
        <w:pStyle w:val="BodyText"/>
        <w:rPr>
          <w:sz w:val="18"/>
        </w:rPr>
      </w:pPr>
    </w:p>
    <w:p>
      <w:pPr>
        <w:pStyle w:val="BodyText"/>
        <w:rPr>
          <w:sz w:val="18"/>
        </w:rPr>
      </w:pPr>
    </w:p>
    <w:p>
      <w:pPr>
        <w:pStyle w:val="BodyText"/>
        <w:spacing w:before="12"/>
        <w:rPr>
          <w:sz w:val="13"/>
        </w:rPr>
      </w:pPr>
    </w:p>
    <w:p>
      <w:pPr>
        <w:spacing w:before="0"/>
        <w:ind w:left="0" w:right="0" w:firstLine="0"/>
        <w:jc w:val="right"/>
        <w:rPr>
          <w:sz w:val="18"/>
        </w:rPr>
      </w:pPr>
      <w:r>
        <w:rPr>
          <w:spacing w:val="5"/>
          <w:sz w:val="18"/>
        </w:rPr>
        <w:t>无溶剂胶粘剂</w:t>
      </w:r>
    </w:p>
    <w:p>
      <w:pPr>
        <w:spacing w:before="26" w:line="266" w:lineRule="auto"/>
        <w:ind w:left="2118" w:right="2552" w:firstLine="0"/>
        <w:jc w:val="left"/>
        <w:rPr>
          <w:sz w:val="18"/>
        </w:rPr>
      </w:pPr>
      <w:r>
        <w:br w:type="column"/>
      </w:r>
      <w:r>
        <w:rPr>
          <w:rFonts w:ascii="Times New Roman" w:eastAsia="Times New Roman"/>
          <w:spacing w:val="3"/>
          <w:w w:val="105"/>
          <w:sz w:val="18"/>
        </w:rPr>
        <w:t>S1-2</w:t>
      </w:r>
      <w:r>
        <w:rPr>
          <w:spacing w:val="1"/>
          <w:w w:val="105"/>
          <w:sz w:val="18"/>
        </w:rPr>
        <w:t>废印版</w:t>
      </w:r>
      <w:r>
        <w:rPr>
          <w:rFonts w:ascii="Times New Roman" w:eastAsia="Times New Roman"/>
          <w:spacing w:val="5"/>
          <w:w w:val="105"/>
          <w:sz w:val="18"/>
        </w:rPr>
        <w:t>N</w:t>
      </w:r>
      <w:r>
        <w:rPr>
          <w:w w:val="105"/>
          <w:sz w:val="18"/>
        </w:rPr>
        <w:t>噪声</w:t>
      </w:r>
    </w:p>
    <w:p>
      <w:pPr>
        <w:pStyle w:val="BodyText"/>
        <w:rPr>
          <w:sz w:val="18"/>
        </w:rPr>
      </w:pPr>
    </w:p>
    <w:p>
      <w:pPr>
        <w:spacing w:before="0" w:line="266" w:lineRule="auto"/>
        <w:ind w:left="2118" w:right="2363" w:firstLine="0"/>
        <w:jc w:val="left"/>
        <w:rPr>
          <w:sz w:val="18"/>
        </w:rPr>
      </w:pPr>
      <w:r>
        <w:pict>
          <v:group id="_x0000_s1261" o:spid="_x0000_s1260" style="width:4.7pt;height:23.75pt;margin-top:-21.7pt;margin-left:306.95pt;mso-height-relative:page;mso-position-horizontal-relative:page;mso-width-relative:page;position:absolute;z-index:-251630592" coordorigin="6140,-434" coordsize="94,475">
            <v:line id="_x0000_s1262" o:spid="_x0000_s1261" style="position:absolute" from="6187,-434" to="6187,-88" coordsize="21600,21600" stroked="t" strokecolor="black"/>
            <v:shape id="_x0000_s1263" o:spid="_x0000_s1262" style="width:94;height:140;left:6139;position:absolute;top:-100" coordorigin="6140,-100" coordsize="94,140" path="m6233,-100l6140,-100,6187,40,6233,-100xe" filled="t" fillcolor="black" stroked="f">
              <v:path arrowok="t"/>
            </v:shape>
          </v:group>
        </w:pict>
      </w:r>
      <w:r>
        <w:pict>
          <v:group id="_x0000_s1264" o:spid="_x0000_s1263" style="width:25.7pt;height:4.7pt;margin-top:-33.85pt;margin-left:333.45pt;mso-height-relative:page;mso-position-horizontal-relative:page;mso-width-relative:page;position:absolute;z-index:-251629568" coordorigin="6669,-677" coordsize="514,94">
            <v:line id="_x0000_s1265" o:spid="_x0000_s1264" style="position:absolute" from="6669,-631" to="7054,-631" coordsize="21600,21600" stroked="t" strokecolor="black">
              <v:stroke dashstyle="dot"/>
            </v:line>
            <v:shape id="_x0000_s1266" o:spid="_x0000_s1265" style="width:141;height:94;left:7042;position:absolute;top:-678" coordorigin="7042,-677" coordsize="141,94" path="m7042,-677l7042,-584,7183,-631,7042,-677xe" filled="t" fillcolor="black" stroked="f">
              <v:path arrowok="t"/>
            </v:shape>
          </v:group>
        </w:pict>
      </w:r>
      <w:r>
        <w:pict>
          <v:group id="_x0000_s1267" o:spid="_x0000_s1266" style="width:25.7pt;height:4.7pt;margin-top:9.45pt;margin-left:333.45pt;mso-height-relative:page;mso-position-horizontal-relative:page;mso-width-relative:page;position:absolute;z-index:-251628544" coordorigin="6669,190" coordsize="514,94">
            <v:line id="_x0000_s1268" o:spid="_x0000_s1267" style="position:absolute" from="6669,237" to="7054,237" coordsize="21600,21600" stroked="t" strokecolor="black">
              <v:stroke dashstyle="dot"/>
            </v:line>
            <v:shape id="_x0000_s1269" o:spid="_x0000_s1268" style="width:141;height:94;left:7042;position:absolute;top:189" coordorigin="7042,190" coordsize="141,94" path="m7042,190l7042,283,7183,237,7042,190xe" filled="t" fillcolor="black" stroked="f">
              <v:path arrowok="t"/>
            </v:shape>
          </v:group>
        </w:pict>
      </w:r>
      <w:r>
        <w:pict>
          <v:group id="_x0000_s1270" o:spid="_x0000_s1269" style="width:4.7pt;height:21.9pt;margin-top:21.6pt;margin-left:306.95pt;mso-height-relative:page;mso-position-horizontal-relative:page;mso-width-relative:page;position:absolute;z-index:-251627520" coordorigin="6140,433" coordsize="94,438">
            <v:line id="_x0000_s1271" o:spid="_x0000_s1270" style="position:absolute" from="6187,433" to="6187,742" coordsize="21600,21600" stroked="t" strokecolor="black"/>
            <v:shape id="_x0000_s1272" o:spid="_x0000_s1271" style="width:94;height:140;left:6139;position:absolute;top:730" coordorigin="6140,731" coordsize="94,140" path="m6233,731l6140,731,6187,870,6233,731xe" filled="t" fillcolor="black" stroked="f">
              <v:path arrowok="t"/>
            </v:shape>
          </v:group>
        </w:pict>
      </w:r>
      <w:r>
        <w:pict>
          <v:group id="_x0000_s1273" o:spid="_x0000_s1272" style="width:27.95pt;height:4.7pt;margin-top:-33.85pt;margin-left:257.25pt;mso-height-relative:page;mso-position-horizontal-relative:page;mso-width-relative:page;position:absolute;z-index:-251626496" coordorigin="5145,-677" coordsize="559,94">
            <v:line id="_x0000_s1274" o:spid="_x0000_s1273" style="position:absolute" from="5145,-631" to="5575,-631" coordsize="21600,21600" stroked="t" strokecolor="black"/>
            <v:shape id="_x0000_s1275" o:spid="_x0000_s1274" style="width:141;height:94;left:5563;position:absolute;top:-678" coordorigin="5564,-677" coordsize="141,94" path="m5564,-677l5564,-584,5704,-631,5564,-677xe" filled="t" fillcolor="black" stroked="f">
              <v:path arrowok="t"/>
            </v:shape>
          </v:group>
        </w:pict>
      </w:r>
      <w:r>
        <w:pict>
          <v:group id="_x0000_s1276" o:spid="_x0000_s1275" style="width:27.95pt;height:4.7pt;margin-top:9.45pt;margin-left:257.25pt;mso-height-relative:page;mso-position-horizontal-relative:page;mso-width-relative:page;position:absolute;z-index:-251625472" coordorigin="5145,190" coordsize="559,94">
            <v:line id="_x0000_s1277" o:spid="_x0000_s1276" style="position:absolute" from="5145,237" to="5575,237" coordsize="21600,21600" stroked="t" strokecolor="black"/>
            <v:shape id="_x0000_s1278" o:spid="_x0000_s1277" style="width:141;height:94;left:5563;position:absolute;top:189" coordorigin="5564,190" coordsize="141,94" path="m5564,190l5564,283,5704,237,5564,190xe" filled="t" fillcolor="black" stroked="f">
              <v:path arrowok="t"/>
            </v:shape>
          </v:group>
        </w:pict>
      </w:r>
      <w:r>
        <w:pict>
          <v:shape id="_x0000_s1279" o:spid="_x0000_s1278" type="#_x0000_t202" style="width:48.3pt;height:19.65pt;margin-top:2pt;margin-left:285.2pt;mso-height-relative:page;mso-position-horizontal-relative:page;mso-width-relative:page;position:absolute;z-index:251692032" coordsize="21600,21600" filled="f" stroked="t" strokecolor="black">
            <v:textbox inset="0,0,0,0">
              <w:txbxContent>
                <w:p>
                  <w:pPr>
                    <w:spacing w:before="77"/>
                    <w:ind w:left="262" w:right="0" w:firstLine="0"/>
                    <w:jc w:val="left"/>
                    <w:rPr>
                      <w:sz w:val="18"/>
                    </w:rPr>
                  </w:pPr>
                  <w:r>
                    <w:rPr>
                      <w:w w:val="105"/>
                      <w:sz w:val="18"/>
                    </w:rPr>
                    <w:t>复 合</w:t>
                  </w:r>
                </w:p>
              </w:txbxContent>
            </v:textbox>
          </v:shape>
        </w:pict>
      </w:r>
      <w:r>
        <w:rPr>
          <w:rFonts w:ascii="Times New Roman" w:eastAsia="Times New Roman"/>
          <w:spacing w:val="3"/>
          <w:w w:val="105"/>
          <w:sz w:val="18"/>
        </w:rPr>
        <w:t>S1-3</w:t>
      </w:r>
      <w:r>
        <w:rPr>
          <w:w w:val="105"/>
          <w:sz w:val="18"/>
        </w:rPr>
        <w:t>废粘合剂</w:t>
      </w:r>
      <w:r>
        <w:rPr>
          <w:rFonts w:ascii="Times New Roman" w:eastAsia="Times New Roman"/>
          <w:spacing w:val="5"/>
          <w:w w:val="105"/>
          <w:sz w:val="18"/>
        </w:rPr>
        <w:t>N</w:t>
      </w:r>
      <w:r>
        <w:rPr>
          <w:w w:val="105"/>
          <w:sz w:val="18"/>
        </w:rPr>
        <w:t>噪声</w:t>
      </w:r>
    </w:p>
    <w:p>
      <w:pPr>
        <w:spacing w:after="0" w:line="266" w:lineRule="auto"/>
        <w:jc w:val="left"/>
        <w:rPr>
          <w:sz w:val="18"/>
        </w:rPr>
        <w:sectPr>
          <w:footerReference w:type="default" r:id="rId36"/>
          <w:type w:val="continuous"/>
          <w:pgSz w:w="11910" w:h="16840"/>
          <w:pgMar w:top="1580" w:right="1140" w:bottom="280" w:left="1140" w:header="720" w:footer="720" w:gutter="0"/>
          <w:pgNumType w:start="26"/>
          <w:cols w:num="2" w:space="708" w:equalWidth="0">
            <w:col w:w="3955" w:space="40"/>
            <w:col w:w="5635" w:space="0"/>
          </w:cols>
        </w:sectPr>
      </w:pPr>
    </w:p>
    <w:p>
      <w:pPr>
        <w:pStyle w:val="BodyText"/>
        <w:spacing w:before="9"/>
        <w:rPr>
          <w:sz w:val="14"/>
        </w:rPr>
      </w:pPr>
      <w:r>
        <w:pict>
          <v:group id="_x0000_s1280" o:spid="_x0000_s1279" style="width:453.6pt;height:687pt;margin-top:70.9pt;margin-left:70.9pt;mso-height-relative:page;mso-position-horizontal-relative:page;mso-position-vertical-relative:page;mso-width-relative:page;position:absolute;z-index:-251618304" coordorigin="1419,1418" coordsize="9072,13740">
            <v:line id="_x0000_s1281" o:spid="_x0000_s1280" style="position:absolute" from="1438,1428" to="1851,1428" coordsize="21600,21600" stroked="t" strokecolor="black"/>
            <v:rect id="_x0000_s1282" o:spid="_x0000_s1281" style="width:20;height:20;left:1850;position:absolute;top:1418" coordsize="21600,21600" filled="t" fillcolor="black" stroked="f"/>
            <v:line id="_x0000_s1283" o:spid="_x0000_s1282" style="position:absolute" from="1870,1428" to="10471,1428" coordsize="21600,21600" stroked="t" strokecolor="black"/>
            <v:line id="_x0000_s1284" o:spid="_x0000_s1283" style="position:absolute" from="1428,1418" to="1428,15139" coordsize="21600,21600" stroked="t" strokecolor="black"/>
            <v:rect id="_x0000_s1285" o:spid="_x0000_s1284" style="width:20;height:20;left:1418;position:absolute;top:15139" coordsize="21600,21600" filled="t" fillcolor="black" stroked="f"/>
            <v:line id="_x0000_s1286" o:spid="_x0000_s1285" style="position:absolute" from="1438,15149" to="1851,15149" coordsize="21600,21600" stroked="t" strokecolor="black"/>
            <v:line id="_x0000_s1287" o:spid="_x0000_s1286" style="position:absolute" from="1856,1438" to="1856,15139" coordsize="21600,21600" stroked="t" strokecolor="black"/>
            <v:rect id="_x0000_s1288" o:spid="_x0000_s1287" style="width:20;height:20;left:1850;position:absolute;top:15139" coordsize="21600,21600" filled="t" fillcolor="black" stroked="f"/>
            <v:line id="_x0000_s1289" o:spid="_x0000_s1288" style="position:absolute" from="1870,15149" to="10471,15149" coordsize="21600,21600" stroked="t" strokecolor="black"/>
            <v:line id="_x0000_s1290" o:spid="_x0000_s1289" style="position:absolute" from="10480,1418" to="10480,15139" coordsize="21600,21600" stroked="t" strokecolor="black"/>
            <v:rect id="_x0000_s1291" o:spid="_x0000_s1290" style="width:20;height:20;left:10470;position:absolute;top:15139" coordsize="21600,21600" filled="t" fillcolor="black" stroked="f"/>
          </v:group>
        </w:pict>
      </w:r>
    </w:p>
    <w:p>
      <w:pPr>
        <w:spacing w:before="78"/>
        <w:ind w:left="6113" w:right="0" w:firstLine="0"/>
        <w:jc w:val="left"/>
        <w:rPr>
          <w:sz w:val="19"/>
        </w:rPr>
      </w:pPr>
      <w:r>
        <w:pict>
          <v:group id="_x0000_s1292" o:spid="_x0000_s1291" style="width:25.7pt;height:4.7pt;margin-top:13.75pt;margin-left:333.45pt;mso-height-relative:page;mso-position-horizontal-relative:page;mso-width-relative:page;position:absolute;z-index:-251621376" coordorigin="6669,275" coordsize="514,94">
            <v:line id="_x0000_s1293" o:spid="_x0000_s1292" style="position:absolute" from="6669,322" to="7054,322" coordsize="21600,21600" stroked="t" strokecolor="black">
              <v:stroke dashstyle="dot"/>
            </v:line>
            <v:shape id="_x0000_s1294" o:spid="_x0000_s1293" style="width:141;height:94;left:7042;position:absolute;top:275" coordorigin="7042,275" coordsize="141,94" path="m7042,275l7042,369,7183,322,7042,275xe" filled="t" fillcolor="black" stroked="f">
              <v:path arrowok="t"/>
            </v:shape>
          </v:group>
        </w:pict>
      </w:r>
      <w:r>
        <w:pict>
          <v:shape id="_x0000_s1295" o:spid="_x0000_s1294" type="#_x0000_t202" style="width:48.3pt;height:19.65pt;margin-top:8.45pt;margin-left:285.2pt;mso-height-relative:page;mso-position-horizontal-relative:page;mso-width-relative:page;position:absolute;z-index:251702272" coordsize="21600,21600" filled="f" stroked="t" strokecolor="black">
            <v:textbox inset="0,0,0,0">
              <w:txbxContent>
                <w:p>
                  <w:pPr>
                    <w:spacing w:before="80"/>
                    <w:ind w:left="262" w:right="0" w:firstLine="0"/>
                    <w:jc w:val="left"/>
                    <w:rPr>
                      <w:sz w:val="18"/>
                    </w:rPr>
                  </w:pPr>
                  <w:r>
                    <w:rPr>
                      <w:w w:val="105"/>
                      <w:sz w:val="18"/>
                    </w:rPr>
                    <w:t>模 切</w:t>
                  </w:r>
                </w:p>
              </w:txbxContent>
            </v:textbox>
          </v:shape>
        </w:pict>
      </w:r>
      <w:r>
        <w:rPr>
          <w:rFonts w:ascii="Times New Roman" w:eastAsia="Times New Roman"/>
          <w:sz w:val="19"/>
        </w:rPr>
        <w:t>S1-4</w:t>
      </w:r>
      <w:r>
        <w:rPr>
          <w:sz w:val="19"/>
        </w:rPr>
        <w:t>废边角料</w:t>
      </w:r>
    </w:p>
    <w:p>
      <w:pPr>
        <w:spacing w:before="23"/>
        <w:ind w:left="6113" w:right="0" w:firstLine="0"/>
        <w:jc w:val="left"/>
        <w:rPr>
          <w:sz w:val="18"/>
        </w:rPr>
      </w:pPr>
      <w:r>
        <w:pict>
          <v:group id="_x0000_s1296" o:spid="_x0000_s1295" style="width:4.7pt;height:22.5pt;margin-top:12pt;margin-left:306.95pt;mso-height-relative:page;mso-position-horizontal-relative:page;mso-width-relative:page;position:absolute;z-index:-251623424" coordorigin="6140,241" coordsize="94,450">
            <v:line id="_x0000_s1297" o:spid="_x0000_s1296" style="position:absolute" from="6187,241" to="6187,562" coordsize="21600,21600" stroked="t" strokecolor="black"/>
            <v:shape id="_x0000_s1298" o:spid="_x0000_s1297" style="width:94;height:140;left:6139;position:absolute;top:550" coordorigin="6140,551" coordsize="94,140" path="m6233,551l6140,551,6187,690,6233,551xe" filled="t" fillcolor="black" stroked="f">
              <v:path arrowok="t"/>
            </v:shape>
          </v:group>
        </w:pict>
      </w:r>
      <w:r>
        <w:rPr>
          <w:rFonts w:ascii="Times New Roman" w:eastAsia="Times New Roman"/>
          <w:spacing w:val="5"/>
          <w:sz w:val="18"/>
        </w:rPr>
        <w:t>N</w:t>
      </w:r>
      <w:r>
        <w:rPr>
          <w:sz w:val="18"/>
        </w:rPr>
        <w:t>噪声</w:t>
      </w:r>
    </w:p>
    <w:p>
      <w:pPr>
        <w:pStyle w:val="BodyText"/>
        <w:rPr>
          <w:sz w:val="29"/>
        </w:rPr>
      </w:pPr>
    </w:p>
    <w:p>
      <w:pPr>
        <w:spacing w:before="88" w:line="266" w:lineRule="auto"/>
        <w:ind w:left="6113" w:right="2363" w:firstLine="0"/>
        <w:jc w:val="left"/>
        <w:rPr>
          <w:sz w:val="18"/>
        </w:rPr>
      </w:pPr>
      <w:r>
        <w:pict>
          <v:group id="_x0000_s1299" o:spid="_x0000_s1298" style="width:4.7pt;height:22.5pt;margin-top:22.85pt;margin-left:306.95pt;mso-height-relative:page;mso-position-horizontal-relative:page;mso-width-relative:page;position:absolute;z-index:-251622400" coordorigin="6140,458" coordsize="94,450">
            <v:line id="_x0000_s1300" o:spid="_x0000_s1299" style="position:absolute" from="6187,458" to="6187,779" coordsize="21600,21600" stroked="t" strokecolor="black"/>
            <v:shape id="_x0000_s1301" o:spid="_x0000_s1300" style="width:94;height:140;left:6139;position:absolute;top:767" coordorigin="6140,768" coordsize="94,140" path="m6233,768l6140,768,6187,907,6233,768xe" filled="t" fillcolor="black" stroked="f">
              <v:path arrowok="t"/>
            </v:shape>
          </v:group>
        </w:pict>
      </w:r>
      <w:r>
        <w:pict>
          <v:group id="_x0000_s1302" o:spid="_x0000_s1301" style="width:25.7pt;height:4.7pt;margin-top:13.55pt;margin-left:333.45pt;mso-height-relative:page;mso-position-horizontal-relative:page;mso-width-relative:page;position:absolute;z-index:-251620352" coordorigin="6669,272" coordsize="514,94">
            <v:line id="_x0000_s1303" o:spid="_x0000_s1302" style="position:absolute" from="6669,318" to="7054,318" coordsize="21600,21600" stroked="t" strokecolor="black">
              <v:stroke dashstyle="dot"/>
            </v:line>
            <v:shape id="_x0000_s1304" o:spid="_x0000_s1303" style="width:141;height:94;left:7042;position:absolute;top:271" coordorigin="7042,272" coordsize="141,94" path="m7042,272l7042,365,7183,318,7042,272xe" filled="t" fillcolor="black" stroked="f">
              <v:path arrowok="t"/>
            </v:shape>
          </v:group>
        </w:pict>
      </w:r>
      <w:r>
        <w:pict>
          <v:shape id="_x0000_s1305" o:spid="_x0000_s1304" type="#_x0000_t202" style="width:48.3pt;height:19.65pt;margin-top:3.25pt;margin-left:285.2pt;mso-height-relative:page;mso-position-horizontal-relative:page;mso-width-relative:page;position:absolute;z-index:251701248" coordsize="21600,21600" filled="f" stroked="t" strokecolor="black">
            <v:textbox inset="0,0,0,0">
              <w:txbxContent>
                <w:p>
                  <w:pPr>
                    <w:spacing w:before="83"/>
                    <w:ind w:left="262" w:right="0" w:firstLine="0"/>
                    <w:jc w:val="left"/>
                    <w:rPr>
                      <w:sz w:val="18"/>
                    </w:rPr>
                  </w:pPr>
                  <w:r>
                    <w:rPr>
                      <w:w w:val="105"/>
                      <w:sz w:val="18"/>
                    </w:rPr>
                    <w:t>分 切</w:t>
                  </w:r>
                </w:p>
              </w:txbxContent>
            </v:textbox>
          </v:shape>
        </w:pict>
      </w:r>
      <w:r>
        <w:rPr>
          <w:rFonts w:ascii="Times New Roman" w:eastAsia="Times New Roman"/>
          <w:spacing w:val="3"/>
          <w:w w:val="105"/>
          <w:sz w:val="18"/>
        </w:rPr>
        <w:t>S1-5</w:t>
      </w:r>
      <w:r>
        <w:rPr>
          <w:w w:val="105"/>
          <w:sz w:val="18"/>
        </w:rPr>
        <w:t>废边角料</w:t>
      </w:r>
      <w:r>
        <w:rPr>
          <w:rFonts w:ascii="Times New Roman" w:eastAsia="Times New Roman"/>
          <w:spacing w:val="5"/>
          <w:w w:val="105"/>
          <w:sz w:val="18"/>
        </w:rPr>
        <w:t>N</w:t>
      </w:r>
      <w:r>
        <w:rPr>
          <w:w w:val="105"/>
          <w:sz w:val="18"/>
        </w:rPr>
        <w:t>噪声</w:t>
      </w:r>
    </w:p>
    <w:p>
      <w:pPr>
        <w:pStyle w:val="BodyText"/>
        <w:spacing w:before="10"/>
        <w:rPr>
          <w:sz w:val="24"/>
        </w:rPr>
      </w:pPr>
    </w:p>
    <w:p>
      <w:pPr>
        <w:spacing w:before="87"/>
        <w:ind w:left="6113" w:right="0" w:firstLine="0"/>
        <w:jc w:val="left"/>
        <w:rPr>
          <w:sz w:val="18"/>
        </w:rPr>
      </w:pPr>
      <w:r>
        <w:pict>
          <v:group id="_x0000_s1306" o:spid="_x0000_s1305" style="width:4.7pt;height:22.1pt;margin-top:19.05pt;margin-left:306.95pt;mso-height-relative:page;mso-position-horizontal-relative:page;mso-width-relative:page;mso-wrap-distance-bottom:0;mso-wrap-distance-top:0;position:absolute;z-index:-251617280" coordorigin="6140,382" coordsize="94,442">
            <v:line id="_x0000_s1307" o:spid="_x0000_s1306" style="position:absolute" from="6187,382" to="6187,696" coordsize="21600,21600" stroked="t" strokecolor="black"/>
            <v:shape id="_x0000_s1308" o:spid="_x0000_s1307" style="width:94;height:140;left:6139;position:absolute;top:683" coordorigin="6140,684" coordsize="94,140" path="m6233,684l6140,684,6187,824,6233,684xe" filled="t" fillcolor="black" stroked="f">
              <v:path arrowok="t"/>
            </v:shape>
            <w10:wrap type="topAndBottom"/>
          </v:group>
        </w:pict>
      </w:r>
      <w:r>
        <w:pict>
          <v:group id="_x0000_s1309" o:spid="_x0000_s1308" style="width:25.7pt;height:4.7pt;margin-top:6.95pt;margin-left:333.45pt;mso-height-relative:page;mso-position-horizontal-relative:page;mso-width-relative:page;position:absolute;z-index:-251619328" coordorigin="6669,139" coordsize="514,94">
            <v:line id="_x0000_s1310" o:spid="_x0000_s1309" style="position:absolute" from="6669,186" to="7054,186" coordsize="21600,21600" stroked="t" strokecolor="black">
              <v:stroke dashstyle="dot"/>
            </v:line>
            <v:shape id="_x0000_s1311" o:spid="_x0000_s1310" style="width:141;height:94;left:7042;position:absolute;top:139" coordorigin="7042,139" coordsize="141,94" path="m7042,139l7042,232,7183,186,7042,139xe" filled="t" fillcolor="black" stroked="f">
              <v:path arrowok="t"/>
            </v:shape>
          </v:group>
        </w:pict>
      </w:r>
      <w:r>
        <w:pict>
          <v:shape id="_x0000_s1312" o:spid="_x0000_s1311" type="#_x0000_t202" style="width:48.3pt;height:19.65pt;margin-top:-0.5pt;margin-left:285.2pt;mso-height-relative:page;mso-position-horizontal-relative:page;mso-width-relative:page;position:absolute;z-index:251700224" coordsize="21600,21600" filled="f" stroked="t" strokecolor="black">
            <v:textbox inset="0,0,0,0">
              <w:txbxContent>
                <w:p>
                  <w:pPr>
                    <w:spacing w:before="87"/>
                    <w:ind w:left="262" w:right="0" w:firstLine="0"/>
                    <w:jc w:val="left"/>
                    <w:rPr>
                      <w:sz w:val="18"/>
                    </w:rPr>
                  </w:pPr>
                  <w:r>
                    <w:rPr>
                      <w:w w:val="105"/>
                      <w:sz w:val="18"/>
                    </w:rPr>
                    <w:t>检 查</w:t>
                  </w:r>
                </w:p>
              </w:txbxContent>
            </v:textbox>
          </v:shape>
        </w:pict>
      </w:r>
      <w:r>
        <w:pict>
          <v:shape id="_x0000_s1313" o:spid="_x0000_s1312" type="#_x0000_t202" style="width:53.35pt;height:63.55pt;margin-top:-16.55pt;margin-left:177.2pt;mso-height-relative:page;mso-position-horizontal-relative:page;mso-width-relative:page;position:absolute;z-index:251703296" coordsize="21600,21600" filled="f" stroked="t" strokecolor="black">
            <v:textbox inset="0,0,0,0">
              <w:txbxContent>
                <w:p>
                  <w:pPr>
                    <w:spacing w:before="73"/>
                    <w:ind w:left="94" w:right="0" w:firstLine="0"/>
                    <w:jc w:val="both"/>
                    <w:rPr>
                      <w:b/>
                      <w:sz w:val="18"/>
                    </w:rPr>
                  </w:pPr>
                  <w:r>
                    <w:rPr>
                      <w:b/>
                      <w:w w:val="105"/>
                      <w:sz w:val="18"/>
                    </w:rPr>
                    <w:t>图 例：</w:t>
                  </w:r>
                </w:p>
                <w:p>
                  <w:pPr>
                    <w:spacing w:before="109" w:line="271" w:lineRule="auto"/>
                    <w:ind w:left="143" w:right="168" w:firstLine="0"/>
                    <w:jc w:val="both"/>
                    <w:rPr>
                      <w:sz w:val="18"/>
                    </w:rPr>
                  </w:pPr>
                  <w:r>
                    <w:rPr>
                      <w:rFonts w:ascii="Times New Roman" w:eastAsia="Times New Roman" w:hAnsi="Times New Roman"/>
                      <w:w w:val="105"/>
                      <w:sz w:val="18"/>
                    </w:rPr>
                    <w:t>G</w:t>
                  </w:r>
                  <w:r>
                    <w:rPr>
                      <w:w w:val="105"/>
                      <w:sz w:val="18"/>
                    </w:rPr>
                    <w:t>—废气</w:t>
                  </w:r>
                  <w:r>
                    <w:rPr>
                      <w:rFonts w:ascii="Times New Roman" w:eastAsia="Times New Roman" w:hAnsi="Times New Roman"/>
                      <w:w w:val="105"/>
                      <w:sz w:val="18"/>
                    </w:rPr>
                    <w:t xml:space="preserve">S </w:t>
                  </w:r>
                  <w:r>
                    <w:rPr>
                      <w:w w:val="105"/>
                      <w:sz w:val="18"/>
                    </w:rPr>
                    <w:t>—固废</w:t>
                  </w:r>
                  <w:r>
                    <w:rPr>
                      <w:rFonts w:ascii="Times New Roman" w:eastAsia="Times New Roman" w:hAnsi="Times New Roman"/>
                      <w:w w:val="105"/>
                      <w:sz w:val="18"/>
                    </w:rPr>
                    <w:t>N</w:t>
                  </w:r>
                  <w:r>
                    <w:rPr>
                      <w:w w:val="105"/>
                      <w:sz w:val="18"/>
                    </w:rPr>
                    <w:t>—噪声</w:t>
                  </w:r>
                </w:p>
              </w:txbxContent>
            </v:textbox>
          </v:shape>
        </w:pict>
      </w:r>
      <w:r>
        <w:rPr>
          <w:rFonts w:ascii="Times New Roman" w:eastAsia="Times New Roman"/>
          <w:w w:val="105"/>
          <w:sz w:val="18"/>
        </w:rPr>
        <w:t>S1-6</w:t>
      </w:r>
      <w:r>
        <w:rPr>
          <w:w w:val="105"/>
          <w:sz w:val="18"/>
        </w:rPr>
        <w:t>不合格品</w:t>
      </w:r>
    </w:p>
    <w:p>
      <w:pPr>
        <w:spacing w:before="0" w:line="225" w:lineRule="exact"/>
        <w:ind w:left="479" w:right="5" w:firstLine="0"/>
        <w:jc w:val="center"/>
        <w:rPr>
          <w:sz w:val="18"/>
        </w:rPr>
      </w:pPr>
      <w:r>
        <w:rPr>
          <w:w w:val="105"/>
          <w:sz w:val="18"/>
        </w:rPr>
        <w:t>成品</w:t>
      </w:r>
    </w:p>
    <w:p>
      <w:pPr>
        <w:pStyle w:val="Heading3"/>
        <w:spacing w:before="18"/>
        <w:ind w:left="432" w:right="5"/>
        <w:jc w:val="center"/>
      </w:pPr>
      <w:r>
        <w:t xml:space="preserve">图 </w:t>
      </w:r>
      <w:r>
        <w:rPr>
          <w:rFonts w:ascii="Times New Roman" w:eastAsia="Times New Roman"/>
        </w:rPr>
        <w:t xml:space="preserve">2-4 </w:t>
      </w:r>
      <w:r>
        <w:t>现有项目生产工艺流程及产污节点图</w:t>
      </w:r>
    </w:p>
    <w:p>
      <w:pPr>
        <w:spacing w:after="0"/>
        <w:jc w:val="center"/>
        <w:sectPr>
          <w:footerReference w:type="default" r:id="rId37"/>
          <w:type w:val="continuous"/>
          <w:pgSz w:w="11910" w:h="16840"/>
          <w:pgMar w:top="1580" w:right="1140" w:bottom="280" w:left="1140" w:header="720" w:footer="720" w:gutter="0"/>
          <w:pgNumType w:start="27"/>
          <w:cols w:num="1" w:space="720"/>
        </w:sectPr>
      </w:pPr>
    </w:p>
    <w:tbl>
      <w:tblPr>
        <w:tblStyle w:val="TableNormal"/>
        <w:tblW w:w="0" w:type="auto"/>
        <w:tblInd w:w="2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427"/>
        <w:gridCol w:w="110"/>
        <w:gridCol w:w="1971"/>
        <w:gridCol w:w="996"/>
        <w:gridCol w:w="996"/>
        <w:gridCol w:w="996"/>
        <w:gridCol w:w="948"/>
        <w:gridCol w:w="1246"/>
        <w:gridCol w:w="1245"/>
        <w:gridCol w:w="115"/>
      </w:tblGrid>
      <w:tr>
        <w:tblPrEx>
          <w:tblW w:w="0" w:type="auto"/>
          <w:tblInd w:w="2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2524"/>
        </w:trPr>
        <w:tc>
          <w:tcPr>
            <w:tcW w:w="427" w:type="dxa"/>
            <w:vMerge w:val="restart"/>
            <w:tcBorders>
              <w:right w:val="single" w:sz="4" w:space="0" w:color="000000"/>
            </w:tcBorders>
          </w:tcPr>
          <w:p>
            <w:pPr>
              <w:pStyle w:val="TableParagraph"/>
              <w:rPr>
                <w:rFonts w:ascii="Times New Roman"/>
                <w:sz w:val="20"/>
              </w:rPr>
            </w:pPr>
          </w:p>
        </w:tc>
        <w:tc>
          <w:tcPr>
            <w:tcW w:w="8623" w:type="dxa"/>
            <w:gridSpan w:val="9"/>
            <w:tcBorders>
              <w:left w:val="single" w:sz="4" w:space="0" w:color="000000"/>
              <w:bottom w:val="single" w:sz="4" w:space="0" w:color="000000"/>
            </w:tcBorders>
          </w:tcPr>
          <w:p>
            <w:pPr>
              <w:pStyle w:val="TableParagraph"/>
              <w:spacing w:before="1"/>
              <w:ind w:left="530"/>
              <w:rPr>
                <w:sz w:val="21"/>
              </w:rPr>
            </w:pPr>
            <w:r>
              <w:rPr>
                <w:rFonts w:ascii="Times New Roman" w:eastAsia="Times New Roman"/>
                <w:sz w:val="21"/>
              </w:rPr>
              <w:t>1</w:t>
            </w:r>
            <w:r>
              <w:rPr>
                <w:sz w:val="21"/>
              </w:rPr>
              <w:t>）印刷</w:t>
            </w:r>
          </w:p>
          <w:p>
            <w:pPr>
              <w:pStyle w:val="TableParagraph"/>
              <w:spacing w:before="139" w:line="364" w:lineRule="auto"/>
              <w:ind w:left="110" w:right="82" w:firstLine="419"/>
              <w:jc w:val="both"/>
              <w:rPr>
                <w:sz w:val="21"/>
              </w:rPr>
            </w:pPr>
            <w:r>
              <w:rPr>
                <w:spacing w:val="-3"/>
                <w:w w:val="100"/>
                <w:sz w:val="21"/>
              </w:rPr>
              <w:t>建设单位采用凹版印刷（</w:t>
            </w:r>
            <w:r>
              <w:rPr>
                <w:spacing w:val="-19"/>
                <w:w w:val="100"/>
                <w:sz w:val="21"/>
              </w:rPr>
              <w:t>简称“凹印”</w:t>
            </w:r>
            <w:r>
              <w:rPr>
                <w:spacing w:val="-108"/>
                <w:w w:val="100"/>
                <w:sz w:val="21"/>
              </w:rPr>
              <w:t>）</w:t>
            </w:r>
            <w:r>
              <w:rPr>
                <w:spacing w:val="-3"/>
                <w:w w:val="100"/>
                <w:sz w:val="21"/>
              </w:rPr>
              <w:t>，把水性油墨填入下凹印纹，承印物与印版直接</w:t>
            </w:r>
            <w:r>
              <w:rPr>
                <w:spacing w:val="-4"/>
                <w:sz w:val="21"/>
              </w:rPr>
              <w:t>接触，能够呈现细腻的层次感。印刷过程常温操作，由于采用水性速干性油墨，油墨印刷后</w:t>
            </w:r>
            <w:r>
              <w:rPr>
                <w:spacing w:val="-3"/>
                <w:sz w:val="21"/>
              </w:rPr>
              <w:t>在传送带传送过程中会自然干燥。</w:t>
            </w:r>
          </w:p>
          <w:p>
            <w:pPr>
              <w:pStyle w:val="TableParagraph"/>
              <w:spacing w:line="364" w:lineRule="auto"/>
              <w:ind w:left="530" w:right="2074"/>
              <w:jc w:val="both"/>
              <w:rPr>
                <w:sz w:val="21"/>
              </w:rPr>
            </w:pPr>
            <w:r>
              <w:rPr>
                <w:spacing w:val="-8"/>
                <w:sz w:val="21"/>
              </w:rPr>
              <w:t xml:space="preserve">该工序产生印刷废气 </w:t>
            </w:r>
            <w:r>
              <w:rPr>
                <w:rFonts w:ascii="Times New Roman" w:eastAsia="Times New Roman"/>
                <w:sz w:val="21"/>
              </w:rPr>
              <w:t>G1-1</w:t>
            </w:r>
            <w:r>
              <w:rPr>
                <w:spacing w:val="-11"/>
                <w:sz w:val="21"/>
              </w:rPr>
              <w:t xml:space="preserve">、废油墨 </w:t>
            </w:r>
            <w:r>
              <w:rPr>
                <w:rFonts w:ascii="Times New Roman" w:eastAsia="Times New Roman"/>
                <w:sz w:val="21"/>
              </w:rPr>
              <w:t>S1-1</w:t>
            </w:r>
            <w:r>
              <w:rPr>
                <w:spacing w:val="-12"/>
                <w:sz w:val="21"/>
              </w:rPr>
              <w:t xml:space="preserve">、废印版 </w:t>
            </w:r>
            <w:r>
              <w:rPr>
                <w:rFonts w:ascii="Times New Roman" w:eastAsia="Times New Roman"/>
                <w:sz w:val="21"/>
              </w:rPr>
              <w:t>S1-2</w:t>
            </w:r>
            <w:r>
              <w:rPr>
                <w:spacing w:val="15"/>
                <w:sz w:val="21"/>
              </w:rPr>
              <w:t>、噪声</w:t>
            </w:r>
            <w:r>
              <w:rPr>
                <w:rFonts w:ascii="Times New Roman" w:eastAsia="Times New Roman"/>
                <w:sz w:val="21"/>
              </w:rPr>
              <w:t>N</w:t>
            </w:r>
            <w:r>
              <w:rPr>
                <w:sz w:val="21"/>
              </w:rPr>
              <w:t>。</w:t>
            </w:r>
            <w:r>
              <w:rPr>
                <w:rFonts w:ascii="Times New Roman" w:eastAsia="Times New Roman"/>
                <w:sz w:val="21"/>
              </w:rPr>
              <w:t>2</w:t>
            </w:r>
            <w:r>
              <w:rPr>
                <w:sz w:val="21"/>
              </w:rPr>
              <w:t>）</w:t>
            </w:r>
            <w:r>
              <w:rPr>
                <w:spacing w:val="-2"/>
                <w:sz w:val="21"/>
              </w:rPr>
              <w:t>复合</w:t>
            </w:r>
          </w:p>
          <w:p>
            <w:pPr>
              <w:pStyle w:val="TableParagraph"/>
              <w:spacing w:line="364" w:lineRule="auto"/>
              <w:ind w:left="110" w:right="82" w:firstLine="419"/>
              <w:jc w:val="both"/>
              <w:rPr>
                <w:sz w:val="21"/>
              </w:rPr>
            </w:pPr>
            <w:r>
              <w:rPr>
                <w:sz w:val="21"/>
              </w:rPr>
              <w:t>根据产品特点，部分产品需要复合，现有项目采用无溶剂复合：</w:t>
            </w:r>
            <w:r>
              <w:rPr>
                <w:rFonts w:ascii="Times New Roman" w:eastAsia="Times New Roman"/>
                <w:sz w:val="21"/>
              </w:rPr>
              <w:t>100%</w:t>
            </w:r>
            <w:r>
              <w:rPr>
                <w:sz w:val="21"/>
              </w:rPr>
              <w:t>固体的无溶剂型胶黏剂，在无溶剂复合机上将两种基材复合在一起。此过程在常温下完成，产生的废气较少，不再定量分析。</w:t>
            </w:r>
          </w:p>
          <w:p>
            <w:pPr>
              <w:pStyle w:val="TableParagraph"/>
              <w:spacing w:line="364" w:lineRule="auto"/>
              <w:ind w:left="530" w:right="4688"/>
              <w:jc w:val="both"/>
              <w:rPr>
                <w:sz w:val="21"/>
              </w:rPr>
            </w:pPr>
            <w:r>
              <w:rPr>
                <w:spacing w:val="-8"/>
                <w:sz w:val="21"/>
              </w:rPr>
              <w:t xml:space="preserve">该工序产生废胶粘剂 </w:t>
            </w:r>
            <w:r>
              <w:rPr>
                <w:rFonts w:ascii="Times New Roman" w:eastAsia="Times New Roman"/>
                <w:sz w:val="21"/>
              </w:rPr>
              <w:t>S1-3</w:t>
            </w:r>
            <w:r>
              <w:rPr>
                <w:spacing w:val="-14"/>
                <w:sz w:val="21"/>
              </w:rPr>
              <w:t xml:space="preserve">、噪声 </w:t>
            </w:r>
            <w:r>
              <w:rPr>
                <w:rFonts w:ascii="Times New Roman" w:eastAsia="Times New Roman"/>
                <w:sz w:val="21"/>
              </w:rPr>
              <w:t>N</w:t>
            </w:r>
            <w:r>
              <w:rPr>
                <w:spacing w:val="-12"/>
                <w:sz w:val="21"/>
              </w:rPr>
              <w:t>。</w:t>
            </w:r>
            <w:r>
              <w:rPr>
                <w:rFonts w:ascii="Times New Roman" w:eastAsia="Times New Roman"/>
                <w:sz w:val="21"/>
              </w:rPr>
              <w:t>3</w:t>
            </w:r>
            <w:r>
              <w:rPr>
                <w:sz w:val="21"/>
              </w:rPr>
              <w:t>）</w:t>
            </w:r>
            <w:r>
              <w:rPr>
                <w:spacing w:val="-2"/>
                <w:sz w:val="21"/>
              </w:rPr>
              <w:t>模切</w:t>
            </w:r>
          </w:p>
          <w:p>
            <w:pPr>
              <w:pStyle w:val="TableParagraph"/>
              <w:spacing w:line="364" w:lineRule="auto"/>
              <w:ind w:left="110" w:right="86" w:firstLine="419"/>
              <w:rPr>
                <w:sz w:val="21"/>
              </w:rPr>
            </w:pPr>
            <w:r>
              <w:rPr>
                <w:sz w:val="21"/>
              </w:rPr>
              <w:t>用模切机在压力的作用下，将印刷品或其他板状坯料轧切成所需形状或切痕的成型工艺。根据塑料薄膜、铝箔的特性，同时参考现有生产经验，该工序不考虑粉尘的产生。</w:t>
            </w:r>
          </w:p>
          <w:p>
            <w:pPr>
              <w:pStyle w:val="TableParagraph"/>
              <w:spacing w:line="364" w:lineRule="auto"/>
              <w:ind w:left="530" w:right="4688"/>
              <w:rPr>
                <w:sz w:val="21"/>
              </w:rPr>
            </w:pPr>
            <w:r>
              <w:rPr>
                <w:spacing w:val="-8"/>
                <w:sz w:val="21"/>
              </w:rPr>
              <w:t xml:space="preserve">该工序产生废边角料 </w:t>
            </w:r>
            <w:r>
              <w:rPr>
                <w:rFonts w:ascii="Times New Roman" w:eastAsia="Times New Roman"/>
                <w:sz w:val="21"/>
              </w:rPr>
              <w:t>S1-4</w:t>
            </w:r>
            <w:r>
              <w:rPr>
                <w:spacing w:val="-14"/>
                <w:sz w:val="21"/>
              </w:rPr>
              <w:t xml:space="preserve">、噪声 </w:t>
            </w:r>
            <w:r>
              <w:rPr>
                <w:rFonts w:ascii="Times New Roman" w:eastAsia="Times New Roman"/>
                <w:sz w:val="21"/>
              </w:rPr>
              <w:t>N</w:t>
            </w:r>
            <w:r>
              <w:rPr>
                <w:spacing w:val="-12"/>
                <w:sz w:val="21"/>
              </w:rPr>
              <w:t>。</w:t>
            </w:r>
            <w:r>
              <w:rPr>
                <w:rFonts w:ascii="Times New Roman" w:eastAsia="Times New Roman"/>
                <w:sz w:val="21"/>
              </w:rPr>
              <w:t>4</w:t>
            </w:r>
            <w:r>
              <w:rPr>
                <w:sz w:val="21"/>
              </w:rPr>
              <w:t>）</w:t>
            </w:r>
            <w:r>
              <w:rPr>
                <w:spacing w:val="-2"/>
                <w:sz w:val="21"/>
              </w:rPr>
              <w:t>分切</w:t>
            </w:r>
          </w:p>
          <w:p>
            <w:pPr>
              <w:pStyle w:val="TableParagraph"/>
              <w:spacing w:line="367" w:lineRule="auto"/>
              <w:ind w:left="110" w:right="82" w:firstLine="419"/>
              <w:rPr>
                <w:sz w:val="21"/>
              </w:rPr>
            </w:pPr>
            <w:r>
              <w:rPr>
                <w:sz w:val="21"/>
              </w:rPr>
              <w:t>根据产品要求，采用分切机将复合膜分切成不同规格的膜卷，分切过程产生废复合膜边角料。根据塑料薄膜、铝箔的特性，同时参考现有生产经验，该工序不考虑粉尘的产生。</w:t>
            </w:r>
          </w:p>
          <w:p>
            <w:pPr>
              <w:pStyle w:val="TableParagraph"/>
              <w:spacing w:line="364" w:lineRule="auto"/>
              <w:ind w:left="530" w:right="4688"/>
              <w:rPr>
                <w:sz w:val="21"/>
              </w:rPr>
            </w:pPr>
            <w:r>
              <w:rPr>
                <w:spacing w:val="-8"/>
                <w:sz w:val="21"/>
              </w:rPr>
              <w:t xml:space="preserve">该工序产生废边角料 </w:t>
            </w:r>
            <w:r>
              <w:rPr>
                <w:rFonts w:ascii="Times New Roman" w:eastAsia="Times New Roman"/>
                <w:sz w:val="21"/>
              </w:rPr>
              <w:t>S1-5</w:t>
            </w:r>
            <w:r>
              <w:rPr>
                <w:spacing w:val="-14"/>
                <w:sz w:val="21"/>
              </w:rPr>
              <w:t xml:space="preserve">、噪声 </w:t>
            </w:r>
            <w:r>
              <w:rPr>
                <w:rFonts w:ascii="Times New Roman" w:eastAsia="Times New Roman"/>
                <w:sz w:val="21"/>
              </w:rPr>
              <w:t>N</w:t>
            </w:r>
            <w:r>
              <w:rPr>
                <w:spacing w:val="-12"/>
                <w:sz w:val="21"/>
              </w:rPr>
              <w:t>。</w:t>
            </w:r>
            <w:r>
              <w:rPr>
                <w:rFonts w:ascii="Times New Roman" w:eastAsia="Times New Roman"/>
                <w:sz w:val="21"/>
              </w:rPr>
              <w:t>5</w:t>
            </w:r>
            <w:r>
              <w:rPr>
                <w:sz w:val="21"/>
              </w:rPr>
              <w:t>）</w:t>
            </w:r>
            <w:r>
              <w:rPr>
                <w:spacing w:val="-3"/>
                <w:sz w:val="21"/>
              </w:rPr>
              <w:t>检验</w:t>
            </w:r>
          </w:p>
          <w:p>
            <w:pPr>
              <w:pStyle w:val="TableParagraph"/>
              <w:spacing w:line="364" w:lineRule="auto"/>
              <w:ind w:left="110" w:right="86" w:firstLine="419"/>
              <w:rPr>
                <w:sz w:val="21"/>
              </w:rPr>
            </w:pPr>
            <w:r>
              <w:rPr>
                <w:sz w:val="21"/>
              </w:rPr>
              <w:t>用品检机对半成品进行尺寸、外观、物理机械性能（拉断力、剥离力等）等指标的检测，合格产品包装待售。</w:t>
            </w:r>
          </w:p>
          <w:p>
            <w:pPr>
              <w:pStyle w:val="TableParagraph"/>
              <w:ind w:left="530"/>
              <w:rPr>
                <w:sz w:val="21"/>
              </w:rPr>
            </w:pPr>
            <w:r>
              <w:rPr>
                <w:sz w:val="21"/>
              </w:rPr>
              <w:t xml:space="preserve">该工序产生不合格品 </w:t>
            </w:r>
            <w:r>
              <w:rPr>
                <w:rFonts w:ascii="Times New Roman" w:eastAsia="Times New Roman"/>
                <w:sz w:val="21"/>
              </w:rPr>
              <w:t>S1-6</w:t>
            </w:r>
            <w:r>
              <w:rPr>
                <w:sz w:val="21"/>
              </w:rPr>
              <w:t>。</w:t>
            </w:r>
          </w:p>
          <w:p>
            <w:pPr>
              <w:pStyle w:val="TableParagraph"/>
              <w:spacing w:before="127"/>
              <w:ind w:left="532"/>
              <w:rPr>
                <w:b/>
                <w:sz w:val="21"/>
              </w:rPr>
            </w:pPr>
            <w:r>
              <w:rPr>
                <w:rFonts w:ascii="Times New Roman" w:eastAsia="Times New Roman"/>
                <w:b/>
                <w:sz w:val="21"/>
              </w:rPr>
              <w:t>3.</w:t>
            </w:r>
            <w:r>
              <w:rPr>
                <w:b/>
                <w:sz w:val="21"/>
              </w:rPr>
              <w:t>现有项目污染物产生及排放情况</w:t>
            </w:r>
          </w:p>
          <w:p>
            <w:pPr>
              <w:pStyle w:val="TableParagraph"/>
              <w:spacing w:before="139" w:line="364" w:lineRule="auto"/>
              <w:ind w:left="110" w:right="81" w:firstLine="419"/>
              <w:jc w:val="both"/>
              <w:rPr>
                <w:sz w:val="21"/>
              </w:rPr>
            </w:pPr>
            <w:r>
              <w:rPr>
                <w:rFonts w:ascii="Times New Roman" w:eastAsia="Times New Roman"/>
                <w:sz w:val="21"/>
              </w:rPr>
              <w:t xml:space="preserve">2022 </w:t>
            </w:r>
            <w:r>
              <w:rPr>
                <w:spacing w:val="-23"/>
                <w:sz w:val="21"/>
              </w:rPr>
              <w:t xml:space="preserve">年 </w:t>
            </w:r>
            <w:r>
              <w:rPr>
                <w:rFonts w:ascii="Times New Roman" w:eastAsia="Times New Roman"/>
                <w:sz w:val="21"/>
              </w:rPr>
              <w:t xml:space="preserve">5 </w:t>
            </w:r>
            <w:r>
              <w:rPr>
                <w:spacing w:val="-3"/>
                <w:sz w:val="21"/>
              </w:rPr>
              <w:t>月，公司委托滨海县头罾环境检测服务有限公司对现有项目废气、雨水排口、</w:t>
            </w:r>
            <w:r>
              <w:rPr>
                <w:spacing w:val="2"/>
                <w:sz w:val="21"/>
              </w:rPr>
              <w:t>厂界噪声进行例行监测</w:t>
            </w:r>
            <w:r>
              <w:rPr>
                <w:sz w:val="21"/>
              </w:rPr>
              <w:t>（</w:t>
            </w:r>
            <w:r>
              <w:rPr>
                <w:spacing w:val="4"/>
                <w:sz w:val="21"/>
              </w:rPr>
              <w:t>头罾环检</w:t>
            </w:r>
            <w:r>
              <w:rPr>
                <w:rFonts w:ascii="Times New Roman" w:eastAsia="Times New Roman"/>
                <w:spacing w:val="4"/>
                <w:sz w:val="21"/>
              </w:rPr>
              <w:t>(</w:t>
            </w:r>
            <w:r>
              <w:rPr>
                <w:spacing w:val="4"/>
                <w:sz w:val="21"/>
              </w:rPr>
              <w:t>综</w:t>
            </w:r>
            <w:r>
              <w:rPr>
                <w:rFonts w:ascii="Times New Roman" w:eastAsia="Times New Roman"/>
                <w:sz w:val="21"/>
              </w:rPr>
              <w:t>)</w:t>
            </w:r>
            <w:r>
              <w:rPr>
                <w:spacing w:val="24"/>
                <w:sz w:val="21"/>
              </w:rPr>
              <w:t xml:space="preserve">字 </w:t>
            </w:r>
            <w:r>
              <w:rPr>
                <w:rFonts w:ascii="Times New Roman" w:eastAsia="Times New Roman"/>
                <w:sz w:val="21"/>
              </w:rPr>
              <w:t>No.221247</w:t>
            </w:r>
            <w:hyperlink w:anchor="_bookmark69" w:history="1">
              <w:r>
                <w:rPr>
                  <w:spacing w:val="2"/>
                  <w:sz w:val="21"/>
                </w:rPr>
                <w:t>，见附件八</w:t>
              </w:r>
            </w:hyperlink>
            <w:r>
              <w:rPr>
                <w:spacing w:val="-104"/>
                <w:sz w:val="21"/>
              </w:rPr>
              <w:t>）</w:t>
            </w:r>
            <w:r>
              <w:rPr>
                <w:sz w:val="21"/>
              </w:rPr>
              <w:t>。本次根据该例行监测报</w:t>
            </w:r>
            <w:r>
              <w:rPr>
                <w:spacing w:val="-3"/>
                <w:sz w:val="21"/>
              </w:rPr>
              <w:t>告，分析现有项目排污达标情况。</w:t>
            </w:r>
          </w:p>
          <w:p>
            <w:pPr>
              <w:pStyle w:val="TableParagraph"/>
              <w:ind w:left="530"/>
              <w:rPr>
                <w:sz w:val="21"/>
              </w:rPr>
            </w:pPr>
            <w:r>
              <w:rPr>
                <w:sz w:val="21"/>
              </w:rPr>
              <w:t>（</w:t>
            </w:r>
            <w:r>
              <w:rPr>
                <w:rFonts w:ascii="Times New Roman" w:eastAsia="Times New Roman"/>
                <w:sz w:val="21"/>
              </w:rPr>
              <w:t>1</w:t>
            </w:r>
            <w:r>
              <w:rPr>
                <w:sz w:val="21"/>
              </w:rPr>
              <w:t>）废气</w:t>
            </w:r>
          </w:p>
          <w:p>
            <w:pPr>
              <w:pStyle w:val="TableParagraph"/>
              <w:spacing w:before="139" w:line="364" w:lineRule="auto"/>
              <w:ind w:left="110" w:right="81" w:firstLine="419"/>
              <w:jc w:val="both"/>
              <w:rPr>
                <w:sz w:val="21"/>
              </w:rPr>
            </w:pPr>
            <w:r>
              <w:rPr>
                <w:spacing w:val="-3"/>
                <w:sz w:val="21"/>
              </w:rPr>
              <w:t>现有项目废气主要为印刷、复合、晾干过程产生的有机废气</w:t>
            </w:r>
            <w:r>
              <w:rPr>
                <w:sz w:val="21"/>
              </w:rPr>
              <w:t>（</w:t>
            </w:r>
            <w:r>
              <w:rPr>
                <w:spacing w:val="-3"/>
                <w:sz w:val="21"/>
              </w:rPr>
              <w:t>以非甲烷总烃计</w:t>
            </w:r>
            <w:r>
              <w:rPr>
                <w:sz w:val="21"/>
              </w:rPr>
              <w:t>）</w:t>
            </w:r>
            <w:r>
              <w:rPr>
                <w:spacing w:val="-3"/>
                <w:sz w:val="21"/>
              </w:rPr>
              <w:t>经“二级活性炭吸附</w:t>
            </w:r>
            <w:r>
              <w:rPr>
                <w:rFonts w:ascii="Times New Roman" w:eastAsia="Times New Roman" w:hAnsi="Times New Roman"/>
                <w:sz w:val="21"/>
              </w:rPr>
              <w:t xml:space="preserve">+UV </w:t>
            </w:r>
            <w:r>
              <w:rPr>
                <w:spacing w:val="-8"/>
                <w:sz w:val="21"/>
              </w:rPr>
              <w:t xml:space="preserve">光解”处理后，经 </w:t>
            </w:r>
            <w:r>
              <w:rPr>
                <w:rFonts w:ascii="Times New Roman" w:eastAsia="Times New Roman" w:hAnsi="Times New Roman"/>
                <w:sz w:val="21"/>
              </w:rPr>
              <w:t xml:space="preserve">15m </w:t>
            </w:r>
            <w:r>
              <w:rPr>
                <w:spacing w:val="-3"/>
                <w:sz w:val="21"/>
              </w:rPr>
              <w:t>排气筒进入外环境。</w:t>
            </w:r>
            <w:r>
              <w:rPr>
                <w:rFonts w:ascii="Times New Roman" w:eastAsia="Times New Roman" w:hAnsi="Times New Roman"/>
                <w:sz w:val="21"/>
              </w:rPr>
              <w:t xml:space="preserve">2022 </w:t>
            </w:r>
            <w:r>
              <w:rPr>
                <w:spacing w:val="-24"/>
                <w:sz w:val="21"/>
              </w:rPr>
              <w:t xml:space="preserve">年 </w:t>
            </w:r>
            <w:r>
              <w:rPr>
                <w:rFonts w:ascii="Times New Roman" w:eastAsia="Times New Roman" w:hAnsi="Times New Roman"/>
                <w:sz w:val="21"/>
              </w:rPr>
              <w:t xml:space="preserve">5 </w:t>
            </w:r>
            <w:r>
              <w:rPr>
                <w:spacing w:val="-24"/>
                <w:sz w:val="21"/>
              </w:rPr>
              <w:t xml:space="preserve">月 </w:t>
            </w:r>
            <w:r>
              <w:rPr>
                <w:rFonts w:ascii="Times New Roman" w:eastAsia="Times New Roman" w:hAnsi="Times New Roman"/>
                <w:sz w:val="21"/>
              </w:rPr>
              <w:t xml:space="preserve">21 </w:t>
            </w:r>
            <w:r>
              <w:rPr>
                <w:spacing w:val="-2"/>
                <w:sz w:val="21"/>
              </w:rPr>
              <w:t>日的采样监测</w:t>
            </w:r>
            <w:r>
              <w:rPr>
                <w:spacing w:val="-3"/>
                <w:sz w:val="21"/>
              </w:rPr>
              <w:t>结果见下</w:t>
            </w:r>
            <w:hyperlink w:anchor="_bookmark17" w:history="1">
              <w:r>
                <w:rPr>
                  <w:spacing w:val="-27"/>
                  <w:sz w:val="21"/>
                </w:rPr>
                <w:t xml:space="preserve">表 </w:t>
              </w:r>
              <w:r>
                <w:rPr>
                  <w:rFonts w:ascii="Times New Roman" w:eastAsia="Times New Roman" w:hAnsi="Times New Roman"/>
                  <w:sz w:val="21"/>
                </w:rPr>
                <w:t>2-10</w:t>
              </w:r>
            </w:hyperlink>
            <w:r>
              <w:rPr>
                <w:sz w:val="21"/>
              </w:rPr>
              <w:t>、</w:t>
            </w:r>
            <w:hyperlink w:anchor="_bookmark18" w:history="1">
              <w:r>
                <w:rPr>
                  <w:spacing w:val="-28"/>
                  <w:sz w:val="21"/>
                </w:rPr>
                <w:t xml:space="preserve">表 </w:t>
              </w:r>
              <w:r>
                <w:rPr>
                  <w:rFonts w:ascii="Times New Roman" w:eastAsia="Times New Roman" w:hAnsi="Times New Roman"/>
                  <w:spacing w:val="-3"/>
                  <w:sz w:val="21"/>
                </w:rPr>
                <w:t>2-11</w:t>
              </w:r>
            </w:hyperlink>
            <w:r>
              <w:rPr>
                <w:sz w:val="21"/>
              </w:rPr>
              <w:t>。</w:t>
            </w:r>
          </w:p>
          <w:p>
            <w:pPr>
              <w:pStyle w:val="TableParagraph"/>
              <w:spacing w:line="244" w:lineRule="exact"/>
              <w:ind w:left="2597"/>
              <w:jc w:val="both"/>
              <w:rPr>
                <w:b/>
                <w:sz w:val="21"/>
              </w:rPr>
            </w:pPr>
            <w:bookmarkStart w:id="17" w:name="_bookmark17"/>
            <w:bookmarkEnd w:id="17"/>
            <w:r>
              <w:rPr>
                <w:b/>
                <w:sz w:val="21"/>
              </w:rPr>
              <w:t xml:space="preserve">表 </w:t>
            </w:r>
            <w:r>
              <w:rPr>
                <w:rFonts w:ascii="Times New Roman" w:eastAsia="Times New Roman"/>
                <w:b/>
                <w:sz w:val="21"/>
              </w:rPr>
              <w:t xml:space="preserve">2-10 </w:t>
            </w:r>
            <w:r>
              <w:rPr>
                <w:b/>
                <w:sz w:val="21"/>
              </w:rPr>
              <w:t>现有项目有组织废气监测数据</w:t>
            </w:r>
          </w:p>
        </w:tc>
      </w:tr>
      <w:tr>
        <w:tblPrEx>
          <w:tblW w:w="0" w:type="auto"/>
          <w:tblInd w:w="298" w:type="dxa"/>
          <w:tblLayout w:type="fixed"/>
          <w:tblCellMar>
            <w:top w:w="0" w:type="dxa"/>
            <w:left w:w="0" w:type="dxa"/>
            <w:bottom w:w="0" w:type="dxa"/>
            <w:right w:w="0" w:type="dxa"/>
          </w:tblCellMar>
        </w:tblPrEx>
        <w:trPr>
          <w:trHeight w:val="272"/>
        </w:trPr>
        <w:tc>
          <w:tcPr>
            <w:tcW w:w="427" w:type="dxa"/>
            <w:vMerge/>
            <w:tcBorders>
              <w:top w:val="nil"/>
              <w:right w:val="single" w:sz="4" w:space="0" w:color="000000"/>
            </w:tcBorders>
          </w:tcPr>
          <w:p>
            <w:pPr>
              <w:rPr>
                <w:sz w:val="2"/>
                <w:szCs w:val="2"/>
              </w:rPr>
            </w:pPr>
          </w:p>
        </w:tc>
        <w:tc>
          <w:tcPr>
            <w:tcW w:w="110" w:type="dxa"/>
            <w:vMerge w:val="restart"/>
            <w:tcBorders>
              <w:top w:val="nil"/>
              <w:left w:val="single" w:sz="4" w:space="0" w:color="000000"/>
              <w:right w:val="single" w:sz="4" w:space="0" w:color="000000"/>
            </w:tcBorders>
          </w:tcPr>
          <w:p>
            <w:pPr>
              <w:pStyle w:val="TableParagraph"/>
              <w:rPr>
                <w:rFonts w:ascii="Times New Roman"/>
                <w:sz w:val="20"/>
              </w:rPr>
            </w:pPr>
          </w:p>
        </w:tc>
        <w:tc>
          <w:tcPr>
            <w:tcW w:w="1971"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
              <w:rPr>
                <w:b/>
                <w:sz w:val="13"/>
              </w:rPr>
            </w:pPr>
          </w:p>
          <w:p>
            <w:pPr>
              <w:pStyle w:val="TableParagraph"/>
              <w:ind w:left="152" w:right="130"/>
              <w:jc w:val="center"/>
              <w:rPr>
                <w:b/>
                <w:sz w:val="18"/>
              </w:rPr>
            </w:pPr>
            <w:r>
              <w:rPr>
                <w:b/>
                <w:sz w:val="18"/>
              </w:rPr>
              <w:t>项目</w:t>
            </w:r>
          </w:p>
        </w:tc>
        <w:tc>
          <w:tcPr>
            <w:tcW w:w="3936" w:type="dxa"/>
            <w:gridSpan w:val="4"/>
            <w:tcBorders>
              <w:top w:val="single" w:sz="4" w:space="0" w:color="000000"/>
              <w:left w:val="single" w:sz="4" w:space="0" w:color="000000"/>
              <w:bottom w:val="single" w:sz="4" w:space="0" w:color="000000"/>
              <w:right w:val="single" w:sz="4" w:space="0" w:color="000000"/>
            </w:tcBorders>
          </w:tcPr>
          <w:p>
            <w:pPr>
              <w:pStyle w:val="TableParagraph"/>
              <w:spacing w:before="21"/>
              <w:ind w:left="1501" w:right="1481"/>
              <w:jc w:val="center"/>
              <w:rPr>
                <w:b/>
                <w:sz w:val="18"/>
              </w:rPr>
            </w:pPr>
            <w:r>
              <w:rPr>
                <w:b/>
                <w:sz w:val="18"/>
              </w:rPr>
              <w:t>非甲烷总烃</w:t>
            </w:r>
          </w:p>
        </w:tc>
        <w:tc>
          <w:tcPr>
            <w:tcW w:w="1246"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
              <w:rPr>
                <w:b/>
                <w:sz w:val="13"/>
              </w:rPr>
            </w:pPr>
          </w:p>
          <w:p>
            <w:pPr>
              <w:pStyle w:val="TableParagraph"/>
              <w:ind w:left="267"/>
              <w:rPr>
                <w:b/>
                <w:sz w:val="18"/>
              </w:rPr>
            </w:pPr>
            <w:r>
              <w:rPr>
                <w:b/>
                <w:sz w:val="18"/>
              </w:rPr>
              <w:t>标准限值</w:t>
            </w:r>
            <w:r>
              <w:rPr>
                <w:b/>
                <w:w w:val="99"/>
                <w:sz w:val="18"/>
              </w:rPr>
              <w:t xml:space="preserve"> </w:t>
            </w:r>
          </w:p>
        </w:tc>
        <w:tc>
          <w:tcPr>
            <w:tcW w:w="1245"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
              <w:rPr>
                <w:b/>
                <w:sz w:val="13"/>
              </w:rPr>
            </w:pPr>
          </w:p>
          <w:p>
            <w:pPr>
              <w:pStyle w:val="TableParagraph"/>
              <w:ind w:left="269"/>
              <w:rPr>
                <w:b/>
                <w:sz w:val="18"/>
              </w:rPr>
            </w:pPr>
            <w:r>
              <w:rPr>
                <w:b/>
                <w:sz w:val="18"/>
              </w:rPr>
              <w:t>达标情况</w:t>
            </w:r>
            <w:r>
              <w:rPr>
                <w:b/>
                <w:w w:val="99"/>
                <w:sz w:val="18"/>
              </w:rPr>
              <w:t xml:space="preserve"> </w:t>
            </w:r>
          </w:p>
        </w:tc>
        <w:tc>
          <w:tcPr>
            <w:tcW w:w="115" w:type="dxa"/>
            <w:vMerge w:val="restart"/>
            <w:tcBorders>
              <w:top w:val="nil"/>
              <w:left w:val="single" w:sz="4" w:space="0" w:color="000000"/>
              <w:bottom w:val="nil"/>
            </w:tcBorders>
          </w:tcPr>
          <w:p>
            <w:pPr>
              <w:pStyle w:val="TableParagraph"/>
              <w:rPr>
                <w:rFonts w:ascii="Times New Roman"/>
                <w:sz w:val="20"/>
              </w:rPr>
            </w:pPr>
          </w:p>
        </w:tc>
      </w:tr>
      <w:tr>
        <w:tblPrEx>
          <w:tblW w:w="0" w:type="auto"/>
          <w:tblInd w:w="298" w:type="dxa"/>
          <w:tblLayout w:type="fixed"/>
          <w:tblCellMar>
            <w:top w:w="0" w:type="dxa"/>
            <w:left w:w="0" w:type="dxa"/>
            <w:bottom w:w="0" w:type="dxa"/>
            <w:right w:w="0" w:type="dxa"/>
          </w:tblCellMar>
        </w:tblPrEx>
        <w:trPr>
          <w:trHeight w:val="272"/>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right w:val="single" w:sz="4" w:space="0" w:color="000000"/>
            </w:tcBorders>
          </w:tcPr>
          <w:p>
            <w:pPr>
              <w:rPr>
                <w:sz w:val="2"/>
                <w:szCs w:val="2"/>
              </w:rPr>
            </w:pPr>
          </w:p>
        </w:tc>
        <w:tc>
          <w:tcPr>
            <w:tcW w:w="1971" w:type="dxa"/>
            <w:vMerge/>
            <w:tcBorders>
              <w:top w:val="nil"/>
              <w:left w:val="single" w:sz="4" w:space="0" w:color="000000"/>
              <w:bottom w:val="single" w:sz="4" w:space="0" w:color="000000"/>
              <w:right w:val="single" w:sz="4" w:space="0" w:color="000000"/>
            </w:tcBorders>
          </w:tcPr>
          <w:p>
            <w:pPr>
              <w:rPr>
                <w:sz w:val="2"/>
                <w:szCs w:val="2"/>
              </w:rPr>
            </w:pPr>
          </w:p>
        </w:tc>
        <w:tc>
          <w:tcPr>
            <w:tcW w:w="996" w:type="dxa"/>
            <w:tcBorders>
              <w:top w:val="single" w:sz="4" w:space="0" w:color="000000"/>
              <w:left w:val="single" w:sz="4" w:space="0" w:color="000000"/>
              <w:bottom w:val="single" w:sz="4" w:space="0" w:color="000000"/>
              <w:right w:val="single" w:sz="4" w:space="0" w:color="000000"/>
            </w:tcBorders>
          </w:tcPr>
          <w:p>
            <w:pPr>
              <w:pStyle w:val="TableParagraph"/>
              <w:spacing w:before="21"/>
              <w:ind w:left="186" w:right="166"/>
              <w:jc w:val="center"/>
              <w:rPr>
                <w:b/>
                <w:sz w:val="18"/>
              </w:rPr>
            </w:pPr>
            <w:r>
              <w:rPr>
                <w:b/>
                <w:sz w:val="18"/>
              </w:rPr>
              <w:t xml:space="preserve">第 </w:t>
            </w:r>
            <w:r>
              <w:rPr>
                <w:rFonts w:ascii="Times New Roman" w:eastAsia="Times New Roman"/>
                <w:b/>
                <w:sz w:val="18"/>
              </w:rPr>
              <w:t xml:space="preserve">1 </w:t>
            </w:r>
            <w:r>
              <w:rPr>
                <w:b/>
                <w:sz w:val="18"/>
              </w:rPr>
              <w:t>次</w:t>
            </w:r>
          </w:p>
        </w:tc>
        <w:tc>
          <w:tcPr>
            <w:tcW w:w="996" w:type="dxa"/>
            <w:tcBorders>
              <w:top w:val="single" w:sz="4" w:space="0" w:color="000000"/>
              <w:left w:val="single" w:sz="4" w:space="0" w:color="000000"/>
              <w:bottom w:val="single" w:sz="4" w:space="0" w:color="000000"/>
              <w:right w:val="single" w:sz="4" w:space="0" w:color="000000"/>
            </w:tcBorders>
          </w:tcPr>
          <w:p>
            <w:pPr>
              <w:pStyle w:val="TableParagraph"/>
              <w:spacing w:before="21"/>
              <w:ind w:left="186" w:right="166"/>
              <w:jc w:val="center"/>
              <w:rPr>
                <w:b/>
                <w:sz w:val="18"/>
              </w:rPr>
            </w:pPr>
            <w:r>
              <w:rPr>
                <w:b/>
                <w:sz w:val="18"/>
              </w:rPr>
              <w:t xml:space="preserve">第 </w:t>
            </w:r>
            <w:r>
              <w:rPr>
                <w:rFonts w:ascii="Times New Roman" w:eastAsia="Times New Roman"/>
                <w:b/>
                <w:sz w:val="18"/>
              </w:rPr>
              <w:t xml:space="preserve">2 </w:t>
            </w:r>
            <w:r>
              <w:rPr>
                <w:b/>
                <w:sz w:val="18"/>
              </w:rPr>
              <w:t>次</w:t>
            </w:r>
          </w:p>
        </w:tc>
        <w:tc>
          <w:tcPr>
            <w:tcW w:w="996" w:type="dxa"/>
            <w:tcBorders>
              <w:top w:val="single" w:sz="4" w:space="0" w:color="000000"/>
              <w:left w:val="single" w:sz="4" w:space="0" w:color="000000"/>
              <w:bottom w:val="single" w:sz="4" w:space="0" w:color="000000"/>
              <w:right w:val="single" w:sz="4" w:space="0" w:color="000000"/>
            </w:tcBorders>
          </w:tcPr>
          <w:p>
            <w:pPr>
              <w:pStyle w:val="TableParagraph"/>
              <w:spacing w:before="21"/>
              <w:ind w:left="189" w:right="164"/>
              <w:jc w:val="center"/>
              <w:rPr>
                <w:b/>
                <w:sz w:val="18"/>
              </w:rPr>
            </w:pPr>
            <w:r>
              <w:rPr>
                <w:b/>
                <w:sz w:val="18"/>
              </w:rPr>
              <w:t xml:space="preserve">第 </w:t>
            </w:r>
            <w:r>
              <w:rPr>
                <w:rFonts w:ascii="Times New Roman" w:eastAsia="Times New Roman"/>
                <w:b/>
                <w:sz w:val="18"/>
              </w:rPr>
              <w:t xml:space="preserve">3 </w:t>
            </w:r>
            <w:r>
              <w:rPr>
                <w:b/>
                <w:sz w:val="18"/>
              </w:rPr>
              <w:t>次</w:t>
            </w:r>
          </w:p>
        </w:tc>
        <w:tc>
          <w:tcPr>
            <w:tcW w:w="948" w:type="dxa"/>
            <w:tcBorders>
              <w:top w:val="single" w:sz="4" w:space="0" w:color="000000"/>
              <w:left w:val="single" w:sz="4" w:space="0" w:color="000000"/>
              <w:bottom w:val="single" w:sz="4" w:space="0" w:color="000000"/>
              <w:right w:val="single" w:sz="4" w:space="0" w:color="000000"/>
            </w:tcBorders>
          </w:tcPr>
          <w:p>
            <w:pPr>
              <w:pStyle w:val="TableParagraph"/>
              <w:spacing w:before="21"/>
              <w:ind w:left="213" w:right="185"/>
              <w:jc w:val="center"/>
              <w:rPr>
                <w:b/>
                <w:sz w:val="18"/>
              </w:rPr>
            </w:pPr>
            <w:r>
              <w:rPr>
                <w:b/>
                <w:sz w:val="18"/>
              </w:rPr>
              <w:t>平均</w:t>
            </w:r>
          </w:p>
        </w:tc>
        <w:tc>
          <w:tcPr>
            <w:tcW w:w="1246" w:type="dxa"/>
            <w:vMerge/>
            <w:tcBorders>
              <w:top w:val="nil"/>
              <w:left w:val="single" w:sz="4" w:space="0" w:color="000000"/>
              <w:bottom w:val="single" w:sz="4" w:space="0" w:color="000000"/>
              <w:right w:val="single" w:sz="4" w:space="0" w:color="000000"/>
            </w:tcBorders>
          </w:tcPr>
          <w:p>
            <w:pPr>
              <w:rPr>
                <w:sz w:val="2"/>
                <w:szCs w:val="2"/>
              </w:rPr>
            </w:pPr>
          </w:p>
        </w:tc>
        <w:tc>
          <w:tcPr>
            <w:tcW w:w="1245" w:type="dxa"/>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298" w:type="dxa"/>
          <w:tblLayout w:type="fixed"/>
          <w:tblCellMar>
            <w:top w:w="0" w:type="dxa"/>
            <w:left w:w="0" w:type="dxa"/>
            <w:bottom w:w="0" w:type="dxa"/>
            <w:right w:w="0" w:type="dxa"/>
          </w:tblCellMar>
        </w:tblPrEx>
        <w:trPr>
          <w:trHeight w:val="273"/>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right w:val="single" w:sz="4" w:space="0" w:color="000000"/>
            </w:tcBorders>
          </w:tcPr>
          <w:p>
            <w:pPr>
              <w:rPr>
                <w:sz w:val="2"/>
                <w:szCs w:val="2"/>
              </w:rPr>
            </w:pPr>
          </w:p>
        </w:tc>
        <w:tc>
          <w:tcPr>
            <w:tcW w:w="1971" w:type="dxa"/>
            <w:tcBorders>
              <w:top w:val="single" w:sz="4" w:space="0" w:color="000000"/>
              <w:left w:val="single" w:sz="4" w:space="0" w:color="000000"/>
              <w:bottom w:val="single" w:sz="4" w:space="0" w:color="000000"/>
              <w:right w:val="single" w:sz="4" w:space="0" w:color="000000"/>
            </w:tcBorders>
          </w:tcPr>
          <w:p>
            <w:pPr>
              <w:pStyle w:val="TableParagraph"/>
              <w:spacing w:before="21"/>
              <w:ind w:left="152" w:right="40"/>
              <w:jc w:val="center"/>
              <w:rPr>
                <w:sz w:val="18"/>
              </w:rPr>
            </w:pPr>
            <w:r>
              <w:rPr>
                <w:sz w:val="18"/>
              </w:rPr>
              <w:t xml:space="preserve">排放浓度 </w:t>
            </w:r>
            <w:r>
              <w:rPr>
                <w:rFonts w:ascii="Times New Roman" w:eastAsia="Times New Roman" w:hAnsi="Times New Roman"/>
                <w:sz w:val="18"/>
              </w:rPr>
              <w:t>mg/m³</w:t>
            </w:r>
            <w:r>
              <w:rPr>
                <w:sz w:val="18"/>
              </w:rPr>
              <w:t xml:space="preserve"> </w:t>
            </w:r>
          </w:p>
        </w:tc>
        <w:tc>
          <w:tcPr>
            <w:tcW w:w="996" w:type="dxa"/>
            <w:tcBorders>
              <w:top w:val="single" w:sz="4" w:space="0" w:color="000000"/>
              <w:left w:val="single" w:sz="4" w:space="0" w:color="000000"/>
              <w:bottom w:val="single" w:sz="4" w:space="0" w:color="000000"/>
              <w:right w:val="single" w:sz="4" w:space="0" w:color="000000"/>
            </w:tcBorders>
          </w:tcPr>
          <w:p>
            <w:pPr>
              <w:pStyle w:val="TableParagraph"/>
              <w:spacing w:before="33"/>
              <w:ind w:left="187" w:right="166"/>
              <w:jc w:val="center"/>
              <w:rPr>
                <w:rFonts w:ascii="Times New Roman"/>
                <w:sz w:val="18"/>
              </w:rPr>
            </w:pPr>
            <w:r>
              <w:rPr>
                <w:rFonts w:ascii="Times New Roman"/>
                <w:sz w:val="18"/>
              </w:rPr>
              <w:t>2.83</w:t>
            </w:r>
          </w:p>
        </w:tc>
        <w:tc>
          <w:tcPr>
            <w:tcW w:w="996" w:type="dxa"/>
            <w:tcBorders>
              <w:top w:val="single" w:sz="4" w:space="0" w:color="000000"/>
              <w:left w:val="single" w:sz="4" w:space="0" w:color="000000"/>
              <w:bottom w:val="single" w:sz="4" w:space="0" w:color="000000"/>
              <w:right w:val="single" w:sz="4" w:space="0" w:color="000000"/>
            </w:tcBorders>
          </w:tcPr>
          <w:p>
            <w:pPr>
              <w:pStyle w:val="TableParagraph"/>
              <w:spacing w:before="33"/>
              <w:ind w:left="187" w:right="166"/>
              <w:jc w:val="center"/>
              <w:rPr>
                <w:rFonts w:ascii="Times New Roman"/>
                <w:sz w:val="18"/>
              </w:rPr>
            </w:pPr>
            <w:r>
              <w:rPr>
                <w:rFonts w:ascii="Times New Roman"/>
                <w:sz w:val="18"/>
              </w:rPr>
              <w:t>2.74</w:t>
            </w:r>
          </w:p>
        </w:tc>
        <w:tc>
          <w:tcPr>
            <w:tcW w:w="996" w:type="dxa"/>
            <w:tcBorders>
              <w:top w:val="single" w:sz="4" w:space="0" w:color="000000"/>
              <w:left w:val="single" w:sz="4" w:space="0" w:color="000000"/>
              <w:bottom w:val="single" w:sz="4" w:space="0" w:color="000000"/>
              <w:right w:val="single" w:sz="4" w:space="0" w:color="000000"/>
            </w:tcBorders>
          </w:tcPr>
          <w:p>
            <w:pPr>
              <w:pStyle w:val="TableParagraph"/>
              <w:spacing w:before="33"/>
              <w:ind w:left="189" w:right="163"/>
              <w:jc w:val="center"/>
              <w:rPr>
                <w:rFonts w:ascii="Times New Roman"/>
                <w:sz w:val="18"/>
              </w:rPr>
            </w:pPr>
            <w:r>
              <w:rPr>
                <w:rFonts w:ascii="Times New Roman"/>
                <w:sz w:val="18"/>
              </w:rPr>
              <w:t>2.71</w:t>
            </w:r>
          </w:p>
        </w:tc>
        <w:tc>
          <w:tcPr>
            <w:tcW w:w="948" w:type="dxa"/>
            <w:tcBorders>
              <w:top w:val="single" w:sz="4" w:space="0" w:color="000000"/>
              <w:left w:val="single" w:sz="4" w:space="0" w:color="000000"/>
              <w:bottom w:val="single" w:sz="4" w:space="0" w:color="000000"/>
              <w:right w:val="single" w:sz="4" w:space="0" w:color="000000"/>
            </w:tcBorders>
          </w:tcPr>
          <w:p>
            <w:pPr>
              <w:pStyle w:val="TableParagraph"/>
              <w:spacing w:before="33"/>
              <w:ind w:left="213" w:right="187"/>
              <w:jc w:val="center"/>
              <w:rPr>
                <w:rFonts w:ascii="Times New Roman"/>
                <w:sz w:val="18"/>
              </w:rPr>
            </w:pPr>
            <w:r>
              <w:rPr>
                <w:rFonts w:ascii="Times New Roman"/>
                <w:sz w:val="18"/>
              </w:rPr>
              <w:t>2.76</w:t>
            </w:r>
          </w:p>
        </w:tc>
        <w:tc>
          <w:tcPr>
            <w:tcW w:w="1246" w:type="dxa"/>
            <w:tcBorders>
              <w:top w:val="single" w:sz="4" w:space="0" w:color="000000"/>
              <w:left w:val="single" w:sz="4" w:space="0" w:color="000000"/>
              <w:bottom w:val="single" w:sz="4" w:space="0" w:color="000000"/>
              <w:right w:val="single" w:sz="4" w:space="0" w:color="000000"/>
            </w:tcBorders>
          </w:tcPr>
          <w:p>
            <w:pPr>
              <w:pStyle w:val="TableParagraph"/>
              <w:spacing w:before="33"/>
              <w:ind w:left="496" w:right="473"/>
              <w:jc w:val="center"/>
              <w:rPr>
                <w:rFonts w:ascii="Times New Roman"/>
                <w:sz w:val="18"/>
              </w:rPr>
            </w:pPr>
            <w:r>
              <w:rPr>
                <w:rFonts w:ascii="Times New Roman"/>
                <w:sz w:val="18"/>
              </w:rPr>
              <w:t>50</w:t>
            </w:r>
          </w:p>
        </w:tc>
        <w:tc>
          <w:tcPr>
            <w:tcW w:w="1245" w:type="dxa"/>
            <w:tcBorders>
              <w:top w:val="single" w:sz="4" w:space="0" w:color="000000"/>
              <w:left w:val="single" w:sz="4" w:space="0" w:color="000000"/>
              <w:bottom w:val="single" w:sz="4" w:space="0" w:color="000000"/>
              <w:right w:val="single" w:sz="4" w:space="0" w:color="000000"/>
            </w:tcBorders>
          </w:tcPr>
          <w:p>
            <w:pPr>
              <w:pStyle w:val="TableParagraph"/>
              <w:spacing w:before="21"/>
              <w:ind w:right="333"/>
              <w:jc w:val="right"/>
              <w:rPr>
                <w:sz w:val="18"/>
              </w:rPr>
            </w:pPr>
            <w:r>
              <w:rPr>
                <w:sz w:val="18"/>
              </w:rPr>
              <w:t xml:space="preserve">达标 </w:t>
            </w:r>
          </w:p>
        </w:tc>
        <w:tc>
          <w:tcPr>
            <w:tcW w:w="115" w:type="dxa"/>
            <w:tcBorders>
              <w:top w:val="nil"/>
              <w:left w:val="single" w:sz="4" w:space="0" w:color="000000"/>
              <w:bottom w:val="nil"/>
            </w:tcBorders>
          </w:tcPr>
          <w:p>
            <w:pPr>
              <w:pStyle w:val="TableParagraph"/>
              <w:rPr>
                <w:rFonts w:ascii="Times New Roman"/>
                <w:sz w:val="20"/>
              </w:rPr>
            </w:pPr>
          </w:p>
        </w:tc>
      </w:tr>
      <w:tr>
        <w:tblPrEx>
          <w:tblW w:w="0" w:type="auto"/>
          <w:tblInd w:w="298" w:type="dxa"/>
          <w:tblLayout w:type="fixed"/>
          <w:tblCellMar>
            <w:top w:w="0" w:type="dxa"/>
            <w:left w:w="0" w:type="dxa"/>
            <w:bottom w:w="0" w:type="dxa"/>
            <w:right w:w="0" w:type="dxa"/>
          </w:tblCellMar>
        </w:tblPrEx>
        <w:trPr>
          <w:trHeight w:val="279"/>
        </w:trPr>
        <w:tc>
          <w:tcPr>
            <w:tcW w:w="427" w:type="dxa"/>
            <w:vMerge/>
            <w:tcBorders>
              <w:top w:val="nil"/>
              <w:right w:val="single" w:sz="4" w:space="0" w:color="000000"/>
            </w:tcBorders>
          </w:tcPr>
          <w:p>
            <w:pPr>
              <w:rPr>
                <w:sz w:val="2"/>
                <w:szCs w:val="2"/>
              </w:rPr>
            </w:pPr>
          </w:p>
        </w:tc>
        <w:tc>
          <w:tcPr>
            <w:tcW w:w="110" w:type="dxa"/>
            <w:vMerge/>
            <w:tcBorders>
              <w:top w:val="nil"/>
              <w:left w:val="single" w:sz="4" w:space="0" w:color="000000"/>
              <w:right w:val="single" w:sz="4" w:space="0" w:color="000000"/>
            </w:tcBorders>
          </w:tcPr>
          <w:p>
            <w:pPr>
              <w:rPr>
                <w:sz w:val="2"/>
                <w:szCs w:val="2"/>
              </w:rPr>
            </w:pPr>
          </w:p>
        </w:tc>
        <w:tc>
          <w:tcPr>
            <w:tcW w:w="1971" w:type="dxa"/>
            <w:tcBorders>
              <w:top w:val="single" w:sz="4" w:space="0" w:color="000000"/>
              <w:left w:val="single" w:sz="4" w:space="0" w:color="000000"/>
              <w:bottom w:val="single" w:sz="12" w:space="0" w:color="000000"/>
              <w:right w:val="single" w:sz="4" w:space="0" w:color="000000"/>
            </w:tcBorders>
          </w:tcPr>
          <w:p>
            <w:pPr>
              <w:pStyle w:val="TableParagraph"/>
              <w:spacing w:before="21"/>
              <w:ind w:left="152" w:right="40"/>
              <w:jc w:val="center"/>
              <w:rPr>
                <w:sz w:val="18"/>
              </w:rPr>
            </w:pPr>
            <w:r>
              <w:rPr>
                <w:sz w:val="18"/>
              </w:rPr>
              <w:t xml:space="preserve">排放速率 </w:t>
            </w:r>
            <w:r>
              <w:rPr>
                <w:rFonts w:ascii="Times New Roman" w:eastAsia="Times New Roman"/>
                <w:sz w:val="18"/>
              </w:rPr>
              <w:t>kg/h</w:t>
            </w:r>
            <w:r>
              <w:rPr>
                <w:sz w:val="18"/>
              </w:rPr>
              <w:t xml:space="preserve"> </w:t>
            </w:r>
          </w:p>
        </w:tc>
        <w:tc>
          <w:tcPr>
            <w:tcW w:w="996" w:type="dxa"/>
            <w:tcBorders>
              <w:top w:val="single" w:sz="4" w:space="0" w:color="000000"/>
              <w:left w:val="single" w:sz="4" w:space="0" w:color="000000"/>
              <w:bottom w:val="single" w:sz="12" w:space="0" w:color="000000"/>
              <w:right w:val="single" w:sz="4" w:space="0" w:color="000000"/>
            </w:tcBorders>
          </w:tcPr>
          <w:p>
            <w:pPr>
              <w:pStyle w:val="TableParagraph"/>
              <w:spacing w:before="33"/>
              <w:ind w:left="184" w:right="166"/>
              <w:jc w:val="center"/>
              <w:rPr>
                <w:rFonts w:ascii="Times New Roman"/>
                <w:sz w:val="18"/>
              </w:rPr>
            </w:pPr>
            <w:r>
              <w:rPr>
                <w:rFonts w:ascii="Times New Roman"/>
                <w:sz w:val="18"/>
              </w:rPr>
              <w:t>0.0389</w:t>
            </w:r>
          </w:p>
        </w:tc>
        <w:tc>
          <w:tcPr>
            <w:tcW w:w="996" w:type="dxa"/>
            <w:tcBorders>
              <w:top w:val="single" w:sz="4" w:space="0" w:color="000000"/>
              <w:left w:val="single" w:sz="4" w:space="0" w:color="000000"/>
              <w:bottom w:val="single" w:sz="12" w:space="0" w:color="000000"/>
              <w:right w:val="single" w:sz="4" w:space="0" w:color="000000"/>
            </w:tcBorders>
          </w:tcPr>
          <w:p>
            <w:pPr>
              <w:pStyle w:val="TableParagraph"/>
              <w:spacing w:before="33"/>
              <w:ind w:left="184" w:right="166"/>
              <w:jc w:val="center"/>
              <w:rPr>
                <w:rFonts w:ascii="Times New Roman"/>
                <w:sz w:val="18"/>
              </w:rPr>
            </w:pPr>
            <w:r>
              <w:rPr>
                <w:rFonts w:ascii="Times New Roman"/>
                <w:sz w:val="18"/>
              </w:rPr>
              <w:t>0.0390</w:t>
            </w:r>
          </w:p>
        </w:tc>
        <w:tc>
          <w:tcPr>
            <w:tcW w:w="996" w:type="dxa"/>
            <w:tcBorders>
              <w:top w:val="single" w:sz="4" w:space="0" w:color="000000"/>
              <w:left w:val="single" w:sz="4" w:space="0" w:color="000000"/>
              <w:bottom w:val="single" w:sz="12" w:space="0" w:color="000000"/>
              <w:right w:val="single" w:sz="4" w:space="0" w:color="000000"/>
            </w:tcBorders>
          </w:tcPr>
          <w:p>
            <w:pPr>
              <w:pStyle w:val="TableParagraph"/>
              <w:spacing w:before="33"/>
              <w:ind w:left="189" w:right="165"/>
              <w:jc w:val="center"/>
              <w:rPr>
                <w:rFonts w:ascii="Times New Roman"/>
                <w:sz w:val="18"/>
              </w:rPr>
            </w:pPr>
            <w:r>
              <w:rPr>
                <w:rFonts w:ascii="Times New Roman"/>
                <w:sz w:val="18"/>
              </w:rPr>
              <w:t>0.0400</w:t>
            </w:r>
          </w:p>
        </w:tc>
        <w:tc>
          <w:tcPr>
            <w:tcW w:w="948" w:type="dxa"/>
            <w:tcBorders>
              <w:top w:val="single" w:sz="4" w:space="0" w:color="000000"/>
              <w:left w:val="single" w:sz="4" w:space="0" w:color="000000"/>
              <w:bottom w:val="single" w:sz="12" w:space="0" w:color="000000"/>
              <w:right w:val="single" w:sz="4" w:space="0" w:color="000000"/>
            </w:tcBorders>
          </w:tcPr>
          <w:p>
            <w:pPr>
              <w:pStyle w:val="TableParagraph"/>
              <w:spacing w:before="33"/>
              <w:ind w:left="213" w:right="189"/>
              <w:jc w:val="center"/>
              <w:rPr>
                <w:rFonts w:ascii="Times New Roman"/>
                <w:sz w:val="18"/>
              </w:rPr>
            </w:pPr>
            <w:r>
              <w:rPr>
                <w:rFonts w:ascii="Times New Roman"/>
                <w:sz w:val="18"/>
              </w:rPr>
              <w:t>0.0393</w:t>
            </w:r>
          </w:p>
        </w:tc>
        <w:tc>
          <w:tcPr>
            <w:tcW w:w="1246" w:type="dxa"/>
            <w:tcBorders>
              <w:top w:val="single" w:sz="4" w:space="0" w:color="000000"/>
              <w:left w:val="single" w:sz="4" w:space="0" w:color="000000"/>
              <w:bottom w:val="single" w:sz="12" w:space="0" w:color="000000"/>
              <w:right w:val="single" w:sz="4" w:space="0" w:color="000000"/>
            </w:tcBorders>
          </w:tcPr>
          <w:p>
            <w:pPr>
              <w:pStyle w:val="TableParagraph"/>
              <w:spacing w:before="33"/>
              <w:ind w:left="496" w:right="475"/>
              <w:jc w:val="center"/>
              <w:rPr>
                <w:rFonts w:ascii="Times New Roman"/>
                <w:sz w:val="18"/>
              </w:rPr>
            </w:pPr>
            <w:r>
              <w:rPr>
                <w:rFonts w:ascii="Times New Roman"/>
                <w:sz w:val="18"/>
              </w:rPr>
              <w:t>1.8</w:t>
            </w:r>
          </w:p>
        </w:tc>
        <w:tc>
          <w:tcPr>
            <w:tcW w:w="1245" w:type="dxa"/>
            <w:tcBorders>
              <w:top w:val="single" w:sz="4" w:space="0" w:color="000000"/>
              <w:left w:val="single" w:sz="4" w:space="0" w:color="000000"/>
              <w:bottom w:val="single" w:sz="12" w:space="0" w:color="000000"/>
              <w:right w:val="single" w:sz="4" w:space="0" w:color="000000"/>
            </w:tcBorders>
          </w:tcPr>
          <w:p>
            <w:pPr>
              <w:pStyle w:val="TableParagraph"/>
              <w:spacing w:before="21"/>
              <w:ind w:right="333"/>
              <w:jc w:val="right"/>
              <w:rPr>
                <w:sz w:val="18"/>
              </w:rPr>
            </w:pPr>
            <w:r>
              <w:rPr>
                <w:sz w:val="18"/>
              </w:rPr>
              <w:t xml:space="preserve">达标 </w:t>
            </w:r>
          </w:p>
        </w:tc>
        <w:tc>
          <w:tcPr>
            <w:tcW w:w="115"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38"/>
          <w:pgSz w:w="11910" w:h="16840"/>
          <w:pgMar w:top="1400" w:right="1140" w:bottom="960" w:left="1140" w:header="0" w:footer="768" w:gutter="0"/>
          <w:pgNumType w:start="28"/>
          <w:cols w:num="1" w:space="720"/>
        </w:sectPr>
      </w:pPr>
    </w:p>
    <w:p>
      <w:pPr>
        <w:pStyle w:val="BodyText"/>
        <w:spacing w:before="3"/>
        <w:rPr>
          <w:b/>
          <w:sz w:val="14"/>
        </w:rPr>
      </w:pPr>
      <w:r>
        <w:pict>
          <v:group id="_x0000_s1314" o:spid="_x0000_s1313" style="width:453.6pt;height:691.6pt;margin-top:70.9pt;margin-left:70.9pt;mso-height-relative:page;mso-position-horizontal-relative:page;mso-position-vertical-relative:page;mso-width-relative:page;position:absolute;z-index:-251612160" coordorigin="1419,1418" coordsize="9072,13832">
            <v:line id="_x0000_s1315" o:spid="_x0000_s1314" style="position:absolute" from="1438,1428" to="1851,1428" coordsize="21600,21600" stroked="t" strokecolor="black"/>
            <v:rect id="_x0000_s1316" o:spid="_x0000_s1315" style="width:20;height:20;left:1850;position:absolute;top:1418" coordsize="21600,21600" filled="t" fillcolor="black" stroked="f"/>
            <v:line id="_x0000_s1317" o:spid="_x0000_s1316" style="position:absolute" from="1870,1428" to="10471,1428" coordsize="21600,21600" stroked="t" strokecolor="black"/>
            <v:line id="_x0000_s1318" o:spid="_x0000_s1317" style="position:absolute" from="1428,1418" to="1428,15230" coordsize="21600,21600" stroked="t" strokecolor="black"/>
            <v:rect id="_x0000_s1319" o:spid="_x0000_s1318" style="width:20;height:20;left:1418;position:absolute;top:15230" coordsize="21600,21600" filled="t" fillcolor="black" stroked="f"/>
            <v:line id="_x0000_s1320" o:spid="_x0000_s1319" style="position:absolute" from="1438,15240" to="1851,15240" coordsize="21600,21600" stroked="t" strokecolor="black"/>
            <v:line id="_x0000_s1321" o:spid="_x0000_s1320" style="position:absolute" from="1856,1438" to="1856,15230" coordsize="21600,21600" stroked="t" strokecolor="black"/>
            <v:rect id="_x0000_s1322" o:spid="_x0000_s1321" style="width:20;height:20;left:1850;position:absolute;top:15230" coordsize="21600,21600" filled="t" fillcolor="black" stroked="f"/>
            <v:line id="_x0000_s1323" o:spid="_x0000_s1322" style="position:absolute" from="1870,15240" to="10471,15240" coordsize="21600,21600" stroked="t" strokecolor="black"/>
            <v:line id="_x0000_s1324" o:spid="_x0000_s1323" style="position:absolute" from="10480,1418" to="10480,15230" coordsize="21600,21600" stroked="t" strokecolor="black"/>
            <v:rect id="_x0000_s1325" o:spid="_x0000_s1324" style="width:20;height:20;left:10470;position:absolute;top:15230" coordsize="21600,21600" filled="t" fillcolor="black" stroked="f"/>
          </v:group>
        </w:pict>
      </w:r>
    </w:p>
    <w:p>
      <w:pPr>
        <w:pStyle w:val="Heading3"/>
        <w:spacing w:before="78" w:after="4"/>
        <w:ind w:left="430" w:right="5"/>
        <w:jc w:val="center"/>
      </w:pPr>
      <w:bookmarkStart w:id="18" w:name="_bookmark18"/>
      <w:bookmarkEnd w:id="18"/>
      <w:r>
        <w:t xml:space="preserve">表 </w:t>
      </w:r>
      <w:r>
        <w:rPr>
          <w:rFonts w:ascii="Times New Roman" w:eastAsia="Times New Roman" w:hAnsi="Times New Roman"/>
        </w:rPr>
        <w:t xml:space="preserve">2-11 </w:t>
      </w:r>
      <w:r>
        <w:t>现有项目无组织废气监测数据（单位：</w:t>
      </w:r>
      <w:r>
        <w:rPr>
          <w:rFonts w:ascii="Times New Roman" w:eastAsia="Times New Roman" w:hAnsi="Times New Roman"/>
        </w:rPr>
        <w:t>mg/m³</w:t>
      </w:r>
      <w:r>
        <w:t>）</w:t>
      </w:r>
    </w:p>
    <w:tbl>
      <w:tblPr>
        <w:tblStyle w:val="TableNormal"/>
        <w:tblW w:w="0" w:type="auto"/>
        <w:tblInd w:w="8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796"/>
        <w:gridCol w:w="1651"/>
        <w:gridCol w:w="1404"/>
        <w:gridCol w:w="1800"/>
        <w:gridCol w:w="1747"/>
      </w:tblGrid>
      <w:tr>
        <w:tblPrEx>
          <w:tblW w:w="0" w:type="auto"/>
          <w:tblInd w:w="8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82"/>
        </w:trPr>
        <w:tc>
          <w:tcPr>
            <w:tcW w:w="1796" w:type="dxa"/>
          </w:tcPr>
          <w:p>
            <w:pPr>
              <w:pStyle w:val="TableParagraph"/>
              <w:spacing w:before="24"/>
              <w:ind w:left="428" w:right="415"/>
              <w:jc w:val="center"/>
              <w:rPr>
                <w:b/>
                <w:sz w:val="18"/>
              </w:rPr>
            </w:pPr>
            <w:r>
              <w:rPr>
                <w:b/>
                <w:sz w:val="18"/>
              </w:rPr>
              <w:t>类别</w:t>
            </w:r>
          </w:p>
        </w:tc>
        <w:tc>
          <w:tcPr>
            <w:tcW w:w="1651" w:type="dxa"/>
          </w:tcPr>
          <w:p>
            <w:pPr>
              <w:pStyle w:val="TableParagraph"/>
              <w:spacing w:before="24"/>
              <w:ind w:left="399" w:right="300"/>
              <w:jc w:val="center"/>
              <w:rPr>
                <w:b/>
                <w:sz w:val="18"/>
              </w:rPr>
            </w:pPr>
            <w:r>
              <w:rPr>
                <w:b/>
                <w:sz w:val="18"/>
              </w:rPr>
              <w:t>上风向</w:t>
            </w:r>
            <w:r>
              <w:rPr>
                <w:b/>
                <w:w w:val="99"/>
                <w:sz w:val="18"/>
              </w:rPr>
              <w:t xml:space="preserve"> </w:t>
            </w:r>
          </w:p>
        </w:tc>
        <w:tc>
          <w:tcPr>
            <w:tcW w:w="4951" w:type="dxa"/>
            <w:gridSpan w:val="3"/>
          </w:tcPr>
          <w:p>
            <w:pPr>
              <w:pStyle w:val="TableParagraph"/>
              <w:spacing w:before="24"/>
              <w:ind w:left="2230" w:right="2128"/>
              <w:jc w:val="center"/>
              <w:rPr>
                <w:b/>
                <w:sz w:val="18"/>
              </w:rPr>
            </w:pPr>
            <w:r>
              <w:rPr>
                <w:b/>
                <w:sz w:val="18"/>
              </w:rPr>
              <w:t>下风向</w:t>
            </w:r>
            <w:r>
              <w:rPr>
                <w:b/>
                <w:w w:val="99"/>
                <w:sz w:val="18"/>
              </w:rPr>
              <w:t xml:space="preserve"> </w:t>
            </w:r>
          </w:p>
        </w:tc>
      </w:tr>
      <w:tr>
        <w:tblPrEx>
          <w:tblW w:w="0" w:type="auto"/>
          <w:tblInd w:w="831" w:type="dxa"/>
          <w:tblLayout w:type="fixed"/>
          <w:tblCellMar>
            <w:top w:w="0" w:type="dxa"/>
            <w:left w:w="0" w:type="dxa"/>
            <w:bottom w:w="0" w:type="dxa"/>
            <w:right w:w="0" w:type="dxa"/>
          </w:tblCellMar>
        </w:tblPrEx>
        <w:trPr>
          <w:trHeight w:val="282"/>
        </w:trPr>
        <w:tc>
          <w:tcPr>
            <w:tcW w:w="1796" w:type="dxa"/>
          </w:tcPr>
          <w:p>
            <w:pPr>
              <w:pStyle w:val="TableParagraph"/>
              <w:spacing w:before="23"/>
              <w:ind w:left="427" w:right="417"/>
              <w:jc w:val="center"/>
              <w:rPr>
                <w:b/>
                <w:sz w:val="18"/>
              </w:rPr>
            </w:pPr>
            <w:r>
              <w:rPr>
                <w:b/>
                <w:sz w:val="18"/>
              </w:rPr>
              <w:t>监测点位</w:t>
            </w:r>
          </w:p>
        </w:tc>
        <w:tc>
          <w:tcPr>
            <w:tcW w:w="1651" w:type="dxa"/>
          </w:tcPr>
          <w:p>
            <w:pPr>
              <w:pStyle w:val="TableParagraph"/>
              <w:spacing w:before="23"/>
              <w:ind w:left="399" w:right="388"/>
              <w:jc w:val="center"/>
              <w:rPr>
                <w:rFonts w:ascii="Times New Roman" w:eastAsia="Times New Roman"/>
                <w:b/>
                <w:sz w:val="18"/>
              </w:rPr>
            </w:pPr>
            <w:r>
              <w:rPr>
                <w:b/>
                <w:sz w:val="18"/>
              </w:rPr>
              <w:t xml:space="preserve">西南侧 </w:t>
            </w:r>
            <w:r>
              <w:rPr>
                <w:rFonts w:ascii="Times New Roman" w:eastAsia="Times New Roman"/>
                <w:b/>
                <w:sz w:val="18"/>
              </w:rPr>
              <w:t>1#</w:t>
            </w:r>
          </w:p>
        </w:tc>
        <w:tc>
          <w:tcPr>
            <w:tcW w:w="1404" w:type="dxa"/>
          </w:tcPr>
          <w:p>
            <w:pPr>
              <w:pStyle w:val="TableParagraph"/>
              <w:spacing w:before="23"/>
              <w:ind w:right="398"/>
              <w:jc w:val="right"/>
              <w:rPr>
                <w:rFonts w:ascii="Times New Roman" w:eastAsia="Times New Roman"/>
                <w:b/>
                <w:sz w:val="18"/>
              </w:rPr>
            </w:pPr>
            <w:r>
              <w:rPr>
                <w:b/>
                <w:sz w:val="18"/>
              </w:rPr>
              <w:t xml:space="preserve">东侧 </w:t>
            </w:r>
            <w:r>
              <w:rPr>
                <w:rFonts w:ascii="Times New Roman" w:eastAsia="Times New Roman"/>
                <w:b/>
                <w:sz w:val="18"/>
              </w:rPr>
              <w:t>2#</w:t>
            </w:r>
          </w:p>
        </w:tc>
        <w:tc>
          <w:tcPr>
            <w:tcW w:w="1800" w:type="dxa"/>
          </w:tcPr>
          <w:p>
            <w:pPr>
              <w:pStyle w:val="TableParagraph"/>
              <w:spacing w:before="23"/>
              <w:ind w:left="474" w:right="462"/>
              <w:jc w:val="center"/>
              <w:rPr>
                <w:rFonts w:ascii="Times New Roman" w:eastAsia="Times New Roman"/>
                <w:b/>
                <w:sz w:val="18"/>
              </w:rPr>
            </w:pPr>
            <w:r>
              <w:rPr>
                <w:b/>
                <w:sz w:val="18"/>
              </w:rPr>
              <w:t xml:space="preserve">东北侧 </w:t>
            </w:r>
            <w:r>
              <w:rPr>
                <w:rFonts w:ascii="Times New Roman" w:eastAsia="Times New Roman"/>
                <w:b/>
                <w:sz w:val="18"/>
              </w:rPr>
              <w:t>3#</w:t>
            </w:r>
          </w:p>
        </w:tc>
        <w:tc>
          <w:tcPr>
            <w:tcW w:w="1747" w:type="dxa"/>
          </w:tcPr>
          <w:p>
            <w:pPr>
              <w:pStyle w:val="TableParagraph"/>
              <w:spacing w:before="23"/>
              <w:ind w:left="512" w:right="501"/>
              <w:jc w:val="center"/>
              <w:rPr>
                <w:rFonts w:ascii="Times New Roman" w:eastAsia="Times New Roman"/>
                <w:b/>
                <w:sz w:val="18"/>
              </w:rPr>
            </w:pPr>
            <w:r>
              <w:rPr>
                <w:b/>
                <w:sz w:val="18"/>
              </w:rPr>
              <w:t xml:space="preserve">北侧 </w:t>
            </w:r>
            <w:r>
              <w:rPr>
                <w:rFonts w:ascii="Times New Roman" w:eastAsia="Times New Roman"/>
                <w:b/>
                <w:sz w:val="18"/>
              </w:rPr>
              <w:t>4#</w:t>
            </w:r>
          </w:p>
        </w:tc>
      </w:tr>
      <w:tr>
        <w:tblPrEx>
          <w:tblW w:w="0" w:type="auto"/>
          <w:tblInd w:w="831" w:type="dxa"/>
          <w:tblLayout w:type="fixed"/>
          <w:tblCellMar>
            <w:top w:w="0" w:type="dxa"/>
            <w:left w:w="0" w:type="dxa"/>
            <w:bottom w:w="0" w:type="dxa"/>
            <w:right w:w="0" w:type="dxa"/>
          </w:tblCellMar>
        </w:tblPrEx>
        <w:trPr>
          <w:trHeight w:val="282"/>
        </w:trPr>
        <w:tc>
          <w:tcPr>
            <w:tcW w:w="1796" w:type="dxa"/>
          </w:tcPr>
          <w:p>
            <w:pPr>
              <w:pStyle w:val="TableParagraph"/>
              <w:spacing w:before="23"/>
              <w:ind w:left="428" w:right="417"/>
              <w:jc w:val="center"/>
              <w:rPr>
                <w:sz w:val="18"/>
              </w:rPr>
            </w:pPr>
            <w:r>
              <w:rPr>
                <w:sz w:val="18"/>
              </w:rPr>
              <w:t>非甲烷总烃</w:t>
            </w:r>
          </w:p>
        </w:tc>
        <w:tc>
          <w:tcPr>
            <w:tcW w:w="1651" w:type="dxa"/>
          </w:tcPr>
          <w:p>
            <w:pPr>
              <w:pStyle w:val="TableParagraph"/>
              <w:spacing w:before="38"/>
              <w:ind w:left="395" w:right="388"/>
              <w:jc w:val="center"/>
              <w:rPr>
                <w:rFonts w:ascii="Times New Roman"/>
                <w:sz w:val="18"/>
              </w:rPr>
            </w:pPr>
            <w:r>
              <w:rPr>
                <w:rFonts w:ascii="Times New Roman"/>
                <w:sz w:val="18"/>
              </w:rPr>
              <w:t>1.07~1.37</w:t>
            </w:r>
          </w:p>
        </w:tc>
        <w:tc>
          <w:tcPr>
            <w:tcW w:w="1404" w:type="dxa"/>
          </w:tcPr>
          <w:p>
            <w:pPr>
              <w:pStyle w:val="TableParagraph"/>
              <w:spacing w:before="38"/>
              <w:ind w:right="326"/>
              <w:jc w:val="right"/>
              <w:rPr>
                <w:rFonts w:ascii="Times New Roman"/>
                <w:sz w:val="18"/>
              </w:rPr>
            </w:pPr>
            <w:r>
              <w:rPr>
                <w:rFonts w:ascii="Times New Roman"/>
                <w:sz w:val="18"/>
              </w:rPr>
              <w:t>1.42~1.64</w:t>
            </w:r>
          </w:p>
        </w:tc>
        <w:tc>
          <w:tcPr>
            <w:tcW w:w="1800" w:type="dxa"/>
          </w:tcPr>
          <w:p>
            <w:pPr>
              <w:pStyle w:val="TableParagraph"/>
              <w:spacing w:before="38"/>
              <w:ind w:left="470" w:right="462"/>
              <w:jc w:val="center"/>
              <w:rPr>
                <w:rFonts w:ascii="Times New Roman"/>
                <w:sz w:val="18"/>
              </w:rPr>
            </w:pPr>
            <w:r>
              <w:rPr>
                <w:rFonts w:ascii="Times New Roman"/>
                <w:sz w:val="18"/>
              </w:rPr>
              <w:t>1.31~1.49</w:t>
            </w:r>
          </w:p>
        </w:tc>
        <w:tc>
          <w:tcPr>
            <w:tcW w:w="1747" w:type="dxa"/>
          </w:tcPr>
          <w:p>
            <w:pPr>
              <w:pStyle w:val="TableParagraph"/>
              <w:spacing w:before="38"/>
              <w:ind w:left="513" w:right="501"/>
              <w:jc w:val="center"/>
              <w:rPr>
                <w:rFonts w:ascii="Times New Roman"/>
                <w:sz w:val="18"/>
              </w:rPr>
            </w:pPr>
            <w:r>
              <w:rPr>
                <w:rFonts w:ascii="Times New Roman"/>
                <w:sz w:val="18"/>
              </w:rPr>
              <w:t>1.06~123</w:t>
            </w:r>
          </w:p>
        </w:tc>
      </w:tr>
      <w:tr>
        <w:tblPrEx>
          <w:tblW w:w="0" w:type="auto"/>
          <w:tblInd w:w="831" w:type="dxa"/>
          <w:tblLayout w:type="fixed"/>
          <w:tblCellMar>
            <w:top w:w="0" w:type="dxa"/>
            <w:left w:w="0" w:type="dxa"/>
            <w:bottom w:w="0" w:type="dxa"/>
            <w:right w:w="0" w:type="dxa"/>
          </w:tblCellMar>
        </w:tblPrEx>
        <w:trPr>
          <w:trHeight w:val="282"/>
        </w:trPr>
        <w:tc>
          <w:tcPr>
            <w:tcW w:w="1796" w:type="dxa"/>
          </w:tcPr>
          <w:p>
            <w:pPr>
              <w:pStyle w:val="TableParagraph"/>
              <w:spacing w:before="24"/>
              <w:ind w:left="425" w:right="417"/>
              <w:jc w:val="center"/>
              <w:rPr>
                <w:sz w:val="18"/>
              </w:rPr>
            </w:pPr>
            <w:r>
              <w:rPr>
                <w:sz w:val="18"/>
              </w:rPr>
              <w:t>标准限值</w:t>
            </w:r>
          </w:p>
        </w:tc>
        <w:tc>
          <w:tcPr>
            <w:tcW w:w="1651" w:type="dxa"/>
          </w:tcPr>
          <w:p>
            <w:pPr>
              <w:pStyle w:val="TableParagraph"/>
              <w:spacing w:before="38"/>
              <w:ind w:left="398" w:right="388"/>
              <w:jc w:val="center"/>
              <w:rPr>
                <w:rFonts w:ascii="Times New Roman"/>
                <w:sz w:val="18"/>
              </w:rPr>
            </w:pPr>
            <w:r>
              <w:rPr>
                <w:rFonts w:ascii="Times New Roman"/>
                <w:sz w:val="18"/>
              </w:rPr>
              <w:t>4.0</w:t>
            </w:r>
          </w:p>
        </w:tc>
        <w:tc>
          <w:tcPr>
            <w:tcW w:w="1404" w:type="dxa"/>
          </w:tcPr>
          <w:p>
            <w:pPr>
              <w:pStyle w:val="TableParagraph"/>
              <w:spacing w:before="38"/>
              <w:ind w:left="500" w:right="492"/>
              <w:jc w:val="center"/>
              <w:rPr>
                <w:rFonts w:ascii="Times New Roman"/>
                <w:sz w:val="18"/>
              </w:rPr>
            </w:pPr>
            <w:r>
              <w:rPr>
                <w:rFonts w:ascii="Times New Roman"/>
                <w:sz w:val="18"/>
              </w:rPr>
              <w:t>4.0</w:t>
            </w:r>
          </w:p>
        </w:tc>
        <w:tc>
          <w:tcPr>
            <w:tcW w:w="1800" w:type="dxa"/>
          </w:tcPr>
          <w:p>
            <w:pPr>
              <w:pStyle w:val="TableParagraph"/>
              <w:spacing w:before="38"/>
              <w:ind w:left="473" w:right="462"/>
              <w:jc w:val="center"/>
              <w:rPr>
                <w:rFonts w:ascii="Times New Roman"/>
                <w:sz w:val="18"/>
              </w:rPr>
            </w:pPr>
            <w:r>
              <w:rPr>
                <w:rFonts w:ascii="Times New Roman"/>
                <w:sz w:val="18"/>
              </w:rPr>
              <w:t>4.0</w:t>
            </w:r>
          </w:p>
        </w:tc>
        <w:tc>
          <w:tcPr>
            <w:tcW w:w="1747" w:type="dxa"/>
          </w:tcPr>
          <w:p>
            <w:pPr>
              <w:pStyle w:val="TableParagraph"/>
              <w:spacing w:before="38"/>
              <w:ind w:left="513" w:right="501"/>
              <w:jc w:val="center"/>
              <w:rPr>
                <w:rFonts w:ascii="Times New Roman"/>
                <w:sz w:val="18"/>
              </w:rPr>
            </w:pPr>
            <w:r>
              <w:rPr>
                <w:rFonts w:ascii="Times New Roman"/>
                <w:sz w:val="18"/>
              </w:rPr>
              <w:t>4.0</w:t>
            </w:r>
          </w:p>
        </w:tc>
      </w:tr>
      <w:tr>
        <w:tblPrEx>
          <w:tblW w:w="0" w:type="auto"/>
          <w:tblInd w:w="831" w:type="dxa"/>
          <w:tblLayout w:type="fixed"/>
          <w:tblCellMar>
            <w:top w:w="0" w:type="dxa"/>
            <w:left w:w="0" w:type="dxa"/>
            <w:bottom w:w="0" w:type="dxa"/>
            <w:right w:w="0" w:type="dxa"/>
          </w:tblCellMar>
        </w:tblPrEx>
        <w:trPr>
          <w:trHeight w:val="282"/>
        </w:trPr>
        <w:tc>
          <w:tcPr>
            <w:tcW w:w="1796" w:type="dxa"/>
          </w:tcPr>
          <w:p>
            <w:pPr>
              <w:pStyle w:val="TableParagraph"/>
              <w:spacing w:before="24"/>
              <w:ind w:left="425" w:right="417"/>
              <w:jc w:val="center"/>
              <w:rPr>
                <w:sz w:val="18"/>
              </w:rPr>
            </w:pPr>
            <w:r>
              <w:rPr>
                <w:sz w:val="18"/>
              </w:rPr>
              <w:t>达标情况</w:t>
            </w:r>
          </w:p>
        </w:tc>
        <w:tc>
          <w:tcPr>
            <w:tcW w:w="1651" w:type="dxa"/>
          </w:tcPr>
          <w:p>
            <w:pPr>
              <w:pStyle w:val="TableParagraph"/>
              <w:spacing w:before="24"/>
              <w:ind w:left="397" w:right="388"/>
              <w:jc w:val="center"/>
              <w:rPr>
                <w:sz w:val="18"/>
              </w:rPr>
            </w:pPr>
            <w:r>
              <w:rPr>
                <w:sz w:val="18"/>
              </w:rPr>
              <w:t>达标</w:t>
            </w:r>
          </w:p>
        </w:tc>
        <w:tc>
          <w:tcPr>
            <w:tcW w:w="1404" w:type="dxa"/>
          </w:tcPr>
          <w:p>
            <w:pPr>
              <w:pStyle w:val="TableParagraph"/>
              <w:spacing w:before="24"/>
              <w:ind w:left="500" w:right="493"/>
              <w:jc w:val="center"/>
              <w:rPr>
                <w:sz w:val="18"/>
              </w:rPr>
            </w:pPr>
            <w:r>
              <w:rPr>
                <w:sz w:val="18"/>
              </w:rPr>
              <w:t>达标</w:t>
            </w:r>
          </w:p>
        </w:tc>
        <w:tc>
          <w:tcPr>
            <w:tcW w:w="1800" w:type="dxa"/>
          </w:tcPr>
          <w:p>
            <w:pPr>
              <w:pStyle w:val="TableParagraph"/>
              <w:spacing w:before="24"/>
              <w:ind w:left="472" w:right="462"/>
              <w:jc w:val="center"/>
              <w:rPr>
                <w:sz w:val="18"/>
              </w:rPr>
            </w:pPr>
            <w:r>
              <w:rPr>
                <w:sz w:val="18"/>
              </w:rPr>
              <w:t>达标</w:t>
            </w:r>
          </w:p>
        </w:tc>
        <w:tc>
          <w:tcPr>
            <w:tcW w:w="1747" w:type="dxa"/>
          </w:tcPr>
          <w:p>
            <w:pPr>
              <w:pStyle w:val="TableParagraph"/>
              <w:spacing w:before="24"/>
              <w:ind w:left="512" w:right="501"/>
              <w:jc w:val="center"/>
              <w:rPr>
                <w:sz w:val="18"/>
              </w:rPr>
            </w:pPr>
            <w:r>
              <w:rPr>
                <w:sz w:val="18"/>
              </w:rPr>
              <w:t>达标</w:t>
            </w:r>
          </w:p>
        </w:tc>
      </w:tr>
    </w:tbl>
    <w:p>
      <w:pPr>
        <w:pStyle w:val="BodyText"/>
        <w:spacing w:before="10"/>
        <w:rPr>
          <w:b/>
          <w:sz w:val="18"/>
        </w:rPr>
      </w:pPr>
    </w:p>
    <w:p>
      <w:pPr>
        <w:pStyle w:val="BodyText"/>
        <w:spacing w:line="364" w:lineRule="auto"/>
        <w:ind w:left="821" w:right="389" w:firstLine="419"/>
        <w:jc w:val="both"/>
      </w:pPr>
      <w:r>
        <w:rPr>
          <w:spacing w:val="-3"/>
        </w:rPr>
        <w:t>验收监测结果表明：现有项目运营中产生非甲烷总烃，有组织排放满足《印刷工业大气</w:t>
      </w:r>
      <w:r>
        <w:rPr>
          <w:spacing w:val="-16"/>
        </w:rPr>
        <w:t>污染物排放标准》</w:t>
      </w:r>
      <w:r>
        <w:t>（</w:t>
      </w:r>
      <w:r>
        <w:rPr>
          <w:rFonts w:ascii="Times New Roman" w:eastAsia="Times New Roman"/>
        </w:rPr>
        <w:t>DB32/4438-2022</w:t>
      </w:r>
      <w:r>
        <w:t>）</w:t>
      </w:r>
      <w:r>
        <w:rPr>
          <w:spacing w:val="5"/>
        </w:rPr>
        <w:t xml:space="preserve">中表 </w:t>
      </w:r>
      <w:r>
        <w:rPr>
          <w:rFonts w:ascii="Times New Roman" w:eastAsia="Times New Roman"/>
        </w:rPr>
        <w:t xml:space="preserve">1 </w:t>
      </w:r>
      <w:r>
        <w:rPr>
          <w:spacing w:val="-3"/>
        </w:rPr>
        <w:t>标准，无组织排放满足《大气污染物综合排放</w:t>
      </w:r>
    </w:p>
    <w:p>
      <w:pPr>
        <w:pStyle w:val="BodyText"/>
        <w:spacing w:before="1"/>
        <w:ind w:left="821"/>
      </w:pPr>
      <w:r>
        <w:t>标准》（</w:t>
      </w:r>
      <w:r>
        <w:rPr>
          <w:rFonts w:ascii="Times New Roman" w:eastAsia="Times New Roman"/>
        </w:rPr>
        <w:t>DB32/4041-2021</w:t>
      </w:r>
      <w:r>
        <w:t xml:space="preserve">）表 </w:t>
      </w:r>
      <w:r>
        <w:rPr>
          <w:rFonts w:ascii="Times New Roman" w:eastAsia="Times New Roman"/>
        </w:rPr>
        <w:t xml:space="preserve">3 </w:t>
      </w:r>
      <w:r>
        <w:t>相关限值要求。</w:t>
      </w:r>
    </w:p>
    <w:p>
      <w:pPr>
        <w:pStyle w:val="ListParagraph"/>
        <w:numPr>
          <w:ilvl w:val="0"/>
          <w:numId w:val="59"/>
        </w:numPr>
        <w:tabs>
          <w:tab w:val="left" w:pos="1771"/>
        </w:tabs>
        <w:spacing w:before="139" w:after="0" w:line="240" w:lineRule="auto"/>
        <w:ind w:left="1770" w:right="0" w:hanging="530"/>
        <w:jc w:val="left"/>
        <w:rPr>
          <w:sz w:val="21"/>
        </w:rPr>
      </w:pPr>
      <w:r>
        <w:rPr>
          <w:sz w:val="21"/>
        </w:rPr>
        <w:t>废水</w:t>
      </w:r>
    </w:p>
    <w:p>
      <w:pPr>
        <w:pStyle w:val="BodyText"/>
        <w:spacing w:before="139"/>
        <w:ind w:left="1241"/>
      </w:pPr>
      <w:r>
        <w:t>厂区排水实行“雨污分流、清污分流”制，雨水经雨水管网收集后就近排入附近河流，</w:t>
      </w:r>
    </w:p>
    <w:p>
      <w:pPr>
        <w:pStyle w:val="BodyText"/>
        <w:spacing w:before="139" w:line="367" w:lineRule="auto"/>
        <w:ind w:left="821" w:right="393"/>
      </w:pPr>
      <w:r>
        <w:rPr>
          <w:spacing w:val="2"/>
          <w:w w:val="100"/>
        </w:rPr>
        <w:t>（南侧小河</w:t>
      </w:r>
      <w:r>
        <w:rPr>
          <w:spacing w:val="-106"/>
          <w:w w:val="100"/>
        </w:rPr>
        <w:t>）</w:t>
      </w:r>
      <w:r>
        <w:rPr>
          <w:spacing w:val="-1"/>
          <w:w w:val="100"/>
        </w:rPr>
        <w:t>；现有项目运营过程中不产生生产废水，生活污水经化粪池处理后接管滨海县</w:t>
      </w:r>
      <w:r>
        <w:rPr>
          <w:spacing w:val="-3"/>
        </w:rPr>
        <w:t>城北污水处理厂，达标尾水排入淮河入海水道南泓，对周边环境影响较小。</w:t>
      </w:r>
    </w:p>
    <w:p>
      <w:pPr>
        <w:pStyle w:val="ListParagraph"/>
        <w:numPr>
          <w:ilvl w:val="0"/>
          <w:numId w:val="59"/>
        </w:numPr>
        <w:tabs>
          <w:tab w:val="left" w:pos="1771"/>
        </w:tabs>
        <w:spacing w:before="0" w:after="0" w:line="264" w:lineRule="exact"/>
        <w:ind w:left="1770" w:right="0" w:hanging="530"/>
        <w:jc w:val="left"/>
        <w:rPr>
          <w:sz w:val="21"/>
        </w:rPr>
      </w:pPr>
      <w:r>
        <w:rPr>
          <w:sz w:val="21"/>
        </w:rPr>
        <w:t>噪声</w:t>
      </w:r>
    </w:p>
    <w:p>
      <w:pPr>
        <w:pStyle w:val="BodyText"/>
        <w:spacing w:before="139"/>
        <w:ind w:left="1241"/>
      </w:pPr>
      <w:r>
        <w:rPr>
          <w:rFonts w:ascii="Times New Roman" w:eastAsia="Times New Roman"/>
        </w:rPr>
        <w:t xml:space="preserve">2022 </w:t>
      </w:r>
      <w:r>
        <w:t xml:space="preserve">年 </w:t>
      </w:r>
      <w:r>
        <w:rPr>
          <w:rFonts w:ascii="Times New Roman" w:eastAsia="Times New Roman"/>
        </w:rPr>
        <w:t xml:space="preserve">9 </w:t>
      </w:r>
      <w:r>
        <w:t xml:space="preserve">月 </w:t>
      </w:r>
      <w:r>
        <w:rPr>
          <w:rFonts w:ascii="Times New Roman" w:eastAsia="Times New Roman"/>
        </w:rPr>
        <w:t xml:space="preserve">22 </w:t>
      </w:r>
      <w:r>
        <w:t>日的采样监测结果见下</w:t>
      </w:r>
      <w:hyperlink w:anchor="_bookmark19" w:history="1">
        <w:r>
          <w:t xml:space="preserve">表 </w:t>
        </w:r>
        <w:r>
          <w:rPr>
            <w:rFonts w:ascii="Times New Roman" w:eastAsia="Times New Roman"/>
          </w:rPr>
          <w:t>2-12</w:t>
        </w:r>
      </w:hyperlink>
      <w:r>
        <w:t>。</w:t>
      </w:r>
    </w:p>
    <w:p>
      <w:pPr>
        <w:pStyle w:val="Heading3"/>
        <w:spacing w:before="139" w:after="4"/>
        <w:ind w:left="427" w:right="5"/>
        <w:jc w:val="center"/>
      </w:pPr>
      <w:bookmarkStart w:id="19" w:name="_bookmark19"/>
      <w:bookmarkEnd w:id="19"/>
      <w:r>
        <w:t xml:space="preserve">表 </w:t>
      </w:r>
      <w:r>
        <w:rPr>
          <w:rFonts w:ascii="Times New Roman" w:eastAsia="Times New Roman"/>
        </w:rPr>
        <w:t xml:space="preserve">2-12 </w:t>
      </w:r>
      <w:r>
        <w:t>厂界噪声监测数据（单位：</w:t>
      </w:r>
      <w:r>
        <w:rPr>
          <w:rFonts w:ascii="Times New Roman" w:eastAsia="Times New Roman"/>
        </w:rPr>
        <w:t>LeqdB(A)</w:t>
      </w:r>
      <w:r>
        <w:t>）</w:t>
      </w:r>
    </w:p>
    <w:tbl>
      <w:tblPr>
        <w:tblStyle w:val="TableNormal"/>
        <w:tblW w:w="0" w:type="auto"/>
        <w:tblInd w:w="8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673"/>
        <w:gridCol w:w="2092"/>
        <w:gridCol w:w="2316"/>
        <w:gridCol w:w="2316"/>
      </w:tblGrid>
      <w:tr>
        <w:tblPrEx>
          <w:tblW w:w="0" w:type="auto"/>
          <w:tblInd w:w="8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30"/>
        </w:trPr>
        <w:tc>
          <w:tcPr>
            <w:tcW w:w="1673" w:type="dxa"/>
          </w:tcPr>
          <w:p>
            <w:pPr>
              <w:pStyle w:val="TableParagraph"/>
              <w:spacing w:before="52"/>
              <w:ind w:left="459" w:right="441"/>
              <w:jc w:val="center"/>
              <w:rPr>
                <w:b/>
                <w:sz w:val="18"/>
              </w:rPr>
            </w:pPr>
            <w:r>
              <w:rPr>
                <w:b/>
                <w:sz w:val="18"/>
              </w:rPr>
              <w:t>测点编号</w:t>
            </w:r>
          </w:p>
        </w:tc>
        <w:tc>
          <w:tcPr>
            <w:tcW w:w="2092" w:type="dxa"/>
          </w:tcPr>
          <w:p>
            <w:pPr>
              <w:pStyle w:val="TableParagraph"/>
              <w:spacing w:before="52"/>
              <w:ind w:left="219" w:right="201"/>
              <w:jc w:val="center"/>
              <w:rPr>
                <w:b/>
                <w:sz w:val="18"/>
              </w:rPr>
            </w:pPr>
            <w:r>
              <w:rPr>
                <w:b/>
                <w:sz w:val="18"/>
              </w:rPr>
              <w:t>测点位置</w:t>
            </w:r>
          </w:p>
        </w:tc>
        <w:tc>
          <w:tcPr>
            <w:tcW w:w="2316" w:type="dxa"/>
          </w:tcPr>
          <w:p>
            <w:pPr>
              <w:pStyle w:val="TableParagraph"/>
              <w:spacing w:before="52"/>
              <w:ind w:left="35" w:right="9"/>
              <w:jc w:val="center"/>
              <w:rPr>
                <w:b/>
                <w:sz w:val="18"/>
              </w:rPr>
            </w:pPr>
            <w:r>
              <w:rPr>
                <w:b/>
                <w:sz w:val="18"/>
              </w:rPr>
              <w:t>监测结果</w:t>
            </w:r>
          </w:p>
        </w:tc>
        <w:tc>
          <w:tcPr>
            <w:tcW w:w="2316" w:type="dxa"/>
          </w:tcPr>
          <w:p>
            <w:pPr>
              <w:pStyle w:val="TableParagraph"/>
              <w:spacing w:before="52"/>
              <w:ind w:left="37" w:right="9"/>
              <w:jc w:val="center"/>
              <w:rPr>
                <w:b/>
                <w:sz w:val="18"/>
              </w:rPr>
            </w:pPr>
            <w:r>
              <w:rPr>
                <w:b/>
                <w:sz w:val="18"/>
              </w:rPr>
              <w:t>达标情况</w:t>
            </w:r>
          </w:p>
        </w:tc>
      </w:tr>
      <w:tr>
        <w:tblPrEx>
          <w:tblW w:w="0" w:type="auto"/>
          <w:tblInd w:w="831" w:type="dxa"/>
          <w:tblLayout w:type="fixed"/>
          <w:tblCellMar>
            <w:top w:w="0" w:type="dxa"/>
            <w:left w:w="0" w:type="dxa"/>
            <w:bottom w:w="0" w:type="dxa"/>
            <w:right w:w="0" w:type="dxa"/>
          </w:tblCellMar>
        </w:tblPrEx>
        <w:trPr>
          <w:trHeight w:val="333"/>
        </w:trPr>
        <w:tc>
          <w:tcPr>
            <w:tcW w:w="1673" w:type="dxa"/>
          </w:tcPr>
          <w:p>
            <w:pPr>
              <w:pStyle w:val="TableParagraph"/>
              <w:spacing w:before="67"/>
              <w:ind w:left="459" w:right="440"/>
              <w:jc w:val="center"/>
              <w:rPr>
                <w:rFonts w:ascii="Times New Roman"/>
                <w:sz w:val="18"/>
              </w:rPr>
            </w:pPr>
            <w:r>
              <w:rPr>
                <w:rFonts w:ascii="Times New Roman"/>
                <w:sz w:val="18"/>
              </w:rPr>
              <w:t>N1</w:t>
            </w:r>
          </w:p>
        </w:tc>
        <w:tc>
          <w:tcPr>
            <w:tcW w:w="2092" w:type="dxa"/>
          </w:tcPr>
          <w:p>
            <w:pPr>
              <w:pStyle w:val="TableParagraph"/>
              <w:spacing w:before="55"/>
              <w:ind w:left="219" w:right="201"/>
              <w:jc w:val="center"/>
              <w:rPr>
                <w:sz w:val="18"/>
              </w:rPr>
            </w:pPr>
            <w:r>
              <w:rPr>
                <w:sz w:val="18"/>
              </w:rPr>
              <w:t>厂界东</w:t>
            </w:r>
          </w:p>
        </w:tc>
        <w:tc>
          <w:tcPr>
            <w:tcW w:w="2316" w:type="dxa"/>
          </w:tcPr>
          <w:p>
            <w:pPr>
              <w:pStyle w:val="TableParagraph"/>
              <w:spacing w:before="67"/>
              <w:ind w:left="37" w:right="9"/>
              <w:jc w:val="center"/>
              <w:rPr>
                <w:rFonts w:ascii="Times New Roman"/>
                <w:sz w:val="18"/>
              </w:rPr>
            </w:pPr>
            <w:r>
              <w:rPr>
                <w:rFonts w:ascii="Times New Roman"/>
                <w:sz w:val="18"/>
              </w:rPr>
              <w:t>56.6</w:t>
            </w:r>
          </w:p>
        </w:tc>
        <w:tc>
          <w:tcPr>
            <w:tcW w:w="2316" w:type="dxa"/>
          </w:tcPr>
          <w:p>
            <w:pPr>
              <w:pStyle w:val="TableParagraph"/>
              <w:spacing w:before="55"/>
              <w:ind w:left="34" w:right="9"/>
              <w:jc w:val="center"/>
              <w:rPr>
                <w:sz w:val="18"/>
              </w:rPr>
            </w:pPr>
            <w:r>
              <w:rPr>
                <w:sz w:val="18"/>
              </w:rPr>
              <w:t>达标</w:t>
            </w:r>
          </w:p>
        </w:tc>
      </w:tr>
      <w:tr>
        <w:tblPrEx>
          <w:tblW w:w="0" w:type="auto"/>
          <w:tblInd w:w="831" w:type="dxa"/>
          <w:tblLayout w:type="fixed"/>
          <w:tblCellMar>
            <w:top w:w="0" w:type="dxa"/>
            <w:left w:w="0" w:type="dxa"/>
            <w:bottom w:w="0" w:type="dxa"/>
            <w:right w:w="0" w:type="dxa"/>
          </w:tblCellMar>
        </w:tblPrEx>
        <w:trPr>
          <w:trHeight w:val="330"/>
        </w:trPr>
        <w:tc>
          <w:tcPr>
            <w:tcW w:w="1673" w:type="dxa"/>
          </w:tcPr>
          <w:p>
            <w:pPr>
              <w:pStyle w:val="TableParagraph"/>
              <w:spacing w:before="67"/>
              <w:ind w:left="459" w:right="440"/>
              <w:jc w:val="center"/>
              <w:rPr>
                <w:rFonts w:ascii="Times New Roman"/>
                <w:sz w:val="18"/>
              </w:rPr>
            </w:pPr>
            <w:r>
              <w:rPr>
                <w:rFonts w:ascii="Times New Roman"/>
                <w:sz w:val="18"/>
              </w:rPr>
              <w:t>N2</w:t>
            </w:r>
          </w:p>
        </w:tc>
        <w:tc>
          <w:tcPr>
            <w:tcW w:w="2092" w:type="dxa"/>
          </w:tcPr>
          <w:p>
            <w:pPr>
              <w:pStyle w:val="TableParagraph"/>
              <w:spacing w:before="52"/>
              <w:ind w:left="219" w:right="201"/>
              <w:jc w:val="center"/>
              <w:rPr>
                <w:sz w:val="18"/>
              </w:rPr>
            </w:pPr>
            <w:r>
              <w:rPr>
                <w:sz w:val="18"/>
              </w:rPr>
              <w:t>厂界南</w:t>
            </w:r>
          </w:p>
        </w:tc>
        <w:tc>
          <w:tcPr>
            <w:tcW w:w="2316" w:type="dxa"/>
          </w:tcPr>
          <w:p>
            <w:pPr>
              <w:pStyle w:val="TableParagraph"/>
              <w:spacing w:before="67"/>
              <w:ind w:left="37" w:right="9"/>
              <w:jc w:val="center"/>
              <w:rPr>
                <w:rFonts w:ascii="Times New Roman"/>
                <w:sz w:val="18"/>
              </w:rPr>
            </w:pPr>
            <w:r>
              <w:rPr>
                <w:rFonts w:ascii="Times New Roman"/>
                <w:sz w:val="18"/>
              </w:rPr>
              <w:t>59.6</w:t>
            </w:r>
          </w:p>
        </w:tc>
        <w:tc>
          <w:tcPr>
            <w:tcW w:w="2316" w:type="dxa"/>
          </w:tcPr>
          <w:p>
            <w:pPr>
              <w:pStyle w:val="TableParagraph"/>
              <w:spacing w:before="52"/>
              <w:ind w:left="34" w:right="9"/>
              <w:jc w:val="center"/>
              <w:rPr>
                <w:sz w:val="18"/>
              </w:rPr>
            </w:pPr>
            <w:r>
              <w:rPr>
                <w:sz w:val="18"/>
              </w:rPr>
              <w:t>达标</w:t>
            </w:r>
          </w:p>
        </w:tc>
      </w:tr>
      <w:tr>
        <w:tblPrEx>
          <w:tblW w:w="0" w:type="auto"/>
          <w:tblInd w:w="831" w:type="dxa"/>
          <w:tblLayout w:type="fixed"/>
          <w:tblCellMar>
            <w:top w:w="0" w:type="dxa"/>
            <w:left w:w="0" w:type="dxa"/>
            <w:bottom w:w="0" w:type="dxa"/>
            <w:right w:w="0" w:type="dxa"/>
          </w:tblCellMar>
        </w:tblPrEx>
        <w:trPr>
          <w:trHeight w:val="333"/>
        </w:trPr>
        <w:tc>
          <w:tcPr>
            <w:tcW w:w="1673" w:type="dxa"/>
          </w:tcPr>
          <w:p>
            <w:pPr>
              <w:pStyle w:val="TableParagraph"/>
              <w:spacing w:before="67"/>
              <w:ind w:left="459" w:right="440"/>
              <w:jc w:val="center"/>
              <w:rPr>
                <w:rFonts w:ascii="Times New Roman"/>
                <w:sz w:val="18"/>
              </w:rPr>
            </w:pPr>
            <w:r>
              <w:rPr>
                <w:rFonts w:ascii="Times New Roman"/>
                <w:sz w:val="18"/>
              </w:rPr>
              <w:t>N3</w:t>
            </w:r>
          </w:p>
        </w:tc>
        <w:tc>
          <w:tcPr>
            <w:tcW w:w="2092" w:type="dxa"/>
          </w:tcPr>
          <w:p>
            <w:pPr>
              <w:pStyle w:val="TableParagraph"/>
              <w:spacing w:before="55"/>
              <w:ind w:left="219" w:right="201"/>
              <w:jc w:val="center"/>
              <w:rPr>
                <w:sz w:val="18"/>
              </w:rPr>
            </w:pPr>
            <w:r>
              <w:rPr>
                <w:sz w:val="18"/>
              </w:rPr>
              <w:t>厂界西</w:t>
            </w:r>
          </w:p>
        </w:tc>
        <w:tc>
          <w:tcPr>
            <w:tcW w:w="2316" w:type="dxa"/>
          </w:tcPr>
          <w:p>
            <w:pPr>
              <w:pStyle w:val="TableParagraph"/>
              <w:spacing w:before="67"/>
              <w:ind w:left="37" w:right="9"/>
              <w:jc w:val="center"/>
              <w:rPr>
                <w:rFonts w:ascii="Times New Roman"/>
                <w:sz w:val="18"/>
              </w:rPr>
            </w:pPr>
            <w:r>
              <w:rPr>
                <w:rFonts w:ascii="Times New Roman"/>
                <w:sz w:val="18"/>
              </w:rPr>
              <w:t>59.4</w:t>
            </w:r>
          </w:p>
        </w:tc>
        <w:tc>
          <w:tcPr>
            <w:tcW w:w="2316" w:type="dxa"/>
          </w:tcPr>
          <w:p>
            <w:pPr>
              <w:pStyle w:val="TableParagraph"/>
              <w:spacing w:before="55"/>
              <w:ind w:left="34" w:right="9"/>
              <w:jc w:val="center"/>
              <w:rPr>
                <w:sz w:val="18"/>
              </w:rPr>
            </w:pPr>
            <w:r>
              <w:rPr>
                <w:sz w:val="18"/>
              </w:rPr>
              <w:t>达标</w:t>
            </w:r>
          </w:p>
        </w:tc>
      </w:tr>
      <w:tr>
        <w:tblPrEx>
          <w:tblW w:w="0" w:type="auto"/>
          <w:tblInd w:w="831" w:type="dxa"/>
          <w:tblLayout w:type="fixed"/>
          <w:tblCellMar>
            <w:top w:w="0" w:type="dxa"/>
            <w:left w:w="0" w:type="dxa"/>
            <w:bottom w:w="0" w:type="dxa"/>
            <w:right w:w="0" w:type="dxa"/>
          </w:tblCellMar>
        </w:tblPrEx>
        <w:trPr>
          <w:trHeight w:val="330"/>
        </w:trPr>
        <w:tc>
          <w:tcPr>
            <w:tcW w:w="1673" w:type="dxa"/>
          </w:tcPr>
          <w:p>
            <w:pPr>
              <w:pStyle w:val="TableParagraph"/>
              <w:spacing w:before="67"/>
              <w:ind w:left="459" w:right="440"/>
              <w:jc w:val="center"/>
              <w:rPr>
                <w:rFonts w:ascii="Times New Roman"/>
                <w:sz w:val="18"/>
              </w:rPr>
            </w:pPr>
            <w:r>
              <w:rPr>
                <w:rFonts w:ascii="Times New Roman"/>
                <w:sz w:val="18"/>
              </w:rPr>
              <w:t>N4</w:t>
            </w:r>
          </w:p>
        </w:tc>
        <w:tc>
          <w:tcPr>
            <w:tcW w:w="2092" w:type="dxa"/>
          </w:tcPr>
          <w:p>
            <w:pPr>
              <w:pStyle w:val="TableParagraph"/>
              <w:spacing w:before="52"/>
              <w:ind w:left="219" w:right="201"/>
              <w:jc w:val="center"/>
              <w:rPr>
                <w:sz w:val="18"/>
              </w:rPr>
            </w:pPr>
            <w:r>
              <w:rPr>
                <w:sz w:val="18"/>
              </w:rPr>
              <w:t>厂界北</w:t>
            </w:r>
          </w:p>
        </w:tc>
        <w:tc>
          <w:tcPr>
            <w:tcW w:w="2316" w:type="dxa"/>
          </w:tcPr>
          <w:p>
            <w:pPr>
              <w:pStyle w:val="TableParagraph"/>
              <w:spacing w:before="67"/>
              <w:ind w:left="37" w:right="9"/>
              <w:jc w:val="center"/>
              <w:rPr>
                <w:rFonts w:ascii="Times New Roman"/>
                <w:sz w:val="18"/>
              </w:rPr>
            </w:pPr>
            <w:r>
              <w:rPr>
                <w:rFonts w:ascii="Times New Roman"/>
                <w:sz w:val="18"/>
              </w:rPr>
              <w:t>59.2</w:t>
            </w:r>
          </w:p>
        </w:tc>
        <w:tc>
          <w:tcPr>
            <w:tcW w:w="2316" w:type="dxa"/>
          </w:tcPr>
          <w:p>
            <w:pPr>
              <w:pStyle w:val="TableParagraph"/>
              <w:spacing w:before="52"/>
              <w:ind w:left="34" w:right="9"/>
              <w:jc w:val="center"/>
              <w:rPr>
                <w:sz w:val="18"/>
              </w:rPr>
            </w:pPr>
            <w:r>
              <w:rPr>
                <w:sz w:val="18"/>
              </w:rPr>
              <w:t>达标</w:t>
            </w:r>
          </w:p>
        </w:tc>
      </w:tr>
      <w:tr>
        <w:tblPrEx>
          <w:tblW w:w="0" w:type="auto"/>
          <w:tblInd w:w="831" w:type="dxa"/>
          <w:tblLayout w:type="fixed"/>
          <w:tblCellMar>
            <w:top w:w="0" w:type="dxa"/>
            <w:left w:w="0" w:type="dxa"/>
            <w:bottom w:w="0" w:type="dxa"/>
            <w:right w:w="0" w:type="dxa"/>
          </w:tblCellMar>
        </w:tblPrEx>
        <w:trPr>
          <w:trHeight w:val="333"/>
        </w:trPr>
        <w:tc>
          <w:tcPr>
            <w:tcW w:w="3765" w:type="dxa"/>
            <w:gridSpan w:val="2"/>
          </w:tcPr>
          <w:p>
            <w:pPr>
              <w:pStyle w:val="TableParagraph"/>
              <w:spacing w:before="55"/>
              <w:ind w:left="1508" w:right="1486"/>
              <w:jc w:val="center"/>
              <w:rPr>
                <w:sz w:val="18"/>
              </w:rPr>
            </w:pPr>
            <w:r>
              <w:rPr>
                <w:sz w:val="18"/>
              </w:rPr>
              <w:t>标准限值</w:t>
            </w:r>
          </w:p>
        </w:tc>
        <w:tc>
          <w:tcPr>
            <w:tcW w:w="2316" w:type="dxa"/>
          </w:tcPr>
          <w:p>
            <w:pPr>
              <w:pStyle w:val="TableParagraph"/>
              <w:spacing w:before="67"/>
              <w:ind w:left="38" w:right="9"/>
              <w:jc w:val="center"/>
              <w:rPr>
                <w:rFonts w:ascii="Times New Roman"/>
                <w:sz w:val="18"/>
              </w:rPr>
            </w:pPr>
            <w:r>
              <w:rPr>
                <w:rFonts w:ascii="Times New Roman"/>
                <w:sz w:val="18"/>
              </w:rPr>
              <w:t>60</w:t>
            </w:r>
          </w:p>
        </w:tc>
        <w:tc>
          <w:tcPr>
            <w:tcW w:w="2316" w:type="dxa"/>
          </w:tcPr>
          <w:p>
            <w:pPr>
              <w:pStyle w:val="TableParagraph"/>
              <w:spacing w:before="67"/>
              <w:ind w:left="27"/>
              <w:jc w:val="center"/>
              <w:rPr>
                <w:rFonts w:ascii="Times New Roman"/>
                <w:sz w:val="18"/>
              </w:rPr>
            </w:pPr>
            <w:r>
              <w:rPr>
                <w:rFonts w:ascii="Times New Roman"/>
                <w:sz w:val="18"/>
              </w:rPr>
              <w:t>/</w:t>
            </w:r>
          </w:p>
        </w:tc>
      </w:tr>
    </w:tbl>
    <w:p>
      <w:pPr>
        <w:pStyle w:val="BodyText"/>
        <w:spacing w:before="10"/>
        <w:rPr>
          <w:b/>
          <w:sz w:val="18"/>
        </w:rPr>
      </w:pPr>
    </w:p>
    <w:p>
      <w:pPr>
        <w:pStyle w:val="BodyText"/>
        <w:ind w:left="1241"/>
      </w:pPr>
      <w:r>
        <w:t>验收监测结果表明： 本项目厂界噪声达到《工业企业厂界环境噪声排放标准》</w:t>
      </w:r>
    </w:p>
    <w:p>
      <w:pPr>
        <w:pStyle w:val="BodyText"/>
        <w:spacing w:before="139"/>
        <w:ind w:left="821"/>
      </w:pPr>
      <w:r>
        <w:t>（</w:t>
      </w:r>
      <w:r>
        <w:rPr>
          <w:rFonts w:ascii="Times New Roman" w:eastAsia="Times New Roman"/>
        </w:rPr>
        <w:t>GB12348-2008</w:t>
      </w:r>
      <w:r>
        <w:t xml:space="preserve">）中的 </w:t>
      </w:r>
      <w:r>
        <w:rPr>
          <w:rFonts w:ascii="Times New Roman" w:eastAsia="Times New Roman"/>
        </w:rPr>
        <w:t xml:space="preserve">2 </w:t>
      </w:r>
      <w:r>
        <w:t>类标准。</w:t>
      </w:r>
    </w:p>
    <w:p>
      <w:pPr>
        <w:pStyle w:val="ListParagraph"/>
        <w:numPr>
          <w:ilvl w:val="0"/>
          <w:numId w:val="59"/>
        </w:numPr>
        <w:tabs>
          <w:tab w:val="left" w:pos="1771"/>
        </w:tabs>
        <w:spacing w:before="139" w:after="0" w:line="240" w:lineRule="auto"/>
        <w:ind w:left="1770" w:right="0" w:hanging="530"/>
        <w:jc w:val="left"/>
        <w:rPr>
          <w:sz w:val="21"/>
        </w:rPr>
      </w:pPr>
      <w:r>
        <w:rPr>
          <w:sz w:val="21"/>
        </w:rPr>
        <w:t>固废</w:t>
      </w:r>
    </w:p>
    <w:p>
      <w:pPr>
        <w:pStyle w:val="BodyText"/>
        <w:spacing w:before="139" w:line="364" w:lineRule="auto"/>
        <w:ind w:left="821" w:right="392" w:firstLine="419"/>
        <w:jc w:val="both"/>
      </w:pPr>
      <w:r>
        <w:t>现有项目营运期固体废物主要包括：生活垃圾、不合格品、边角料、废包材、废包装桶、废活性炭、废刮刀</w:t>
      </w:r>
      <w:r>
        <w:rPr>
          <w:rFonts w:ascii="Times New Roman" w:eastAsia="Times New Roman"/>
        </w:rPr>
        <w:t>/</w:t>
      </w:r>
      <w:r>
        <w:t>抹布、废</w:t>
      </w:r>
      <w:r>
        <w:rPr>
          <w:rFonts w:ascii="Times New Roman" w:eastAsia="Times New Roman"/>
        </w:rPr>
        <w:t xml:space="preserve">UV </w:t>
      </w:r>
      <w:r>
        <w:t>灯管等，生活垃圾收集后委托环卫部门统一清运，不合格品、边角料、废包材外卖综合利用，废包装桶、废活性炭、废刮刀</w:t>
      </w:r>
      <w:r>
        <w:rPr>
          <w:rFonts w:ascii="Times New Roman" w:eastAsia="Times New Roman"/>
        </w:rPr>
        <w:t>/</w:t>
      </w:r>
      <w:r>
        <w:t>抹布、废</w:t>
      </w:r>
      <w:r>
        <w:rPr>
          <w:rFonts w:ascii="Times New Roman" w:eastAsia="Times New Roman"/>
        </w:rPr>
        <w:t xml:space="preserve">UV </w:t>
      </w:r>
      <w:r>
        <w:t>灯管委托资质单位处置。现有项目所有固体废物均得到合理有效处置，不会对周围环境造成二次污染。</w:t>
      </w:r>
    </w:p>
    <w:p>
      <w:pPr>
        <w:pStyle w:val="Heading3"/>
        <w:numPr>
          <w:ilvl w:val="0"/>
          <w:numId w:val="16"/>
        </w:numPr>
        <w:tabs>
          <w:tab w:val="left" w:pos="1403"/>
        </w:tabs>
        <w:spacing w:before="1" w:after="0" w:line="240" w:lineRule="auto"/>
        <w:ind w:left="1403" w:right="0" w:hanging="160"/>
        <w:jc w:val="left"/>
      </w:pPr>
      <w:r>
        <w:rPr>
          <w:spacing w:val="-1"/>
        </w:rPr>
        <w:t>现有项目风险防范及应急措施</w:t>
      </w:r>
    </w:p>
    <w:p>
      <w:pPr>
        <w:pStyle w:val="BodyText"/>
        <w:spacing w:before="139"/>
        <w:ind w:left="1241"/>
      </w:pPr>
      <w:r>
        <w:t>根据现状勘查，目前企业已采取有效的风险防范措施，企业突发环境事件应急预案于</w:t>
      </w:r>
    </w:p>
    <w:p>
      <w:pPr>
        <w:pStyle w:val="BodyText"/>
        <w:spacing w:before="138" w:line="364" w:lineRule="auto"/>
        <w:ind w:left="1241" w:right="1084" w:hanging="420"/>
      </w:pPr>
      <w:r>
        <w:rPr>
          <w:rFonts w:ascii="Times New Roman" w:eastAsia="Times New Roman"/>
          <w:w w:val="100"/>
        </w:rPr>
        <w:t>2</w:t>
      </w:r>
      <w:r>
        <w:rPr>
          <w:rFonts w:ascii="Times New Roman" w:eastAsia="Times New Roman"/>
          <w:spacing w:val="-1"/>
          <w:w w:val="100"/>
        </w:rPr>
        <w:t>0</w:t>
      </w:r>
      <w:r>
        <w:rPr>
          <w:rFonts w:ascii="Times New Roman" w:eastAsia="Times New Roman"/>
          <w:w w:val="100"/>
        </w:rPr>
        <w:t>21</w:t>
      </w:r>
      <w:r>
        <w:rPr>
          <w:rFonts w:ascii="Times New Roman" w:eastAsia="Times New Roman"/>
        </w:rPr>
        <w:t xml:space="preserve"> </w:t>
      </w:r>
      <w:r>
        <w:rPr>
          <w:w w:val="100"/>
        </w:rPr>
        <w:t>年</w:t>
      </w:r>
      <w:r>
        <w:rPr>
          <w:spacing w:val="-55"/>
        </w:rPr>
        <w:t xml:space="preserve"> </w:t>
      </w:r>
      <w:r>
        <w:rPr>
          <w:rFonts w:ascii="Times New Roman" w:eastAsia="Times New Roman"/>
          <w:w w:val="100"/>
        </w:rPr>
        <w:t>3</w:t>
      </w:r>
      <w:r>
        <w:rPr>
          <w:rFonts w:ascii="Times New Roman" w:eastAsia="Times New Roman"/>
        </w:rPr>
        <w:t xml:space="preserve"> </w:t>
      </w:r>
      <w:r>
        <w:rPr>
          <w:w w:val="100"/>
        </w:rPr>
        <w:t>月</w:t>
      </w:r>
      <w:r>
        <w:rPr>
          <w:spacing w:val="-55"/>
        </w:rPr>
        <w:t xml:space="preserve"> </w:t>
      </w:r>
      <w:r>
        <w:rPr>
          <w:rFonts w:ascii="Times New Roman" w:eastAsia="Times New Roman"/>
          <w:w w:val="100"/>
        </w:rPr>
        <w:t>18</w:t>
      </w:r>
      <w:r>
        <w:rPr>
          <w:rFonts w:ascii="Times New Roman" w:eastAsia="Times New Roman"/>
        </w:rPr>
        <w:t xml:space="preserve"> </w:t>
      </w:r>
      <w:r>
        <w:rPr>
          <w:spacing w:val="-3"/>
          <w:w w:val="100"/>
        </w:rPr>
        <w:t>日通过盐城市滨海生态环境局的备案</w:t>
      </w:r>
      <w:r>
        <w:rPr>
          <w:w w:val="100"/>
        </w:rPr>
        <w:t>（</w:t>
      </w:r>
      <w:r>
        <w:rPr>
          <w:spacing w:val="-3"/>
          <w:w w:val="100"/>
        </w:rPr>
        <w:t>备案编号</w:t>
      </w:r>
      <w:r>
        <w:rPr>
          <w:spacing w:val="-3"/>
        </w:rPr>
        <w:t xml:space="preserve"> </w:t>
      </w:r>
      <w:r>
        <w:rPr>
          <w:rFonts w:ascii="Times New Roman" w:eastAsia="Times New Roman"/>
          <w:w w:val="100"/>
        </w:rPr>
        <w:t>32</w:t>
      </w:r>
      <w:r>
        <w:rPr>
          <w:rFonts w:ascii="Times New Roman" w:eastAsia="Times New Roman"/>
          <w:spacing w:val="-3"/>
          <w:w w:val="100"/>
        </w:rPr>
        <w:t>0</w:t>
      </w:r>
      <w:r>
        <w:rPr>
          <w:rFonts w:ascii="Times New Roman" w:eastAsia="Times New Roman"/>
          <w:w w:val="100"/>
        </w:rPr>
        <w:t>922</w:t>
      </w:r>
      <w:r>
        <w:rPr>
          <w:rFonts w:ascii="Times New Roman" w:eastAsia="Times New Roman"/>
          <w:spacing w:val="-1"/>
          <w:w w:val="100"/>
        </w:rPr>
        <w:t>-</w:t>
      </w:r>
      <w:r>
        <w:rPr>
          <w:rFonts w:ascii="Times New Roman" w:eastAsia="Times New Roman"/>
          <w:w w:val="100"/>
        </w:rPr>
        <w:t>2</w:t>
      </w:r>
      <w:r>
        <w:rPr>
          <w:rFonts w:ascii="Times New Roman" w:eastAsia="Times New Roman"/>
          <w:spacing w:val="-3"/>
          <w:w w:val="100"/>
        </w:rPr>
        <w:t>0</w:t>
      </w:r>
      <w:r>
        <w:rPr>
          <w:rFonts w:ascii="Times New Roman" w:eastAsia="Times New Roman"/>
          <w:w w:val="100"/>
        </w:rPr>
        <w:t>21</w:t>
      </w:r>
      <w:r>
        <w:rPr>
          <w:rFonts w:ascii="Times New Roman" w:eastAsia="Times New Roman"/>
          <w:spacing w:val="-1"/>
          <w:w w:val="100"/>
        </w:rPr>
        <w:t>-</w:t>
      </w:r>
      <w:r>
        <w:rPr>
          <w:rFonts w:ascii="Times New Roman" w:eastAsia="Times New Roman"/>
          <w:spacing w:val="-3"/>
          <w:w w:val="100"/>
        </w:rPr>
        <w:t>1</w:t>
      </w:r>
      <w:r>
        <w:rPr>
          <w:rFonts w:ascii="Times New Roman" w:eastAsia="Times New Roman"/>
          <w:w w:val="100"/>
        </w:rPr>
        <w:t>6</w:t>
      </w:r>
      <w:r>
        <w:rPr>
          <w:rFonts w:ascii="Times New Roman" w:eastAsia="Times New Roman"/>
          <w:spacing w:val="-1"/>
          <w:w w:val="100"/>
        </w:rPr>
        <w:t>-</w:t>
      </w:r>
      <w:r>
        <w:rPr>
          <w:rFonts w:ascii="Times New Roman" w:eastAsia="Times New Roman"/>
          <w:w w:val="100"/>
        </w:rPr>
        <w:t>L</w:t>
      </w:r>
      <w:r>
        <w:rPr>
          <w:spacing w:val="-106"/>
          <w:w w:val="100"/>
        </w:rPr>
        <w:t>）。</w:t>
      </w:r>
      <w:r>
        <w:rPr>
          <w:spacing w:val="-3"/>
        </w:rPr>
        <w:t>厂区内已针对生产车间、原料仓库的环境风险防范应急措施如下：</w:t>
      </w:r>
    </w:p>
    <w:p>
      <w:pPr>
        <w:pStyle w:val="ListParagraph"/>
        <w:numPr>
          <w:ilvl w:val="0"/>
          <w:numId w:val="17"/>
        </w:numPr>
        <w:tabs>
          <w:tab w:val="left" w:pos="1559"/>
        </w:tabs>
        <w:spacing w:before="0" w:after="0" w:line="268" w:lineRule="exact"/>
        <w:ind w:left="1559" w:right="0" w:hanging="318"/>
        <w:jc w:val="left"/>
        <w:rPr>
          <w:sz w:val="21"/>
        </w:rPr>
      </w:pPr>
      <w:r>
        <w:rPr>
          <w:spacing w:val="-3"/>
          <w:sz w:val="21"/>
        </w:rPr>
        <w:t>车间风险防控措施</w:t>
      </w:r>
    </w:p>
    <w:p>
      <w:pPr>
        <w:spacing w:after="0" w:line="268" w:lineRule="exact"/>
        <w:jc w:val="left"/>
        <w:rPr>
          <w:sz w:val="21"/>
        </w:rPr>
        <w:sectPr>
          <w:footerReference w:type="default" r:id="rId39"/>
          <w:pgSz w:w="11910" w:h="16840"/>
          <w:pgMar w:top="1400" w:right="1140" w:bottom="960" w:left="1140" w:header="0" w:footer="768" w:gutter="0"/>
          <w:pgNumType w:start="29"/>
          <w:cols w:num="1" w:space="720"/>
        </w:sectPr>
      </w:pPr>
    </w:p>
    <w:p>
      <w:pPr>
        <w:pStyle w:val="BodyText"/>
        <w:spacing w:before="60" w:line="364" w:lineRule="auto"/>
        <w:ind w:left="1241" w:right="2773"/>
      </w:pPr>
      <w:r>
        <w:pict>
          <v:group id="_x0000_s1326" o:spid="_x0000_s1325" style="width:453.6pt;height:685.6pt;margin-top:70.9pt;margin-left:70.9pt;mso-height-relative:page;mso-position-horizontal-relative:page;mso-position-vertical-relative:page;mso-width-relative:page;position:absolute;z-index:-251611136" coordorigin="1419,1418" coordsize="9072,13712">
            <v:line id="_x0000_s1327" o:spid="_x0000_s1326" style="position:absolute" from="1438,1428" to="1851,1428" coordsize="21600,21600" stroked="t" strokecolor="black"/>
            <v:rect id="_x0000_s1328" o:spid="_x0000_s1327" style="width:20;height:20;left:1850;position:absolute;top:1418" coordsize="21600,21600" filled="t" fillcolor="black" stroked="f"/>
            <v:line id="_x0000_s1329" o:spid="_x0000_s1328" style="position:absolute" from="1870,1428" to="10471,1428" coordsize="21600,21600" stroked="t" strokecolor="black"/>
            <v:line id="_x0000_s1330" o:spid="_x0000_s1329" style="position:absolute" from="1428,1418" to="1428,15110" coordsize="21600,21600" stroked="t" strokecolor="black"/>
            <v:rect id="_x0000_s1331" o:spid="_x0000_s1330" style="width:20;height:20;left:1418;position:absolute;top:15110" coordsize="21600,21600" filled="t" fillcolor="black" stroked="f"/>
            <v:line id="_x0000_s1332" o:spid="_x0000_s1331" style="position:absolute" from="1438,15120" to="1851,15120" coordsize="21600,21600" stroked="t" strokecolor="black"/>
            <v:line id="_x0000_s1333" o:spid="_x0000_s1332" style="position:absolute" from="1856,1438" to="1856,15110" coordsize="21600,21600" stroked="t" strokecolor="black"/>
            <v:rect id="_x0000_s1334" o:spid="_x0000_s1333" style="width:20;height:20;left:1850;position:absolute;top:15110" coordsize="21600,21600" filled="t" fillcolor="black" stroked="f"/>
            <v:line id="_x0000_s1335" o:spid="_x0000_s1334" style="position:absolute" from="1870,15120" to="10471,15120" coordsize="21600,21600" stroked="t" strokecolor="black"/>
            <v:line id="_x0000_s1336" o:spid="_x0000_s1335" style="position:absolute" from="10480,1418" to="10480,15110" coordsize="21600,21600" stroked="t" strokecolor="black"/>
            <v:rect id="_x0000_s1337" o:spid="_x0000_s1336" style="width:20;height:20;left:10470;position:absolute;top:15110" coordsize="21600,21600" filled="t" fillcolor="black" stroked="f"/>
          </v:group>
        </w:pict>
      </w:r>
      <w:r>
        <w:rPr>
          <w:rFonts w:ascii="Times New Roman" w:eastAsia="Times New Roman"/>
        </w:rPr>
        <w:t>a.</w:t>
      </w:r>
      <w:r>
        <w:t>企业生产车间具有良好的通风设施，排风系统安装防火阀。</w:t>
      </w:r>
      <w:r>
        <w:rPr>
          <w:rFonts w:ascii="Times New Roman" w:eastAsia="Times New Roman"/>
        </w:rPr>
        <w:t>b.</w:t>
      </w:r>
      <w:r>
        <w:t>所有材料均选用不燃和阻燃材料。</w:t>
      </w:r>
    </w:p>
    <w:p>
      <w:pPr>
        <w:pStyle w:val="ListParagraph"/>
        <w:numPr>
          <w:ilvl w:val="0"/>
          <w:numId w:val="18"/>
        </w:numPr>
        <w:tabs>
          <w:tab w:val="left" w:pos="1389"/>
        </w:tabs>
        <w:spacing w:before="1" w:after="0" w:line="240" w:lineRule="auto"/>
        <w:ind w:left="1388" w:right="0" w:hanging="148"/>
        <w:jc w:val="left"/>
        <w:rPr>
          <w:sz w:val="21"/>
        </w:rPr>
      </w:pPr>
      <w:r>
        <w:rPr>
          <w:spacing w:val="-3"/>
          <w:sz w:val="21"/>
        </w:rPr>
        <w:t>车间设温度自动控制系统，带超高温报警装置，以确保生产的安全性。</w:t>
      </w:r>
    </w:p>
    <w:p>
      <w:pPr>
        <w:pStyle w:val="ListParagraph"/>
        <w:numPr>
          <w:ilvl w:val="0"/>
          <w:numId w:val="18"/>
        </w:numPr>
        <w:tabs>
          <w:tab w:val="left" w:pos="1401"/>
        </w:tabs>
        <w:spacing w:before="139" w:after="0" w:line="364" w:lineRule="auto"/>
        <w:ind w:left="821" w:right="395" w:firstLine="419"/>
        <w:jc w:val="left"/>
        <w:rPr>
          <w:sz w:val="21"/>
        </w:rPr>
      </w:pPr>
      <w:r>
        <w:rPr>
          <w:spacing w:val="-1"/>
          <w:sz w:val="21"/>
        </w:rPr>
        <w:t>安装超压报警装置，在送风或排风不畅的情况下报警、停机，避免通风不畅引起可燃</w:t>
      </w:r>
      <w:r>
        <w:rPr>
          <w:spacing w:val="-2"/>
          <w:sz w:val="21"/>
        </w:rPr>
        <w:t>气体浓度过高。</w:t>
      </w:r>
    </w:p>
    <w:p>
      <w:pPr>
        <w:pStyle w:val="ListParagraph"/>
        <w:numPr>
          <w:ilvl w:val="0"/>
          <w:numId w:val="17"/>
        </w:numPr>
        <w:tabs>
          <w:tab w:val="left" w:pos="1559"/>
        </w:tabs>
        <w:spacing w:before="0" w:after="0" w:line="267" w:lineRule="exact"/>
        <w:ind w:left="1559" w:right="0" w:hanging="318"/>
        <w:jc w:val="left"/>
        <w:rPr>
          <w:sz w:val="21"/>
        </w:rPr>
      </w:pPr>
      <w:r>
        <w:rPr>
          <w:spacing w:val="-3"/>
          <w:sz w:val="21"/>
        </w:rPr>
        <w:t>贮运工程风险防控措施</w:t>
      </w:r>
    </w:p>
    <w:p>
      <w:pPr>
        <w:pStyle w:val="ListParagraph"/>
        <w:numPr>
          <w:ilvl w:val="0"/>
          <w:numId w:val="19"/>
        </w:numPr>
        <w:tabs>
          <w:tab w:val="left" w:pos="1389"/>
        </w:tabs>
        <w:spacing w:before="139" w:after="0" w:line="367" w:lineRule="auto"/>
        <w:ind w:left="821" w:right="383" w:firstLine="419"/>
        <w:jc w:val="left"/>
        <w:rPr>
          <w:sz w:val="21"/>
        </w:rPr>
      </w:pPr>
      <w:r>
        <w:rPr>
          <w:spacing w:val="4"/>
          <w:sz w:val="21"/>
        </w:rPr>
        <w:t>原料桶均储存于阴凉通风仓库内，远离火种、热源，防止阳光直射。搬运时轻装轻</w:t>
      </w:r>
      <w:r>
        <w:rPr>
          <w:spacing w:val="-3"/>
          <w:sz w:val="21"/>
        </w:rPr>
        <w:t>卸，防止原料桶破损或倾倒。</w:t>
      </w:r>
    </w:p>
    <w:p>
      <w:pPr>
        <w:pStyle w:val="ListParagraph"/>
        <w:numPr>
          <w:ilvl w:val="0"/>
          <w:numId w:val="19"/>
        </w:numPr>
        <w:tabs>
          <w:tab w:val="left" w:pos="1401"/>
        </w:tabs>
        <w:spacing w:before="0" w:after="0" w:line="364" w:lineRule="auto"/>
        <w:ind w:left="821" w:right="395" w:firstLine="419"/>
        <w:jc w:val="left"/>
        <w:rPr>
          <w:sz w:val="21"/>
        </w:rPr>
      </w:pPr>
      <w:r>
        <w:rPr>
          <w:spacing w:val="-1"/>
          <w:sz w:val="21"/>
        </w:rPr>
        <w:t>划定禁火区，在明显地点设有警示标志，输配电线、灯具、火灾事故照明和疏散指示</w:t>
      </w:r>
      <w:r>
        <w:rPr>
          <w:spacing w:val="-3"/>
          <w:sz w:val="21"/>
        </w:rPr>
        <w:t>标志均应符合安全要求；严禁未安装灭火装置的车辆出入生产装置区。</w:t>
      </w:r>
    </w:p>
    <w:p>
      <w:pPr>
        <w:pStyle w:val="ListParagraph"/>
        <w:numPr>
          <w:ilvl w:val="0"/>
          <w:numId w:val="19"/>
        </w:numPr>
        <w:tabs>
          <w:tab w:val="left" w:pos="1389"/>
        </w:tabs>
        <w:spacing w:before="0" w:after="0" w:line="367" w:lineRule="auto"/>
        <w:ind w:left="821" w:right="394" w:firstLine="419"/>
        <w:jc w:val="left"/>
        <w:rPr>
          <w:sz w:val="21"/>
        </w:rPr>
      </w:pPr>
      <w:r>
        <w:rPr>
          <w:spacing w:val="-1"/>
          <w:sz w:val="21"/>
        </w:rPr>
        <w:t>合理规划运输路线及时间，加强危险废物运输车辆的管理，严格遵守危险品运输管理</w:t>
      </w:r>
      <w:r>
        <w:rPr>
          <w:spacing w:val="-3"/>
          <w:sz w:val="21"/>
        </w:rPr>
        <w:t>规定，避免运输过程事故的发生。</w:t>
      </w:r>
    </w:p>
    <w:p>
      <w:pPr>
        <w:pStyle w:val="BodyText"/>
        <w:spacing w:line="364" w:lineRule="auto"/>
        <w:ind w:left="821" w:right="390" w:firstLine="419"/>
      </w:pPr>
      <w:r>
        <w:t>建设单位已在厂区各个风险源点配备了相应的应急物资，针对事故风险源项制定了事故应急计划，并定期进行事故应急处置演练。</w:t>
      </w:r>
    </w:p>
    <w:p>
      <w:pPr>
        <w:pStyle w:val="Heading3"/>
        <w:numPr>
          <w:ilvl w:val="0"/>
          <w:numId w:val="16"/>
        </w:numPr>
        <w:tabs>
          <w:tab w:val="left" w:pos="1403"/>
        </w:tabs>
        <w:spacing w:before="0" w:after="0" w:line="267" w:lineRule="exact"/>
        <w:ind w:left="1403" w:right="0" w:hanging="160"/>
        <w:jc w:val="left"/>
      </w:pPr>
      <w:r>
        <w:t>监测计划落实情况</w:t>
      </w:r>
    </w:p>
    <w:p>
      <w:pPr>
        <w:pStyle w:val="BodyText"/>
        <w:spacing w:before="128" w:line="367" w:lineRule="auto"/>
        <w:ind w:left="821" w:right="390" w:firstLine="419"/>
      </w:pPr>
      <w:r>
        <w:t>目前企业对厂区有组织废气排气筒、无组织厂界均进行例行环境现状监测，每年监测一次，四周厂界噪声情况每季度一次。</w:t>
      </w:r>
    </w:p>
    <w:p>
      <w:pPr>
        <w:pStyle w:val="Heading3"/>
        <w:numPr>
          <w:ilvl w:val="0"/>
          <w:numId w:val="16"/>
        </w:numPr>
        <w:tabs>
          <w:tab w:val="left" w:pos="1403"/>
        </w:tabs>
        <w:spacing w:before="0" w:after="0" w:line="265" w:lineRule="exact"/>
        <w:ind w:left="1403" w:right="0" w:hanging="160"/>
        <w:jc w:val="left"/>
      </w:pPr>
      <w:r>
        <w:t>排污许可证情况</w:t>
      </w:r>
    </w:p>
    <w:p>
      <w:pPr>
        <w:pStyle w:val="BodyText"/>
        <w:spacing w:before="138" w:line="364" w:lineRule="auto"/>
        <w:ind w:left="821" w:right="391" w:firstLine="419"/>
      </w:pPr>
      <w:r>
        <w:rPr>
          <w:spacing w:val="-7"/>
        </w:rPr>
        <w:t xml:space="preserve">企业于 </w:t>
      </w:r>
      <w:r>
        <w:rPr>
          <w:rFonts w:ascii="Times New Roman" w:eastAsia="Times New Roman"/>
        </w:rPr>
        <w:t xml:space="preserve">2020 </w:t>
      </w:r>
      <w:r>
        <w:rPr>
          <w:spacing w:val="-13"/>
        </w:rPr>
        <w:t xml:space="preserve">年 </w:t>
      </w:r>
      <w:r>
        <w:rPr>
          <w:rFonts w:ascii="Times New Roman" w:eastAsia="Times New Roman"/>
        </w:rPr>
        <w:t xml:space="preserve">3 </w:t>
      </w:r>
      <w:r>
        <w:rPr>
          <w:spacing w:val="-11"/>
        </w:rPr>
        <w:t xml:space="preserve">月 </w:t>
      </w:r>
      <w:r>
        <w:rPr>
          <w:rFonts w:ascii="Times New Roman" w:eastAsia="Times New Roman"/>
        </w:rPr>
        <w:t xml:space="preserve">26 </w:t>
      </w:r>
      <w:r>
        <w:rPr>
          <w:spacing w:val="-3"/>
        </w:rPr>
        <w:t>日首次取得排污许可证，</w:t>
      </w:r>
      <w:r>
        <w:rPr>
          <w:rFonts w:ascii="Times New Roman" w:eastAsia="Times New Roman"/>
        </w:rPr>
        <w:t xml:space="preserve">2023 </w:t>
      </w:r>
      <w:r>
        <w:rPr>
          <w:spacing w:val="-13"/>
        </w:rPr>
        <w:t xml:space="preserve">年 </w:t>
      </w:r>
      <w:r>
        <w:rPr>
          <w:rFonts w:ascii="Times New Roman" w:eastAsia="Times New Roman"/>
        </w:rPr>
        <w:t xml:space="preserve">4 </w:t>
      </w:r>
      <w:r>
        <w:rPr>
          <w:spacing w:val="-3"/>
        </w:rPr>
        <w:t>月延续申报，排污许可证编</w:t>
      </w:r>
      <w:r>
        <w:rPr>
          <w:spacing w:val="-2"/>
          <w:w w:val="100"/>
        </w:rPr>
        <w:t>号：</w:t>
      </w:r>
      <w:r>
        <w:rPr>
          <w:rFonts w:ascii="Times New Roman" w:eastAsia="Times New Roman"/>
          <w:w w:val="100"/>
        </w:rPr>
        <w:t>9</w:t>
      </w:r>
      <w:r>
        <w:rPr>
          <w:rFonts w:ascii="Times New Roman" w:eastAsia="Times New Roman"/>
          <w:spacing w:val="-3"/>
          <w:w w:val="100"/>
        </w:rPr>
        <w:t>1</w:t>
      </w:r>
      <w:r>
        <w:rPr>
          <w:rFonts w:ascii="Times New Roman" w:eastAsia="Times New Roman"/>
          <w:w w:val="100"/>
        </w:rPr>
        <w:t>320</w:t>
      </w:r>
      <w:r>
        <w:rPr>
          <w:rFonts w:ascii="Times New Roman" w:eastAsia="Times New Roman"/>
          <w:spacing w:val="-3"/>
          <w:w w:val="100"/>
        </w:rPr>
        <w:t>9</w:t>
      </w:r>
      <w:r>
        <w:rPr>
          <w:rFonts w:ascii="Times New Roman" w:eastAsia="Times New Roman"/>
          <w:w w:val="100"/>
        </w:rPr>
        <w:t>220</w:t>
      </w:r>
      <w:r>
        <w:rPr>
          <w:rFonts w:ascii="Times New Roman" w:eastAsia="Times New Roman"/>
          <w:spacing w:val="-3"/>
          <w:w w:val="100"/>
        </w:rPr>
        <w:t>7</w:t>
      </w:r>
      <w:r>
        <w:rPr>
          <w:rFonts w:ascii="Times New Roman" w:eastAsia="Times New Roman"/>
          <w:w w:val="100"/>
        </w:rPr>
        <w:t>630</w:t>
      </w:r>
      <w:r>
        <w:rPr>
          <w:rFonts w:ascii="Times New Roman" w:eastAsia="Times New Roman"/>
          <w:spacing w:val="-3"/>
          <w:w w:val="100"/>
        </w:rPr>
        <w:t>4</w:t>
      </w:r>
      <w:r>
        <w:rPr>
          <w:rFonts w:ascii="Times New Roman" w:eastAsia="Times New Roman"/>
          <w:w w:val="100"/>
        </w:rPr>
        <w:t>38</w:t>
      </w:r>
      <w:r>
        <w:rPr>
          <w:rFonts w:ascii="Times New Roman" w:eastAsia="Times New Roman"/>
          <w:spacing w:val="-3"/>
          <w:w w:val="100"/>
        </w:rPr>
        <w:t>5</w:t>
      </w:r>
      <w:r>
        <w:rPr>
          <w:rFonts w:ascii="Times New Roman" w:eastAsia="Times New Roman"/>
          <w:spacing w:val="-2"/>
          <w:w w:val="100"/>
        </w:rPr>
        <w:t>B</w:t>
      </w:r>
      <w:r>
        <w:rPr>
          <w:w w:val="100"/>
        </w:rPr>
        <w:t>（</w:t>
      </w:r>
      <w:r>
        <w:rPr>
          <w:spacing w:val="-2"/>
          <w:w w:val="100"/>
        </w:rPr>
        <w:t>详见</w:t>
      </w:r>
      <w:hyperlink w:anchor="_bookmark0" w:history="1">
        <w:r>
          <w:rPr>
            <w:spacing w:val="-2"/>
            <w:w w:val="100"/>
          </w:rPr>
          <w:t>附件三</w:t>
        </w:r>
      </w:hyperlink>
      <w:r>
        <w:rPr>
          <w:rFonts w:ascii="Times New Roman" w:eastAsia="Times New Roman"/>
          <w:spacing w:val="-1"/>
          <w:w w:val="100"/>
        </w:rPr>
        <w:t>-</w:t>
      </w:r>
      <w:r>
        <w:rPr>
          <w:rFonts w:ascii="Times New Roman" w:eastAsia="Times New Roman"/>
          <w:w w:val="100"/>
        </w:rPr>
        <w:t>2</w:t>
      </w:r>
      <w:r>
        <w:rPr>
          <w:spacing w:val="-108"/>
          <w:w w:val="100"/>
        </w:rPr>
        <w:t>）</w:t>
      </w:r>
      <w:r>
        <w:rPr>
          <w:spacing w:val="-3"/>
          <w:w w:val="100"/>
        </w:rPr>
        <w:t>，企业按要求安排例行监测。</w:t>
      </w:r>
    </w:p>
    <w:p>
      <w:pPr>
        <w:pStyle w:val="Heading3"/>
        <w:numPr>
          <w:ilvl w:val="0"/>
          <w:numId w:val="16"/>
        </w:numPr>
        <w:tabs>
          <w:tab w:val="left" w:pos="1403"/>
        </w:tabs>
        <w:spacing w:before="0" w:after="0" w:line="267" w:lineRule="exact"/>
        <w:ind w:left="1403" w:right="0" w:hanging="160"/>
        <w:jc w:val="left"/>
      </w:pPr>
      <w:r>
        <w:rPr>
          <w:spacing w:val="-1"/>
        </w:rPr>
        <w:t>现有项目污染物排放总量</w:t>
      </w:r>
    </w:p>
    <w:p>
      <w:pPr>
        <w:pStyle w:val="BodyText"/>
        <w:spacing w:before="142"/>
        <w:ind w:left="1241"/>
      </w:pPr>
      <w:r>
        <w:t>现有项目污染物排放总量情况见</w:t>
      </w:r>
      <w:hyperlink w:anchor="_bookmark20" w:history="1">
        <w:r>
          <w:t xml:space="preserve">表 </w:t>
        </w:r>
        <w:r>
          <w:rPr>
            <w:rFonts w:ascii="Times New Roman" w:eastAsia="Times New Roman"/>
          </w:rPr>
          <w:t>2-13</w:t>
        </w:r>
      </w:hyperlink>
      <w:r>
        <w:t>。</w:t>
      </w:r>
    </w:p>
    <w:p>
      <w:pPr>
        <w:pStyle w:val="Heading3"/>
        <w:spacing w:before="139"/>
        <w:ind w:left="427" w:right="5"/>
        <w:jc w:val="center"/>
      </w:pPr>
      <w:bookmarkStart w:id="20" w:name="_bookmark20"/>
      <w:bookmarkEnd w:id="20"/>
      <w:r>
        <w:t xml:space="preserve">表 </w:t>
      </w:r>
      <w:r>
        <w:rPr>
          <w:rFonts w:ascii="Times New Roman" w:eastAsia="Times New Roman"/>
        </w:rPr>
        <w:t xml:space="preserve">2-13 </w:t>
      </w:r>
      <w:r>
        <w:t>现有项目污染物排放总量情况表（单位：</w:t>
      </w:r>
      <w:r>
        <w:rPr>
          <w:rFonts w:ascii="Times New Roman" w:eastAsia="Times New Roman"/>
        </w:rPr>
        <w:t>t/a</w:t>
      </w:r>
      <w:r>
        <w:t>）</w:t>
      </w:r>
    </w:p>
    <w:tbl>
      <w:tblPr>
        <w:tblStyle w:val="TableNormal"/>
        <w:tblW w:w="0" w:type="auto"/>
        <w:tblInd w:w="8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950"/>
        <w:gridCol w:w="977"/>
        <w:gridCol w:w="1492"/>
        <w:gridCol w:w="1276"/>
        <w:gridCol w:w="1698"/>
        <w:gridCol w:w="2001"/>
      </w:tblGrid>
      <w:tr>
        <w:tblPrEx>
          <w:tblW w:w="0" w:type="auto"/>
          <w:tblInd w:w="8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67"/>
        </w:trPr>
        <w:tc>
          <w:tcPr>
            <w:tcW w:w="1927" w:type="dxa"/>
            <w:gridSpan w:val="2"/>
          </w:tcPr>
          <w:p>
            <w:pPr>
              <w:pStyle w:val="TableParagraph"/>
              <w:spacing w:before="117"/>
              <w:ind w:left="764" w:right="748"/>
              <w:jc w:val="center"/>
              <w:rPr>
                <w:b/>
                <w:sz w:val="18"/>
              </w:rPr>
            </w:pPr>
            <w:r>
              <w:rPr>
                <w:b/>
                <w:sz w:val="18"/>
              </w:rPr>
              <w:t>类别</w:t>
            </w:r>
          </w:p>
        </w:tc>
        <w:tc>
          <w:tcPr>
            <w:tcW w:w="1492" w:type="dxa"/>
          </w:tcPr>
          <w:p>
            <w:pPr>
              <w:pStyle w:val="TableParagraph"/>
              <w:spacing w:before="117"/>
              <w:ind w:left="184" w:right="175"/>
              <w:jc w:val="center"/>
              <w:rPr>
                <w:b/>
                <w:sz w:val="18"/>
              </w:rPr>
            </w:pPr>
            <w:r>
              <w:rPr>
                <w:b/>
                <w:sz w:val="18"/>
              </w:rPr>
              <w:t>污染因子</w:t>
            </w:r>
          </w:p>
        </w:tc>
        <w:tc>
          <w:tcPr>
            <w:tcW w:w="1276" w:type="dxa"/>
          </w:tcPr>
          <w:p>
            <w:pPr>
              <w:pStyle w:val="TableParagraph"/>
              <w:spacing w:before="117"/>
              <w:ind w:left="170" w:right="152"/>
              <w:jc w:val="center"/>
              <w:rPr>
                <w:b/>
                <w:sz w:val="18"/>
              </w:rPr>
            </w:pPr>
            <w:r>
              <w:rPr>
                <w:b/>
                <w:sz w:val="18"/>
              </w:rPr>
              <w:t>环评批复量</w:t>
            </w:r>
          </w:p>
        </w:tc>
        <w:tc>
          <w:tcPr>
            <w:tcW w:w="1698" w:type="dxa"/>
            <w:tcBorders>
              <w:right w:val="single" w:sz="6" w:space="0" w:color="000000"/>
            </w:tcBorders>
          </w:tcPr>
          <w:p>
            <w:pPr>
              <w:pStyle w:val="TableParagraph"/>
              <w:spacing w:before="2" w:line="230" w:lineRule="atLeast"/>
              <w:ind w:left="580" w:right="289" w:hanging="272"/>
              <w:rPr>
                <w:b/>
                <w:sz w:val="18"/>
              </w:rPr>
            </w:pPr>
            <w:r>
              <w:rPr>
                <w:b/>
                <w:sz w:val="18"/>
              </w:rPr>
              <w:t>“以新带老” 削减量</w:t>
            </w:r>
          </w:p>
        </w:tc>
        <w:tc>
          <w:tcPr>
            <w:tcW w:w="2001" w:type="dxa"/>
            <w:tcBorders>
              <w:left w:val="single" w:sz="6" w:space="0" w:color="000000"/>
            </w:tcBorders>
          </w:tcPr>
          <w:p>
            <w:pPr>
              <w:pStyle w:val="TableParagraph"/>
              <w:spacing w:before="2" w:line="230" w:lineRule="atLeast"/>
              <w:ind w:left="371" w:right="168" w:hanging="180"/>
              <w:rPr>
                <w:b/>
                <w:sz w:val="18"/>
              </w:rPr>
            </w:pPr>
            <w:r>
              <w:rPr>
                <w:b/>
                <w:sz w:val="18"/>
              </w:rPr>
              <w:t>“以新带老”后现有项目全厂排放量</w:t>
            </w:r>
          </w:p>
        </w:tc>
      </w:tr>
      <w:tr>
        <w:tblPrEx>
          <w:tblW w:w="0" w:type="auto"/>
          <w:tblInd w:w="831" w:type="dxa"/>
          <w:tblLayout w:type="fixed"/>
          <w:tblCellMar>
            <w:top w:w="0" w:type="dxa"/>
            <w:left w:w="0" w:type="dxa"/>
            <w:bottom w:w="0" w:type="dxa"/>
            <w:right w:w="0" w:type="dxa"/>
          </w:tblCellMar>
        </w:tblPrEx>
        <w:trPr>
          <w:trHeight w:val="282"/>
        </w:trPr>
        <w:tc>
          <w:tcPr>
            <w:tcW w:w="950" w:type="dxa"/>
            <w:vMerge w:val="restart"/>
          </w:tcPr>
          <w:p>
            <w:pPr>
              <w:pStyle w:val="TableParagraph"/>
              <w:spacing w:before="6"/>
              <w:rPr>
                <w:b/>
                <w:sz w:val="13"/>
              </w:rPr>
            </w:pPr>
          </w:p>
          <w:p>
            <w:pPr>
              <w:pStyle w:val="TableParagraph"/>
              <w:ind w:left="297"/>
              <w:rPr>
                <w:sz w:val="18"/>
              </w:rPr>
            </w:pPr>
            <w:r>
              <w:rPr>
                <w:sz w:val="18"/>
              </w:rPr>
              <w:t>废气</w:t>
            </w:r>
          </w:p>
        </w:tc>
        <w:tc>
          <w:tcPr>
            <w:tcW w:w="977" w:type="dxa"/>
          </w:tcPr>
          <w:p>
            <w:pPr>
              <w:pStyle w:val="TableParagraph"/>
              <w:spacing w:before="26"/>
              <w:ind w:left="109" w:right="95"/>
              <w:jc w:val="center"/>
              <w:rPr>
                <w:sz w:val="18"/>
              </w:rPr>
            </w:pPr>
            <w:r>
              <w:rPr>
                <w:sz w:val="18"/>
              </w:rPr>
              <w:t>有组织</w:t>
            </w:r>
          </w:p>
        </w:tc>
        <w:tc>
          <w:tcPr>
            <w:tcW w:w="1492" w:type="dxa"/>
          </w:tcPr>
          <w:p>
            <w:pPr>
              <w:pStyle w:val="TableParagraph"/>
              <w:spacing w:before="26"/>
              <w:ind w:left="184" w:right="175"/>
              <w:jc w:val="center"/>
              <w:rPr>
                <w:sz w:val="18"/>
              </w:rPr>
            </w:pPr>
            <w:r>
              <w:rPr>
                <w:sz w:val="18"/>
              </w:rPr>
              <w:t>非甲烷总烃</w:t>
            </w:r>
          </w:p>
        </w:tc>
        <w:tc>
          <w:tcPr>
            <w:tcW w:w="1276" w:type="dxa"/>
          </w:tcPr>
          <w:p>
            <w:pPr>
              <w:pStyle w:val="TableParagraph"/>
              <w:spacing w:before="34"/>
              <w:ind w:left="169" w:right="152"/>
              <w:jc w:val="center"/>
              <w:rPr>
                <w:rFonts w:ascii="Times New Roman"/>
                <w:sz w:val="12"/>
              </w:rPr>
            </w:pPr>
            <w:r>
              <w:rPr>
                <w:rFonts w:ascii="Times New Roman"/>
                <w:sz w:val="18"/>
              </w:rPr>
              <w:t>0.081</w:t>
            </w:r>
            <w:r>
              <w:rPr>
                <w:rFonts w:ascii="Times New Roman"/>
                <w:position w:val="6"/>
                <w:sz w:val="12"/>
              </w:rPr>
              <w:t>[1]</w:t>
            </w:r>
          </w:p>
        </w:tc>
        <w:tc>
          <w:tcPr>
            <w:tcW w:w="1698" w:type="dxa"/>
            <w:tcBorders>
              <w:right w:val="single" w:sz="6" w:space="0" w:color="000000"/>
            </w:tcBorders>
          </w:tcPr>
          <w:p>
            <w:pPr>
              <w:pStyle w:val="TableParagraph"/>
              <w:spacing w:before="34"/>
              <w:ind w:left="558" w:right="541"/>
              <w:jc w:val="center"/>
              <w:rPr>
                <w:rFonts w:ascii="Times New Roman"/>
                <w:sz w:val="12"/>
              </w:rPr>
            </w:pPr>
            <w:r>
              <w:rPr>
                <w:rFonts w:ascii="Times New Roman"/>
                <w:sz w:val="18"/>
              </w:rPr>
              <w:t>0.040</w:t>
            </w:r>
            <w:r>
              <w:rPr>
                <w:rFonts w:ascii="Times New Roman"/>
                <w:position w:val="6"/>
                <w:sz w:val="12"/>
              </w:rPr>
              <w:t>[2]</w:t>
            </w:r>
          </w:p>
        </w:tc>
        <w:tc>
          <w:tcPr>
            <w:tcW w:w="2001" w:type="dxa"/>
            <w:tcBorders>
              <w:left w:val="single" w:sz="6" w:space="0" w:color="000000"/>
            </w:tcBorders>
          </w:tcPr>
          <w:p>
            <w:pPr>
              <w:pStyle w:val="TableParagraph"/>
              <w:spacing w:before="34"/>
              <w:ind w:right="708"/>
              <w:jc w:val="right"/>
              <w:rPr>
                <w:rFonts w:ascii="Times New Roman"/>
                <w:sz w:val="12"/>
              </w:rPr>
            </w:pPr>
            <w:r>
              <w:rPr>
                <w:rFonts w:ascii="Times New Roman"/>
                <w:sz w:val="18"/>
              </w:rPr>
              <w:t>0.041</w:t>
            </w:r>
            <w:r>
              <w:rPr>
                <w:rFonts w:ascii="Times New Roman"/>
                <w:position w:val="6"/>
                <w:sz w:val="12"/>
              </w:rPr>
              <w:t>[2]</w:t>
            </w:r>
          </w:p>
        </w:tc>
      </w:tr>
      <w:tr>
        <w:tblPrEx>
          <w:tblW w:w="0" w:type="auto"/>
          <w:tblInd w:w="831" w:type="dxa"/>
          <w:tblLayout w:type="fixed"/>
          <w:tblCellMar>
            <w:top w:w="0" w:type="dxa"/>
            <w:left w:w="0" w:type="dxa"/>
            <w:bottom w:w="0" w:type="dxa"/>
            <w:right w:w="0" w:type="dxa"/>
          </w:tblCellMar>
        </w:tblPrEx>
        <w:trPr>
          <w:trHeight w:val="283"/>
        </w:trPr>
        <w:tc>
          <w:tcPr>
            <w:tcW w:w="950" w:type="dxa"/>
            <w:vMerge/>
            <w:tcBorders>
              <w:top w:val="nil"/>
            </w:tcBorders>
          </w:tcPr>
          <w:p>
            <w:pPr>
              <w:rPr>
                <w:sz w:val="2"/>
                <w:szCs w:val="2"/>
              </w:rPr>
            </w:pPr>
          </w:p>
        </w:tc>
        <w:tc>
          <w:tcPr>
            <w:tcW w:w="977" w:type="dxa"/>
          </w:tcPr>
          <w:p>
            <w:pPr>
              <w:pStyle w:val="TableParagraph"/>
              <w:spacing w:before="26"/>
              <w:ind w:left="109" w:right="95"/>
              <w:jc w:val="center"/>
              <w:rPr>
                <w:sz w:val="18"/>
              </w:rPr>
            </w:pPr>
            <w:r>
              <w:rPr>
                <w:sz w:val="18"/>
              </w:rPr>
              <w:t>无组织</w:t>
            </w:r>
          </w:p>
        </w:tc>
        <w:tc>
          <w:tcPr>
            <w:tcW w:w="1492" w:type="dxa"/>
          </w:tcPr>
          <w:p>
            <w:pPr>
              <w:pStyle w:val="TableParagraph"/>
              <w:spacing w:before="26"/>
              <w:ind w:left="184" w:right="175"/>
              <w:jc w:val="center"/>
              <w:rPr>
                <w:sz w:val="18"/>
              </w:rPr>
            </w:pPr>
            <w:r>
              <w:rPr>
                <w:sz w:val="18"/>
              </w:rPr>
              <w:t>非甲烷总烃</w:t>
            </w:r>
          </w:p>
        </w:tc>
        <w:tc>
          <w:tcPr>
            <w:tcW w:w="1276" w:type="dxa"/>
          </w:tcPr>
          <w:p>
            <w:pPr>
              <w:pStyle w:val="TableParagraph"/>
              <w:spacing w:before="34"/>
              <w:ind w:left="169" w:right="152"/>
              <w:jc w:val="center"/>
              <w:rPr>
                <w:rFonts w:ascii="Times New Roman"/>
                <w:sz w:val="12"/>
              </w:rPr>
            </w:pPr>
            <w:r>
              <w:rPr>
                <w:rFonts w:ascii="Times New Roman"/>
                <w:sz w:val="18"/>
              </w:rPr>
              <w:t>0.090</w:t>
            </w:r>
            <w:r>
              <w:rPr>
                <w:rFonts w:ascii="Times New Roman"/>
                <w:position w:val="6"/>
                <w:sz w:val="12"/>
              </w:rPr>
              <w:t>[1]</w:t>
            </w:r>
          </w:p>
        </w:tc>
        <w:tc>
          <w:tcPr>
            <w:tcW w:w="1698" w:type="dxa"/>
            <w:tcBorders>
              <w:right w:val="single" w:sz="6" w:space="0" w:color="000000"/>
            </w:tcBorders>
          </w:tcPr>
          <w:p>
            <w:pPr>
              <w:pStyle w:val="TableParagraph"/>
              <w:spacing w:before="38"/>
              <w:ind w:left="17"/>
              <w:jc w:val="center"/>
              <w:rPr>
                <w:rFonts w:ascii="Times New Roman"/>
                <w:sz w:val="18"/>
              </w:rPr>
            </w:pPr>
            <w:r>
              <w:rPr>
                <w:rFonts w:ascii="Times New Roman"/>
                <w:sz w:val="18"/>
              </w:rPr>
              <w:t>0</w:t>
            </w:r>
          </w:p>
        </w:tc>
        <w:tc>
          <w:tcPr>
            <w:tcW w:w="2001" w:type="dxa"/>
            <w:tcBorders>
              <w:left w:val="single" w:sz="6" w:space="0" w:color="000000"/>
            </w:tcBorders>
          </w:tcPr>
          <w:p>
            <w:pPr>
              <w:pStyle w:val="TableParagraph"/>
              <w:spacing w:before="38"/>
              <w:ind w:right="777"/>
              <w:jc w:val="right"/>
              <w:rPr>
                <w:rFonts w:ascii="Times New Roman"/>
                <w:sz w:val="18"/>
              </w:rPr>
            </w:pPr>
            <w:r>
              <w:rPr>
                <w:rFonts w:ascii="Times New Roman"/>
                <w:sz w:val="18"/>
              </w:rPr>
              <w:t>0.090</w:t>
            </w:r>
          </w:p>
        </w:tc>
      </w:tr>
      <w:tr>
        <w:tblPrEx>
          <w:tblW w:w="0" w:type="auto"/>
          <w:tblInd w:w="831" w:type="dxa"/>
          <w:tblLayout w:type="fixed"/>
          <w:tblCellMar>
            <w:top w:w="0" w:type="dxa"/>
            <w:left w:w="0" w:type="dxa"/>
            <w:bottom w:w="0" w:type="dxa"/>
            <w:right w:w="0" w:type="dxa"/>
          </w:tblCellMar>
        </w:tblPrEx>
        <w:trPr>
          <w:trHeight w:val="282"/>
        </w:trPr>
        <w:tc>
          <w:tcPr>
            <w:tcW w:w="950" w:type="dxa"/>
            <w:vMerge w:val="restart"/>
          </w:tcPr>
          <w:p>
            <w:pPr>
              <w:pStyle w:val="TableParagraph"/>
              <w:rPr>
                <w:b/>
                <w:sz w:val="18"/>
              </w:rPr>
            </w:pPr>
          </w:p>
          <w:p>
            <w:pPr>
              <w:pStyle w:val="TableParagraph"/>
              <w:rPr>
                <w:b/>
                <w:sz w:val="18"/>
              </w:rPr>
            </w:pPr>
          </w:p>
          <w:p>
            <w:pPr>
              <w:pStyle w:val="TableParagraph"/>
              <w:spacing w:before="2"/>
              <w:rPr>
                <w:b/>
                <w:sz w:val="23"/>
              </w:rPr>
            </w:pPr>
          </w:p>
          <w:p>
            <w:pPr>
              <w:pStyle w:val="TableParagraph"/>
              <w:ind w:left="297"/>
              <w:rPr>
                <w:sz w:val="18"/>
              </w:rPr>
            </w:pPr>
            <w:r>
              <w:rPr>
                <w:sz w:val="18"/>
              </w:rPr>
              <w:t>废水</w:t>
            </w:r>
          </w:p>
        </w:tc>
        <w:tc>
          <w:tcPr>
            <w:tcW w:w="977" w:type="dxa"/>
            <w:vMerge w:val="restart"/>
          </w:tcPr>
          <w:p>
            <w:pPr>
              <w:pStyle w:val="TableParagraph"/>
              <w:rPr>
                <w:b/>
                <w:sz w:val="18"/>
              </w:rPr>
            </w:pPr>
          </w:p>
          <w:p>
            <w:pPr>
              <w:pStyle w:val="TableParagraph"/>
              <w:rPr>
                <w:b/>
                <w:sz w:val="18"/>
              </w:rPr>
            </w:pPr>
          </w:p>
          <w:p>
            <w:pPr>
              <w:pStyle w:val="TableParagraph"/>
              <w:spacing w:before="1"/>
              <w:rPr>
                <w:b/>
                <w:sz w:val="15"/>
              </w:rPr>
            </w:pPr>
          </w:p>
          <w:p>
            <w:pPr>
              <w:pStyle w:val="TableParagraph"/>
              <w:spacing w:line="230" w:lineRule="exact"/>
              <w:ind w:left="109" w:right="97"/>
              <w:jc w:val="center"/>
              <w:rPr>
                <w:sz w:val="18"/>
              </w:rPr>
            </w:pPr>
            <w:r>
              <w:rPr>
                <w:sz w:val="18"/>
              </w:rPr>
              <w:t>生活污水</w:t>
            </w:r>
          </w:p>
          <w:p>
            <w:pPr>
              <w:pStyle w:val="TableParagraph"/>
              <w:spacing w:line="137" w:lineRule="exact"/>
              <w:ind w:left="109" w:right="95"/>
              <w:jc w:val="center"/>
              <w:rPr>
                <w:rFonts w:ascii="Times New Roman"/>
                <w:sz w:val="12"/>
              </w:rPr>
            </w:pPr>
            <w:r>
              <w:rPr>
                <w:rFonts w:ascii="Times New Roman"/>
                <w:sz w:val="12"/>
              </w:rPr>
              <w:t>[3]</w:t>
            </w:r>
          </w:p>
        </w:tc>
        <w:tc>
          <w:tcPr>
            <w:tcW w:w="1492" w:type="dxa"/>
          </w:tcPr>
          <w:p>
            <w:pPr>
              <w:pStyle w:val="TableParagraph"/>
              <w:spacing w:before="26"/>
              <w:ind w:left="184" w:right="175"/>
              <w:jc w:val="center"/>
              <w:rPr>
                <w:sz w:val="18"/>
              </w:rPr>
            </w:pPr>
            <w:r>
              <w:rPr>
                <w:sz w:val="18"/>
              </w:rPr>
              <w:t>废水量</w:t>
            </w:r>
          </w:p>
        </w:tc>
        <w:tc>
          <w:tcPr>
            <w:tcW w:w="1276" w:type="dxa"/>
          </w:tcPr>
          <w:p>
            <w:pPr>
              <w:pStyle w:val="TableParagraph"/>
              <w:spacing w:before="34"/>
              <w:ind w:left="169" w:right="152"/>
              <w:jc w:val="center"/>
              <w:rPr>
                <w:rFonts w:ascii="Times New Roman"/>
                <w:sz w:val="12"/>
              </w:rPr>
            </w:pPr>
            <w:r>
              <w:rPr>
                <w:rFonts w:ascii="Times New Roman"/>
                <w:position w:val="-5"/>
                <w:sz w:val="18"/>
              </w:rPr>
              <w:t>840</w:t>
            </w:r>
            <w:r>
              <w:rPr>
                <w:rFonts w:ascii="Times New Roman"/>
                <w:sz w:val="12"/>
              </w:rPr>
              <w:t>[3]</w:t>
            </w:r>
          </w:p>
        </w:tc>
        <w:tc>
          <w:tcPr>
            <w:tcW w:w="1698" w:type="dxa"/>
            <w:tcBorders>
              <w:right w:val="single" w:sz="6" w:space="0" w:color="000000"/>
            </w:tcBorders>
          </w:tcPr>
          <w:p>
            <w:pPr>
              <w:pStyle w:val="TableParagraph"/>
              <w:spacing w:before="38"/>
              <w:ind w:left="17"/>
              <w:jc w:val="center"/>
              <w:rPr>
                <w:rFonts w:ascii="Times New Roman"/>
                <w:sz w:val="18"/>
              </w:rPr>
            </w:pPr>
            <w:r>
              <w:rPr>
                <w:rFonts w:ascii="Times New Roman"/>
                <w:sz w:val="18"/>
              </w:rPr>
              <w:t>0</w:t>
            </w:r>
          </w:p>
        </w:tc>
        <w:tc>
          <w:tcPr>
            <w:tcW w:w="2001" w:type="dxa"/>
            <w:tcBorders>
              <w:left w:val="single" w:sz="6" w:space="0" w:color="000000"/>
            </w:tcBorders>
          </w:tcPr>
          <w:p>
            <w:pPr>
              <w:pStyle w:val="TableParagraph"/>
              <w:spacing w:before="38"/>
              <w:ind w:left="849" w:right="828"/>
              <w:jc w:val="center"/>
              <w:rPr>
                <w:rFonts w:ascii="Times New Roman"/>
                <w:sz w:val="18"/>
              </w:rPr>
            </w:pPr>
            <w:r>
              <w:rPr>
                <w:rFonts w:ascii="Times New Roman"/>
                <w:sz w:val="18"/>
              </w:rPr>
              <w:t>840</w:t>
            </w:r>
          </w:p>
        </w:tc>
      </w:tr>
      <w:tr>
        <w:tblPrEx>
          <w:tblW w:w="0" w:type="auto"/>
          <w:tblInd w:w="831" w:type="dxa"/>
          <w:tblLayout w:type="fixed"/>
          <w:tblCellMar>
            <w:top w:w="0" w:type="dxa"/>
            <w:left w:w="0" w:type="dxa"/>
            <w:bottom w:w="0" w:type="dxa"/>
            <w:right w:w="0" w:type="dxa"/>
          </w:tblCellMar>
        </w:tblPrEx>
        <w:trPr>
          <w:trHeight w:val="282"/>
        </w:trPr>
        <w:tc>
          <w:tcPr>
            <w:tcW w:w="950" w:type="dxa"/>
            <w:vMerge/>
            <w:tcBorders>
              <w:top w:val="nil"/>
            </w:tcBorders>
          </w:tcPr>
          <w:p>
            <w:pPr>
              <w:rPr>
                <w:sz w:val="2"/>
                <w:szCs w:val="2"/>
              </w:rPr>
            </w:pPr>
          </w:p>
        </w:tc>
        <w:tc>
          <w:tcPr>
            <w:tcW w:w="977" w:type="dxa"/>
            <w:vMerge/>
            <w:tcBorders>
              <w:top w:val="nil"/>
            </w:tcBorders>
          </w:tcPr>
          <w:p>
            <w:pPr>
              <w:rPr>
                <w:sz w:val="2"/>
                <w:szCs w:val="2"/>
              </w:rPr>
            </w:pPr>
          </w:p>
        </w:tc>
        <w:tc>
          <w:tcPr>
            <w:tcW w:w="1492" w:type="dxa"/>
          </w:tcPr>
          <w:p>
            <w:pPr>
              <w:pStyle w:val="TableParagraph"/>
              <w:spacing w:before="38"/>
              <w:ind w:left="186" w:right="174"/>
              <w:jc w:val="center"/>
              <w:rPr>
                <w:rFonts w:ascii="Times New Roman"/>
                <w:sz w:val="18"/>
              </w:rPr>
            </w:pPr>
            <w:r>
              <w:rPr>
                <w:rFonts w:ascii="Times New Roman"/>
                <w:sz w:val="18"/>
              </w:rPr>
              <w:t>COD</w:t>
            </w:r>
          </w:p>
        </w:tc>
        <w:tc>
          <w:tcPr>
            <w:tcW w:w="1276" w:type="dxa"/>
          </w:tcPr>
          <w:p>
            <w:pPr>
              <w:pStyle w:val="TableParagraph"/>
              <w:spacing w:before="34"/>
              <w:ind w:left="169" w:right="152"/>
              <w:jc w:val="center"/>
              <w:rPr>
                <w:rFonts w:ascii="Times New Roman"/>
                <w:sz w:val="12"/>
              </w:rPr>
            </w:pPr>
            <w:r>
              <w:rPr>
                <w:rFonts w:ascii="Times New Roman"/>
                <w:sz w:val="18"/>
              </w:rPr>
              <w:t>0.336</w:t>
            </w:r>
            <w:r>
              <w:rPr>
                <w:rFonts w:ascii="Times New Roman"/>
                <w:position w:val="6"/>
                <w:sz w:val="12"/>
              </w:rPr>
              <w:t>[3]</w:t>
            </w:r>
          </w:p>
        </w:tc>
        <w:tc>
          <w:tcPr>
            <w:tcW w:w="1698" w:type="dxa"/>
            <w:tcBorders>
              <w:right w:val="single" w:sz="6" w:space="0" w:color="000000"/>
            </w:tcBorders>
          </w:tcPr>
          <w:p>
            <w:pPr>
              <w:pStyle w:val="TableParagraph"/>
              <w:spacing w:before="38"/>
              <w:ind w:left="17"/>
              <w:jc w:val="center"/>
              <w:rPr>
                <w:rFonts w:ascii="Times New Roman"/>
                <w:sz w:val="18"/>
              </w:rPr>
            </w:pPr>
            <w:r>
              <w:rPr>
                <w:rFonts w:ascii="Times New Roman"/>
                <w:sz w:val="18"/>
              </w:rPr>
              <w:t>0</w:t>
            </w:r>
          </w:p>
        </w:tc>
        <w:tc>
          <w:tcPr>
            <w:tcW w:w="2001" w:type="dxa"/>
            <w:tcBorders>
              <w:left w:val="single" w:sz="6" w:space="0" w:color="000000"/>
            </w:tcBorders>
          </w:tcPr>
          <w:p>
            <w:pPr>
              <w:pStyle w:val="TableParagraph"/>
              <w:spacing w:before="38"/>
              <w:ind w:right="779"/>
              <w:jc w:val="right"/>
              <w:rPr>
                <w:rFonts w:ascii="Times New Roman"/>
                <w:sz w:val="18"/>
              </w:rPr>
            </w:pPr>
            <w:r>
              <w:rPr>
                <w:rFonts w:ascii="Times New Roman"/>
                <w:sz w:val="18"/>
              </w:rPr>
              <w:t>0.336</w:t>
            </w:r>
          </w:p>
        </w:tc>
      </w:tr>
      <w:tr>
        <w:tblPrEx>
          <w:tblW w:w="0" w:type="auto"/>
          <w:tblInd w:w="831" w:type="dxa"/>
          <w:tblLayout w:type="fixed"/>
          <w:tblCellMar>
            <w:top w:w="0" w:type="dxa"/>
            <w:left w:w="0" w:type="dxa"/>
            <w:bottom w:w="0" w:type="dxa"/>
            <w:right w:w="0" w:type="dxa"/>
          </w:tblCellMar>
        </w:tblPrEx>
        <w:trPr>
          <w:trHeight w:val="282"/>
        </w:trPr>
        <w:tc>
          <w:tcPr>
            <w:tcW w:w="950" w:type="dxa"/>
            <w:vMerge/>
            <w:tcBorders>
              <w:top w:val="nil"/>
            </w:tcBorders>
          </w:tcPr>
          <w:p>
            <w:pPr>
              <w:rPr>
                <w:sz w:val="2"/>
                <w:szCs w:val="2"/>
              </w:rPr>
            </w:pPr>
          </w:p>
        </w:tc>
        <w:tc>
          <w:tcPr>
            <w:tcW w:w="977" w:type="dxa"/>
            <w:vMerge/>
            <w:tcBorders>
              <w:top w:val="nil"/>
            </w:tcBorders>
          </w:tcPr>
          <w:p>
            <w:pPr>
              <w:rPr>
                <w:sz w:val="2"/>
                <w:szCs w:val="2"/>
              </w:rPr>
            </w:pPr>
          </w:p>
        </w:tc>
        <w:tc>
          <w:tcPr>
            <w:tcW w:w="1492" w:type="dxa"/>
          </w:tcPr>
          <w:p>
            <w:pPr>
              <w:pStyle w:val="TableParagraph"/>
              <w:spacing w:before="38"/>
              <w:ind w:left="186" w:right="175"/>
              <w:jc w:val="center"/>
              <w:rPr>
                <w:rFonts w:ascii="Times New Roman"/>
                <w:sz w:val="18"/>
              </w:rPr>
            </w:pPr>
            <w:r>
              <w:rPr>
                <w:rFonts w:ascii="Times New Roman"/>
                <w:sz w:val="18"/>
              </w:rPr>
              <w:t>SS</w:t>
            </w:r>
          </w:p>
        </w:tc>
        <w:tc>
          <w:tcPr>
            <w:tcW w:w="1276" w:type="dxa"/>
          </w:tcPr>
          <w:p>
            <w:pPr>
              <w:pStyle w:val="TableParagraph"/>
              <w:spacing w:before="34"/>
              <w:ind w:left="169" w:right="152"/>
              <w:jc w:val="center"/>
              <w:rPr>
                <w:rFonts w:ascii="Times New Roman"/>
                <w:sz w:val="12"/>
              </w:rPr>
            </w:pPr>
            <w:r>
              <w:rPr>
                <w:rFonts w:ascii="Times New Roman"/>
                <w:sz w:val="18"/>
              </w:rPr>
              <w:t>0.210</w:t>
            </w:r>
            <w:r>
              <w:rPr>
                <w:rFonts w:ascii="Times New Roman"/>
                <w:position w:val="6"/>
                <w:sz w:val="12"/>
              </w:rPr>
              <w:t>[3]</w:t>
            </w:r>
          </w:p>
        </w:tc>
        <w:tc>
          <w:tcPr>
            <w:tcW w:w="1698" w:type="dxa"/>
            <w:tcBorders>
              <w:right w:val="single" w:sz="6" w:space="0" w:color="000000"/>
            </w:tcBorders>
          </w:tcPr>
          <w:p>
            <w:pPr>
              <w:pStyle w:val="TableParagraph"/>
              <w:spacing w:before="38"/>
              <w:ind w:left="17"/>
              <w:jc w:val="center"/>
              <w:rPr>
                <w:rFonts w:ascii="Times New Roman"/>
                <w:sz w:val="18"/>
              </w:rPr>
            </w:pPr>
            <w:r>
              <w:rPr>
                <w:rFonts w:ascii="Times New Roman"/>
                <w:sz w:val="18"/>
              </w:rPr>
              <w:t>0</w:t>
            </w:r>
          </w:p>
        </w:tc>
        <w:tc>
          <w:tcPr>
            <w:tcW w:w="2001" w:type="dxa"/>
            <w:tcBorders>
              <w:left w:val="single" w:sz="6" w:space="0" w:color="000000"/>
            </w:tcBorders>
          </w:tcPr>
          <w:p>
            <w:pPr>
              <w:pStyle w:val="TableParagraph"/>
              <w:spacing w:before="38"/>
              <w:ind w:right="779"/>
              <w:jc w:val="right"/>
              <w:rPr>
                <w:rFonts w:ascii="Times New Roman"/>
                <w:sz w:val="18"/>
              </w:rPr>
            </w:pPr>
            <w:r>
              <w:rPr>
                <w:rFonts w:ascii="Times New Roman"/>
                <w:sz w:val="18"/>
              </w:rPr>
              <w:t>0.210</w:t>
            </w:r>
          </w:p>
        </w:tc>
      </w:tr>
      <w:tr>
        <w:tblPrEx>
          <w:tblW w:w="0" w:type="auto"/>
          <w:tblInd w:w="831" w:type="dxa"/>
          <w:tblLayout w:type="fixed"/>
          <w:tblCellMar>
            <w:top w:w="0" w:type="dxa"/>
            <w:left w:w="0" w:type="dxa"/>
            <w:bottom w:w="0" w:type="dxa"/>
            <w:right w:w="0" w:type="dxa"/>
          </w:tblCellMar>
        </w:tblPrEx>
        <w:trPr>
          <w:trHeight w:val="285"/>
        </w:trPr>
        <w:tc>
          <w:tcPr>
            <w:tcW w:w="950" w:type="dxa"/>
            <w:vMerge/>
            <w:tcBorders>
              <w:top w:val="nil"/>
            </w:tcBorders>
          </w:tcPr>
          <w:p>
            <w:pPr>
              <w:rPr>
                <w:sz w:val="2"/>
                <w:szCs w:val="2"/>
              </w:rPr>
            </w:pPr>
          </w:p>
        </w:tc>
        <w:tc>
          <w:tcPr>
            <w:tcW w:w="977" w:type="dxa"/>
            <w:vMerge/>
            <w:tcBorders>
              <w:top w:val="nil"/>
            </w:tcBorders>
          </w:tcPr>
          <w:p>
            <w:pPr>
              <w:rPr>
                <w:sz w:val="2"/>
                <w:szCs w:val="2"/>
              </w:rPr>
            </w:pPr>
          </w:p>
        </w:tc>
        <w:tc>
          <w:tcPr>
            <w:tcW w:w="1492" w:type="dxa"/>
          </w:tcPr>
          <w:p>
            <w:pPr>
              <w:pStyle w:val="TableParagraph"/>
              <w:spacing w:before="26"/>
              <w:ind w:left="186" w:right="175"/>
              <w:jc w:val="center"/>
              <w:rPr>
                <w:sz w:val="18"/>
              </w:rPr>
            </w:pPr>
            <w:r>
              <w:rPr>
                <w:sz w:val="18"/>
              </w:rPr>
              <w:t>氨氮</w:t>
            </w:r>
          </w:p>
        </w:tc>
        <w:tc>
          <w:tcPr>
            <w:tcW w:w="1276" w:type="dxa"/>
          </w:tcPr>
          <w:p>
            <w:pPr>
              <w:pStyle w:val="TableParagraph"/>
              <w:spacing w:before="34"/>
              <w:ind w:left="169" w:right="152"/>
              <w:jc w:val="center"/>
              <w:rPr>
                <w:rFonts w:ascii="Times New Roman"/>
                <w:sz w:val="12"/>
              </w:rPr>
            </w:pPr>
            <w:r>
              <w:rPr>
                <w:rFonts w:ascii="Times New Roman"/>
                <w:sz w:val="18"/>
              </w:rPr>
              <w:t>0.029</w:t>
            </w:r>
            <w:r>
              <w:rPr>
                <w:rFonts w:ascii="Times New Roman"/>
                <w:position w:val="6"/>
                <w:sz w:val="12"/>
              </w:rPr>
              <w:t>[3]</w:t>
            </w:r>
          </w:p>
        </w:tc>
        <w:tc>
          <w:tcPr>
            <w:tcW w:w="1698" w:type="dxa"/>
            <w:tcBorders>
              <w:right w:val="single" w:sz="6" w:space="0" w:color="000000"/>
            </w:tcBorders>
          </w:tcPr>
          <w:p>
            <w:pPr>
              <w:pStyle w:val="TableParagraph"/>
              <w:spacing w:before="38"/>
              <w:ind w:left="17"/>
              <w:jc w:val="center"/>
              <w:rPr>
                <w:rFonts w:ascii="Times New Roman"/>
                <w:sz w:val="18"/>
              </w:rPr>
            </w:pPr>
            <w:r>
              <w:rPr>
                <w:rFonts w:ascii="Times New Roman"/>
                <w:sz w:val="18"/>
              </w:rPr>
              <w:t>0</w:t>
            </w:r>
          </w:p>
        </w:tc>
        <w:tc>
          <w:tcPr>
            <w:tcW w:w="2001" w:type="dxa"/>
            <w:tcBorders>
              <w:left w:val="single" w:sz="6" w:space="0" w:color="000000"/>
            </w:tcBorders>
          </w:tcPr>
          <w:p>
            <w:pPr>
              <w:pStyle w:val="TableParagraph"/>
              <w:spacing w:before="38"/>
              <w:ind w:right="779"/>
              <w:jc w:val="right"/>
              <w:rPr>
                <w:rFonts w:ascii="Times New Roman"/>
                <w:sz w:val="18"/>
              </w:rPr>
            </w:pPr>
            <w:r>
              <w:rPr>
                <w:rFonts w:ascii="Times New Roman"/>
                <w:sz w:val="18"/>
              </w:rPr>
              <w:t>0.029</w:t>
            </w:r>
          </w:p>
        </w:tc>
      </w:tr>
      <w:tr>
        <w:tblPrEx>
          <w:tblW w:w="0" w:type="auto"/>
          <w:tblInd w:w="831" w:type="dxa"/>
          <w:tblLayout w:type="fixed"/>
          <w:tblCellMar>
            <w:top w:w="0" w:type="dxa"/>
            <w:left w:w="0" w:type="dxa"/>
            <w:bottom w:w="0" w:type="dxa"/>
            <w:right w:w="0" w:type="dxa"/>
          </w:tblCellMar>
        </w:tblPrEx>
        <w:trPr>
          <w:trHeight w:val="282"/>
        </w:trPr>
        <w:tc>
          <w:tcPr>
            <w:tcW w:w="950" w:type="dxa"/>
            <w:vMerge/>
            <w:tcBorders>
              <w:top w:val="nil"/>
            </w:tcBorders>
          </w:tcPr>
          <w:p>
            <w:pPr>
              <w:rPr>
                <w:sz w:val="2"/>
                <w:szCs w:val="2"/>
              </w:rPr>
            </w:pPr>
          </w:p>
        </w:tc>
        <w:tc>
          <w:tcPr>
            <w:tcW w:w="977" w:type="dxa"/>
            <w:vMerge/>
            <w:tcBorders>
              <w:top w:val="nil"/>
            </w:tcBorders>
          </w:tcPr>
          <w:p>
            <w:pPr>
              <w:rPr>
                <w:sz w:val="2"/>
                <w:szCs w:val="2"/>
              </w:rPr>
            </w:pPr>
          </w:p>
        </w:tc>
        <w:tc>
          <w:tcPr>
            <w:tcW w:w="1492" w:type="dxa"/>
          </w:tcPr>
          <w:p>
            <w:pPr>
              <w:pStyle w:val="TableParagraph"/>
              <w:spacing w:before="23"/>
              <w:ind w:left="186" w:right="175"/>
              <w:jc w:val="center"/>
              <w:rPr>
                <w:sz w:val="18"/>
              </w:rPr>
            </w:pPr>
            <w:r>
              <w:rPr>
                <w:sz w:val="18"/>
              </w:rPr>
              <w:t>总氮</w:t>
            </w:r>
          </w:p>
        </w:tc>
        <w:tc>
          <w:tcPr>
            <w:tcW w:w="1276" w:type="dxa"/>
          </w:tcPr>
          <w:p>
            <w:pPr>
              <w:pStyle w:val="TableParagraph"/>
              <w:spacing w:before="34"/>
              <w:ind w:left="169" w:right="152"/>
              <w:jc w:val="center"/>
              <w:rPr>
                <w:rFonts w:ascii="Times New Roman"/>
                <w:sz w:val="12"/>
              </w:rPr>
            </w:pPr>
            <w:r>
              <w:rPr>
                <w:rFonts w:ascii="Times New Roman"/>
                <w:sz w:val="18"/>
              </w:rPr>
              <w:t>0.029</w:t>
            </w:r>
            <w:r>
              <w:rPr>
                <w:rFonts w:ascii="Times New Roman"/>
                <w:position w:val="6"/>
                <w:sz w:val="12"/>
              </w:rPr>
              <w:t>[3]</w:t>
            </w:r>
          </w:p>
        </w:tc>
        <w:tc>
          <w:tcPr>
            <w:tcW w:w="1698" w:type="dxa"/>
            <w:tcBorders>
              <w:right w:val="single" w:sz="6" w:space="0" w:color="000000"/>
            </w:tcBorders>
          </w:tcPr>
          <w:p>
            <w:pPr>
              <w:pStyle w:val="TableParagraph"/>
              <w:spacing w:before="38"/>
              <w:ind w:left="17"/>
              <w:jc w:val="center"/>
              <w:rPr>
                <w:rFonts w:ascii="Times New Roman"/>
                <w:sz w:val="18"/>
              </w:rPr>
            </w:pPr>
            <w:r>
              <w:rPr>
                <w:rFonts w:ascii="Times New Roman"/>
                <w:sz w:val="18"/>
              </w:rPr>
              <w:t>0</w:t>
            </w:r>
          </w:p>
        </w:tc>
        <w:tc>
          <w:tcPr>
            <w:tcW w:w="2001" w:type="dxa"/>
            <w:tcBorders>
              <w:left w:val="single" w:sz="6" w:space="0" w:color="000000"/>
            </w:tcBorders>
          </w:tcPr>
          <w:p>
            <w:pPr>
              <w:pStyle w:val="TableParagraph"/>
              <w:spacing w:before="38"/>
              <w:ind w:right="779"/>
              <w:jc w:val="right"/>
              <w:rPr>
                <w:rFonts w:ascii="Times New Roman"/>
                <w:sz w:val="18"/>
              </w:rPr>
            </w:pPr>
            <w:r>
              <w:rPr>
                <w:rFonts w:ascii="Times New Roman"/>
                <w:sz w:val="18"/>
              </w:rPr>
              <w:t>0.029</w:t>
            </w:r>
          </w:p>
        </w:tc>
      </w:tr>
      <w:tr>
        <w:tblPrEx>
          <w:tblW w:w="0" w:type="auto"/>
          <w:tblInd w:w="831" w:type="dxa"/>
          <w:tblLayout w:type="fixed"/>
          <w:tblCellMar>
            <w:top w:w="0" w:type="dxa"/>
            <w:left w:w="0" w:type="dxa"/>
            <w:bottom w:w="0" w:type="dxa"/>
            <w:right w:w="0" w:type="dxa"/>
          </w:tblCellMar>
        </w:tblPrEx>
        <w:trPr>
          <w:trHeight w:val="282"/>
        </w:trPr>
        <w:tc>
          <w:tcPr>
            <w:tcW w:w="950" w:type="dxa"/>
            <w:vMerge/>
            <w:tcBorders>
              <w:top w:val="nil"/>
            </w:tcBorders>
          </w:tcPr>
          <w:p>
            <w:pPr>
              <w:rPr>
                <w:sz w:val="2"/>
                <w:szCs w:val="2"/>
              </w:rPr>
            </w:pPr>
          </w:p>
        </w:tc>
        <w:tc>
          <w:tcPr>
            <w:tcW w:w="977" w:type="dxa"/>
            <w:vMerge/>
            <w:tcBorders>
              <w:top w:val="nil"/>
            </w:tcBorders>
          </w:tcPr>
          <w:p>
            <w:pPr>
              <w:rPr>
                <w:sz w:val="2"/>
                <w:szCs w:val="2"/>
              </w:rPr>
            </w:pPr>
          </w:p>
        </w:tc>
        <w:tc>
          <w:tcPr>
            <w:tcW w:w="1492" w:type="dxa"/>
          </w:tcPr>
          <w:p>
            <w:pPr>
              <w:pStyle w:val="TableParagraph"/>
              <w:spacing w:before="23"/>
              <w:ind w:left="186" w:right="175"/>
              <w:jc w:val="center"/>
              <w:rPr>
                <w:sz w:val="18"/>
              </w:rPr>
            </w:pPr>
            <w:r>
              <w:rPr>
                <w:sz w:val="18"/>
              </w:rPr>
              <w:t>总磷</w:t>
            </w:r>
          </w:p>
        </w:tc>
        <w:tc>
          <w:tcPr>
            <w:tcW w:w="1276" w:type="dxa"/>
          </w:tcPr>
          <w:p>
            <w:pPr>
              <w:pStyle w:val="TableParagraph"/>
              <w:spacing w:before="34"/>
              <w:ind w:left="169" w:right="152"/>
              <w:jc w:val="center"/>
              <w:rPr>
                <w:rFonts w:ascii="Times New Roman"/>
                <w:sz w:val="12"/>
              </w:rPr>
            </w:pPr>
            <w:r>
              <w:rPr>
                <w:rFonts w:ascii="Times New Roman"/>
                <w:sz w:val="18"/>
              </w:rPr>
              <w:t>0.003</w:t>
            </w:r>
            <w:r>
              <w:rPr>
                <w:rFonts w:ascii="Times New Roman"/>
                <w:position w:val="6"/>
                <w:sz w:val="12"/>
              </w:rPr>
              <w:t>[3]</w:t>
            </w:r>
          </w:p>
        </w:tc>
        <w:tc>
          <w:tcPr>
            <w:tcW w:w="1698" w:type="dxa"/>
            <w:tcBorders>
              <w:right w:val="single" w:sz="6" w:space="0" w:color="000000"/>
            </w:tcBorders>
          </w:tcPr>
          <w:p>
            <w:pPr>
              <w:pStyle w:val="TableParagraph"/>
              <w:spacing w:before="38"/>
              <w:ind w:left="17"/>
              <w:jc w:val="center"/>
              <w:rPr>
                <w:rFonts w:ascii="Times New Roman"/>
                <w:sz w:val="18"/>
              </w:rPr>
            </w:pPr>
            <w:r>
              <w:rPr>
                <w:rFonts w:ascii="Times New Roman"/>
                <w:sz w:val="18"/>
              </w:rPr>
              <w:t>0</w:t>
            </w:r>
          </w:p>
        </w:tc>
        <w:tc>
          <w:tcPr>
            <w:tcW w:w="2001" w:type="dxa"/>
            <w:tcBorders>
              <w:left w:val="single" w:sz="6" w:space="0" w:color="000000"/>
            </w:tcBorders>
          </w:tcPr>
          <w:p>
            <w:pPr>
              <w:pStyle w:val="TableParagraph"/>
              <w:spacing w:before="38"/>
              <w:ind w:right="779"/>
              <w:jc w:val="right"/>
              <w:rPr>
                <w:rFonts w:ascii="Times New Roman"/>
                <w:sz w:val="18"/>
              </w:rPr>
            </w:pPr>
            <w:r>
              <w:rPr>
                <w:rFonts w:ascii="Times New Roman"/>
                <w:sz w:val="18"/>
              </w:rPr>
              <w:t>0.003</w:t>
            </w:r>
          </w:p>
        </w:tc>
      </w:tr>
      <w:tr>
        <w:tblPrEx>
          <w:tblW w:w="0" w:type="auto"/>
          <w:tblInd w:w="831" w:type="dxa"/>
          <w:tblLayout w:type="fixed"/>
          <w:tblCellMar>
            <w:top w:w="0" w:type="dxa"/>
            <w:left w:w="0" w:type="dxa"/>
            <w:bottom w:w="0" w:type="dxa"/>
            <w:right w:w="0" w:type="dxa"/>
          </w:tblCellMar>
        </w:tblPrEx>
        <w:trPr>
          <w:trHeight w:val="282"/>
        </w:trPr>
        <w:tc>
          <w:tcPr>
            <w:tcW w:w="1927" w:type="dxa"/>
            <w:gridSpan w:val="2"/>
            <w:vMerge w:val="restart"/>
          </w:tcPr>
          <w:p>
            <w:pPr>
              <w:pStyle w:val="TableParagraph"/>
              <w:spacing w:before="9"/>
              <w:rPr>
                <w:b/>
                <w:sz w:val="24"/>
              </w:rPr>
            </w:pPr>
          </w:p>
          <w:p>
            <w:pPr>
              <w:pStyle w:val="TableParagraph"/>
              <w:ind w:left="761" w:right="749"/>
              <w:jc w:val="center"/>
              <w:rPr>
                <w:sz w:val="18"/>
              </w:rPr>
            </w:pPr>
            <w:r>
              <w:rPr>
                <w:sz w:val="18"/>
              </w:rPr>
              <w:t>固废</w:t>
            </w:r>
          </w:p>
        </w:tc>
        <w:tc>
          <w:tcPr>
            <w:tcW w:w="1492" w:type="dxa"/>
          </w:tcPr>
          <w:p>
            <w:pPr>
              <w:pStyle w:val="TableParagraph"/>
              <w:spacing w:before="23"/>
              <w:ind w:left="186" w:right="175"/>
              <w:jc w:val="center"/>
              <w:rPr>
                <w:sz w:val="18"/>
              </w:rPr>
            </w:pPr>
            <w:r>
              <w:rPr>
                <w:sz w:val="18"/>
              </w:rPr>
              <w:t>生活垃圾</w:t>
            </w:r>
          </w:p>
        </w:tc>
        <w:tc>
          <w:tcPr>
            <w:tcW w:w="1276" w:type="dxa"/>
          </w:tcPr>
          <w:p>
            <w:pPr>
              <w:pStyle w:val="TableParagraph"/>
              <w:spacing w:before="38"/>
              <w:ind w:left="17"/>
              <w:jc w:val="center"/>
              <w:rPr>
                <w:rFonts w:ascii="Times New Roman"/>
                <w:sz w:val="18"/>
              </w:rPr>
            </w:pPr>
            <w:r>
              <w:rPr>
                <w:rFonts w:ascii="Times New Roman"/>
                <w:sz w:val="18"/>
              </w:rPr>
              <w:t>0</w:t>
            </w:r>
          </w:p>
        </w:tc>
        <w:tc>
          <w:tcPr>
            <w:tcW w:w="1698" w:type="dxa"/>
            <w:tcBorders>
              <w:right w:val="single" w:sz="6" w:space="0" w:color="000000"/>
            </w:tcBorders>
          </w:tcPr>
          <w:p>
            <w:pPr>
              <w:pStyle w:val="TableParagraph"/>
              <w:spacing w:before="38"/>
              <w:ind w:left="17"/>
              <w:jc w:val="center"/>
              <w:rPr>
                <w:rFonts w:ascii="Times New Roman"/>
                <w:sz w:val="18"/>
              </w:rPr>
            </w:pPr>
            <w:r>
              <w:rPr>
                <w:rFonts w:ascii="Times New Roman"/>
                <w:sz w:val="18"/>
              </w:rPr>
              <w:t>0</w:t>
            </w:r>
          </w:p>
        </w:tc>
        <w:tc>
          <w:tcPr>
            <w:tcW w:w="2001" w:type="dxa"/>
            <w:tcBorders>
              <w:left w:val="single" w:sz="6" w:space="0" w:color="000000"/>
            </w:tcBorders>
          </w:tcPr>
          <w:p>
            <w:pPr>
              <w:pStyle w:val="TableParagraph"/>
              <w:spacing w:before="38"/>
              <w:ind w:left="20"/>
              <w:jc w:val="center"/>
              <w:rPr>
                <w:rFonts w:ascii="Times New Roman"/>
                <w:sz w:val="18"/>
              </w:rPr>
            </w:pPr>
            <w:r>
              <w:rPr>
                <w:rFonts w:ascii="Times New Roman"/>
                <w:sz w:val="18"/>
              </w:rPr>
              <w:t>0</w:t>
            </w:r>
          </w:p>
        </w:tc>
      </w:tr>
      <w:tr>
        <w:tblPrEx>
          <w:tblW w:w="0" w:type="auto"/>
          <w:tblInd w:w="831" w:type="dxa"/>
          <w:tblLayout w:type="fixed"/>
          <w:tblCellMar>
            <w:top w:w="0" w:type="dxa"/>
            <w:left w:w="0" w:type="dxa"/>
            <w:bottom w:w="0" w:type="dxa"/>
            <w:right w:w="0" w:type="dxa"/>
          </w:tblCellMar>
        </w:tblPrEx>
        <w:trPr>
          <w:trHeight w:val="282"/>
        </w:trPr>
        <w:tc>
          <w:tcPr>
            <w:tcW w:w="1927" w:type="dxa"/>
            <w:gridSpan w:val="2"/>
            <w:vMerge/>
            <w:tcBorders>
              <w:top w:val="nil"/>
            </w:tcBorders>
          </w:tcPr>
          <w:p>
            <w:pPr>
              <w:rPr>
                <w:sz w:val="2"/>
                <w:szCs w:val="2"/>
              </w:rPr>
            </w:pPr>
          </w:p>
        </w:tc>
        <w:tc>
          <w:tcPr>
            <w:tcW w:w="1492" w:type="dxa"/>
          </w:tcPr>
          <w:p>
            <w:pPr>
              <w:pStyle w:val="TableParagraph"/>
              <w:spacing w:before="24"/>
              <w:ind w:left="186" w:right="175"/>
              <w:jc w:val="center"/>
              <w:rPr>
                <w:sz w:val="18"/>
              </w:rPr>
            </w:pPr>
            <w:r>
              <w:rPr>
                <w:sz w:val="18"/>
              </w:rPr>
              <w:t>一般工业固废</w:t>
            </w:r>
          </w:p>
        </w:tc>
        <w:tc>
          <w:tcPr>
            <w:tcW w:w="1276" w:type="dxa"/>
          </w:tcPr>
          <w:p>
            <w:pPr>
              <w:pStyle w:val="TableParagraph"/>
              <w:spacing w:before="38"/>
              <w:ind w:left="17"/>
              <w:jc w:val="center"/>
              <w:rPr>
                <w:rFonts w:ascii="Times New Roman"/>
                <w:sz w:val="18"/>
              </w:rPr>
            </w:pPr>
            <w:r>
              <w:rPr>
                <w:rFonts w:ascii="Times New Roman"/>
                <w:sz w:val="18"/>
              </w:rPr>
              <w:t>0</w:t>
            </w:r>
          </w:p>
        </w:tc>
        <w:tc>
          <w:tcPr>
            <w:tcW w:w="1698" w:type="dxa"/>
            <w:tcBorders>
              <w:right w:val="single" w:sz="6" w:space="0" w:color="000000"/>
            </w:tcBorders>
          </w:tcPr>
          <w:p>
            <w:pPr>
              <w:pStyle w:val="TableParagraph"/>
              <w:spacing w:before="38"/>
              <w:ind w:left="17"/>
              <w:jc w:val="center"/>
              <w:rPr>
                <w:rFonts w:ascii="Times New Roman"/>
                <w:sz w:val="18"/>
              </w:rPr>
            </w:pPr>
            <w:r>
              <w:rPr>
                <w:rFonts w:ascii="Times New Roman"/>
                <w:sz w:val="18"/>
              </w:rPr>
              <w:t>0</w:t>
            </w:r>
          </w:p>
        </w:tc>
        <w:tc>
          <w:tcPr>
            <w:tcW w:w="2001" w:type="dxa"/>
            <w:tcBorders>
              <w:left w:val="single" w:sz="6" w:space="0" w:color="000000"/>
            </w:tcBorders>
          </w:tcPr>
          <w:p>
            <w:pPr>
              <w:pStyle w:val="TableParagraph"/>
              <w:spacing w:before="38"/>
              <w:ind w:left="20"/>
              <w:jc w:val="center"/>
              <w:rPr>
                <w:rFonts w:ascii="Times New Roman"/>
                <w:sz w:val="18"/>
              </w:rPr>
            </w:pPr>
            <w:r>
              <w:rPr>
                <w:rFonts w:ascii="Times New Roman"/>
                <w:sz w:val="18"/>
              </w:rPr>
              <w:t>0</w:t>
            </w:r>
          </w:p>
        </w:tc>
      </w:tr>
      <w:tr>
        <w:tblPrEx>
          <w:tblW w:w="0" w:type="auto"/>
          <w:tblInd w:w="831" w:type="dxa"/>
          <w:tblLayout w:type="fixed"/>
          <w:tblCellMar>
            <w:top w:w="0" w:type="dxa"/>
            <w:left w:w="0" w:type="dxa"/>
            <w:bottom w:w="0" w:type="dxa"/>
            <w:right w:w="0" w:type="dxa"/>
          </w:tblCellMar>
        </w:tblPrEx>
        <w:trPr>
          <w:trHeight w:val="282"/>
        </w:trPr>
        <w:tc>
          <w:tcPr>
            <w:tcW w:w="1927" w:type="dxa"/>
            <w:gridSpan w:val="2"/>
            <w:vMerge/>
            <w:tcBorders>
              <w:top w:val="nil"/>
            </w:tcBorders>
          </w:tcPr>
          <w:p>
            <w:pPr>
              <w:rPr>
                <w:sz w:val="2"/>
                <w:szCs w:val="2"/>
              </w:rPr>
            </w:pPr>
          </w:p>
        </w:tc>
        <w:tc>
          <w:tcPr>
            <w:tcW w:w="1492" w:type="dxa"/>
          </w:tcPr>
          <w:p>
            <w:pPr>
              <w:pStyle w:val="TableParagraph"/>
              <w:spacing w:before="23"/>
              <w:ind w:left="186" w:right="175"/>
              <w:jc w:val="center"/>
              <w:rPr>
                <w:sz w:val="18"/>
              </w:rPr>
            </w:pPr>
            <w:r>
              <w:rPr>
                <w:sz w:val="18"/>
              </w:rPr>
              <w:t>危险废物</w:t>
            </w:r>
          </w:p>
        </w:tc>
        <w:tc>
          <w:tcPr>
            <w:tcW w:w="1276" w:type="dxa"/>
          </w:tcPr>
          <w:p>
            <w:pPr>
              <w:pStyle w:val="TableParagraph"/>
              <w:spacing w:before="38"/>
              <w:ind w:left="17"/>
              <w:jc w:val="center"/>
              <w:rPr>
                <w:rFonts w:ascii="Times New Roman"/>
                <w:sz w:val="18"/>
              </w:rPr>
            </w:pPr>
            <w:r>
              <w:rPr>
                <w:rFonts w:ascii="Times New Roman"/>
                <w:sz w:val="18"/>
              </w:rPr>
              <w:t>0</w:t>
            </w:r>
          </w:p>
        </w:tc>
        <w:tc>
          <w:tcPr>
            <w:tcW w:w="1698" w:type="dxa"/>
            <w:tcBorders>
              <w:right w:val="single" w:sz="6" w:space="0" w:color="000000"/>
            </w:tcBorders>
          </w:tcPr>
          <w:p>
            <w:pPr>
              <w:pStyle w:val="TableParagraph"/>
              <w:spacing w:before="38"/>
              <w:ind w:left="17"/>
              <w:jc w:val="center"/>
              <w:rPr>
                <w:rFonts w:ascii="Times New Roman"/>
                <w:sz w:val="18"/>
              </w:rPr>
            </w:pPr>
            <w:r>
              <w:rPr>
                <w:rFonts w:ascii="Times New Roman"/>
                <w:sz w:val="18"/>
              </w:rPr>
              <w:t>0</w:t>
            </w:r>
          </w:p>
        </w:tc>
        <w:tc>
          <w:tcPr>
            <w:tcW w:w="2001" w:type="dxa"/>
            <w:tcBorders>
              <w:left w:val="single" w:sz="6" w:space="0" w:color="000000"/>
            </w:tcBorders>
          </w:tcPr>
          <w:p>
            <w:pPr>
              <w:pStyle w:val="TableParagraph"/>
              <w:spacing w:before="38"/>
              <w:ind w:left="20"/>
              <w:jc w:val="center"/>
              <w:rPr>
                <w:rFonts w:ascii="Times New Roman"/>
                <w:sz w:val="18"/>
              </w:rPr>
            </w:pPr>
            <w:r>
              <w:rPr>
                <w:rFonts w:ascii="Times New Roman"/>
                <w:sz w:val="18"/>
              </w:rPr>
              <w:t>0</w:t>
            </w:r>
          </w:p>
        </w:tc>
      </w:tr>
    </w:tbl>
    <w:p>
      <w:pPr>
        <w:spacing w:before="0"/>
        <w:ind w:left="821" w:right="0" w:firstLine="0"/>
        <w:jc w:val="left"/>
        <w:rPr>
          <w:sz w:val="18"/>
        </w:rPr>
      </w:pPr>
      <w:r>
        <w:rPr>
          <w:sz w:val="18"/>
        </w:rPr>
        <w:t>注：</w:t>
      </w:r>
      <w:r>
        <w:rPr>
          <w:rFonts w:ascii="Times New Roman" w:eastAsia="Times New Roman"/>
          <w:sz w:val="18"/>
        </w:rPr>
        <w:t>[1]</w:t>
      </w:r>
      <w:hyperlink w:anchor="_bookmark21" w:history="1">
        <w:r>
          <w:rPr>
            <w:sz w:val="18"/>
          </w:rPr>
          <w:t xml:space="preserve">现有环评未核算废气产生排放源强，本次重新核算废气源强，见表 </w:t>
        </w:r>
        <w:r>
          <w:rPr>
            <w:rFonts w:ascii="Times New Roman" w:eastAsia="Times New Roman"/>
            <w:sz w:val="18"/>
          </w:rPr>
          <w:t>2-14</w:t>
        </w:r>
      </w:hyperlink>
      <w:r>
        <w:rPr>
          <w:sz w:val="18"/>
        </w:rPr>
        <w:t>；</w:t>
      </w:r>
    </w:p>
    <w:p>
      <w:pPr>
        <w:spacing w:before="2" w:line="244" w:lineRule="auto"/>
        <w:ind w:left="1181" w:right="524" w:firstLine="0"/>
        <w:jc w:val="left"/>
        <w:rPr>
          <w:sz w:val="18"/>
        </w:rPr>
      </w:pPr>
      <w:r>
        <w:rPr>
          <w:rFonts w:ascii="Times New Roman" w:eastAsia="Times New Roman" w:hAnsi="Times New Roman"/>
          <w:w w:val="99"/>
          <w:sz w:val="18"/>
        </w:rPr>
        <w:t>[</w:t>
      </w:r>
      <w:r>
        <w:rPr>
          <w:rFonts w:ascii="Times New Roman" w:eastAsia="Times New Roman" w:hAnsi="Times New Roman"/>
          <w:spacing w:val="1"/>
          <w:w w:val="99"/>
          <w:sz w:val="18"/>
        </w:rPr>
        <w:t>2</w:t>
      </w:r>
      <w:r>
        <w:rPr>
          <w:rFonts w:ascii="Times New Roman" w:eastAsia="Times New Roman" w:hAnsi="Times New Roman"/>
          <w:w w:val="99"/>
          <w:sz w:val="18"/>
        </w:rPr>
        <w:t>]</w:t>
      </w:r>
      <w:r>
        <w:rPr>
          <w:w w:val="99"/>
          <w:sz w:val="18"/>
        </w:rPr>
        <w:t>扩建项目建成后现有废气措施由“二级活性炭吸附</w:t>
      </w:r>
      <w:r>
        <w:rPr>
          <w:rFonts w:ascii="Times New Roman" w:eastAsia="Times New Roman" w:hAnsi="Times New Roman"/>
          <w:spacing w:val="-1"/>
          <w:w w:val="99"/>
          <w:sz w:val="18"/>
        </w:rPr>
        <w:t>+U</w:t>
      </w:r>
      <w:r>
        <w:rPr>
          <w:rFonts w:ascii="Times New Roman" w:eastAsia="Times New Roman" w:hAnsi="Times New Roman"/>
          <w:w w:val="99"/>
          <w:sz w:val="18"/>
        </w:rPr>
        <w:t>V</w:t>
      </w:r>
      <w:r>
        <w:rPr>
          <w:rFonts w:ascii="Times New Roman" w:eastAsia="Times New Roman" w:hAnsi="Times New Roman"/>
          <w:sz w:val="18"/>
        </w:rPr>
        <w:t xml:space="preserve"> </w:t>
      </w:r>
      <w:r>
        <w:rPr>
          <w:spacing w:val="-8"/>
          <w:sz w:val="18"/>
        </w:rPr>
        <w:t>光解”升级为“催化燃烧”，详见</w:t>
      </w:r>
      <w:hyperlink w:anchor="_bookmark22" w:history="1">
        <w:r>
          <w:rPr>
            <w:spacing w:val="-23"/>
            <w:sz w:val="18"/>
          </w:rPr>
          <w:t xml:space="preserve">表 </w:t>
        </w:r>
        <w:r>
          <w:rPr>
            <w:rFonts w:ascii="Times New Roman" w:eastAsia="Times New Roman" w:hAnsi="Times New Roman"/>
            <w:spacing w:val="-2"/>
            <w:sz w:val="18"/>
          </w:rPr>
          <w:t>2</w:t>
        </w:r>
        <w:r>
          <w:rPr>
            <w:rFonts w:ascii="Times New Roman" w:eastAsia="Times New Roman" w:hAnsi="Times New Roman"/>
            <w:spacing w:val="-3"/>
            <w:sz w:val="18"/>
          </w:rPr>
          <w:t>-</w:t>
        </w:r>
        <w:r>
          <w:rPr>
            <w:rFonts w:ascii="Times New Roman" w:eastAsia="Times New Roman" w:hAnsi="Times New Roman"/>
            <w:spacing w:val="-5"/>
            <w:sz w:val="18"/>
          </w:rPr>
          <w:t>1</w:t>
        </w:r>
        <w:r>
          <w:rPr>
            <w:rFonts w:ascii="Times New Roman" w:eastAsia="Times New Roman" w:hAnsi="Times New Roman"/>
            <w:spacing w:val="-2"/>
            <w:sz w:val="18"/>
          </w:rPr>
          <w:t>5</w:t>
        </w:r>
      </w:hyperlink>
      <w:r>
        <w:rPr>
          <w:spacing w:val="-3"/>
          <w:sz w:val="18"/>
        </w:rPr>
        <w:t>；</w:t>
      </w:r>
      <w:r>
        <w:rPr>
          <w:sz w:val="18"/>
        </w:rPr>
        <w:t xml:space="preserve"> </w:t>
      </w:r>
      <w:r>
        <w:rPr>
          <w:rFonts w:ascii="Times New Roman" w:eastAsia="Times New Roman" w:hAnsi="Times New Roman"/>
          <w:sz w:val="18"/>
        </w:rPr>
        <w:t>[3]</w:t>
      </w:r>
      <w:r>
        <w:rPr>
          <w:sz w:val="18"/>
        </w:rPr>
        <w:t>现有环评未核算生活废水排污量，本次重新核算废水源强，见</w:t>
      </w:r>
      <w:hyperlink w:anchor="_bookmark23" w:history="1">
        <w:r>
          <w:rPr>
            <w:spacing w:val="-23"/>
            <w:sz w:val="18"/>
          </w:rPr>
          <w:t xml:space="preserve">表 </w:t>
        </w:r>
        <w:r>
          <w:rPr>
            <w:rFonts w:ascii="Times New Roman" w:eastAsia="Times New Roman" w:hAnsi="Times New Roman"/>
            <w:sz w:val="18"/>
          </w:rPr>
          <w:t>2-16</w:t>
        </w:r>
      </w:hyperlink>
      <w:r>
        <w:rPr>
          <w:sz w:val="18"/>
        </w:rPr>
        <w:t>。</w:t>
      </w:r>
    </w:p>
    <w:p>
      <w:pPr>
        <w:spacing w:after="0" w:line="244" w:lineRule="auto"/>
        <w:jc w:val="left"/>
        <w:rPr>
          <w:sz w:val="18"/>
        </w:rPr>
        <w:sectPr>
          <w:footerReference w:type="default" r:id="rId40"/>
          <w:pgSz w:w="11910" w:h="16840"/>
          <w:pgMar w:top="1360" w:right="1140" w:bottom="1040" w:left="1140" w:header="0" w:footer="768" w:gutter="0"/>
          <w:pgNumType w:start="30"/>
          <w:cols w:num="1" w:space="720"/>
        </w:sectPr>
      </w:pPr>
    </w:p>
    <w:p>
      <w:pPr>
        <w:pStyle w:val="BodyText"/>
        <w:spacing w:before="3"/>
        <w:rPr>
          <w:sz w:val="14"/>
        </w:rPr>
      </w:pPr>
      <w:r>
        <w:pict>
          <v:group id="_x0000_s1338" o:spid="_x0000_s1337" style="width:453.6pt;height:685.95pt;margin-top:70.9pt;margin-left:70.9pt;mso-height-relative:page;mso-position-horizontal-relative:page;mso-position-vertical-relative:page;mso-width-relative:page;position:absolute;z-index:-251610112" coordorigin="1419,1418" coordsize="9072,13719">
            <v:line id="_x0000_s1339" o:spid="_x0000_s1338" style="position:absolute" from="1438,1428" to="1851,1428" coordsize="21600,21600" stroked="t" strokecolor="black"/>
            <v:rect id="_x0000_s1340" o:spid="_x0000_s1339" style="width:20;height:20;left:1850;position:absolute;top:1418" coordsize="21600,21600" filled="t" fillcolor="black" stroked="f"/>
            <v:line id="_x0000_s1341" o:spid="_x0000_s1340" style="position:absolute" from="1870,1428" to="10471,1428" coordsize="21600,21600" stroked="t" strokecolor="black"/>
            <v:line id="_x0000_s1342" o:spid="_x0000_s1341" style="position:absolute" from="1428,1418" to="1428,15137" coordsize="21600,21600" stroked="t" strokecolor="black"/>
            <v:line id="_x0000_s1343" o:spid="_x0000_s1342" style="position:absolute" from="1438,15127" to="1851,15127" coordsize="21600,21600" stroked="t" strokecolor="black"/>
            <v:line id="_x0000_s1344" o:spid="_x0000_s1343" style="position:absolute" from="1856,1438" to="1856,15118" coordsize="21600,21600" stroked="t" strokecolor="black"/>
            <v:rect id="_x0000_s1345" o:spid="_x0000_s1344" style="width:20;height:20;left:1850;position:absolute;top:15117" coordsize="21600,21600" filled="t" fillcolor="black" stroked="f"/>
            <v:line id="_x0000_s1346" o:spid="_x0000_s1345" style="position:absolute" from="1870,15127" to="10471,15127" coordsize="21600,21600" stroked="t" strokecolor="black"/>
            <v:line id="_x0000_s1347" o:spid="_x0000_s1346" style="position:absolute" from="10480,1418" to="10480,15137" coordsize="21600,21600" stroked="t" strokecolor="black"/>
          </v:group>
        </w:pict>
      </w:r>
    </w:p>
    <w:p>
      <w:pPr>
        <w:pStyle w:val="Heading3"/>
        <w:numPr>
          <w:ilvl w:val="0"/>
          <w:numId w:val="60"/>
        </w:numPr>
        <w:tabs>
          <w:tab w:val="left" w:pos="1403"/>
        </w:tabs>
        <w:spacing w:before="78" w:after="0" w:line="240" w:lineRule="auto"/>
        <w:ind w:left="1403" w:right="0" w:hanging="160"/>
        <w:jc w:val="left"/>
      </w:pPr>
      <w:r>
        <w:rPr>
          <w:spacing w:val="-3"/>
        </w:rPr>
        <w:t>现有项目存在的主要环保问题及“以新带老”措施分析</w:t>
      </w:r>
    </w:p>
    <w:p>
      <w:pPr>
        <w:pStyle w:val="BodyText"/>
        <w:spacing w:before="139" w:line="364" w:lineRule="auto"/>
        <w:ind w:left="821" w:right="389" w:firstLine="419"/>
        <w:jc w:val="both"/>
      </w:pPr>
      <w:r>
        <w:t>根据现场实地勘查，环保设施运行正常，各项污染物达标排放，符合当地生态环境部门的管理要求。自运行以来，企业未发生过环境污染事件及纠纷。但因现有项目环评年代久远，废气、废水未核算总量。未考虑项目运行中产生的不合格品、边角料、废包材、废油墨桶、废活性炭、废刮刀</w:t>
      </w:r>
      <w:r>
        <w:rPr>
          <w:rFonts w:ascii="Times New Roman" w:eastAsia="Times New Roman" w:hAnsi="Times New Roman"/>
        </w:rPr>
        <w:t>/</w:t>
      </w:r>
      <w:r>
        <w:t>抹布、废</w:t>
      </w:r>
      <w:r>
        <w:rPr>
          <w:rFonts w:ascii="Times New Roman" w:eastAsia="Times New Roman" w:hAnsi="Times New Roman"/>
        </w:rPr>
        <w:t xml:space="preserve">UV </w:t>
      </w:r>
      <w:r>
        <w:t>灯管等固体废物，本次在“以新带老”中重新核算现有项目废气、废水源强，并根据实际产废情况估算固体废物的产生量。</w:t>
      </w:r>
    </w:p>
    <w:p>
      <w:pPr>
        <w:pStyle w:val="BodyText"/>
        <w:spacing w:line="267" w:lineRule="exact"/>
        <w:ind w:left="1241"/>
      </w:pPr>
      <w:r>
        <w:t>本次扩建过程，梳理现有项目生产情况时发现变动情况，采取的“以新带老”措施：</w:t>
      </w:r>
    </w:p>
    <w:p>
      <w:pPr>
        <w:pStyle w:val="ListParagraph"/>
        <w:numPr>
          <w:ilvl w:val="0"/>
          <w:numId w:val="20"/>
        </w:numPr>
        <w:tabs>
          <w:tab w:val="left" w:pos="1559"/>
        </w:tabs>
        <w:spacing w:before="141" w:after="0" w:line="240" w:lineRule="auto"/>
        <w:ind w:left="1559" w:right="0" w:hanging="318"/>
        <w:jc w:val="left"/>
        <w:rPr>
          <w:sz w:val="21"/>
        </w:rPr>
      </w:pPr>
      <w:r>
        <w:rPr>
          <w:spacing w:val="-3"/>
          <w:sz w:val="21"/>
        </w:rPr>
        <w:t>现有废气变更废气处理措施，重新核算废气排放源强；</w:t>
      </w:r>
    </w:p>
    <w:p>
      <w:pPr>
        <w:pStyle w:val="ListParagraph"/>
        <w:numPr>
          <w:ilvl w:val="0"/>
          <w:numId w:val="20"/>
        </w:numPr>
        <w:tabs>
          <w:tab w:val="left" w:pos="1559"/>
        </w:tabs>
        <w:spacing w:before="140" w:after="0" w:line="240" w:lineRule="auto"/>
        <w:ind w:left="1559" w:right="0" w:hanging="318"/>
        <w:jc w:val="left"/>
        <w:rPr>
          <w:sz w:val="21"/>
        </w:rPr>
      </w:pPr>
      <w:r>
        <w:rPr>
          <w:spacing w:val="-3"/>
          <w:sz w:val="21"/>
        </w:rPr>
        <w:t>重新核算现有项目废气、废水产生、排放源强；</w:t>
      </w:r>
    </w:p>
    <w:p>
      <w:pPr>
        <w:pStyle w:val="ListParagraph"/>
        <w:numPr>
          <w:ilvl w:val="0"/>
          <w:numId w:val="20"/>
        </w:numPr>
        <w:tabs>
          <w:tab w:val="left" w:pos="1559"/>
        </w:tabs>
        <w:spacing w:before="139" w:after="0" w:line="364" w:lineRule="auto"/>
        <w:ind w:left="821" w:right="384" w:firstLine="419"/>
        <w:jc w:val="both"/>
        <w:rPr>
          <w:sz w:val="21"/>
        </w:rPr>
      </w:pPr>
      <w:r>
        <w:rPr>
          <w:sz w:val="21"/>
        </w:rPr>
        <w:t>重新核算不合格品、边角料、废包材、废油墨桶、废活性炭、废刮刀</w:t>
      </w:r>
      <w:r>
        <w:rPr>
          <w:rFonts w:ascii="Times New Roman" w:eastAsia="Times New Roman"/>
          <w:sz w:val="21"/>
        </w:rPr>
        <w:t>/</w:t>
      </w:r>
      <w:r>
        <w:rPr>
          <w:spacing w:val="9"/>
          <w:sz w:val="21"/>
        </w:rPr>
        <w:t xml:space="preserve">抹布、废 </w:t>
      </w:r>
      <w:r>
        <w:rPr>
          <w:rFonts w:ascii="Times New Roman" w:eastAsia="Times New Roman"/>
          <w:sz w:val="21"/>
        </w:rPr>
        <w:t xml:space="preserve">UV </w:t>
      </w:r>
      <w:r>
        <w:rPr>
          <w:spacing w:val="2"/>
          <w:sz w:val="21"/>
        </w:rPr>
        <w:t>灯管等固体废物的产生量，实际生产中企业在车间南侧设置独立的危废仓库，占地面积约</w:t>
      </w:r>
      <w:r>
        <w:rPr>
          <w:rFonts w:ascii="Times New Roman" w:eastAsia="Times New Roman"/>
          <w:sz w:val="21"/>
        </w:rPr>
        <w:t>5m</w:t>
      </w:r>
      <w:r>
        <w:rPr>
          <w:rFonts w:ascii="Times New Roman" w:eastAsia="Times New Roman"/>
          <w:position w:val="7"/>
          <w:sz w:val="14"/>
        </w:rPr>
        <w:t>2</w:t>
      </w:r>
      <w:r>
        <w:rPr>
          <w:sz w:val="21"/>
        </w:rPr>
        <w:t>；</w:t>
      </w:r>
    </w:p>
    <w:p>
      <w:pPr>
        <w:pStyle w:val="ListParagraph"/>
        <w:numPr>
          <w:ilvl w:val="0"/>
          <w:numId w:val="20"/>
        </w:numPr>
        <w:tabs>
          <w:tab w:val="left" w:pos="1559"/>
        </w:tabs>
        <w:spacing w:before="0" w:after="0" w:line="364" w:lineRule="auto"/>
        <w:ind w:left="821" w:right="392" w:firstLine="419"/>
        <w:jc w:val="both"/>
        <w:rPr>
          <w:sz w:val="21"/>
        </w:rPr>
      </w:pPr>
      <w:r>
        <w:rPr>
          <w:spacing w:val="-1"/>
          <w:sz w:val="21"/>
        </w:rPr>
        <w:t xml:space="preserve">现有项目例行监测报告中遗漏厂区内 </w:t>
      </w:r>
      <w:r>
        <w:rPr>
          <w:rFonts w:ascii="Times New Roman" w:eastAsia="Times New Roman"/>
          <w:sz w:val="21"/>
        </w:rPr>
        <w:t>VOCs</w:t>
      </w:r>
      <w:r>
        <w:rPr>
          <w:rFonts w:ascii="Times New Roman" w:eastAsia="Times New Roman"/>
          <w:spacing w:val="46"/>
          <w:sz w:val="21"/>
        </w:rPr>
        <w:t xml:space="preserve"> </w:t>
      </w:r>
      <w:r>
        <w:rPr>
          <w:spacing w:val="-4"/>
          <w:sz w:val="21"/>
        </w:rPr>
        <w:t>监测数据，建设单位应在后续例行监测</w:t>
      </w:r>
      <w:r>
        <w:rPr>
          <w:spacing w:val="6"/>
          <w:sz w:val="21"/>
        </w:rPr>
        <w:t>中增加厂区内</w:t>
      </w:r>
      <w:r>
        <w:rPr>
          <w:rFonts w:ascii="Times New Roman" w:eastAsia="Times New Roman"/>
          <w:sz w:val="21"/>
        </w:rPr>
        <w:t>VOCs</w:t>
      </w:r>
      <w:r>
        <w:rPr>
          <w:rFonts w:ascii="Times New Roman" w:eastAsia="Times New Roman"/>
          <w:spacing w:val="-9"/>
          <w:sz w:val="21"/>
        </w:rPr>
        <w:t xml:space="preserve"> </w:t>
      </w:r>
      <w:r>
        <w:rPr>
          <w:spacing w:val="-2"/>
          <w:sz w:val="21"/>
        </w:rPr>
        <w:t>的监测。</w:t>
      </w:r>
    </w:p>
    <w:p>
      <w:pPr>
        <w:pStyle w:val="ListParagraph"/>
        <w:numPr>
          <w:ilvl w:val="0"/>
          <w:numId w:val="21"/>
        </w:numPr>
        <w:tabs>
          <w:tab w:val="left" w:pos="1771"/>
        </w:tabs>
        <w:spacing w:before="0" w:after="0" w:line="267" w:lineRule="exact"/>
        <w:ind w:left="1770" w:right="0" w:hanging="530"/>
        <w:jc w:val="left"/>
        <w:rPr>
          <w:sz w:val="21"/>
        </w:rPr>
      </w:pPr>
      <w:r>
        <w:rPr>
          <w:spacing w:val="-2"/>
          <w:sz w:val="21"/>
        </w:rPr>
        <w:t>废气源强</w:t>
      </w:r>
    </w:p>
    <w:p>
      <w:pPr>
        <w:pStyle w:val="BodyText"/>
        <w:spacing w:before="138" w:line="364" w:lineRule="auto"/>
        <w:ind w:left="821" w:right="389" w:firstLine="419"/>
        <w:jc w:val="both"/>
      </w:pPr>
      <w:r>
        <w:rPr>
          <w:spacing w:val="-3"/>
        </w:rPr>
        <w:t>根据工程分析，现有项目废气主要来自于印刷时水性油墨产生的印刷废气；现有项目复</w:t>
      </w:r>
      <w:r>
        <w:rPr>
          <w:spacing w:val="-1"/>
        </w:rPr>
        <w:t xml:space="preserve">合工序为常温下的无溶剂复合，对该股废气不定量分析。现有项目水性油墨用量 </w:t>
      </w:r>
      <w:r>
        <w:rPr>
          <w:rFonts w:ascii="Times New Roman" w:eastAsia="Times New Roman" w:hAnsi="Times New Roman"/>
        </w:rPr>
        <w:t>10t/a</w:t>
      </w:r>
      <w:r>
        <w:t>，根</w:t>
      </w:r>
      <w:r>
        <w:rPr>
          <w:spacing w:val="-3"/>
          <w:w w:val="100"/>
        </w:rPr>
        <w:t>据厂家提供的水性油墨检测报告</w:t>
      </w:r>
      <w:r>
        <w:rPr>
          <w:w w:val="100"/>
        </w:rPr>
        <w:t>（</w:t>
      </w:r>
      <w:r>
        <w:rPr>
          <w:spacing w:val="-3"/>
          <w:w w:val="100"/>
        </w:rPr>
        <w:t>见</w:t>
      </w:r>
      <w:hyperlink w:anchor="_bookmark72" w:history="1">
        <w:r>
          <w:rPr>
            <w:spacing w:val="-2"/>
            <w:w w:val="100"/>
          </w:rPr>
          <w:t>附件十一</w:t>
        </w:r>
      </w:hyperlink>
      <w:r>
        <w:rPr>
          <w:rFonts w:ascii="Times New Roman" w:eastAsia="Times New Roman" w:hAnsi="Times New Roman"/>
          <w:spacing w:val="-4"/>
          <w:w w:val="100"/>
        </w:rPr>
        <w:t>-</w:t>
      </w:r>
      <w:r>
        <w:rPr>
          <w:rFonts w:ascii="Times New Roman" w:eastAsia="Times New Roman" w:hAnsi="Times New Roman"/>
          <w:w w:val="100"/>
        </w:rPr>
        <w:t>1</w:t>
      </w:r>
      <w:r>
        <w:rPr>
          <w:spacing w:val="-106"/>
          <w:w w:val="100"/>
        </w:rPr>
        <w:t>）</w:t>
      </w:r>
      <w:r>
        <w:rPr>
          <w:spacing w:val="-2"/>
          <w:w w:val="100"/>
        </w:rPr>
        <w:t>，油墨中</w:t>
      </w:r>
      <w:r>
        <w:rPr>
          <w:spacing w:val="-43"/>
        </w:rPr>
        <w:t xml:space="preserve"> </w:t>
      </w:r>
      <w:r>
        <w:rPr>
          <w:rFonts w:ascii="Times New Roman" w:eastAsia="Times New Roman" w:hAnsi="Times New Roman"/>
          <w:spacing w:val="-2"/>
          <w:w w:val="100"/>
        </w:rPr>
        <w:t>VO</w:t>
      </w:r>
      <w:r>
        <w:rPr>
          <w:rFonts w:ascii="Times New Roman" w:eastAsia="Times New Roman" w:hAnsi="Times New Roman"/>
          <w:w w:val="100"/>
        </w:rPr>
        <w:t>Cs</w:t>
      </w:r>
      <w:r>
        <w:rPr>
          <w:rFonts w:ascii="Times New Roman" w:eastAsia="Times New Roman" w:hAnsi="Times New Roman"/>
        </w:rPr>
        <w:t xml:space="preserve"> </w:t>
      </w:r>
      <w:r>
        <w:rPr>
          <w:spacing w:val="-2"/>
          <w:w w:val="100"/>
        </w:rPr>
        <w:t>含量为</w:t>
      </w:r>
      <w:r>
        <w:rPr>
          <w:spacing w:val="-40"/>
        </w:rPr>
        <w:t xml:space="preserve"> </w:t>
      </w:r>
      <w:r>
        <w:rPr>
          <w:rFonts w:ascii="Times New Roman" w:eastAsia="Times New Roman" w:hAnsi="Times New Roman"/>
          <w:w w:val="100"/>
        </w:rPr>
        <w:t>9</w:t>
      </w:r>
      <w:r>
        <w:rPr>
          <w:rFonts w:ascii="Times New Roman" w:eastAsia="Times New Roman" w:hAnsi="Times New Roman"/>
          <w:spacing w:val="-4"/>
          <w:w w:val="100"/>
        </w:rPr>
        <w:t>%</w:t>
      </w:r>
      <w:r>
        <w:rPr>
          <w:spacing w:val="-3"/>
          <w:w w:val="100"/>
        </w:rPr>
        <w:t>，在印刷及后续</w:t>
      </w:r>
      <w:r>
        <w:rPr>
          <w:spacing w:val="14"/>
        </w:rPr>
        <w:t xml:space="preserve">的晾干过程中挥发进入外环境，现有项目废气捕集效率以 </w:t>
      </w:r>
      <w:r>
        <w:rPr>
          <w:rFonts w:ascii="Times New Roman" w:eastAsia="Times New Roman" w:hAnsi="Times New Roman"/>
          <w:spacing w:val="3"/>
        </w:rPr>
        <w:t>90%</w:t>
      </w:r>
      <w:r>
        <w:rPr>
          <w:spacing w:val="12"/>
        </w:rPr>
        <w:t>计，则现有废气产生量</w:t>
      </w:r>
      <w:r>
        <w:rPr>
          <w:rFonts w:ascii="Times New Roman" w:eastAsia="Times New Roman" w:hAnsi="Times New Roman"/>
          <w:spacing w:val="12"/>
        </w:rPr>
        <w:t>0.9t/a</w:t>
      </w:r>
      <w:r>
        <w:rPr>
          <w:spacing w:val="8"/>
        </w:rPr>
        <w:t xml:space="preserve">，有组织废气产生量 </w:t>
      </w:r>
      <w:r>
        <w:rPr>
          <w:rFonts w:ascii="Times New Roman" w:eastAsia="Times New Roman" w:hAnsi="Times New Roman"/>
        </w:rPr>
        <w:t>0.81t/a</w:t>
      </w:r>
      <w:r>
        <w:rPr>
          <w:spacing w:val="-1"/>
        </w:rPr>
        <w:t>，经现有“二级活性炭吸附</w:t>
      </w:r>
      <w:r>
        <w:rPr>
          <w:rFonts w:ascii="Times New Roman" w:eastAsia="Times New Roman" w:hAnsi="Times New Roman"/>
        </w:rPr>
        <w:t>+UV</w:t>
      </w:r>
      <w:r>
        <w:rPr>
          <w:rFonts w:ascii="Times New Roman" w:eastAsia="Times New Roman" w:hAnsi="Times New Roman"/>
          <w:spacing w:val="43"/>
        </w:rPr>
        <w:t xml:space="preserve"> </w:t>
      </w:r>
      <w:r>
        <w:rPr>
          <w:spacing w:val="-1"/>
        </w:rPr>
        <w:t>光解”处理后，有组织排</w:t>
      </w:r>
      <w:r>
        <w:rPr>
          <w:spacing w:val="-19"/>
        </w:rPr>
        <w:t xml:space="preserve">放量 </w:t>
      </w:r>
      <w:r>
        <w:rPr>
          <w:rFonts w:ascii="Times New Roman" w:eastAsia="Times New Roman" w:hAnsi="Times New Roman"/>
        </w:rPr>
        <w:t>0.081t/a</w:t>
      </w:r>
      <w:r>
        <w:t>。</w:t>
      </w:r>
    </w:p>
    <w:p>
      <w:pPr>
        <w:pStyle w:val="BodyText"/>
        <w:spacing w:line="268" w:lineRule="exact"/>
        <w:ind w:left="1241"/>
        <w:jc w:val="both"/>
      </w:pPr>
      <w:r>
        <w:t>现有项目废气产生源强见</w:t>
      </w:r>
      <w:hyperlink w:anchor="_bookmark21" w:history="1">
        <w:r>
          <w:t xml:space="preserve">下表 </w:t>
        </w:r>
        <w:r>
          <w:rPr>
            <w:rFonts w:ascii="Times New Roman" w:eastAsia="Times New Roman"/>
          </w:rPr>
          <w:t>2-14</w:t>
        </w:r>
      </w:hyperlink>
      <w:r>
        <w:t>。</w:t>
      </w:r>
    </w:p>
    <w:p>
      <w:pPr>
        <w:pStyle w:val="Heading3"/>
        <w:spacing w:before="139"/>
        <w:ind w:left="2463"/>
      </w:pPr>
      <w:bookmarkStart w:id="21" w:name="_bookmark21"/>
      <w:bookmarkEnd w:id="21"/>
      <w:r>
        <w:t xml:space="preserve">表 </w:t>
      </w:r>
      <w:r>
        <w:rPr>
          <w:rFonts w:ascii="Times New Roman" w:eastAsia="Times New Roman"/>
        </w:rPr>
        <w:t xml:space="preserve">2-14 </w:t>
      </w:r>
      <w:r>
        <w:t>现有项目废气源强核算、收集、处理方式情况一览表</w:t>
      </w:r>
    </w:p>
    <w:tbl>
      <w:tblPr>
        <w:tblStyle w:val="TableNormal"/>
        <w:tblW w:w="0" w:type="auto"/>
        <w:tblInd w:w="8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936"/>
        <w:gridCol w:w="925"/>
        <w:gridCol w:w="1107"/>
        <w:gridCol w:w="759"/>
        <w:gridCol w:w="1283"/>
        <w:gridCol w:w="579"/>
        <w:gridCol w:w="1297"/>
        <w:gridCol w:w="939"/>
        <w:gridCol w:w="579"/>
      </w:tblGrid>
      <w:tr>
        <w:tblPrEx>
          <w:tblW w:w="0" w:type="auto"/>
          <w:tblInd w:w="8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85"/>
        </w:trPr>
        <w:tc>
          <w:tcPr>
            <w:tcW w:w="936" w:type="dxa"/>
            <w:vMerge w:val="restart"/>
          </w:tcPr>
          <w:p>
            <w:pPr>
              <w:pStyle w:val="TableParagraph"/>
              <w:spacing w:before="8"/>
              <w:rPr>
                <w:b/>
                <w:sz w:val="13"/>
              </w:rPr>
            </w:pPr>
          </w:p>
          <w:p>
            <w:pPr>
              <w:pStyle w:val="TableParagraph"/>
              <w:ind w:left="198"/>
              <w:rPr>
                <w:b/>
                <w:sz w:val="18"/>
              </w:rPr>
            </w:pPr>
            <w:r>
              <w:rPr>
                <w:b/>
                <w:sz w:val="18"/>
              </w:rPr>
              <w:t>污染源</w:t>
            </w:r>
          </w:p>
        </w:tc>
        <w:tc>
          <w:tcPr>
            <w:tcW w:w="925" w:type="dxa"/>
            <w:vMerge w:val="restart"/>
          </w:tcPr>
          <w:p>
            <w:pPr>
              <w:pStyle w:val="TableParagraph"/>
              <w:spacing w:before="57" w:line="242" w:lineRule="auto"/>
              <w:ind w:left="282" w:right="179" w:hanging="92"/>
              <w:rPr>
                <w:b/>
                <w:sz w:val="18"/>
              </w:rPr>
            </w:pPr>
            <w:r>
              <w:rPr>
                <w:b/>
                <w:sz w:val="18"/>
              </w:rPr>
              <w:t>污染物种类</w:t>
            </w:r>
          </w:p>
        </w:tc>
        <w:tc>
          <w:tcPr>
            <w:tcW w:w="1107" w:type="dxa"/>
            <w:vMerge w:val="restart"/>
          </w:tcPr>
          <w:p>
            <w:pPr>
              <w:pStyle w:val="TableParagraph"/>
              <w:spacing w:before="57" w:line="242" w:lineRule="auto"/>
              <w:ind w:left="251" w:right="179" w:hanging="58"/>
              <w:rPr>
                <w:rFonts w:ascii="Times New Roman" w:eastAsia="Times New Roman"/>
                <w:b/>
                <w:sz w:val="18"/>
              </w:rPr>
            </w:pPr>
            <w:r>
              <w:rPr>
                <w:b/>
                <w:sz w:val="18"/>
              </w:rPr>
              <w:t xml:space="preserve">污染源强核算 </w:t>
            </w:r>
            <w:r>
              <w:rPr>
                <w:rFonts w:ascii="Times New Roman" w:eastAsia="Times New Roman"/>
                <w:b/>
                <w:sz w:val="18"/>
              </w:rPr>
              <w:t>t/a</w:t>
            </w:r>
          </w:p>
        </w:tc>
        <w:tc>
          <w:tcPr>
            <w:tcW w:w="759" w:type="dxa"/>
            <w:vMerge w:val="restart"/>
          </w:tcPr>
          <w:p>
            <w:pPr>
              <w:pStyle w:val="TableParagraph"/>
              <w:spacing w:before="57" w:line="242" w:lineRule="auto"/>
              <w:ind w:left="106" w:right="98"/>
              <w:rPr>
                <w:b/>
                <w:sz w:val="18"/>
              </w:rPr>
            </w:pPr>
            <w:r>
              <w:rPr>
                <w:b/>
                <w:sz w:val="18"/>
              </w:rPr>
              <w:t>源强核算依据</w:t>
            </w:r>
          </w:p>
        </w:tc>
        <w:tc>
          <w:tcPr>
            <w:tcW w:w="1283" w:type="dxa"/>
            <w:vMerge w:val="restart"/>
          </w:tcPr>
          <w:p>
            <w:pPr>
              <w:pStyle w:val="TableParagraph"/>
              <w:spacing w:before="57" w:line="242" w:lineRule="auto"/>
              <w:ind w:left="550" w:right="178" w:hanging="361"/>
              <w:rPr>
                <w:b/>
                <w:sz w:val="18"/>
              </w:rPr>
            </w:pPr>
            <w:r>
              <w:rPr>
                <w:b/>
                <w:sz w:val="18"/>
              </w:rPr>
              <w:t>废气收集方式</w:t>
            </w:r>
          </w:p>
        </w:tc>
        <w:tc>
          <w:tcPr>
            <w:tcW w:w="579" w:type="dxa"/>
            <w:vMerge w:val="restart"/>
          </w:tcPr>
          <w:p>
            <w:pPr>
              <w:pStyle w:val="TableParagraph"/>
              <w:spacing w:before="57" w:line="242" w:lineRule="auto"/>
              <w:ind w:left="107" w:right="94"/>
              <w:rPr>
                <w:b/>
                <w:sz w:val="18"/>
              </w:rPr>
            </w:pPr>
            <w:r>
              <w:rPr>
                <w:b/>
                <w:sz w:val="18"/>
              </w:rPr>
              <w:t>收集效率</w:t>
            </w:r>
          </w:p>
        </w:tc>
        <w:tc>
          <w:tcPr>
            <w:tcW w:w="2236" w:type="dxa"/>
            <w:gridSpan w:val="2"/>
          </w:tcPr>
          <w:p>
            <w:pPr>
              <w:pStyle w:val="TableParagraph"/>
              <w:spacing w:before="26"/>
              <w:ind w:left="734" w:right="728"/>
              <w:jc w:val="center"/>
              <w:rPr>
                <w:b/>
                <w:sz w:val="18"/>
              </w:rPr>
            </w:pPr>
            <w:r>
              <w:rPr>
                <w:b/>
                <w:sz w:val="18"/>
              </w:rPr>
              <w:t>治理措施</w:t>
            </w:r>
          </w:p>
        </w:tc>
        <w:tc>
          <w:tcPr>
            <w:tcW w:w="579" w:type="dxa"/>
            <w:vMerge w:val="restart"/>
          </w:tcPr>
          <w:p>
            <w:pPr>
              <w:pStyle w:val="TableParagraph"/>
              <w:spacing w:before="72" w:line="230" w:lineRule="exact"/>
              <w:ind w:left="105"/>
              <w:rPr>
                <w:b/>
                <w:sz w:val="18"/>
              </w:rPr>
            </w:pPr>
            <w:r>
              <w:rPr>
                <w:b/>
                <w:sz w:val="18"/>
              </w:rPr>
              <w:t>风量</w:t>
            </w:r>
          </w:p>
          <w:p>
            <w:pPr>
              <w:pStyle w:val="TableParagraph"/>
              <w:spacing w:line="210" w:lineRule="exact"/>
              <w:ind w:left="105"/>
              <w:rPr>
                <w:rFonts w:ascii="Times New Roman"/>
                <w:b/>
                <w:sz w:val="18"/>
              </w:rPr>
            </w:pPr>
            <w:r>
              <w:rPr>
                <w:rFonts w:ascii="Times New Roman"/>
                <w:b/>
                <w:sz w:val="18"/>
              </w:rPr>
              <w:t>m</w:t>
            </w:r>
            <w:r>
              <w:rPr>
                <w:rFonts w:ascii="Times New Roman"/>
                <w:b/>
                <w:position w:val="6"/>
                <w:sz w:val="12"/>
              </w:rPr>
              <w:t>3</w:t>
            </w:r>
            <w:r>
              <w:rPr>
                <w:rFonts w:ascii="Times New Roman"/>
                <w:b/>
                <w:sz w:val="18"/>
              </w:rPr>
              <w:t>/h</w:t>
            </w:r>
          </w:p>
        </w:tc>
      </w:tr>
      <w:tr>
        <w:tblPrEx>
          <w:tblW w:w="0" w:type="auto"/>
          <w:tblInd w:w="831" w:type="dxa"/>
          <w:tblLayout w:type="fixed"/>
          <w:tblCellMar>
            <w:top w:w="0" w:type="dxa"/>
            <w:left w:w="0" w:type="dxa"/>
            <w:bottom w:w="0" w:type="dxa"/>
            <w:right w:w="0" w:type="dxa"/>
          </w:tblCellMar>
        </w:tblPrEx>
        <w:trPr>
          <w:trHeight w:val="285"/>
        </w:trPr>
        <w:tc>
          <w:tcPr>
            <w:tcW w:w="936" w:type="dxa"/>
            <w:vMerge/>
            <w:tcBorders>
              <w:top w:val="nil"/>
            </w:tcBorders>
          </w:tcPr>
          <w:p>
            <w:pPr>
              <w:rPr>
                <w:sz w:val="2"/>
                <w:szCs w:val="2"/>
              </w:rPr>
            </w:pPr>
          </w:p>
        </w:tc>
        <w:tc>
          <w:tcPr>
            <w:tcW w:w="925" w:type="dxa"/>
            <w:vMerge/>
            <w:tcBorders>
              <w:top w:val="nil"/>
            </w:tcBorders>
          </w:tcPr>
          <w:p>
            <w:pPr>
              <w:rPr>
                <w:sz w:val="2"/>
                <w:szCs w:val="2"/>
              </w:rPr>
            </w:pPr>
          </w:p>
        </w:tc>
        <w:tc>
          <w:tcPr>
            <w:tcW w:w="1107" w:type="dxa"/>
            <w:vMerge/>
            <w:tcBorders>
              <w:top w:val="nil"/>
            </w:tcBorders>
          </w:tcPr>
          <w:p>
            <w:pPr>
              <w:rPr>
                <w:sz w:val="2"/>
                <w:szCs w:val="2"/>
              </w:rPr>
            </w:pPr>
          </w:p>
        </w:tc>
        <w:tc>
          <w:tcPr>
            <w:tcW w:w="759" w:type="dxa"/>
            <w:vMerge/>
            <w:tcBorders>
              <w:top w:val="nil"/>
            </w:tcBorders>
          </w:tcPr>
          <w:p>
            <w:pPr>
              <w:rPr>
                <w:sz w:val="2"/>
                <w:szCs w:val="2"/>
              </w:rPr>
            </w:pPr>
          </w:p>
        </w:tc>
        <w:tc>
          <w:tcPr>
            <w:tcW w:w="1283" w:type="dxa"/>
            <w:vMerge/>
            <w:tcBorders>
              <w:top w:val="nil"/>
            </w:tcBorders>
          </w:tcPr>
          <w:p>
            <w:pPr>
              <w:rPr>
                <w:sz w:val="2"/>
                <w:szCs w:val="2"/>
              </w:rPr>
            </w:pPr>
          </w:p>
        </w:tc>
        <w:tc>
          <w:tcPr>
            <w:tcW w:w="579" w:type="dxa"/>
            <w:vMerge/>
            <w:tcBorders>
              <w:top w:val="nil"/>
            </w:tcBorders>
          </w:tcPr>
          <w:p>
            <w:pPr>
              <w:rPr>
                <w:sz w:val="2"/>
                <w:szCs w:val="2"/>
              </w:rPr>
            </w:pPr>
          </w:p>
        </w:tc>
        <w:tc>
          <w:tcPr>
            <w:tcW w:w="1297" w:type="dxa"/>
          </w:tcPr>
          <w:p>
            <w:pPr>
              <w:pStyle w:val="TableParagraph"/>
              <w:spacing w:before="26"/>
              <w:ind w:left="284"/>
              <w:rPr>
                <w:b/>
                <w:sz w:val="18"/>
              </w:rPr>
            </w:pPr>
            <w:r>
              <w:rPr>
                <w:b/>
                <w:sz w:val="18"/>
              </w:rPr>
              <w:t>治理工艺</w:t>
            </w:r>
          </w:p>
        </w:tc>
        <w:tc>
          <w:tcPr>
            <w:tcW w:w="939" w:type="dxa"/>
          </w:tcPr>
          <w:p>
            <w:pPr>
              <w:pStyle w:val="TableParagraph"/>
              <w:spacing w:before="26"/>
              <w:ind w:left="86" w:right="80"/>
              <w:jc w:val="center"/>
              <w:rPr>
                <w:b/>
                <w:sz w:val="18"/>
              </w:rPr>
            </w:pPr>
            <w:r>
              <w:rPr>
                <w:b/>
                <w:sz w:val="18"/>
              </w:rPr>
              <w:t>去除效率</w:t>
            </w:r>
          </w:p>
        </w:tc>
        <w:tc>
          <w:tcPr>
            <w:tcW w:w="579" w:type="dxa"/>
            <w:vMerge/>
            <w:tcBorders>
              <w:top w:val="nil"/>
            </w:tcBorders>
          </w:tcPr>
          <w:p>
            <w:pPr>
              <w:rPr>
                <w:sz w:val="2"/>
                <w:szCs w:val="2"/>
              </w:rPr>
            </w:pPr>
          </w:p>
        </w:tc>
      </w:tr>
      <w:tr>
        <w:tblPrEx>
          <w:tblW w:w="0" w:type="auto"/>
          <w:tblInd w:w="831" w:type="dxa"/>
          <w:tblLayout w:type="fixed"/>
          <w:tblCellMar>
            <w:top w:w="0" w:type="dxa"/>
            <w:left w:w="0" w:type="dxa"/>
            <w:bottom w:w="0" w:type="dxa"/>
            <w:right w:w="0" w:type="dxa"/>
          </w:tblCellMar>
        </w:tblPrEx>
        <w:trPr>
          <w:trHeight w:val="467"/>
        </w:trPr>
        <w:tc>
          <w:tcPr>
            <w:tcW w:w="936" w:type="dxa"/>
          </w:tcPr>
          <w:p>
            <w:pPr>
              <w:pStyle w:val="TableParagraph"/>
              <w:spacing w:before="117"/>
              <w:ind w:left="110"/>
              <w:rPr>
                <w:sz w:val="18"/>
              </w:rPr>
            </w:pPr>
            <w:r>
              <w:rPr>
                <w:sz w:val="18"/>
              </w:rPr>
              <w:t>现有项目</w:t>
            </w:r>
          </w:p>
        </w:tc>
        <w:tc>
          <w:tcPr>
            <w:tcW w:w="925" w:type="dxa"/>
          </w:tcPr>
          <w:p>
            <w:pPr>
              <w:pStyle w:val="TableParagraph"/>
              <w:ind w:left="194"/>
              <w:rPr>
                <w:sz w:val="18"/>
              </w:rPr>
            </w:pPr>
            <w:r>
              <w:rPr>
                <w:sz w:val="18"/>
              </w:rPr>
              <w:t>非甲烷</w:t>
            </w:r>
          </w:p>
          <w:p>
            <w:pPr>
              <w:pStyle w:val="TableParagraph"/>
              <w:spacing w:before="4" w:line="213" w:lineRule="exact"/>
              <w:ind w:left="282"/>
              <w:rPr>
                <w:sz w:val="18"/>
              </w:rPr>
            </w:pPr>
            <w:r>
              <w:rPr>
                <w:sz w:val="18"/>
              </w:rPr>
              <w:t>总烃</w:t>
            </w:r>
          </w:p>
        </w:tc>
        <w:tc>
          <w:tcPr>
            <w:tcW w:w="1107" w:type="dxa"/>
          </w:tcPr>
          <w:p>
            <w:pPr>
              <w:pStyle w:val="TableParagraph"/>
              <w:spacing w:before="131"/>
              <w:ind w:left="421" w:right="410"/>
              <w:jc w:val="center"/>
              <w:rPr>
                <w:rFonts w:ascii="Times New Roman"/>
                <w:sz w:val="18"/>
              </w:rPr>
            </w:pPr>
            <w:r>
              <w:rPr>
                <w:rFonts w:ascii="Times New Roman"/>
                <w:sz w:val="18"/>
              </w:rPr>
              <w:t>0.9</w:t>
            </w:r>
          </w:p>
        </w:tc>
        <w:tc>
          <w:tcPr>
            <w:tcW w:w="759" w:type="dxa"/>
          </w:tcPr>
          <w:p>
            <w:pPr>
              <w:pStyle w:val="TableParagraph"/>
              <w:ind w:left="106"/>
              <w:rPr>
                <w:sz w:val="18"/>
              </w:rPr>
            </w:pPr>
            <w:r>
              <w:rPr>
                <w:sz w:val="18"/>
              </w:rPr>
              <w:t>油墨检</w:t>
            </w:r>
          </w:p>
          <w:p>
            <w:pPr>
              <w:pStyle w:val="TableParagraph"/>
              <w:spacing w:before="4" w:line="213" w:lineRule="exact"/>
              <w:ind w:left="106"/>
              <w:rPr>
                <w:sz w:val="18"/>
              </w:rPr>
            </w:pPr>
            <w:r>
              <w:rPr>
                <w:sz w:val="18"/>
              </w:rPr>
              <w:t>测报告</w:t>
            </w:r>
          </w:p>
        </w:tc>
        <w:tc>
          <w:tcPr>
            <w:tcW w:w="1283" w:type="dxa"/>
          </w:tcPr>
          <w:p>
            <w:pPr>
              <w:pStyle w:val="TableParagraph"/>
              <w:spacing w:before="117"/>
              <w:ind w:left="281"/>
              <w:rPr>
                <w:sz w:val="18"/>
              </w:rPr>
            </w:pPr>
            <w:r>
              <w:rPr>
                <w:sz w:val="18"/>
              </w:rPr>
              <w:t>密闭引风</w:t>
            </w:r>
          </w:p>
        </w:tc>
        <w:tc>
          <w:tcPr>
            <w:tcW w:w="579" w:type="dxa"/>
          </w:tcPr>
          <w:p>
            <w:pPr>
              <w:pStyle w:val="TableParagraph"/>
              <w:spacing w:before="131"/>
              <w:ind w:left="124"/>
              <w:rPr>
                <w:rFonts w:ascii="Times New Roman"/>
                <w:sz w:val="18"/>
              </w:rPr>
            </w:pPr>
            <w:r>
              <w:rPr>
                <w:rFonts w:ascii="Times New Roman"/>
                <w:sz w:val="18"/>
              </w:rPr>
              <w:t>90%</w:t>
            </w:r>
          </w:p>
        </w:tc>
        <w:tc>
          <w:tcPr>
            <w:tcW w:w="1297" w:type="dxa"/>
          </w:tcPr>
          <w:p>
            <w:pPr>
              <w:pStyle w:val="TableParagraph"/>
              <w:ind w:left="106"/>
              <w:rPr>
                <w:sz w:val="18"/>
              </w:rPr>
            </w:pPr>
            <w:r>
              <w:rPr>
                <w:sz w:val="18"/>
              </w:rPr>
              <w:t>二级活性炭吸</w:t>
            </w:r>
          </w:p>
          <w:p>
            <w:pPr>
              <w:pStyle w:val="TableParagraph"/>
              <w:spacing w:before="4" w:line="213" w:lineRule="exact"/>
              <w:ind w:left="176"/>
              <w:rPr>
                <w:sz w:val="18"/>
              </w:rPr>
            </w:pPr>
            <w:r>
              <w:rPr>
                <w:sz w:val="18"/>
              </w:rPr>
              <w:t>附</w:t>
            </w:r>
            <w:r>
              <w:rPr>
                <w:rFonts w:ascii="Times New Roman" w:eastAsia="Times New Roman"/>
                <w:sz w:val="18"/>
              </w:rPr>
              <w:t>+UV</w:t>
            </w:r>
            <w:r>
              <w:rPr>
                <w:rFonts w:ascii="Times New Roman" w:eastAsia="Times New Roman"/>
                <w:spacing w:val="-13"/>
                <w:sz w:val="18"/>
              </w:rPr>
              <w:t xml:space="preserve"> </w:t>
            </w:r>
            <w:r>
              <w:rPr>
                <w:sz w:val="18"/>
              </w:rPr>
              <w:t>光解</w:t>
            </w:r>
          </w:p>
        </w:tc>
        <w:tc>
          <w:tcPr>
            <w:tcW w:w="939" w:type="dxa"/>
          </w:tcPr>
          <w:p>
            <w:pPr>
              <w:pStyle w:val="TableParagraph"/>
              <w:spacing w:before="131"/>
              <w:ind w:left="86" w:right="79"/>
              <w:jc w:val="center"/>
              <w:rPr>
                <w:rFonts w:ascii="Times New Roman"/>
                <w:sz w:val="18"/>
              </w:rPr>
            </w:pPr>
            <w:r>
              <w:rPr>
                <w:rFonts w:ascii="Times New Roman"/>
                <w:sz w:val="18"/>
              </w:rPr>
              <w:t>95%</w:t>
            </w:r>
          </w:p>
        </w:tc>
        <w:tc>
          <w:tcPr>
            <w:tcW w:w="579" w:type="dxa"/>
          </w:tcPr>
          <w:p>
            <w:pPr>
              <w:pStyle w:val="TableParagraph"/>
              <w:spacing w:before="131"/>
              <w:ind w:left="105"/>
              <w:rPr>
                <w:rFonts w:ascii="Times New Roman"/>
                <w:sz w:val="18"/>
              </w:rPr>
            </w:pPr>
            <w:r>
              <w:rPr>
                <w:rFonts w:ascii="Times New Roman"/>
                <w:sz w:val="18"/>
              </w:rPr>
              <w:t>3000</w:t>
            </w:r>
          </w:p>
        </w:tc>
      </w:tr>
    </w:tbl>
    <w:p>
      <w:pPr>
        <w:pStyle w:val="BodyText"/>
        <w:spacing w:before="10"/>
        <w:rPr>
          <w:b/>
          <w:sz w:val="18"/>
        </w:rPr>
      </w:pPr>
    </w:p>
    <w:p>
      <w:pPr>
        <w:pStyle w:val="ListParagraph"/>
        <w:numPr>
          <w:ilvl w:val="0"/>
          <w:numId w:val="21"/>
        </w:numPr>
        <w:tabs>
          <w:tab w:val="left" w:pos="1771"/>
        </w:tabs>
        <w:spacing w:before="0" w:after="0" w:line="240" w:lineRule="auto"/>
        <w:ind w:left="1770" w:right="0" w:hanging="530"/>
        <w:jc w:val="left"/>
        <w:rPr>
          <w:sz w:val="21"/>
        </w:rPr>
      </w:pPr>
      <w:r>
        <w:rPr>
          <w:spacing w:val="-3"/>
          <w:sz w:val="21"/>
        </w:rPr>
        <w:t>变更废气处理措施</w:t>
      </w:r>
    </w:p>
    <w:p>
      <w:pPr>
        <w:pStyle w:val="BodyText"/>
        <w:spacing w:before="139" w:line="364" w:lineRule="auto"/>
        <w:ind w:left="821" w:right="389" w:firstLine="419"/>
        <w:jc w:val="both"/>
      </w:pPr>
      <w:r>
        <w:rPr>
          <w:spacing w:val="4"/>
        </w:rPr>
        <w:t>现有项目废气引入经“二级活性炭吸附</w:t>
      </w:r>
      <w:r>
        <w:rPr>
          <w:rFonts w:ascii="Times New Roman" w:eastAsia="Times New Roman" w:hAnsi="Times New Roman"/>
        </w:rPr>
        <w:t xml:space="preserve">+UV </w:t>
      </w:r>
      <w:r>
        <w:rPr>
          <w:spacing w:val="4"/>
        </w:rPr>
        <w:t xml:space="preserve">光解”处理后，经 </w:t>
      </w:r>
      <w:r>
        <w:rPr>
          <w:rFonts w:ascii="Times New Roman" w:eastAsia="Times New Roman" w:hAnsi="Times New Roman"/>
        </w:rPr>
        <w:t xml:space="preserve">15m </w:t>
      </w:r>
      <w:r>
        <w:rPr>
          <w:spacing w:val="3"/>
        </w:rPr>
        <w:t>排气筒进入外环</w:t>
      </w:r>
      <w:r>
        <w:rPr>
          <w:spacing w:val="-3"/>
          <w:w w:val="100"/>
        </w:rPr>
        <w:t>境。对照新发布的印刷行业废气可行技术参考表，扩建项目新建“催化燃烧炉”，扩建后将</w:t>
      </w:r>
      <w:r>
        <w:rPr>
          <w:spacing w:val="-3"/>
        </w:rPr>
        <w:t>全厂（现有废气与扩建新增废气</w:t>
      </w:r>
      <w:r>
        <w:t>）</w:t>
      </w:r>
      <w:r>
        <w:rPr>
          <w:spacing w:val="-4"/>
        </w:rPr>
        <w:t>废气一并引入“催化燃烧”装置处理。现有项目废气措施</w:t>
      </w:r>
      <w:r>
        <w:rPr>
          <w:spacing w:val="-3"/>
        </w:rPr>
        <w:t>变更后，废气处理效率得到提升，可有效减少废物污染物的排放。</w:t>
      </w:r>
    </w:p>
    <w:p>
      <w:pPr>
        <w:pStyle w:val="BodyText"/>
        <w:spacing w:line="364" w:lineRule="auto"/>
        <w:ind w:left="821" w:right="389" w:firstLine="419"/>
        <w:jc w:val="both"/>
      </w:pPr>
      <w:r>
        <w:t>根据现有环评文件及例行监测数据，现有“二级活性炭吸附</w:t>
      </w:r>
      <w:r>
        <w:rPr>
          <w:rFonts w:ascii="Times New Roman" w:eastAsia="Times New Roman" w:hAnsi="Times New Roman"/>
        </w:rPr>
        <w:t xml:space="preserve">+UV </w:t>
      </w:r>
      <w:r>
        <w:t>光解”对有机废气的</w:t>
      </w:r>
      <w:r>
        <w:rPr>
          <w:spacing w:val="-12"/>
        </w:rPr>
        <w:t xml:space="preserve">去除率以 </w:t>
      </w:r>
      <w:r>
        <w:rPr>
          <w:rFonts w:ascii="Times New Roman" w:eastAsia="Times New Roman" w:hAnsi="Times New Roman"/>
        </w:rPr>
        <w:t>90%</w:t>
      </w:r>
      <w:r>
        <w:rPr>
          <w:spacing w:val="-5"/>
        </w:rPr>
        <w:t xml:space="preserve">计，扩建后“催化燃烧”装置对有机废气的去除率可达 </w:t>
      </w:r>
      <w:r>
        <w:rPr>
          <w:rFonts w:ascii="Times New Roman" w:eastAsia="Times New Roman" w:hAnsi="Times New Roman"/>
        </w:rPr>
        <w:t>95%</w:t>
      </w:r>
      <w:r>
        <w:t>（</w:t>
      </w:r>
      <w:r>
        <w:rPr>
          <w:spacing w:val="-2"/>
        </w:rPr>
        <w:t>催化燃烧废气处</w:t>
      </w:r>
    </w:p>
    <w:p>
      <w:pPr>
        <w:spacing w:after="0" w:line="364"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1" w:history="1">
        <w:r>
          <w:rPr>
            <w:rFonts w:ascii="SimSun" w:eastAsia="SimSun" w:hAnsi="SimSun" w:cs="SimSun"/>
            <w:b/>
            <w:bCs/>
            <w:color w:val="0000EE"/>
            <w:sz w:val="30"/>
            <w:szCs w:val="30"/>
            <w:u w:val="single" w:color="0000EE"/>
          </w:rPr>
          <w:t>https://d.book118.com/968003127026006047</w:t>
        </w:r>
      </w:hyperlink>
    </w:p>
    <w:p>
      <w:pPr>
        <w:spacing w:after="0" w:line="364" w:lineRule="auto"/>
        <w:jc w:val="both"/>
      </w:pPr>
    </w:p>
    <w:sectPr>
      <w:footerReference w:type="default" r:id="rId42"/>
      <w:pgSz w:w="11910" w:h="16840"/>
      <w:pgMar w:top="1400" w:right="1140" w:bottom="1040" w:left="1140" w:header="0" w:footer="768" w:gutter="0"/>
      <w:pgNumType w:start="31"/>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微软雅黑">
    <w:panose1 w:val="020B0503020204020204"/>
    <w:charset w:val="86"/>
    <w:family w:val="swiss"/>
    <w:pitch w:val="default"/>
    <w:sig w:usb0="80000287" w:usb1="2ACF3C50" w:usb2="00000016" w:usb3="00000000" w:csb0="0004001F" w:csb1="00000000"/>
  </w:font>
  <w:font w:name="Segoe UI Symbol">
    <w:panose1 w:val="020B0502040204020203"/>
    <w:charset w:val="00"/>
    <w:family w:val="swiss"/>
    <w:pitch w:val="default"/>
    <w:sig w:usb0="800001E3" w:usb1="1200FFEF" w:usb2="00040000" w:usb3="04000000" w:csb0="00000001" w:csb1="4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49" type="#_x0000_t202" style="width:13.15pt;height:12pt;margin-top:777.2pt;margin-left:291.2pt;mso-height-relative:page;mso-position-horizontal-relative:page;mso-position-vertical-relative:page;mso-width-relative:page;position:absolute;z-index:-25165824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w:t>
                </w:r>
                <w: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0" type="#_x0000_t202" style="width:13.15pt;height:12pt;margin-top:777.2pt;margin-left:291.2pt;mso-height-relative:page;mso-position-horizontal-relative:page;mso-position-vertical-relative:page;mso-width-relative:page;position:absolute;z-index:-25165721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w:t>
                </w:r>
                <w: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1" type="#_x0000_t202" style="width:13.15pt;height:12pt;margin-top:777.2pt;margin-left:291.2pt;mso-height-relative:page;mso-position-horizontal-relative:page;mso-position-vertical-relative:page;mso-width-relative:page;position:absolute;z-index:-25165619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w:t>
                </w:r>
                <w: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2" type="#_x0000_t202" style="width:13.15pt;height:12pt;margin-top:777.2pt;margin-left:291.2pt;mso-height-relative:page;mso-position-horizontal-relative:page;mso-position-vertical-relative:page;mso-width-relative:page;position:absolute;z-index:-25165516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w:t>
                </w:r>
                <w: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3" type="#_x0000_t202" style="width:13.15pt;height:12pt;margin-top:777.2pt;margin-left:291.2pt;mso-height-relative:page;mso-position-horizontal-relative:page;mso-position-vertical-relative:page;mso-width-relative:page;position:absolute;z-index:-25165414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w:t>
                </w:r>
                <w: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4" type="#_x0000_t202" style="width:13.15pt;height:12pt;margin-top:777.2pt;margin-left:291.2pt;mso-height-relative:page;mso-position-horizontal-relative:page;mso-position-vertical-relative:page;mso-width-relative:page;position:absolute;z-index:-25165312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6</w:t>
                </w:r>
                <w: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5" type="#_x0000_t202" style="width:13.15pt;height:12pt;margin-top:777.2pt;margin-left:291.2pt;mso-height-relative:page;mso-position-horizontal-relative:page;mso-position-vertical-relative:page;mso-width-relative:page;position:absolute;z-index:-25165209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7</w:t>
                </w:r>
                <w: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6" type="#_x0000_t202" style="width:13.15pt;height:12pt;margin-top:777.2pt;margin-left:291.2pt;mso-height-relative:page;mso-position-horizontal-relative:page;mso-position-vertical-relative:page;mso-width-relative:page;position:absolute;z-index:-25165107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8</w:t>
                </w:r>
                <w: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7" type="#_x0000_t202" style="width:13.15pt;height:12pt;margin-top:777.2pt;margin-left:291.2pt;mso-height-relative:page;mso-position-horizontal-relative:page;mso-position-vertical-relative:page;mso-width-relative:page;position:absolute;z-index:-25165004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9</w:t>
                </w:r>
                <w: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8" type="#_x0000_t202" style="width:13.15pt;height:12pt;margin-top:777.2pt;margin-left:291.2pt;mso-height-relative:page;mso-position-horizontal-relative:page;mso-position-vertical-relative:page;mso-width-relative:page;position:absolute;z-index:-25164902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10</w:t>
                </w:r>
                <w: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9" type="#_x0000_t202" style="width:13.15pt;height:12pt;margin-top:777.2pt;margin-left:291.2pt;mso-height-relative:page;mso-position-horizontal-relative:page;mso-position-vertical-relative:page;mso-width-relative:page;position:absolute;z-index:-25164800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11</w:t>
                </w:r>
                <w: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0" type="#_x0000_t202" style="width:13.15pt;height:12pt;margin-top:777.2pt;margin-left:291.2pt;mso-height-relative:page;mso-position-horizontal-relative:page;mso-position-vertical-relative:page;mso-width-relative:page;position:absolute;z-index:-25164697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12</w:t>
                </w:r>
                <w: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1" type="#_x0000_t202" style="width:13.15pt;height:12pt;margin-top:777.2pt;margin-left:291.2pt;mso-height-relative:page;mso-position-horizontal-relative:page;mso-position-vertical-relative:page;mso-width-relative:page;position:absolute;z-index:-25164595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13</w:t>
                </w:r>
                <w: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2" type="#_x0000_t202" style="width:13.15pt;height:12pt;margin-top:777.2pt;margin-left:291.2pt;mso-height-relative:page;mso-position-horizontal-relative:page;mso-position-vertical-relative:page;mso-width-relative:page;position:absolute;z-index:-25164492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14</w:t>
                </w:r>
                <w: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3" type="#_x0000_t202" style="width:13.15pt;height:12pt;margin-top:777.2pt;margin-left:291.2pt;mso-height-relative:page;mso-position-horizontal-relative:page;mso-position-vertical-relative:page;mso-width-relative:page;position:absolute;z-index:-25164390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15</w:t>
                </w:r>
                <w: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4" type="#_x0000_t202" style="width:13.15pt;height:12pt;margin-top:788.45pt;margin-left:291.2pt;mso-height-relative:page;mso-position-horizontal-relative:page;mso-position-vertical-relative:page;mso-width-relative:page;position:absolute;z-index:-25164288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16</w:t>
                </w:r>
                <w: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5" type="#_x0000_t202" style="width:13.15pt;height:12pt;margin-top:788.45pt;margin-left:291.2pt;mso-height-relative:page;mso-position-horizontal-relative:page;mso-position-vertical-relative:page;mso-width-relative:page;position:absolute;z-index:-25164185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17</w:t>
                </w:r>
                <w: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6" type="#_x0000_t202" style="width:13.15pt;height:12pt;margin-top:788.45pt;margin-left:291.2pt;mso-height-relative:page;mso-position-horizontal-relative:page;mso-position-vertical-relative:page;mso-width-relative:page;position:absolute;z-index:-25164083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18</w:t>
                </w:r>
                <w:r>
                  <w:fldChar w:fldCharType="end"/>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7" type="#_x0000_t202" style="width:13.15pt;height:12pt;margin-top:788.45pt;margin-left:291.2pt;mso-height-relative:page;mso-position-horizontal-relative:page;mso-position-vertical-relative:page;mso-width-relative:page;position:absolute;z-index:-25163980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19</w:t>
                </w:r>
                <w:r>
                  <w:fldChar w:fldCharType="end"/>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8" type="#_x0000_t202" style="width:13.15pt;height:12pt;margin-top:788.45pt;margin-left:291.2pt;mso-height-relative:page;mso-position-horizontal-relative:page;mso-position-vertical-relative:page;mso-width-relative:page;position:absolute;z-index:-25163878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20</w:t>
                </w:r>
                <w:r>
                  <w:fldChar w:fldCharType="end"/>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9" type="#_x0000_t202" style="width:13.15pt;height:12pt;margin-top:788.45pt;margin-left:291.2pt;mso-height-relative:page;mso-position-horizontal-relative:page;mso-position-vertical-relative:page;mso-width-relative:page;position:absolute;z-index:-25163776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21</w:t>
                </w:r>
                <w:r>
                  <w:fldChar w:fldCharType="end"/>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0" type="#_x0000_t202" style="width:13.15pt;height:12pt;margin-top:788.45pt;margin-left:291.2pt;mso-height-relative:page;mso-position-horizontal-relative:page;mso-position-vertical-relative:page;mso-width-relative:page;position:absolute;z-index:-25163673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22</w:t>
                </w:r>
                <w:r>
                  <w:fldChar w:fldCharType="end"/>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1" type="#_x0000_t202" style="width:13.15pt;height:12pt;margin-top:788.45pt;margin-left:291.2pt;mso-height-relative:page;mso-position-horizontal-relative:page;mso-position-vertical-relative:page;mso-width-relative:page;position:absolute;z-index:-25163571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23</w:t>
                </w:r>
                <w:r>
                  <w:fldChar w:fldCharType="end"/>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2" type="#_x0000_t202" style="width:13.15pt;height:12pt;margin-top:788.45pt;margin-left:291.2pt;mso-height-relative:page;mso-position-horizontal-relative:page;mso-position-vertical-relative:page;mso-width-relative:page;position:absolute;z-index:-25163468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24</w:t>
                </w:r>
                <w:r>
                  <w:fldChar w:fldCharType="end"/>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3" type="#_x0000_t202" style="width:13.15pt;height:12pt;margin-top:788.45pt;margin-left:291.2pt;mso-height-relative:page;mso-position-horizontal-relative:page;mso-position-vertical-relative:page;mso-width-relative:page;position:absolute;z-index:-25163366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25</w:t>
                </w:r>
                <w:r>
                  <w:fldChar w:fldCharType="end"/>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4" type="#_x0000_t202" style="width:13.15pt;height:12pt;margin-top:788.45pt;margin-left:291.2pt;mso-height-relative:page;mso-position-horizontal-relative:page;mso-position-vertical-relative:page;mso-width-relative:page;position:absolute;z-index:-25163264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38</w:t>
                </w:r>
                <w:r>
                  <w:fldChar w:fldCharType="end"/>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5" type="#_x0000_t202" style="width:13.15pt;height:12pt;margin-top:788.45pt;margin-left:291.2pt;mso-height-relative:page;mso-position-horizontal-relative:page;mso-position-vertical-relative:page;mso-width-relative:page;position:absolute;z-index:-25163161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38</w:t>
                </w:r>
                <w:r>
                  <w:fldChar w:fldCharType="end"/>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6" type="#_x0000_t202" style="width:13.15pt;height:12pt;margin-top:788.45pt;margin-left:291.2pt;mso-height-relative:page;mso-position-horizontal-relative:page;mso-position-vertical-relative:page;mso-width-relative:page;position:absolute;z-index:-25163059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28</w:t>
                </w:r>
                <w:r>
                  <w:fldChar w:fldCharType="end"/>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7" type="#_x0000_t202" style="width:13.15pt;height:12pt;margin-top:788.45pt;margin-left:291.2pt;mso-height-relative:page;mso-position-horizontal-relative:page;mso-position-vertical-relative:page;mso-width-relative:page;position:absolute;z-index:-25162956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29</w:t>
                </w:r>
                <w:r>
                  <w:fldChar w:fldCharType="end"/>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8" type="#_x0000_t202" style="width:13.15pt;height:12pt;margin-top:788.45pt;margin-left:291.2pt;mso-height-relative:page;mso-position-horizontal-relative:page;mso-position-vertical-relative:page;mso-width-relative:page;position:absolute;z-index:-25162854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30</w:t>
                </w:r>
                <w:r>
                  <w:fldChar w:fldCharType="end"/>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9" type="#_x0000_t202" style="width:13.15pt;height:12pt;margin-top:788.45pt;margin-left:291.2pt;mso-height-relative:page;mso-position-horizontal-relative:page;mso-position-vertical-relative:page;mso-width-relative:page;position:absolute;z-index:-25162752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31</w:t>
                </w:r>
                <w: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07BB8F6"/>
    <w:multiLevelType w:val="multilevel"/>
    <w:tmpl w:val="807BB8F6"/>
    <w:lvl w:ilvl="0">
      <w:start w:val="1"/>
      <w:numFmt w:val="lowerLetter"/>
      <w:lvlText w:val="%1."/>
      <w:lvlJc w:val="left"/>
      <w:pPr>
        <w:ind w:left="675" w:hanging="148"/>
        <w:jc w:val="left"/>
      </w:pPr>
      <w:rPr>
        <w:rFonts w:ascii="Times New Roman" w:eastAsia="Times New Roman" w:hAnsi="Times New Roman" w:cs="Times New Roman" w:hint="default"/>
        <w:spacing w:val="-1"/>
        <w:w w:val="100"/>
        <w:sz w:val="19"/>
        <w:szCs w:val="19"/>
        <w:lang w:val="zh-CN" w:eastAsia="zh-CN" w:bidi="zh-CN"/>
      </w:rPr>
    </w:lvl>
    <w:lvl w:ilvl="1">
      <w:start w:val="0"/>
      <w:numFmt w:val="bullet"/>
      <w:lvlText w:val="•"/>
      <w:lvlJc w:val="left"/>
      <w:pPr>
        <w:ind w:left="1517" w:hanging="148"/>
      </w:pPr>
      <w:rPr>
        <w:rFonts w:hint="default"/>
        <w:lang w:val="zh-CN" w:eastAsia="zh-CN" w:bidi="zh-CN"/>
      </w:rPr>
    </w:lvl>
    <w:lvl w:ilvl="2">
      <w:start w:val="0"/>
      <w:numFmt w:val="bullet"/>
      <w:lvlText w:val="•"/>
      <w:lvlJc w:val="left"/>
      <w:pPr>
        <w:ind w:left="2354" w:hanging="148"/>
      </w:pPr>
      <w:rPr>
        <w:rFonts w:hint="default"/>
        <w:lang w:val="zh-CN" w:eastAsia="zh-CN" w:bidi="zh-CN"/>
      </w:rPr>
    </w:lvl>
    <w:lvl w:ilvl="3">
      <w:start w:val="0"/>
      <w:numFmt w:val="bullet"/>
      <w:lvlText w:val="•"/>
      <w:lvlJc w:val="left"/>
      <w:pPr>
        <w:ind w:left="3191" w:hanging="148"/>
      </w:pPr>
      <w:rPr>
        <w:rFonts w:hint="default"/>
        <w:lang w:val="zh-CN" w:eastAsia="zh-CN" w:bidi="zh-CN"/>
      </w:rPr>
    </w:lvl>
    <w:lvl w:ilvl="4">
      <w:start w:val="0"/>
      <w:numFmt w:val="bullet"/>
      <w:lvlText w:val="•"/>
      <w:lvlJc w:val="left"/>
      <w:pPr>
        <w:ind w:left="4029" w:hanging="148"/>
      </w:pPr>
      <w:rPr>
        <w:rFonts w:hint="default"/>
        <w:lang w:val="zh-CN" w:eastAsia="zh-CN" w:bidi="zh-CN"/>
      </w:rPr>
    </w:lvl>
    <w:lvl w:ilvl="5">
      <w:start w:val="0"/>
      <w:numFmt w:val="bullet"/>
      <w:lvlText w:val="•"/>
      <w:lvlJc w:val="left"/>
      <w:pPr>
        <w:ind w:left="4866" w:hanging="148"/>
      </w:pPr>
      <w:rPr>
        <w:rFonts w:hint="default"/>
        <w:lang w:val="zh-CN" w:eastAsia="zh-CN" w:bidi="zh-CN"/>
      </w:rPr>
    </w:lvl>
    <w:lvl w:ilvl="6">
      <w:start w:val="0"/>
      <w:numFmt w:val="bullet"/>
      <w:lvlText w:val="•"/>
      <w:lvlJc w:val="left"/>
      <w:pPr>
        <w:ind w:left="5703" w:hanging="148"/>
      </w:pPr>
      <w:rPr>
        <w:rFonts w:hint="default"/>
        <w:lang w:val="zh-CN" w:eastAsia="zh-CN" w:bidi="zh-CN"/>
      </w:rPr>
    </w:lvl>
    <w:lvl w:ilvl="7">
      <w:start w:val="0"/>
      <w:numFmt w:val="bullet"/>
      <w:lvlText w:val="•"/>
      <w:lvlJc w:val="left"/>
      <w:pPr>
        <w:ind w:left="6541" w:hanging="148"/>
      </w:pPr>
      <w:rPr>
        <w:rFonts w:hint="default"/>
        <w:lang w:val="zh-CN" w:eastAsia="zh-CN" w:bidi="zh-CN"/>
      </w:rPr>
    </w:lvl>
    <w:lvl w:ilvl="8">
      <w:start w:val="0"/>
      <w:numFmt w:val="bullet"/>
      <w:lvlText w:val="•"/>
      <w:lvlJc w:val="left"/>
      <w:pPr>
        <w:ind w:left="7378" w:hanging="148"/>
      </w:pPr>
      <w:rPr>
        <w:rFonts w:hint="default"/>
        <w:lang w:val="zh-CN" w:eastAsia="zh-CN" w:bidi="zh-CN"/>
      </w:rPr>
    </w:lvl>
  </w:abstractNum>
  <w:abstractNum w:abstractNumId="1">
    <w:nsid w:val="8234570E"/>
    <w:multiLevelType w:val="multilevel"/>
    <w:tmpl w:val="8234570E"/>
    <w:lvl w:ilvl="0">
      <w:start w:val="1"/>
      <w:numFmt w:val="decimal"/>
      <w:lvlText w:val="%1"/>
      <w:lvlJc w:val="left"/>
      <w:pPr>
        <w:ind w:left="1831" w:hanging="1364"/>
        <w:jc w:val="left"/>
      </w:pPr>
      <w:rPr>
        <w:rFonts w:ascii="Times New Roman" w:eastAsia="Times New Roman" w:hAnsi="Times New Roman" w:cs="Times New Roman" w:hint="default"/>
        <w:spacing w:val="-92"/>
        <w:w w:val="100"/>
        <w:sz w:val="18"/>
        <w:szCs w:val="18"/>
        <w:lang w:val="zh-CN" w:eastAsia="zh-CN" w:bidi="zh-CN"/>
      </w:rPr>
    </w:lvl>
    <w:lvl w:ilvl="1">
      <w:start w:val="0"/>
      <w:numFmt w:val="bullet"/>
      <w:lvlText w:val="•"/>
      <w:lvlJc w:val="left"/>
      <w:pPr>
        <w:ind w:left="2479" w:hanging="1364"/>
      </w:pPr>
      <w:rPr>
        <w:rFonts w:hint="default"/>
        <w:lang w:val="zh-CN" w:eastAsia="zh-CN" w:bidi="zh-CN"/>
      </w:rPr>
    </w:lvl>
    <w:lvl w:ilvl="2">
      <w:start w:val="0"/>
      <w:numFmt w:val="bullet"/>
      <w:lvlText w:val="•"/>
      <w:lvlJc w:val="left"/>
      <w:pPr>
        <w:ind w:left="3119" w:hanging="1364"/>
      </w:pPr>
      <w:rPr>
        <w:rFonts w:hint="default"/>
        <w:lang w:val="zh-CN" w:eastAsia="zh-CN" w:bidi="zh-CN"/>
      </w:rPr>
    </w:lvl>
    <w:lvl w:ilvl="3">
      <w:start w:val="0"/>
      <w:numFmt w:val="bullet"/>
      <w:lvlText w:val="•"/>
      <w:lvlJc w:val="left"/>
      <w:pPr>
        <w:ind w:left="3759" w:hanging="1364"/>
      </w:pPr>
      <w:rPr>
        <w:rFonts w:hint="default"/>
        <w:lang w:val="zh-CN" w:eastAsia="zh-CN" w:bidi="zh-CN"/>
      </w:rPr>
    </w:lvl>
    <w:lvl w:ilvl="4">
      <w:start w:val="0"/>
      <w:numFmt w:val="bullet"/>
      <w:lvlText w:val="•"/>
      <w:lvlJc w:val="left"/>
      <w:pPr>
        <w:ind w:left="4399" w:hanging="1364"/>
      </w:pPr>
      <w:rPr>
        <w:rFonts w:hint="default"/>
        <w:lang w:val="zh-CN" w:eastAsia="zh-CN" w:bidi="zh-CN"/>
      </w:rPr>
    </w:lvl>
    <w:lvl w:ilvl="5">
      <w:start w:val="0"/>
      <w:numFmt w:val="bullet"/>
      <w:lvlText w:val="•"/>
      <w:lvlJc w:val="left"/>
      <w:pPr>
        <w:ind w:left="5039" w:hanging="1364"/>
      </w:pPr>
      <w:rPr>
        <w:rFonts w:hint="default"/>
        <w:lang w:val="zh-CN" w:eastAsia="zh-CN" w:bidi="zh-CN"/>
      </w:rPr>
    </w:lvl>
    <w:lvl w:ilvl="6">
      <w:start w:val="0"/>
      <w:numFmt w:val="bullet"/>
      <w:lvlText w:val="•"/>
      <w:lvlJc w:val="left"/>
      <w:pPr>
        <w:ind w:left="5679" w:hanging="1364"/>
      </w:pPr>
      <w:rPr>
        <w:rFonts w:hint="default"/>
        <w:lang w:val="zh-CN" w:eastAsia="zh-CN" w:bidi="zh-CN"/>
      </w:rPr>
    </w:lvl>
    <w:lvl w:ilvl="7">
      <w:start w:val="0"/>
      <w:numFmt w:val="bullet"/>
      <w:lvlText w:val="•"/>
      <w:lvlJc w:val="left"/>
      <w:pPr>
        <w:ind w:left="6319" w:hanging="1364"/>
      </w:pPr>
      <w:rPr>
        <w:rFonts w:hint="default"/>
        <w:lang w:val="zh-CN" w:eastAsia="zh-CN" w:bidi="zh-CN"/>
      </w:rPr>
    </w:lvl>
    <w:lvl w:ilvl="8">
      <w:start w:val="0"/>
      <w:numFmt w:val="bullet"/>
      <w:lvlText w:val="•"/>
      <w:lvlJc w:val="left"/>
      <w:pPr>
        <w:ind w:left="6959" w:hanging="1364"/>
      </w:pPr>
      <w:rPr>
        <w:rFonts w:hint="default"/>
        <w:lang w:val="zh-CN" w:eastAsia="zh-CN" w:bidi="zh-CN"/>
      </w:rPr>
    </w:lvl>
  </w:abstractNum>
  <w:abstractNum w:abstractNumId="2">
    <w:nsid w:val="8597BEBE"/>
    <w:multiLevelType w:val="multilevel"/>
    <w:tmpl w:val="8597BEBE"/>
    <w:lvl w:ilvl="0">
      <w:start w:val="1"/>
      <w:numFmt w:val="decimal"/>
      <w:lvlText w:val="（%1）"/>
      <w:lvlJc w:val="left"/>
      <w:pPr>
        <w:ind w:left="1183" w:hanging="529"/>
        <w:jc w:val="left"/>
      </w:pPr>
      <w:rPr>
        <w:rFonts w:ascii="宋体" w:eastAsia="宋体" w:hAnsi="宋体" w:cs="宋体" w:hint="default"/>
        <w:b/>
        <w:bCs/>
        <w:spacing w:val="-3"/>
        <w:w w:val="100"/>
        <w:sz w:val="19"/>
        <w:szCs w:val="19"/>
        <w:lang w:val="zh-CN" w:eastAsia="zh-CN" w:bidi="zh-CN"/>
      </w:rPr>
    </w:lvl>
    <w:lvl w:ilvl="1">
      <w:start w:val="0"/>
      <w:numFmt w:val="bullet"/>
      <w:lvlText w:val="•"/>
      <w:lvlJc w:val="left"/>
      <w:pPr>
        <w:ind w:left="1994" w:hanging="529"/>
      </w:pPr>
      <w:rPr>
        <w:rFonts w:hint="default"/>
        <w:lang w:val="zh-CN" w:eastAsia="zh-CN" w:bidi="zh-CN"/>
      </w:rPr>
    </w:lvl>
    <w:lvl w:ilvl="2">
      <w:start w:val="0"/>
      <w:numFmt w:val="bullet"/>
      <w:lvlText w:val="•"/>
      <w:lvlJc w:val="left"/>
      <w:pPr>
        <w:ind w:left="2809" w:hanging="529"/>
      </w:pPr>
      <w:rPr>
        <w:rFonts w:hint="default"/>
        <w:lang w:val="zh-CN" w:eastAsia="zh-CN" w:bidi="zh-CN"/>
      </w:rPr>
    </w:lvl>
    <w:lvl w:ilvl="3">
      <w:start w:val="0"/>
      <w:numFmt w:val="bullet"/>
      <w:lvlText w:val="•"/>
      <w:lvlJc w:val="left"/>
      <w:pPr>
        <w:ind w:left="3623" w:hanging="529"/>
      </w:pPr>
      <w:rPr>
        <w:rFonts w:hint="default"/>
        <w:lang w:val="zh-CN" w:eastAsia="zh-CN" w:bidi="zh-CN"/>
      </w:rPr>
    </w:lvl>
    <w:lvl w:ilvl="4">
      <w:start w:val="0"/>
      <w:numFmt w:val="bullet"/>
      <w:lvlText w:val="•"/>
      <w:lvlJc w:val="left"/>
      <w:pPr>
        <w:ind w:left="4438" w:hanging="529"/>
      </w:pPr>
      <w:rPr>
        <w:rFonts w:hint="default"/>
        <w:lang w:val="zh-CN" w:eastAsia="zh-CN" w:bidi="zh-CN"/>
      </w:rPr>
    </w:lvl>
    <w:lvl w:ilvl="5">
      <w:start w:val="0"/>
      <w:numFmt w:val="bullet"/>
      <w:lvlText w:val="•"/>
      <w:lvlJc w:val="left"/>
      <w:pPr>
        <w:ind w:left="5253" w:hanging="529"/>
      </w:pPr>
      <w:rPr>
        <w:rFonts w:hint="default"/>
        <w:lang w:val="zh-CN" w:eastAsia="zh-CN" w:bidi="zh-CN"/>
      </w:rPr>
    </w:lvl>
    <w:lvl w:ilvl="6">
      <w:start w:val="0"/>
      <w:numFmt w:val="bullet"/>
      <w:lvlText w:val="•"/>
      <w:lvlJc w:val="left"/>
      <w:pPr>
        <w:ind w:left="6067" w:hanging="529"/>
      </w:pPr>
      <w:rPr>
        <w:rFonts w:hint="default"/>
        <w:lang w:val="zh-CN" w:eastAsia="zh-CN" w:bidi="zh-CN"/>
      </w:rPr>
    </w:lvl>
    <w:lvl w:ilvl="7">
      <w:start w:val="0"/>
      <w:numFmt w:val="bullet"/>
      <w:lvlText w:val="•"/>
      <w:lvlJc w:val="left"/>
      <w:pPr>
        <w:ind w:left="6882" w:hanging="529"/>
      </w:pPr>
      <w:rPr>
        <w:rFonts w:hint="default"/>
        <w:lang w:val="zh-CN" w:eastAsia="zh-CN" w:bidi="zh-CN"/>
      </w:rPr>
    </w:lvl>
    <w:lvl w:ilvl="8">
      <w:start w:val="0"/>
      <w:numFmt w:val="bullet"/>
      <w:lvlText w:val="•"/>
      <w:lvlJc w:val="left"/>
      <w:pPr>
        <w:ind w:left="7697" w:hanging="529"/>
      </w:pPr>
      <w:rPr>
        <w:rFonts w:hint="default"/>
        <w:lang w:val="zh-CN" w:eastAsia="zh-CN" w:bidi="zh-CN"/>
      </w:rPr>
    </w:lvl>
  </w:abstractNum>
  <w:abstractNum w:abstractNumId="3">
    <w:nsid w:val="8D3E8D2C"/>
    <w:multiLevelType w:val="multilevel"/>
    <w:tmpl w:val="8D3E8D2C"/>
    <w:lvl w:ilvl="0">
      <w:start w:val="1"/>
      <w:numFmt w:val="decimal"/>
      <w:lvlText w:val="%1."/>
      <w:lvlJc w:val="left"/>
      <w:pPr>
        <w:ind w:left="1638" w:hanging="160"/>
        <w:jc w:val="right"/>
      </w:pPr>
      <w:rPr>
        <w:rFonts w:ascii="Times New Roman" w:eastAsia="Times New Roman" w:hAnsi="Times New Roman" w:cs="Times New Roman" w:hint="default"/>
        <w:b/>
        <w:bCs/>
        <w:spacing w:val="-3"/>
        <w:w w:val="100"/>
        <w:sz w:val="19"/>
        <w:szCs w:val="19"/>
        <w:lang w:val="zh-CN" w:eastAsia="zh-CN" w:bidi="zh-CN"/>
      </w:rPr>
    </w:lvl>
    <w:lvl w:ilvl="1">
      <w:start w:val="0"/>
      <w:numFmt w:val="bullet"/>
      <w:lvlText w:val="•"/>
      <w:lvlJc w:val="left"/>
      <w:pPr>
        <w:ind w:left="2438" w:hanging="160"/>
      </w:pPr>
      <w:rPr>
        <w:rFonts w:hint="default"/>
        <w:lang w:val="zh-CN" w:eastAsia="zh-CN" w:bidi="zh-CN"/>
      </w:rPr>
    </w:lvl>
    <w:lvl w:ilvl="2">
      <w:start w:val="0"/>
      <w:numFmt w:val="bullet"/>
      <w:lvlText w:val="•"/>
      <w:lvlJc w:val="left"/>
      <w:pPr>
        <w:ind w:left="3237" w:hanging="160"/>
      </w:pPr>
      <w:rPr>
        <w:rFonts w:hint="default"/>
        <w:lang w:val="zh-CN" w:eastAsia="zh-CN" w:bidi="zh-CN"/>
      </w:rPr>
    </w:lvl>
    <w:lvl w:ilvl="3">
      <w:start w:val="0"/>
      <w:numFmt w:val="bullet"/>
      <w:lvlText w:val="•"/>
      <w:lvlJc w:val="left"/>
      <w:pPr>
        <w:ind w:left="4035" w:hanging="160"/>
      </w:pPr>
      <w:rPr>
        <w:rFonts w:hint="default"/>
        <w:lang w:val="zh-CN" w:eastAsia="zh-CN" w:bidi="zh-CN"/>
      </w:rPr>
    </w:lvl>
    <w:lvl w:ilvl="4">
      <w:start w:val="0"/>
      <w:numFmt w:val="bullet"/>
      <w:lvlText w:val="•"/>
      <w:lvlJc w:val="left"/>
      <w:pPr>
        <w:ind w:left="4834" w:hanging="160"/>
      </w:pPr>
      <w:rPr>
        <w:rFonts w:hint="default"/>
        <w:lang w:val="zh-CN" w:eastAsia="zh-CN" w:bidi="zh-CN"/>
      </w:rPr>
    </w:lvl>
    <w:lvl w:ilvl="5">
      <w:start w:val="0"/>
      <w:numFmt w:val="bullet"/>
      <w:lvlText w:val="•"/>
      <w:lvlJc w:val="left"/>
      <w:pPr>
        <w:ind w:left="5633" w:hanging="160"/>
      </w:pPr>
      <w:rPr>
        <w:rFonts w:hint="default"/>
        <w:lang w:val="zh-CN" w:eastAsia="zh-CN" w:bidi="zh-CN"/>
      </w:rPr>
    </w:lvl>
    <w:lvl w:ilvl="6">
      <w:start w:val="0"/>
      <w:numFmt w:val="bullet"/>
      <w:lvlText w:val="•"/>
      <w:lvlJc w:val="left"/>
      <w:pPr>
        <w:ind w:left="6431" w:hanging="160"/>
      </w:pPr>
      <w:rPr>
        <w:rFonts w:hint="default"/>
        <w:lang w:val="zh-CN" w:eastAsia="zh-CN" w:bidi="zh-CN"/>
      </w:rPr>
    </w:lvl>
    <w:lvl w:ilvl="7">
      <w:start w:val="0"/>
      <w:numFmt w:val="bullet"/>
      <w:lvlText w:val="•"/>
      <w:lvlJc w:val="left"/>
      <w:pPr>
        <w:ind w:left="7230" w:hanging="160"/>
      </w:pPr>
      <w:rPr>
        <w:rFonts w:hint="default"/>
        <w:lang w:val="zh-CN" w:eastAsia="zh-CN" w:bidi="zh-CN"/>
      </w:rPr>
    </w:lvl>
    <w:lvl w:ilvl="8">
      <w:start w:val="0"/>
      <w:numFmt w:val="bullet"/>
      <w:lvlText w:val="•"/>
      <w:lvlJc w:val="left"/>
      <w:pPr>
        <w:ind w:left="8029" w:hanging="160"/>
      </w:pPr>
      <w:rPr>
        <w:rFonts w:hint="default"/>
        <w:lang w:val="zh-CN" w:eastAsia="zh-CN" w:bidi="zh-CN"/>
      </w:rPr>
    </w:lvl>
  </w:abstractNum>
  <w:abstractNum w:abstractNumId="4">
    <w:nsid w:val="90961B61"/>
    <w:multiLevelType w:val="multilevel"/>
    <w:tmpl w:val="90961B61"/>
    <w:lvl w:ilvl="0">
      <w:start w:val="1"/>
      <w:numFmt w:val="decimal"/>
      <w:lvlText w:val="（%1）"/>
      <w:lvlJc w:val="left"/>
      <w:pPr>
        <w:ind w:left="2300" w:hanging="529"/>
        <w:jc w:val="left"/>
      </w:pPr>
      <w:rPr>
        <w:rFonts w:ascii="宋体" w:eastAsia="宋体" w:hAnsi="宋体" w:cs="宋体" w:hint="default"/>
        <w:b/>
        <w:bCs/>
        <w:spacing w:val="-106"/>
        <w:w w:val="100"/>
        <w:sz w:val="19"/>
        <w:szCs w:val="19"/>
        <w:lang w:val="zh-CN" w:eastAsia="zh-CN" w:bidi="zh-CN"/>
      </w:rPr>
    </w:lvl>
    <w:lvl w:ilvl="1">
      <w:start w:val="0"/>
      <w:numFmt w:val="bullet"/>
      <w:lvlText w:val="•"/>
      <w:lvlJc w:val="left"/>
      <w:pPr>
        <w:ind w:left="3032" w:hanging="529"/>
      </w:pPr>
      <w:rPr>
        <w:rFonts w:hint="default"/>
        <w:lang w:val="zh-CN" w:eastAsia="zh-CN" w:bidi="zh-CN"/>
      </w:rPr>
    </w:lvl>
    <w:lvl w:ilvl="2">
      <w:start w:val="0"/>
      <w:numFmt w:val="bullet"/>
      <w:lvlText w:val="•"/>
      <w:lvlJc w:val="left"/>
      <w:pPr>
        <w:ind w:left="3765" w:hanging="529"/>
      </w:pPr>
      <w:rPr>
        <w:rFonts w:hint="default"/>
        <w:lang w:val="zh-CN" w:eastAsia="zh-CN" w:bidi="zh-CN"/>
      </w:rPr>
    </w:lvl>
    <w:lvl w:ilvl="3">
      <w:start w:val="0"/>
      <w:numFmt w:val="bullet"/>
      <w:lvlText w:val="•"/>
      <w:lvlJc w:val="left"/>
      <w:pPr>
        <w:ind w:left="4497" w:hanging="529"/>
      </w:pPr>
      <w:rPr>
        <w:rFonts w:hint="default"/>
        <w:lang w:val="zh-CN" w:eastAsia="zh-CN" w:bidi="zh-CN"/>
      </w:rPr>
    </w:lvl>
    <w:lvl w:ilvl="4">
      <w:start w:val="0"/>
      <w:numFmt w:val="bullet"/>
      <w:lvlText w:val="•"/>
      <w:lvlJc w:val="left"/>
      <w:pPr>
        <w:ind w:left="5230" w:hanging="529"/>
      </w:pPr>
      <w:rPr>
        <w:rFonts w:hint="default"/>
        <w:lang w:val="zh-CN" w:eastAsia="zh-CN" w:bidi="zh-CN"/>
      </w:rPr>
    </w:lvl>
    <w:lvl w:ilvl="5">
      <w:start w:val="0"/>
      <w:numFmt w:val="bullet"/>
      <w:lvlText w:val="•"/>
      <w:lvlJc w:val="left"/>
      <w:pPr>
        <w:ind w:left="5963" w:hanging="529"/>
      </w:pPr>
      <w:rPr>
        <w:rFonts w:hint="default"/>
        <w:lang w:val="zh-CN" w:eastAsia="zh-CN" w:bidi="zh-CN"/>
      </w:rPr>
    </w:lvl>
    <w:lvl w:ilvl="6">
      <w:start w:val="0"/>
      <w:numFmt w:val="bullet"/>
      <w:lvlText w:val="•"/>
      <w:lvlJc w:val="left"/>
      <w:pPr>
        <w:ind w:left="6695" w:hanging="529"/>
      </w:pPr>
      <w:rPr>
        <w:rFonts w:hint="default"/>
        <w:lang w:val="zh-CN" w:eastAsia="zh-CN" w:bidi="zh-CN"/>
      </w:rPr>
    </w:lvl>
    <w:lvl w:ilvl="7">
      <w:start w:val="0"/>
      <w:numFmt w:val="bullet"/>
      <w:lvlText w:val="•"/>
      <w:lvlJc w:val="left"/>
      <w:pPr>
        <w:ind w:left="7428" w:hanging="529"/>
      </w:pPr>
      <w:rPr>
        <w:rFonts w:hint="default"/>
        <w:lang w:val="zh-CN" w:eastAsia="zh-CN" w:bidi="zh-CN"/>
      </w:rPr>
    </w:lvl>
    <w:lvl w:ilvl="8">
      <w:start w:val="0"/>
      <w:numFmt w:val="bullet"/>
      <w:lvlText w:val="•"/>
      <w:lvlJc w:val="left"/>
      <w:pPr>
        <w:ind w:left="8161" w:hanging="529"/>
      </w:pPr>
      <w:rPr>
        <w:rFonts w:hint="default"/>
        <w:lang w:val="zh-CN" w:eastAsia="zh-CN" w:bidi="zh-CN"/>
      </w:rPr>
    </w:lvl>
  </w:abstractNum>
  <w:abstractNum w:abstractNumId="5">
    <w:nsid w:val="93F8A79A"/>
    <w:multiLevelType w:val="multilevel"/>
    <w:tmpl w:val="93F8A79A"/>
    <w:lvl w:ilvl="0">
      <w:start w:val="1"/>
      <w:numFmt w:val="decimal"/>
      <w:lvlText w:val="%1）"/>
      <w:lvlJc w:val="left"/>
      <w:pPr>
        <w:ind w:left="1559" w:hanging="318"/>
        <w:jc w:val="left"/>
      </w:pPr>
      <w:rPr>
        <w:rFonts w:ascii="Times New Roman" w:eastAsia="Times New Roman" w:hAnsi="Times New Roman" w:cs="Times New Roman" w:hint="default"/>
        <w:w w:val="100"/>
        <w:sz w:val="19"/>
        <w:szCs w:val="19"/>
        <w:lang w:val="zh-CN" w:eastAsia="zh-CN" w:bidi="zh-CN"/>
      </w:rPr>
    </w:lvl>
    <w:lvl w:ilvl="1">
      <w:start w:val="0"/>
      <w:numFmt w:val="bullet"/>
      <w:lvlText w:val="•"/>
      <w:lvlJc w:val="left"/>
      <w:pPr>
        <w:ind w:left="2366" w:hanging="318"/>
      </w:pPr>
      <w:rPr>
        <w:rFonts w:hint="default"/>
        <w:lang w:val="zh-CN" w:eastAsia="zh-CN" w:bidi="zh-CN"/>
      </w:rPr>
    </w:lvl>
    <w:lvl w:ilvl="2">
      <w:start w:val="0"/>
      <w:numFmt w:val="bullet"/>
      <w:lvlText w:val="•"/>
      <w:lvlJc w:val="left"/>
      <w:pPr>
        <w:ind w:left="3173" w:hanging="318"/>
      </w:pPr>
      <w:rPr>
        <w:rFonts w:hint="default"/>
        <w:lang w:val="zh-CN" w:eastAsia="zh-CN" w:bidi="zh-CN"/>
      </w:rPr>
    </w:lvl>
    <w:lvl w:ilvl="3">
      <w:start w:val="0"/>
      <w:numFmt w:val="bullet"/>
      <w:lvlText w:val="•"/>
      <w:lvlJc w:val="left"/>
      <w:pPr>
        <w:ind w:left="3979" w:hanging="318"/>
      </w:pPr>
      <w:rPr>
        <w:rFonts w:hint="default"/>
        <w:lang w:val="zh-CN" w:eastAsia="zh-CN" w:bidi="zh-CN"/>
      </w:rPr>
    </w:lvl>
    <w:lvl w:ilvl="4">
      <w:start w:val="0"/>
      <w:numFmt w:val="bullet"/>
      <w:lvlText w:val="•"/>
      <w:lvlJc w:val="left"/>
      <w:pPr>
        <w:ind w:left="4786" w:hanging="318"/>
      </w:pPr>
      <w:rPr>
        <w:rFonts w:hint="default"/>
        <w:lang w:val="zh-CN" w:eastAsia="zh-CN" w:bidi="zh-CN"/>
      </w:rPr>
    </w:lvl>
    <w:lvl w:ilvl="5">
      <w:start w:val="0"/>
      <w:numFmt w:val="bullet"/>
      <w:lvlText w:val="•"/>
      <w:lvlJc w:val="left"/>
      <w:pPr>
        <w:ind w:left="5593" w:hanging="318"/>
      </w:pPr>
      <w:rPr>
        <w:rFonts w:hint="default"/>
        <w:lang w:val="zh-CN" w:eastAsia="zh-CN" w:bidi="zh-CN"/>
      </w:rPr>
    </w:lvl>
    <w:lvl w:ilvl="6">
      <w:start w:val="0"/>
      <w:numFmt w:val="bullet"/>
      <w:lvlText w:val="•"/>
      <w:lvlJc w:val="left"/>
      <w:pPr>
        <w:ind w:left="6399" w:hanging="318"/>
      </w:pPr>
      <w:rPr>
        <w:rFonts w:hint="default"/>
        <w:lang w:val="zh-CN" w:eastAsia="zh-CN" w:bidi="zh-CN"/>
      </w:rPr>
    </w:lvl>
    <w:lvl w:ilvl="7">
      <w:start w:val="0"/>
      <w:numFmt w:val="bullet"/>
      <w:lvlText w:val="•"/>
      <w:lvlJc w:val="left"/>
      <w:pPr>
        <w:ind w:left="7206" w:hanging="318"/>
      </w:pPr>
      <w:rPr>
        <w:rFonts w:hint="default"/>
        <w:lang w:val="zh-CN" w:eastAsia="zh-CN" w:bidi="zh-CN"/>
      </w:rPr>
    </w:lvl>
    <w:lvl w:ilvl="8">
      <w:start w:val="0"/>
      <w:numFmt w:val="bullet"/>
      <w:lvlText w:val="•"/>
      <w:lvlJc w:val="left"/>
      <w:pPr>
        <w:ind w:left="8013" w:hanging="318"/>
      </w:pPr>
      <w:rPr>
        <w:rFonts w:hint="default"/>
        <w:lang w:val="zh-CN" w:eastAsia="zh-CN" w:bidi="zh-CN"/>
      </w:rPr>
    </w:lvl>
  </w:abstractNum>
  <w:abstractNum w:abstractNumId="6">
    <w:nsid w:val="949E0649"/>
    <w:multiLevelType w:val="multilevel"/>
    <w:tmpl w:val="949E0649"/>
    <w:lvl w:ilvl="0">
      <w:start w:val="1"/>
      <w:numFmt w:val="lowerLetter"/>
      <w:lvlText w:val="%1."/>
      <w:lvlJc w:val="left"/>
      <w:pPr>
        <w:ind w:left="821" w:hanging="148"/>
        <w:jc w:val="left"/>
      </w:pPr>
      <w:rPr>
        <w:rFonts w:ascii="Times New Roman" w:eastAsia="Times New Roman" w:hAnsi="Times New Roman" w:cs="Times New Roman" w:hint="default"/>
        <w:spacing w:val="-1"/>
        <w:w w:val="100"/>
        <w:sz w:val="19"/>
        <w:szCs w:val="19"/>
        <w:lang w:val="zh-CN" w:eastAsia="zh-CN" w:bidi="zh-CN"/>
      </w:rPr>
    </w:lvl>
    <w:lvl w:ilvl="1">
      <w:start w:val="0"/>
      <w:numFmt w:val="bullet"/>
      <w:lvlText w:val="•"/>
      <w:lvlJc w:val="left"/>
      <w:pPr>
        <w:ind w:left="1700" w:hanging="148"/>
      </w:pPr>
      <w:rPr>
        <w:rFonts w:hint="default"/>
        <w:lang w:val="zh-CN" w:eastAsia="zh-CN" w:bidi="zh-CN"/>
      </w:rPr>
    </w:lvl>
    <w:lvl w:ilvl="2">
      <w:start w:val="0"/>
      <w:numFmt w:val="bullet"/>
      <w:lvlText w:val="•"/>
      <w:lvlJc w:val="left"/>
      <w:pPr>
        <w:ind w:left="2581" w:hanging="148"/>
      </w:pPr>
      <w:rPr>
        <w:rFonts w:hint="default"/>
        <w:lang w:val="zh-CN" w:eastAsia="zh-CN" w:bidi="zh-CN"/>
      </w:rPr>
    </w:lvl>
    <w:lvl w:ilvl="3">
      <w:start w:val="0"/>
      <w:numFmt w:val="bullet"/>
      <w:lvlText w:val="•"/>
      <w:lvlJc w:val="left"/>
      <w:pPr>
        <w:ind w:left="3461" w:hanging="148"/>
      </w:pPr>
      <w:rPr>
        <w:rFonts w:hint="default"/>
        <w:lang w:val="zh-CN" w:eastAsia="zh-CN" w:bidi="zh-CN"/>
      </w:rPr>
    </w:lvl>
    <w:lvl w:ilvl="4">
      <w:start w:val="0"/>
      <w:numFmt w:val="bullet"/>
      <w:lvlText w:val="•"/>
      <w:lvlJc w:val="left"/>
      <w:pPr>
        <w:ind w:left="4342" w:hanging="148"/>
      </w:pPr>
      <w:rPr>
        <w:rFonts w:hint="default"/>
        <w:lang w:val="zh-CN" w:eastAsia="zh-CN" w:bidi="zh-CN"/>
      </w:rPr>
    </w:lvl>
    <w:lvl w:ilvl="5">
      <w:start w:val="0"/>
      <w:numFmt w:val="bullet"/>
      <w:lvlText w:val="•"/>
      <w:lvlJc w:val="left"/>
      <w:pPr>
        <w:ind w:left="5223" w:hanging="148"/>
      </w:pPr>
      <w:rPr>
        <w:rFonts w:hint="default"/>
        <w:lang w:val="zh-CN" w:eastAsia="zh-CN" w:bidi="zh-CN"/>
      </w:rPr>
    </w:lvl>
    <w:lvl w:ilvl="6">
      <w:start w:val="0"/>
      <w:numFmt w:val="bullet"/>
      <w:lvlText w:val="•"/>
      <w:lvlJc w:val="left"/>
      <w:pPr>
        <w:ind w:left="6103" w:hanging="148"/>
      </w:pPr>
      <w:rPr>
        <w:rFonts w:hint="default"/>
        <w:lang w:val="zh-CN" w:eastAsia="zh-CN" w:bidi="zh-CN"/>
      </w:rPr>
    </w:lvl>
    <w:lvl w:ilvl="7">
      <w:start w:val="0"/>
      <w:numFmt w:val="bullet"/>
      <w:lvlText w:val="•"/>
      <w:lvlJc w:val="left"/>
      <w:pPr>
        <w:ind w:left="6984" w:hanging="148"/>
      </w:pPr>
      <w:rPr>
        <w:rFonts w:hint="default"/>
        <w:lang w:val="zh-CN" w:eastAsia="zh-CN" w:bidi="zh-CN"/>
      </w:rPr>
    </w:lvl>
    <w:lvl w:ilvl="8">
      <w:start w:val="0"/>
      <w:numFmt w:val="bullet"/>
      <w:lvlText w:val="•"/>
      <w:lvlJc w:val="left"/>
      <w:pPr>
        <w:ind w:left="7865" w:hanging="148"/>
      </w:pPr>
      <w:rPr>
        <w:rFonts w:hint="default"/>
        <w:lang w:val="zh-CN" w:eastAsia="zh-CN" w:bidi="zh-CN"/>
      </w:rPr>
    </w:lvl>
  </w:abstractNum>
  <w:abstractNum w:abstractNumId="7">
    <w:nsid w:val="94C89E02"/>
    <w:multiLevelType w:val="multilevel"/>
    <w:tmpl w:val="94C89E02"/>
    <w:lvl w:ilvl="0">
      <w:start w:val="2"/>
      <w:numFmt w:val="decimal"/>
      <w:lvlText w:val="%1."/>
      <w:lvlJc w:val="left"/>
      <w:pPr>
        <w:ind w:left="724" w:hanging="138"/>
        <w:jc w:val="left"/>
      </w:pPr>
      <w:rPr>
        <w:rFonts w:ascii="Times New Roman" w:eastAsia="Times New Roman" w:hAnsi="Times New Roman" w:cs="Times New Roman" w:hint="default"/>
        <w:spacing w:val="0"/>
        <w:w w:val="100"/>
        <w:sz w:val="16"/>
        <w:szCs w:val="16"/>
        <w:lang w:val="zh-CN" w:eastAsia="zh-CN" w:bidi="zh-CN"/>
      </w:rPr>
    </w:lvl>
    <w:lvl w:ilvl="1">
      <w:start w:val="0"/>
      <w:numFmt w:val="bullet"/>
      <w:lvlText w:val="•"/>
      <w:lvlJc w:val="left"/>
      <w:pPr>
        <w:ind w:left="1578" w:hanging="138"/>
      </w:pPr>
      <w:rPr>
        <w:rFonts w:hint="default"/>
        <w:lang w:val="zh-CN" w:eastAsia="zh-CN" w:bidi="zh-CN"/>
      </w:rPr>
    </w:lvl>
    <w:lvl w:ilvl="2">
      <w:start w:val="0"/>
      <w:numFmt w:val="bullet"/>
      <w:lvlText w:val="•"/>
      <w:lvlJc w:val="left"/>
      <w:pPr>
        <w:ind w:left="2437" w:hanging="138"/>
      </w:pPr>
      <w:rPr>
        <w:rFonts w:hint="default"/>
        <w:lang w:val="zh-CN" w:eastAsia="zh-CN" w:bidi="zh-CN"/>
      </w:rPr>
    </w:lvl>
    <w:lvl w:ilvl="3">
      <w:start w:val="0"/>
      <w:numFmt w:val="bullet"/>
      <w:lvlText w:val="•"/>
      <w:lvlJc w:val="left"/>
      <w:pPr>
        <w:ind w:left="3295" w:hanging="138"/>
      </w:pPr>
      <w:rPr>
        <w:rFonts w:hint="default"/>
        <w:lang w:val="zh-CN" w:eastAsia="zh-CN" w:bidi="zh-CN"/>
      </w:rPr>
    </w:lvl>
    <w:lvl w:ilvl="4">
      <w:start w:val="0"/>
      <w:numFmt w:val="bullet"/>
      <w:lvlText w:val="•"/>
      <w:lvlJc w:val="left"/>
      <w:pPr>
        <w:ind w:left="4154" w:hanging="138"/>
      </w:pPr>
      <w:rPr>
        <w:rFonts w:hint="default"/>
        <w:lang w:val="zh-CN" w:eastAsia="zh-CN" w:bidi="zh-CN"/>
      </w:rPr>
    </w:lvl>
    <w:lvl w:ilvl="5">
      <w:start w:val="0"/>
      <w:numFmt w:val="bullet"/>
      <w:lvlText w:val="•"/>
      <w:lvlJc w:val="left"/>
      <w:pPr>
        <w:ind w:left="5013" w:hanging="138"/>
      </w:pPr>
      <w:rPr>
        <w:rFonts w:hint="default"/>
        <w:lang w:val="zh-CN" w:eastAsia="zh-CN" w:bidi="zh-CN"/>
      </w:rPr>
    </w:lvl>
    <w:lvl w:ilvl="6">
      <w:start w:val="0"/>
      <w:numFmt w:val="bullet"/>
      <w:lvlText w:val="•"/>
      <w:lvlJc w:val="left"/>
      <w:pPr>
        <w:ind w:left="5871" w:hanging="138"/>
      </w:pPr>
      <w:rPr>
        <w:rFonts w:hint="default"/>
        <w:lang w:val="zh-CN" w:eastAsia="zh-CN" w:bidi="zh-CN"/>
      </w:rPr>
    </w:lvl>
    <w:lvl w:ilvl="7">
      <w:start w:val="0"/>
      <w:numFmt w:val="bullet"/>
      <w:lvlText w:val="•"/>
      <w:lvlJc w:val="left"/>
      <w:pPr>
        <w:ind w:left="6730" w:hanging="138"/>
      </w:pPr>
      <w:rPr>
        <w:rFonts w:hint="default"/>
        <w:lang w:val="zh-CN" w:eastAsia="zh-CN" w:bidi="zh-CN"/>
      </w:rPr>
    </w:lvl>
    <w:lvl w:ilvl="8">
      <w:start w:val="0"/>
      <w:numFmt w:val="bullet"/>
      <w:lvlText w:val="•"/>
      <w:lvlJc w:val="left"/>
      <w:pPr>
        <w:ind w:left="7589" w:hanging="138"/>
      </w:pPr>
      <w:rPr>
        <w:rFonts w:hint="default"/>
        <w:lang w:val="zh-CN" w:eastAsia="zh-CN" w:bidi="zh-CN"/>
      </w:rPr>
    </w:lvl>
  </w:abstractNum>
  <w:abstractNum w:abstractNumId="8">
    <w:nsid w:val="99DA129E"/>
    <w:multiLevelType w:val="multilevel"/>
    <w:tmpl w:val="99DA129E"/>
    <w:lvl w:ilvl="0">
      <w:start w:val="3"/>
      <w:numFmt w:val="lowerLetter"/>
      <w:lvlText w:val="%1."/>
      <w:lvlJc w:val="left"/>
      <w:pPr>
        <w:ind w:left="794" w:hanging="148"/>
        <w:jc w:val="left"/>
      </w:pPr>
      <w:rPr>
        <w:rFonts w:ascii="Times New Roman" w:eastAsia="Times New Roman" w:hAnsi="Times New Roman" w:cs="Times New Roman" w:hint="default"/>
        <w:spacing w:val="-1"/>
        <w:w w:val="100"/>
        <w:sz w:val="19"/>
        <w:szCs w:val="19"/>
        <w:lang w:val="zh-CN" w:eastAsia="zh-CN" w:bidi="zh-CN"/>
      </w:rPr>
    </w:lvl>
    <w:lvl w:ilvl="1">
      <w:start w:val="0"/>
      <w:numFmt w:val="bullet"/>
      <w:lvlText w:val="•"/>
      <w:lvlJc w:val="left"/>
      <w:pPr>
        <w:ind w:left="1650" w:hanging="148"/>
      </w:pPr>
      <w:rPr>
        <w:rFonts w:hint="default"/>
        <w:lang w:val="zh-CN" w:eastAsia="zh-CN" w:bidi="zh-CN"/>
      </w:rPr>
    </w:lvl>
    <w:lvl w:ilvl="2">
      <w:start w:val="0"/>
      <w:numFmt w:val="bullet"/>
      <w:lvlText w:val="•"/>
      <w:lvlJc w:val="left"/>
      <w:pPr>
        <w:ind w:left="2501" w:hanging="148"/>
      </w:pPr>
      <w:rPr>
        <w:rFonts w:hint="default"/>
        <w:lang w:val="zh-CN" w:eastAsia="zh-CN" w:bidi="zh-CN"/>
      </w:rPr>
    </w:lvl>
    <w:lvl w:ilvl="3">
      <w:start w:val="0"/>
      <w:numFmt w:val="bullet"/>
      <w:lvlText w:val="•"/>
      <w:lvlJc w:val="left"/>
      <w:pPr>
        <w:ind w:left="3351" w:hanging="148"/>
      </w:pPr>
      <w:rPr>
        <w:rFonts w:hint="default"/>
        <w:lang w:val="zh-CN" w:eastAsia="zh-CN" w:bidi="zh-CN"/>
      </w:rPr>
    </w:lvl>
    <w:lvl w:ilvl="4">
      <w:start w:val="0"/>
      <w:numFmt w:val="bullet"/>
      <w:lvlText w:val="•"/>
      <w:lvlJc w:val="left"/>
      <w:pPr>
        <w:ind w:left="4202" w:hanging="148"/>
      </w:pPr>
      <w:rPr>
        <w:rFonts w:hint="default"/>
        <w:lang w:val="zh-CN" w:eastAsia="zh-CN" w:bidi="zh-CN"/>
      </w:rPr>
    </w:lvl>
    <w:lvl w:ilvl="5">
      <w:start w:val="0"/>
      <w:numFmt w:val="bullet"/>
      <w:lvlText w:val="•"/>
      <w:lvlJc w:val="left"/>
      <w:pPr>
        <w:ind w:left="5053" w:hanging="148"/>
      </w:pPr>
      <w:rPr>
        <w:rFonts w:hint="default"/>
        <w:lang w:val="zh-CN" w:eastAsia="zh-CN" w:bidi="zh-CN"/>
      </w:rPr>
    </w:lvl>
    <w:lvl w:ilvl="6">
      <w:start w:val="0"/>
      <w:numFmt w:val="bullet"/>
      <w:lvlText w:val="•"/>
      <w:lvlJc w:val="left"/>
      <w:pPr>
        <w:ind w:left="5903" w:hanging="148"/>
      </w:pPr>
      <w:rPr>
        <w:rFonts w:hint="default"/>
        <w:lang w:val="zh-CN" w:eastAsia="zh-CN" w:bidi="zh-CN"/>
      </w:rPr>
    </w:lvl>
    <w:lvl w:ilvl="7">
      <w:start w:val="0"/>
      <w:numFmt w:val="bullet"/>
      <w:lvlText w:val="•"/>
      <w:lvlJc w:val="left"/>
      <w:pPr>
        <w:ind w:left="6754" w:hanging="148"/>
      </w:pPr>
      <w:rPr>
        <w:rFonts w:hint="default"/>
        <w:lang w:val="zh-CN" w:eastAsia="zh-CN" w:bidi="zh-CN"/>
      </w:rPr>
    </w:lvl>
    <w:lvl w:ilvl="8">
      <w:start w:val="0"/>
      <w:numFmt w:val="bullet"/>
      <w:lvlText w:val="•"/>
      <w:lvlJc w:val="left"/>
      <w:pPr>
        <w:ind w:left="7605" w:hanging="148"/>
      </w:pPr>
      <w:rPr>
        <w:rFonts w:hint="default"/>
        <w:lang w:val="zh-CN" w:eastAsia="zh-CN" w:bidi="zh-CN"/>
      </w:rPr>
    </w:lvl>
  </w:abstractNum>
  <w:abstractNum w:abstractNumId="9">
    <w:nsid w:val="9E478A1F"/>
    <w:multiLevelType w:val="multilevel"/>
    <w:tmpl w:val="9E478A1F"/>
    <w:lvl w:ilvl="0">
      <w:start w:val="3"/>
      <w:numFmt w:val="decimal"/>
      <w:lvlText w:val="%1."/>
      <w:lvlJc w:val="left"/>
      <w:pPr>
        <w:ind w:left="1638" w:hanging="160"/>
        <w:jc w:val="left"/>
      </w:pPr>
      <w:rPr>
        <w:rFonts w:ascii="Times New Roman" w:eastAsia="Times New Roman" w:hAnsi="Times New Roman" w:cs="Times New Roman" w:hint="default"/>
        <w:b/>
        <w:bCs/>
        <w:spacing w:val="-3"/>
        <w:w w:val="100"/>
        <w:sz w:val="19"/>
        <w:szCs w:val="19"/>
        <w:lang w:val="zh-CN" w:eastAsia="zh-CN" w:bidi="zh-CN"/>
      </w:rPr>
    </w:lvl>
    <w:lvl w:ilvl="1">
      <w:start w:val="0"/>
      <w:numFmt w:val="bullet"/>
      <w:lvlText w:val="•"/>
      <w:lvlJc w:val="left"/>
      <w:pPr>
        <w:ind w:left="2438" w:hanging="160"/>
      </w:pPr>
      <w:rPr>
        <w:rFonts w:hint="default"/>
        <w:lang w:val="zh-CN" w:eastAsia="zh-CN" w:bidi="zh-CN"/>
      </w:rPr>
    </w:lvl>
    <w:lvl w:ilvl="2">
      <w:start w:val="0"/>
      <w:numFmt w:val="bullet"/>
      <w:lvlText w:val="•"/>
      <w:lvlJc w:val="left"/>
      <w:pPr>
        <w:ind w:left="3237" w:hanging="160"/>
      </w:pPr>
      <w:rPr>
        <w:rFonts w:hint="default"/>
        <w:lang w:val="zh-CN" w:eastAsia="zh-CN" w:bidi="zh-CN"/>
      </w:rPr>
    </w:lvl>
    <w:lvl w:ilvl="3">
      <w:start w:val="0"/>
      <w:numFmt w:val="bullet"/>
      <w:lvlText w:val="•"/>
      <w:lvlJc w:val="left"/>
      <w:pPr>
        <w:ind w:left="4035" w:hanging="160"/>
      </w:pPr>
      <w:rPr>
        <w:rFonts w:hint="default"/>
        <w:lang w:val="zh-CN" w:eastAsia="zh-CN" w:bidi="zh-CN"/>
      </w:rPr>
    </w:lvl>
    <w:lvl w:ilvl="4">
      <w:start w:val="0"/>
      <w:numFmt w:val="bullet"/>
      <w:lvlText w:val="•"/>
      <w:lvlJc w:val="left"/>
      <w:pPr>
        <w:ind w:left="4834" w:hanging="160"/>
      </w:pPr>
      <w:rPr>
        <w:rFonts w:hint="default"/>
        <w:lang w:val="zh-CN" w:eastAsia="zh-CN" w:bidi="zh-CN"/>
      </w:rPr>
    </w:lvl>
    <w:lvl w:ilvl="5">
      <w:start w:val="0"/>
      <w:numFmt w:val="bullet"/>
      <w:lvlText w:val="•"/>
      <w:lvlJc w:val="left"/>
      <w:pPr>
        <w:ind w:left="5633" w:hanging="160"/>
      </w:pPr>
      <w:rPr>
        <w:rFonts w:hint="default"/>
        <w:lang w:val="zh-CN" w:eastAsia="zh-CN" w:bidi="zh-CN"/>
      </w:rPr>
    </w:lvl>
    <w:lvl w:ilvl="6">
      <w:start w:val="0"/>
      <w:numFmt w:val="bullet"/>
      <w:lvlText w:val="•"/>
      <w:lvlJc w:val="left"/>
      <w:pPr>
        <w:ind w:left="6431" w:hanging="160"/>
      </w:pPr>
      <w:rPr>
        <w:rFonts w:hint="default"/>
        <w:lang w:val="zh-CN" w:eastAsia="zh-CN" w:bidi="zh-CN"/>
      </w:rPr>
    </w:lvl>
    <w:lvl w:ilvl="7">
      <w:start w:val="0"/>
      <w:numFmt w:val="bullet"/>
      <w:lvlText w:val="•"/>
      <w:lvlJc w:val="left"/>
      <w:pPr>
        <w:ind w:left="7230" w:hanging="160"/>
      </w:pPr>
      <w:rPr>
        <w:rFonts w:hint="default"/>
        <w:lang w:val="zh-CN" w:eastAsia="zh-CN" w:bidi="zh-CN"/>
      </w:rPr>
    </w:lvl>
    <w:lvl w:ilvl="8">
      <w:start w:val="0"/>
      <w:numFmt w:val="bullet"/>
      <w:lvlText w:val="•"/>
      <w:lvlJc w:val="left"/>
      <w:pPr>
        <w:ind w:left="8029" w:hanging="160"/>
      </w:pPr>
      <w:rPr>
        <w:rFonts w:hint="default"/>
        <w:lang w:val="zh-CN" w:eastAsia="zh-CN" w:bidi="zh-CN"/>
      </w:rPr>
    </w:lvl>
  </w:abstractNum>
  <w:abstractNum w:abstractNumId="10">
    <w:nsid w:val="A31525E4"/>
    <w:multiLevelType w:val="multilevel"/>
    <w:tmpl w:val="A31525E4"/>
    <w:lvl w:ilvl="0">
      <w:start w:val="3"/>
      <w:numFmt w:val="lowerLetter"/>
      <w:lvlText w:val="%1."/>
      <w:lvlJc w:val="left"/>
      <w:pPr>
        <w:ind w:left="1388" w:hanging="148"/>
        <w:jc w:val="left"/>
      </w:pPr>
      <w:rPr>
        <w:rFonts w:ascii="Times New Roman" w:eastAsia="Times New Roman" w:hAnsi="Times New Roman" w:cs="Times New Roman" w:hint="default"/>
        <w:spacing w:val="-1"/>
        <w:w w:val="100"/>
        <w:sz w:val="19"/>
        <w:szCs w:val="19"/>
        <w:lang w:val="zh-CN" w:eastAsia="zh-CN" w:bidi="zh-CN"/>
      </w:rPr>
    </w:lvl>
    <w:lvl w:ilvl="1">
      <w:start w:val="0"/>
      <w:numFmt w:val="bullet"/>
      <w:lvlText w:val="•"/>
      <w:lvlJc w:val="left"/>
      <w:pPr>
        <w:ind w:left="2204" w:hanging="148"/>
      </w:pPr>
      <w:rPr>
        <w:rFonts w:hint="default"/>
        <w:lang w:val="zh-CN" w:eastAsia="zh-CN" w:bidi="zh-CN"/>
      </w:rPr>
    </w:lvl>
    <w:lvl w:ilvl="2">
      <w:start w:val="0"/>
      <w:numFmt w:val="bullet"/>
      <w:lvlText w:val="•"/>
      <w:lvlJc w:val="left"/>
      <w:pPr>
        <w:ind w:left="3029" w:hanging="148"/>
      </w:pPr>
      <w:rPr>
        <w:rFonts w:hint="default"/>
        <w:lang w:val="zh-CN" w:eastAsia="zh-CN" w:bidi="zh-CN"/>
      </w:rPr>
    </w:lvl>
    <w:lvl w:ilvl="3">
      <w:start w:val="0"/>
      <w:numFmt w:val="bullet"/>
      <w:lvlText w:val="•"/>
      <w:lvlJc w:val="left"/>
      <w:pPr>
        <w:ind w:left="3853" w:hanging="148"/>
      </w:pPr>
      <w:rPr>
        <w:rFonts w:hint="default"/>
        <w:lang w:val="zh-CN" w:eastAsia="zh-CN" w:bidi="zh-CN"/>
      </w:rPr>
    </w:lvl>
    <w:lvl w:ilvl="4">
      <w:start w:val="0"/>
      <w:numFmt w:val="bullet"/>
      <w:lvlText w:val="•"/>
      <w:lvlJc w:val="left"/>
      <w:pPr>
        <w:ind w:left="4678" w:hanging="148"/>
      </w:pPr>
      <w:rPr>
        <w:rFonts w:hint="default"/>
        <w:lang w:val="zh-CN" w:eastAsia="zh-CN" w:bidi="zh-CN"/>
      </w:rPr>
    </w:lvl>
    <w:lvl w:ilvl="5">
      <w:start w:val="0"/>
      <w:numFmt w:val="bullet"/>
      <w:lvlText w:val="•"/>
      <w:lvlJc w:val="left"/>
      <w:pPr>
        <w:ind w:left="5503" w:hanging="148"/>
      </w:pPr>
      <w:rPr>
        <w:rFonts w:hint="default"/>
        <w:lang w:val="zh-CN" w:eastAsia="zh-CN" w:bidi="zh-CN"/>
      </w:rPr>
    </w:lvl>
    <w:lvl w:ilvl="6">
      <w:start w:val="0"/>
      <w:numFmt w:val="bullet"/>
      <w:lvlText w:val="•"/>
      <w:lvlJc w:val="left"/>
      <w:pPr>
        <w:ind w:left="6327" w:hanging="148"/>
      </w:pPr>
      <w:rPr>
        <w:rFonts w:hint="default"/>
        <w:lang w:val="zh-CN" w:eastAsia="zh-CN" w:bidi="zh-CN"/>
      </w:rPr>
    </w:lvl>
    <w:lvl w:ilvl="7">
      <w:start w:val="0"/>
      <w:numFmt w:val="bullet"/>
      <w:lvlText w:val="•"/>
      <w:lvlJc w:val="left"/>
      <w:pPr>
        <w:ind w:left="7152" w:hanging="148"/>
      </w:pPr>
      <w:rPr>
        <w:rFonts w:hint="default"/>
        <w:lang w:val="zh-CN" w:eastAsia="zh-CN" w:bidi="zh-CN"/>
      </w:rPr>
    </w:lvl>
    <w:lvl w:ilvl="8">
      <w:start w:val="0"/>
      <w:numFmt w:val="bullet"/>
      <w:lvlText w:val="•"/>
      <w:lvlJc w:val="left"/>
      <w:pPr>
        <w:ind w:left="7977" w:hanging="148"/>
      </w:pPr>
      <w:rPr>
        <w:rFonts w:hint="default"/>
        <w:lang w:val="zh-CN" w:eastAsia="zh-CN" w:bidi="zh-CN"/>
      </w:rPr>
    </w:lvl>
  </w:abstractNum>
  <w:abstractNum w:abstractNumId="11">
    <w:nsid w:val="A33E4DC8"/>
    <w:multiLevelType w:val="multilevel"/>
    <w:tmpl w:val="A33E4DC8"/>
    <w:lvl w:ilvl="0">
      <w:start w:val="1"/>
      <w:numFmt w:val="decimal"/>
      <w:lvlText w:val="%1"/>
      <w:lvlJc w:val="left"/>
      <w:pPr>
        <w:ind w:left="698" w:hanging="420"/>
        <w:jc w:val="left"/>
      </w:pPr>
      <w:rPr>
        <w:rFonts w:ascii="Times New Roman" w:eastAsia="Times New Roman" w:hAnsi="Times New Roman" w:cs="Times New Roman" w:hint="default"/>
        <w:w w:val="100"/>
        <w:sz w:val="24"/>
        <w:szCs w:val="24"/>
        <w:lang w:val="zh-CN" w:eastAsia="zh-CN" w:bidi="zh-CN"/>
      </w:rPr>
    </w:lvl>
    <w:lvl w:ilvl="1">
      <w:start w:val="2"/>
      <w:numFmt w:val="decimal"/>
      <w:lvlText w:val="（%2）"/>
      <w:lvlJc w:val="left"/>
      <w:pPr>
        <w:ind w:left="2300" w:hanging="529"/>
        <w:jc w:val="left"/>
      </w:pPr>
      <w:rPr>
        <w:rFonts w:ascii="宋体" w:eastAsia="宋体" w:hAnsi="宋体" w:cs="宋体" w:hint="default"/>
        <w:b/>
        <w:bCs/>
        <w:spacing w:val="-106"/>
        <w:w w:val="100"/>
        <w:sz w:val="19"/>
        <w:szCs w:val="19"/>
        <w:lang w:val="zh-CN" w:eastAsia="zh-CN" w:bidi="zh-CN"/>
      </w:rPr>
    </w:lvl>
    <w:lvl w:ilvl="2">
      <w:start w:val="0"/>
      <w:numFmt w:val="bullet"/>
      <w:lvlText w:val="•"/>
      <w:lvlJc w:val="left"/>
      <w:pPr>
        <w:ind w:left="3820" w:hanging="529"/>
      </w:pPr>
      <w:rPr>
        <w:rFonts w:hint="default"/>
        <w:lang w:val="zh-CN" w:eastAsia="zh-CN" w:bidi="zh-CN"/>
      </w:rPr>
    </w:lvl>
    <w:lvl w:ilvl="3">
      <w:start w:val="0"/>
      <w:numFmt w:val="bullet"/>
      <w:lvlText w:val="•"/>
      <w:lvlJc w:val="left"/>
      <w:pPr>
        <w:ind w:left="4545" w:hanging="529"/>
      </w:pPr>
      <w:rPr>
        <w:rFonts w:hint="default"/>
        <w:lang w:val="zh-CN" w:eastAsia="zh-CN" w:bidi="zh-CN"/>
      </w:rPr>
    </w:lvl>
    <w:lvl w:ilvl="4">
      <w:start w:val="0"/>
      <w:numFmt w:val="bullet"/>
      <w:lvlText w:val="•"/>
      <w:lvlJc w:val="left"/>
      <w:pPr>
        <w:ind w:left="5271" w:hanging="529"/>
      </w:pPr>
      <w:rPr>
        <w:rFonts w:hint="default"/>
        <w:lang w:val="zh-CN" w:eastAsia="zh-CN" w:bidi="zh-CN"/>
      </w:rPr>
    </w:lvl>
    <w:lvl w:ilvl="5">
      <w:start w:val="0"/>
      <w:numFmt w:val="bullet"/>
      <w:lvlText w:val="•"/>
      <w:lvlJc w:val="left"/>
      <w:pPr>
        <w:ind w:left="5997" w:hanging="529"/>
      </w:pPr>
      <w:rPr>
        <w:rFonts w:hint="default"/>
        <w:lang w:val="zh-CN" w:eastAsia="zh-CN" w:bidi="zh-CN"/>
      </w:rPr>
    </w:lvl>
    <w:lvl w:ilvl="6">
      <w:start w:val="0"/>
      <w:numFmt w:val="bullet"/>
      <w:lvlText w:val="•"/>
      <w:lvlJc w:val="left"/>
      <w:pPr>
        <w:ind w:left="6723" w:hanging="529"/>
      </w:pPr>
      <w:rPr>
        <w:rFonts w:hint="default"/>
        <w:lang w:val="zh-CN" w:eastAsia="zh-CN" w:bidi="zh-CN"/>
      </w:rPr>
    </w:lvl>
    <w:lvl w:ilvl="7">
      <w:start w:val="0"/>
      <w:numFmt w:val="bullet"/>
      <w:lvlText w:val="•"/>
      <w:lvlJc w:val="left"/>
      <w:pPr>
        <w:ind w:left="7449" w:hanging="529"/>
      </w:pPr>
      <w:rPr>
        <w:rFonts w:hint="default"/>
        <w:lang w:val="zh-CN" w:eastAsia="zh-CN" w:bidi="zh-CN"/>
      </w:rPr>
    </w:lvl>
    <w:lvl w:ilvl="8">
      <w:start w:val="0"/>
      <w:numFmt w:val="bullet"/>
      <w:lvlText w:val="•"/>
      <w:lvlJc w:val="left"/>
      <w:pPr>
        <w:ind w:left="8174" w:hanging="529"/>
      </w:pPr>
      <w:rPr>
        <w:rFonts w:hint="default"/>
        <w:lang w:val="zh-CN" w:eastAsia="zh-CN" w:bidi="zh-CN"/>
      </w:rPr>
    </w:lvl>
  </w:abstractNum>
  <w:abstractNum w:abstractNumId="12">
    <w:nsid w:val="A347BFD5"/>
    <w:multiLevelType w:val="multilevel"/>
    <w:tmpl w:val="A347BFD5"/>
    <w:lvl w:ilvl="0">
      <w:start w:val="1"/>
      <w:numFmt w:val="decimal"/>
      <w:lvlText w:val="（%1）"/>
      <w:lvlJc w:val="left"/>
      <w:pPr>
        <w:ind w:left="1134" w:hanging="504"/>
        <w:jc w:val="left"/>
      </w:pPr>
      <w:rPr>
        <w:rFonts w:hint="default"/>
        <w:b/>
        <w:bCs/>
        <w:spacing w:val="1"/>
        <w:w w:val="99"/>
        <w:lang w:val="zh-CN" w:eastAsia="zh-CN" w:bidi="zh-CN"/>
      </w:rPr>
    </w:lvl>
    <w:lvl w:ilvl="1">
      <w:start w:val="0"/>
      <w:numFmt w:val="bullet"/>
      <w:lvlText w:val="•"/>
      <w:lvlJc w:val="left"/>
      <w:pPr>
        <w:ind w:left="1956" w:hanging="504"/>
      </w:pPr>
      <w:rPr>
        <w:rFonts w:hint="default"/>
        <w:lang w:val="zh-CN" w:eastAsia="zh-CN" w:bidi="zh-CN"/>
      </w:rPr>
    </w:lvl>
    <w:lvl w:ilvl="2">
      <w:start w:val="0"/>
      <w:numFmt w:val="bullet"/>
      <w:lvlText w:val="•"/>
      <w:lvlJc w:val="left"/>
      <w:pPr>
        <w:ind w:left="2773" w:hanging="504"/>
      </w:pPr>
      <w:rPr>
        <w:rFonts w:hint="default"/>
        <w:lang w:val="zh-CN" w:eastAsia="zh-CN" w:bidi="zh-CN"/>
      </w:rPr>
    </w:lvl>
    <w:lvl w:ilvl="3">
      <w:start w:val="0"/>
      <w:numFmt w:val="bullet"/>
      <w:lvlText w:val="•"/>
      <w:lvlJc w:val="left"/>
      <w:pPr>
        <w:ind w:left="3589" w:hanging="504"/>
      </w:pPr>
      <w:rPr>
        <w:rFonts w:hint="default"/>
        <w:lang w:val="zh-CN" w:eastAsia="zh-CN" w:bidi="zh-CN"/>
      </w:rPr>
    </w:lvl>
    <w:lvl w:ilvl="4">
      <w:start w:val="0"/>
      <w:numFmt w:val="bullet"/>
      <w:lvlText w:val="•"/>
      <w:lvlJc w:val="left"/>
      <w:pPr>
        <w:ind w:left="4406" w:hanging="504"/>
      </w:pPr>
      <w:rPr>
        <w:rFonts w:hint="default"/>
        <w:lang w:val="zh-CN" w:eastAsia="zh-CN" w:bidi="zh-CN"/>
      </w:rPr>
    </w:lvl>
    <w:lvl w:ilvl="5">
      <w:start w:val="0"/>
      <w:numFmt w:val="bullet"/>
      <w:lvlText w:val="•"/>
      <w:lvlJc w:val="left"/>
      <w:pPr>
        <w:ind w:left="5223" w:hanging="504"/>
      </w:pPr>
      <w:rPr>
        <w:rFonts w:hint="default"/>
        <w:lang w:val="zh-CN" w:eastAsia="zh-CN" w:bidi="zh-CN"/>
      </w:rPr>
    </w:lvl>
    <w:lvl w:ilvl="6">
      <w:start w:val="0"/>
      <w:numFmt w:val="bullet"/>
      <w:lvlText w:val="•"/>
      <w:lvlJc w:val="left"/>
      <w:pPr>
        <w:ind w:left="6039" w:hanging="504"/>
      </w:pPr>
      <w:rPr>
        <w:rFonts w:hint="default"/>
        <w:lang w:val="zh-CN" w:eastAsia="zh-CN" w:bidi="zh-CN"/>
      </w:rPr>
    </w:lvl>
    <w:lvl w:ilvl="7">
      <w:start w:val="0"/>
      <w:numFmt w:val="bullet"/>
      <w:lvlText w:val="•"/>
      <w:lvlJc w:val="left"/>
      <w:pPr>
        <w:ind w:left="6856" w:hanging="504"/>
      </w:pPr>
      <w:rPr>
        <w:rFonts w:hint="default"/>
        <w:lang w:val="zh-CN" w:eastAsia="zh-CN" w:bidi="zh-CN"/>
      </w:rPr>
    </w:lvl>
    <w:lvl w:ilvl="8">
      <w:start w:val="0"/>
      <w:numFmt w:val="bullet"/>
      <w:lvlText w:val="•"/>
      <w:lvlJc w:val="left"/>
      <w:pPr>
        <w:ind w:left="7673" w:hanging="504"/>
      </w:pPr>
      <w:rPr>
        <w:rFonts w:hint="default"/>
        <w:lang w:val="zh-CN" w:eastAsia="zh-CN" w:bidi="zh-CN"/>
      </w:rPr>
    </w:lvl>
  </w:abstractNum>
  <w:abstractNum w:abstractNumId="13">
    <w:nsid w:val="B58C0C12"/>
    <w:multiLevelType w:val="multilevel"/>
    <w:tmpl w:val="B58C0C12"/>
    <w:lvl w:ilvl="0">
      <w:start w:val="1"/>
      <w:numFmt w:val="decimal"/>
      <w:lvlText w:val="（%1）"/>
      <w:lvlJc w:val="left"/>
      <w:pPr>
        <w:ind w:left="112" w:hanging="537"/>
        <w:jc w:val="left"/>
      </w:pPr>
      <w:rPr>
        <w:rFonts w:ascii="宋体" w:eastAsia="宋体" w:hAnsi="宋体" w:cs="宋体" w:hint="default"/>
        <w:b/>
        <w:bCs/>
        <w:spacing w:val="-101"/>
        <w:w w:val="100"/>
        <w:sz w:val="19"/>
        <w:szCs w:val="19"/>
        <w:lang w:val="zh-CN" w:eastAsia="zh-CN" w:bidi="zh-CN"/>
      </w:rPr>
    </w:lvl>
    <w:lvl w:ilvl="1">
      <w:start w:val="1"/>
      <w:numFmt w:val="decimal"/>
      <w:lvlText w:val="%2."/>
      <w:lvlJc w:val="left"/>
      <w:pPr>
        <w:ind w:left="980" w:hanging="144"/>
        <w:jc w:val="left"/>
      </w:pPr>
      <w:rPr>
        <w:rFonts w:ascii="Times New Roman" w:eastAsia="Times New Roman" w:hAnsi="Times New Roman" w:cs="Times New Roman" w:hint="default"/>
        <w:spacing w:val="1"/>
        <w:w w:val="100"/>
        <w:sz w:val="16"/>
        <w:szCs w:val="16"/>
        <w:lang w:val="zh-CN" w:eastAsia="zh-CN" w:bidi="zh-CN"/>
      </w:rPr>
    </w:lvl>
    <w:lvl w:ilvl="2">
      <w:start w:val="0"/>
      <w:numFmt w:val="bullet"/>
      <w:lvlText w:val="•"/>
      <w:lvlJc w:val="left"/>
      <w:pPr>
        <w:ind w:left="1786" w:hanging="144"/>
      </w:pPr>
      <w:rPr>
        <w:rFonts w:hint="default"/>
        <w:lang w:val="zh-CN" w:eastAsia="zh-CN" w:bidi="zh-CN"/>
      </w:rPr>
    </w:lvl>
    <w:lvl w:ilvl="3">
      <w:start w:val="0"/>
      <w:numFmt w:val="bullet"/>
      <w:lvlText w:val="•"/>
      <w:lvlJc w:val="left"/>
      <w:pPr>
        <w:ind w:left="2593" w:hanging="144"/>
      </w:pPr>
      <w:rPr>
        <w:rFonts w:hint="default"/>
        <w:lang w:val="zh-CN" w:eastAsia="zh-CN" w:bidi="zh-CN"/>
      </w:rPr>
    </w:lvl>
    <w:lvl w:ilvl="4">
      <w:start w:val="0"/>
      <w:numFmt w:val="bullet"/>
      <w:lvlText w:val="•"/>
      <w:lvlJc w:val="left"/>
      <w:pPr>
        <w:ind w:left="3400" w:hanging="144"/>
      </w:pPr>
      <w:rPr>
        <w:rFonts w:hint="default"/>
        <w:lang w:val="zh-CN" w:eastAsia="zh-CN" w:bidi="zh-CN"/>
      </w:rPr>
    </w:lvl>
    <w:lvl w:ilvl="5">
      <w:start w:val="0"/>
      <w:numFmt w:val="bullet"/>
      <w:lvlText w:val="•"/>
      <w:lvlJc w:val="left"/>
      <w:pPr>
        <w:ind w:left="4207" w:hanging="144"/>
      </w:pPr>
      <w:rPr>
        <w:rFonts w:hint="default"/>
        <w:lang w:val="zh-CN" w:eastAsia="zh-CN" w:bidi="zh-CN"/>
      </w:rPr>
    </w:lvl>
    <w:lvl w:ilvl="6">
      <w:start w:val="0"/>
      <w:numFmt w:val="bullet"/>
      <w:lvlText w:val="•"/>
      <w:lvlJc w:val="left"/>
      <w:pPr>
        <w:ind w:left="5013" w:hanging="144"/>
      </w:pPr>
      <w:rPr>
        <w:rFonts w:hint="default"/>
        <w:lang w:val="zh-CN" w:eastAsia="zh-CN" w:bidi="zh-CN"/>
      </w:rPr>
    </w:lvl>
    <w:lvl w:ilvl="7">
      <w:start w:val="0"/>
      <w:numFmt w:val="bullet"/>
      <w:lvlText w:val="•"/>
      <w:lvlJc w:val="left"/>
      <w:pPr>
        <w:ind w:left="5820" w:hanging="144"/>
      </w:pPr>
      <w:rPr>
        <w:rFonts w:hint="default"/>
        <w:lang w:val="zh-CN" w:eastAsia="zh-CN" w:bidi="zh-CN"/>
      </w:rPr>
    </w:lvl>
    <w:lvl w:ilvl="8">
      <w:start w:val="0"/>
      <w:numFmt w:val="bullet"/>
      <w:lvlText w:val="•"/>
      <w:lvlJc w:val="left"/>
      <w:pPr>
        <w:ind w:left="6627" w:hanging="144"/>
      </w:pPr>
      <w:rPr>
        <w:rFonts w:hint="default"/>
        <w:lang w:val="zh-CN" w:eastAsia="zh-CN" w:bidi="zh-CN"/>
      </w:rPr>
    </w:lvl>
  </w:abstractNum>
  <w:abstractNum w:abstractNumId="14">
    <w:nsid w:val="BCEA9C00"/>
    <w:multiLevelType w:val="multilevel"/>
    <w:tmpl w:val="BCEA9C00"/>
    <w:lvl w:ilvl="0">
      <w:start w:val="2"/>
      <w:numFmt w:val="decimal"/>
      <w:lvlText w:val="（%1）"/>
      <w:lvlJc w:val="left"/>
      <w:pPr>
        <w:ind w:left="1770" w:hanging="529"/>
        <w:jc w:val="left"/>
      </w:pPr>
      <w:rPr>
        <w:rFonts w:ascii="宋体" w:eastAsia="宋体" w:hAnsi="宋体" w:cs="宋体" w:hint="default"/>
        <w:spacing w:val="-3"/>
        <w:w w:val="100"/>
        <w:sz w:val="19"/>
        <w:szCs w:val="19"/>
        <w:lang w:val="zh-CN" w:eastAsia="zh-CN" w:bidi="zh-CN"/>
      </w:rPr>
    </w:lvl>
    <w:lvl w:ilvl="1">
      <w:start w:val="0"/>
      <w:numFmt w:val="bullet"/>
      <w:lvlText w:val="•"/>
      <w:lvlJc w:val="left"/>
      <w:pPr>
        <w:ind w:left="2564" w:hanging="529"/>
      </w:pPr>
      <w:rPr>
        <w:rFonts w:hint="default"/>
        <w:lang w:val="zh-CN" w:eastAsia="zh-CN" w:bidi="zh-CN"/>
      </w:rPr>
    </w:lvl>
    <w:lvl w:ilvl="2">
      <w:start w:val="0"/>
      <w:numFmt w:val="bullet"/>
      <w:lvlText w:val="•"/>
      <w:lvlJc w:val="left"/>
      <w:pPr>
        <w:ind w:left="3349" w:hanging="529"/>
      </w:pPr>
      <w:rPr>
        <w:rFonts w:hint="default"/>
        <w:lang w:val="zh-CN" w:eastAsia="zh-CN" w:bidi="zh-CN"/>
      </w:rPr>
    </w:lvl>
    <w:lvl w:ilvl="3">
      <w:start w:val="0"/>
      <w:numFmt w:val="bullet"/>
      <w:lvlText w:val="•"/>
      <w:lvlJc w:val="left"/>
      <w:pPr>
        <w:ind w:left="4133" w:hanging="529"/>
      </w:pPr>
      <w:rPr>
        <w:rFonts w:hint="default"/>
        <w:lang w:val="zh-CN" w:eastAsia="zh-CN" w:bidi="zh-CN"/>
      </w:rPr>
    </w:lvl>
    <w:lvl w:ilvl="4">
      <w:start w:val="0"/>
      <w:numFmt w:val="bullet"/>
      <w:lvlText w:val="•"/>
      <w:lvlJc w:val="left"/>
      <w:pPr>
        <w:ind w:left="4918" w:hanging="529"/>
      </w:pPr>
      <w:rPr>
        <w:rFonts w:hint="default"/>
        <w:lang w:val="zh-CN" w:eastAsia="zh-CN" w:bidi="zh-CN"/>
      </w:rPr>
    </w:lvl>
    <w:lvl w:ilvl="5">
      <w:start w:val="0"/>
      <w:numFmt w:val="bullet"/>
      <w:lvlText w:val="•"/>
      <w:lvlJc w:val="left"/>
      <w:pPr>
        <w:ind w:left="5703" w:hanging="529"/>
      </w:pPr>
      <w:rPr>
        <w:rFonts w:hint="default"/>
        <w:lang w:val="zh-CN" w:eastAsia="zh-CN" w:bidi="zh-CN"/>
      </w:rPr>
    </w:lvl>
    <w:lvl w:ilvl="6">
      <w:start w:val="0"/>
      <w:numFmt w:val="bullet"/>
      <w:lvlText w:val="•"/>
      <w:lvlJc w:val="left"/>
      <w:pPr>
        <w:ind w:left="6487" w:hanging="529"/>
      </w:pPr>
      <w:rPr>
        <w:rFonts w:hint="default"/>
        <w:lang w:val="zh-CN" w:eastAsia="zh-CN" w:bidi="zh-CN"/>
      </w:rPr>
    </w:lvl>
    <w:lvl w:ilvl="7">
      <w:start w:val="0"/>
      <w:numFmt w:val="bullet"/>
      <w:lvlText w:val="•"/>
      <w:lvlJc w:val="left"/>
      <w:pPr>
        <w:ind w:left="7272" w:hanging="529"/>
      </w:pPr>
      <w:rPr>
        <w:rFonts w:hint="default"/>
        <w:lang w:val="zh-CN" w:eastAsia="zh-CN" w:bidi="zh-CN"/>
      </w:rPr>
    </w:lvl>
    <w:lvl w:ilvl="8">
      <w:start w:val="0"/>
      <w:numFmt w:val="bullet"/>
      <w:lvlText w:val="•"/>
      <w:lvlJc w:val="left"/>
      <w:pPr>
        <w:ind w:left="8057" w:hanging="529"/>
      </w:pPr>
      <w:rPr>
        <w:rFonts w:hint="default"/>
        <w:lang w:val="zh-CN" w:eastAsia="zh-CN" w:bidi="zh-CN"/>
      </w:rPr>
    </w:lvl>
  </w:abstractNum>
  <w:abstractNum w:abstractNumId="15">
    <w:nsid w:val="C318FA13"/>
    <w:multiLevelType w:val="multilevel"/>
    <w:tmpl w:val="C318FA13"/>
    <w:lvl w:ilvl="0">
      <w:start w:val="1"/>
      <w:numFmt w:val="upperLetter"/>
      <w:lvlText w:val="%1."/>
      <w:lvlJc w:val="left"/>
      <w:pPr>
        <w:ind w:left="737" w:hanging="208"/>
        <w:jc w:val="left"/>
      </w:pPr>
      <w:rPr>
        <w:rFonts w:ascii="Times New Roman" w:eastAsia="Times New Roman" w:hAnsi="Times New Roman" w:cs="Times New Roman" w:hint="default"/>
        <w:b/>
        <w:bCs/>
        <w:spacing w:val="-3"/>
        <w:w w:val="100"/>
        <w:sz w:val="19"/>
        <w:szCs w:val="19"/>
        <w:lang w:val="zh-CN" w:eastAsia="zh-CN" w:bidi="zh-CN"/>
      </w:rPr>
    </w:lvl>
    <w:lvl w:ilvl="1">
      <w:start w:val="0"/>
      <w:numFmt w:val="bullet"/>
      <w:lvlText w:val="•"/>
      <w:lvlJc w:val="left"/>
      <w:pPr>
        <w:ind w:left="1571" w:hanging="208"/>
      </w:pPr>
      <w:rPr>
        <w:rFonts w:hint="default"/>
        <w:lang w:val="zh-CN" w:eastAsia="zh-CN" w:bidi="zh-CN"/>
      </w:rPr>
    </w:lvl>
    <w:lvl w:ilvl="2">
      <w:start w:val="0"/>
      <w:numFmt w:val="bullet"/>
      <w:lvlText w:val="•"/>
      <w:lvlJc w:val="left"/>
      <w:pPr>
        <w:ind w:left="2402" w:hanging="208"/>
      </w:pPr>
      <w:rPr>
        <w:rFonts w:hint="default"/>
        <w:lang w:val="zh-CN" w:eastAsia="zh-CN" w:bidi="zh-CN"/>
      </w:rPr>
    </w:lvl>
    <w:lvl w:ilvl="3">
      <w:start w:val="0"/>
      <w:numFmt w:val="bullet"/>
      <w:lvlText w:val="•"/>
      <w:lvlJc w:val="left"/>
      <w:pPr>
        <w:ind w:left="3233" w:hanging="208"/>
      </w:pPr>
      <w:rPr>
        <w:rFonts w:hint="default"/>
        <w:lang w:val="zh-CN" w:eastAsia="zh-CN" w:bidi="zh-CN"/>
      </w:rPr>
    </w:lvl>
    <w:lvl w:ilvl="4">
      <w:start w:val="0"/>
      <w:numFmt w:val="bullet"/>
      <w:lvlText w:val="•"/>
      <w:lvlJc w:val="left"/>
      <w:pPr>
        <w:ind w:left="4065" w:hanging="208"/>
      </w:pPr>
      <w:rPr>
        <w:rFonts w:hint="default"/>
        <w:lang w:val="zh-CN" w:eastAsia="zh-CN" w:bidi="zh-CN"/>
      </w:rPr>
    </w:lvl>
    <w:lvl w:ilvl="5">
      <w:start w:val="0"/>
      <w:numFmt w:val="bullet"/>
      <w:lvlText w:val="•"/>
      <w:lvlJc w:val="left"/>
      <w:pPr>
        <w:ind w:left="4896" w:hanging="208"/>
      </w:pPr>
      <w:rPr>
        <w:rFonts w:hint="default"/>
        <w:lang w:val="zh-CN" w:eastAsia="zh-CN" w:bidi="zh-CN"/>
      </w:rPr>
    </w:lvl>
    <w:lvl w:ilvl="6">
      <w:start w:val="0"/>
      <w:numFmt w:val="bullet"/>
      <w:lvlText w:val="•"/>
      <w:lvlJc w:val="left"/>
      <w:pPr>
        <w:ind w:left="5727" w:hanging="208"/>
      </w:pPr>
      <w:rPr>
        <w:rFonts w:hint="default"/>
        <w:lang w:val="zh-CN" w:eastAsia="zh-CN" w:bidi="zh-CN"/>
      </w:rPr>
    </w:lvl>
    <w:lvl w:ilvl="7">
      <w:start w:val="0"/>
      <w:numFmt w:val="bullet"/>
      <w:lvlText w:val="•"/>
      <w:lvlJc w:val="left"/>
      <w:pPr>
        <w:ind w:left="6559" w:hanging="208"/>
      </w:pPr>
      <w:rPr>
        <w:rFonts w:hint="default"/>
        <w:lang w:val="zh-CN" w:eastAsia="zh-CN" w:bidi="zh-CN"/>
      </w:rPr>
    </w:lvl>
    <w:lvl w:ilvl="8">
      <w:start w:val="0"/>
      <w:numFmt w:val="bullet"/>
      <w:lvlText w:val="•"/>
      <w:lvlJc w:val="left"/>
      <w:pPr>
        <w:ind w:left="7390" w:hanging="208"/>
      </w:pPr>
      <w:rPr>
        <w:rFonts w:hint="default"/>
        <w:lang w:val="zh-CN" w:eastAsia="zh-CN" w:bidi="zh-CN"/>
      </w:rPr>
    </w:lvl>
  </w:abstractNum>
  <w:abstractNum w:abstractNumId="16">
    <w:nsid w:val="C373E9DE"/>
    <w:multiLevelType w:val="multilevel"/>
    <w:tmpl w:val="C373E9DE"/>
    <w:lvl w:ilvl="0">
      <w:start w:val="1"/>
      <w:numFmt w:val="decimal"/>
      <w:lvlText w:val="（%1）"/>
      <w:lvlJc w:val="left"/>
      <w:pPr>
        <w:ind w:left="2300" w:hanging="529"/>
        <w:jc w:val="left"/>
      </w:pPr>
      <w:rPr>
        <w:rFonts w:ascii="宋体" w:eastAsia="宋体" w:hAnsi="宋体" w:cs="宋体" w:hint="default"/>
        <w:b/>
        <w:bCs/>
        <w:spacing w:val="-3"/>
        <w:w w:val="100"/>
        <w:sz w:val="19"/>
        <w:szCs w:val="19"/>
        <w:lang w:val="zh-CN" w:eastAsia="zh-CN" w:bidi="zh-CN"/>
      </w:rPr>
    </w:lvl>
    <w:lvl w:ilvl="1">
      <w:start w:val="0"/>
      <w:numFmt w:val="bullet"/>
      <w:lvlText w:val="•"/>
      <w:lvlJc w:val="left"/>
      <w:pPr>
        <w:ind w:left="3032" w:hanging="529"/>
      </w:pPr>
      <w:rPr>
        <w:rFonts w:hint="default"/>
        <w:lang w:val="zh-CN" w:eastAsia="zh-CN" w:bidi="zh-CN"/>
      </w:rPr>
    </w:lvl>
    <w:lvl w:ilvl="2">
      <w:start w:val="0"/>
      <w:numFmt w:val="bullet"/>
      <w:lvlText w:val="•"/>
      <w:lvlJc w:val="left"/>
      <w:pPr>
        <w:ind w:left="3765" w:hanging="529"/>
      </w:pPr>
      <w:rPr>
        <w:rFonts w:hint="default"/>
        <w:lang w:val="zh-CN" w:eastAsia="zh-CN" w:bidi="zh-CN"/>
      </w:rPr>
    </w:lvl>
    <w:lvl w:ilvl="3">
      <w:start w:val="0"/>
      <w:numFmt w:val="bullet"/>
      <w:lvlText w:val="•"/>
      <w:lvlJc w:val="left"/>
      <w:pPr>
        <w:ind w:left="4497" w:hanging="529"/>
      </w:pPr>
      <w:rPr>
        <w:rFonts w:hint="default"/>
        <w:lang w:val="zh-CN" w:eastAsia="zh-CN" w:bidi="zh-CN"/>
      </w:rPr>
    </w:lvl>
    <w:lvl w:ilvl="4">
      <w:start w:val="0"/>
      <w:numFmt w:val="bullet"/>
      <w:lvlText w:val="•"/>
      <w:lvlJc w:val="left"/>
      <w:pPr>
        <w:ind w:left="5230" w:hanging="529"/>
      </w:pPr>
      <w:rPr>
        <w:rFonts w:hint="default"/>
        <w:lang w:val="zh-CN" w:eastAsia="zh-CN" w:bidi="zh-CN"/>
      </w:rPr>
    </w:lvl>
    <w:lvl w:ilvl="5">
      <w:start w:val="0"/>
      <w:numFmt w:val="bullet"/>
      <w:lvlText w:val="•"/>
      <w:lvlJc w:val="left"/>
      <w:pPr>
        <w:ind w:left="5963" w:hanging="529"/>
      </w:pPr>
      <w:rPr>
        <w:rFonts w:hint="default"/>
        <w:lang w:val="zh-CN" w:eastAsia="zh-CN" w:bidi="zh-CN"/>
      </w:rPr>
    </w:lvl>
    <w:lvl w:ilvl="6">
      <w:start w:val="0"/>
      <w:numFmt w:val="bullet"/>
      <w:lvlText w:val="•"/>
      <w:lvlJc w:val="left"/>
      <w:pPr>
        <w:ind w:left="6695" w:hanging="529"/>
      </w:pPr>
      <w:rPr>
        <w:rFonts w:hint="default"/>
        <w:lang w:val="zh-CN" w:eastAsia="zh-CN" w:bidi="zh-CN"/>
      </w:rPr>
    </w:lvl>
    <w:lvl w:ilvl="7">
      <w:start w:val="0"/>
      <w:numFmt w:val="bullet"/>
      <w:lvlText w:val="•"/>
      <w:lvlJc w:val="left"/>
      <w:pPr>
        <w:ind w:left="7428" w:hanging="529"/>
      </w:pPr>
      <w:rPr>
        <w:rFonts w:hint="default"/>
        <w:lang w:val="zh-CN" w:eastAsia="zh-CN" w:bidi="zh-CN"/>
      </w:rPr>
    </w:lvl>
    <w:lvl w:ilvl="8">
      <w:start w:val="0"/>
      <w:numFmt w:val="bullet"/>
      <w:lvlText w:val="•"/>
      <w:lvlJc w:val="left"/>
      <w:pPr>
        <w:ind w:left="8161" w:hanging="529"/>
      </w:pPr>
      <w:rPr>
        <w:rFonts w:hint="default"/>
        <w:lang w:val="zh-CN" w:eastAsia="zh-CN" w:bidi="zh-CN"/>
      </w:rPr>
    </w:lvl>
  </w:abstractNum>
  <w:abstractNum w:abstractNumId="17">
    <w:nsid w:val="CD35E419"/>
    <w:multiLevelType w:val="multilevel"/>
    <w:tmpl w:val="CD35E419"/>
    <w:lvl w:ilvl="0">
      <w:start w:val="0"/>
      <w:numFmt w:val="bullet"/>
      <w:lvlText w:val="☐"/>
      <w:lvlJc w:val="left"/>
      <w:pPr>
        <w:ind w:left="191" w:hanging="183"/>
      </w:pPr>
      <w:rPr>
        <w:rFonts w:ascii="Segoe UI Symbol" w:eastAsia="Segoe UI Symbol" w:hAnsi="Segoe UI Symbol" w:cs="Segoe UI Symbol" w:hint="default"/>
        <w:w w:val="100"/>
        <w:sz w:val="19"/>
        <w:szCs w:val="19"/>
        <w:lang w:val="zh-CN" w:eastAsia="zh-CN" w:bidi="zh-CN"/>
      </w:rPr>
    </w:lvl>
    <w:lvl w:ilvl="1">
      <w:start w:val="0"/>
      <w:numFmt w:val="bullet"/>
      <w:lvlText w:val="•"/>
      <w:lvlJc w:val="left"/>
      <w:pPr>
        <w:ind w:left="392" w:hanging="183"/>
      </w:pPr>
      <w:rPr>
        <w:rFonts w:hint="default"/>
        <w:lang w:val="zh-CN" w:eastAsia="zh-CN" w:bidi="zh-CN"/>
      </w:rPr>
    </w:lvl>
    <w:lvl w:ilvl="2">
      <w:start w:val="0"/>
      <w:numFmt w:val="bullet"/>
      <w:lvlText w:val="•"/>
      <w:lvlJc w:val="left"/>
      <w:pPr>
        <w:ind w:left="585" w:hanging="183"/>
      </w:pPr>
      <w:rPr>
        <w:rFonts w:hint="default"/>
        <w:lang w:val="zh-CN" w:eastAsia="zh-CN" w:bidi="zh-CN"/>
      </w:rPr>
    </w:lvl>
    <w:lvl w:ilvl="3">
      <w:start w:val="0"/>
      <w:numFmt w:val="bullet"/>
      <w:lvlText w:val="•"/>
      <w:lvlJc w:val="left"/>
      <w:pPr>
        <w:ind w:left="777" w:hanging="183"/>
      </w:pPr>
      <w:rPr>
        <w:rFonts w:hint="default"/>
        <w:lang w:val="zh-CN" w:eastAsia="zh-CN" w:bidi="zh-CN"/>
      </w:rPr>
    </w:lvl>
    <w:lvl w:ilvl="4">
      <w:start w:val="0"/>
      <w:numFmt w:val="bullet"/>
      <w:lvlText w:val="•"/>
      <w:lvlJc w:val="left"/>
      <w:pPr>
        <w:ind w:left="970" w:hanging="183"/>
      </w:pPr>
      <w:rPr>
        <w:rFonts w:hint="default"/>
        <w:lang w:val="zh-CN" w:eastAsia="zh-CN" w:bidi="zh-CN"/>
      </w:rPr>
    </w:lvl>
    <w:lvl w:ilvl="5">
      <w:start w:val="0"/>
      <w:numFmt w:val="bullet"/>
      <w:lvlText w:val="•"/>
      <w:lvlJc w:val="left"/>
      <w:pPr>
        <w:ind w:left="1162" w:hanging="183"/>
      </w:pPr>
      <w:rPr>
        <w:rFonts w:hint="default"/>
        <w:lang w:val="zh-CN" w:eastAsia="zh-CN" w:bidi="zh-CN"/>
      </w:rPr>
    </w:lvl>
    <w:lvl w:ilvl="6">
      <w:start w:val="0"/>
      <w:numFmt w:val="bullet"/>
      <w:lvlText w:val="•"/>
      <w:lvlJc w:val="left"/>
      <w:pPr>
        <w:ind w:left="1355" w:hanging="183"/>
      </w:pPr>
      <w:rPr>
        <w:rFonts w:hint="default"/>
        <w:lang w:val="zh-CN" w:eastAsia="zh-CN" w:bidi="zh-CN"/>
      </w:rPr>
    </w:lvl>
    <w:lvl w:ilvl="7">
      <w:start w:val="0"/>
      <w:numFmt w:val="bullet"/>
      <w:lvlText w:val="•"/>
      <w:lvlJc w:val="left"/>
      <w:pPr>
        <w:ind w:left="1547" w:hanging="183"/>
      </w:pPr>
      <w:rPr>
        <w:rFonts w:hint="default"/>
        <w:lang w:val="zh-CN" w:eastAsia="zh-CN" w:bidi="zh-CN"/>
      </w:rPr>
    </w:lvl>
    <w:lvl w:ilvl="8">
      <w:start w:val="0"/>
      <w:numFmt w:val="bullet"/>
      <w:lvlText w:val="•"/>
      <w:lvlJc w:val="left"/>
      <w:pPr>
        <w:ind w:left="1740" w:hanging="183"/>
      </w:pPr>
      <w:rPr>
        <w:rFonts w:hint="default"/>
        <w:lang w:val="zh-CN" w:eastAsia="zh-CN" w:bidi="zh-CN"/>
      </w:rPr>
    </w:lvl>
  </w:abstractNum>
  <w:abstractNum w:abstractNumId="18">
    <w:nsid w:val="CF0AF7AE"/>
    <w:multiLevelType w:val="multilevel"/>
    <w:tmpl w:val="CF0AF7AE"/>
    <w:lvl w:ilvl="0">
      <w:start w:val="5"/>
      <w:numFmt w:val="decimal"/>
      <w:lvlText w:val="%1."/>
      <w:lvlJc w:val="left"/>
      <w:pPr>
        <w:ind w:left="692" w:hanging="160"/>
        <w:jc w:val="left"/>
      </w:pPr>
      <w:rPr>
        <w:rFonts w:ascii="Times New Roman" w:eastAsia="Times New Roman" w:hAnsi="Times New Roman" w:cs="Times New Roman" w:hint="default"/>
        <w:b/>
        <w:bCs/>
        <w:spacing w:val="-3"/>
        <w:w w:val="100"/>
        <w:sz w:val="19"/>
        <w:szCs w:val="19"/>
        <w:lang w:val="zh-CN" w:eastAsia="zh-CN" w:bidi="zh-CN"/>
      </w:rPr>
    </w:lvl>
    <w:lvl w:ilvl="1">
      <w:start w:val="0"/>
      <w:numFmt w:val="bullet"/>
      <w:lvlText w:val="•"/>
      <w:lvlJc w:val="left"/>
      <w:pPr>
        <w:ind w:left="1491" w:hanging="160"/>
      </w:pPr>
      <w:rPr>
        <w:rFonts w:hint="default"/>
        <w:lang w:val="zh-CN" w:eastAsia="zh-CN" w:bidi="zh-CN"/>
      </w:rPr>
    </w:lvl>
    <w:lvl w:ilvl="2">
      <w:start w:val="0"/>
      <w:numFmt w:val="bullet"/>
      <w:lvlText w:val="•"/>
      <w:lvlJc w:val="left"/>
      <w:pPr>
        <w:ind w:left="2282" w:hanging="160"/>
      </w:pPr>
      <w:rPr>
        <w:rFonts w:hint="default"/>
        <w:lang w:val="zh-CN" w:eastAsia="zh-CN" w:bidi="zh-CN"/>
      </w:rPr>
    </w:lvl>
    <w:lvl w:ilvl="3">
      <w:start w:val="0"/>
      <w:numFmt w:val="bullet"/>
      <w:lvlText w:val="•"/>
      <w:lvlJc w:val="left"/>
      <w:pPr>
        <w:ind w:left="3073" w:hanging="160"/>
      </w:pPr>
      <w:rPr>
        <w:rFonts w:hint="default"/>
        <w:lang w:val="zh-CN" w:eastAsia="zh-CN" w:bidi="zh-CN"/>
      </w:rPr>
    </w:lvl>
    <w:lvl w:ilvl="4">
      <w:start w:val="0"/>
      <w:numFmt w:val="bullet"/>
      <w:lvlText w:val="•"/>
      <w:lvlJc w:val="left"/>
      <w:pPr>
        <w:ind w:left="3864" w:hanging="160"/>
      </w:pPr>
      <w:rPr>
        <w:rFonts w:hint="default"/>
        <w:lang w:val="zh-CN" w:eastAsia="zh-CN" w:bidi="zh-CN"/>
      </w:rPr>
    </w:lvl>
    <w:lvl w:ilvl="5">
      <w:start w:val="0"/>
      <w:numFmt w:val="bullet"/>
      <w:lvlText w:val="•"/>
      <w:lvlJc w:val="left"/>
      <w:pPr>
        <w:ind w:left="4655" w:hanging="160"/>
      </w:pPr>
      <w:rPr>
        <w:rFonts w:hint="default"/>
        <w:lang w:val="zh-CN" w:eastAsia="zh-CN" w:bidi="zh-CN"/>
      </w:rPr>
    </w:lvl>
    <w:lvl w:ilvl="6">
      <w:start w:val="0"/>
      <w:numFmt w:val="bullet"/>
      <w:lvlText w:val="•"/>
      <w:lvlJc w:val="left"/>
      <w:pPr>
        <w:ind w:left="5446" w:hanging="160"/>
      </w:pPr>
      <w:rPr>
        <w:rFonts w:hint="default"/>
        <w:lang w:val="zh-CN" w:eastAsia="zh-CN" w:bidi="zh-CN"/>
      </w:rPr>
    </w:lvl>
    <w:lvl w:ilvl="7">
      <w:start w:val="0"/>
      <w:numFmt w:val="bullet"/>
      <w:lvlText w:val="•"/>
      <w:lvlJc w:val="left"/>
      <w:pPr>
        <w:ind w:left="6237" w:hanging="160"/>
      </w:pPr>
      <w:rPr>
        <w:rFonts w:hint="default"/>
        <w:lang w:val="zh-CN" w:eastAsia="zh-CN" w:bidi="zh-CN"/>
      </w:rPr>
    </w:lvl>
    <w:lvl w:ilvl="8">
      <w:start w:val="0"/>
      <w:numFmt w:val="bullet"/>
      <w:lvlText w:val="•"/>
      <w:lvlJc w:val="left"/>
      <w:pPr>
        <w:ind w:left="7028" w:hanging="160"/>
      </w:pPr>
      <w:rPr>
        <w:rFonts w:hint="default"/>
        <w:lang w:val="zh-CN" w:eastAsia="zh-CN" w:bidi="zh-CN"/>
      </w:rPr>
    </w:lvl>
  </w:abstractNum>
  <w:abstractNum w:abstractNumId="19">
    <w:nsid w:val="E0058203"/>
    <w:multiLevelType w:val="multilevel"/>
    <w:tmpl w:val="E0058203"/>
    <w:lvl w:ilvl="0">
      <w:start w:val="3"/>
      <w:numFmt w:val="decimal"/>
      <w:lvlText w:val="（%1）"/>
      <w:lvlJc w:val="left"/>
      <w:pPr>
        <w:ind w:left="1059" w:hanging="529"/>
        <w:jc w:val="left"/>
      </w:pPr>
      <w:rPr>
        <w:rFonts w:ascii="宋体" w:eastAsia="宋体" w:hAnsi="宋体" w:cs="宋体" w:hint="default"/>
        <w:b/>
        <w:bCs/>
        <w:spacing w:val="-3"/>
        <w:w w:val="100"/>
        <w:sz w:val="19"/>
        <w:szCs w:val="19"/>
        <w:lang w:val="zh-CN" w:eastAsia="zh-CN" w:bidi="zh-CN"/>
      </w:rPr>
    </w:lvl>
    <w:lvl w:ilvl="1">
      <w:start w:val="0"/>
      <w:numFmt w:val="bullet"/>
      <w:lvlText w:val="•"/>
      <w:lvlJc w:val="left"/>
      <w:pPr>
        <w:ind w:left="1859" w:hanging="529"/>
      </w:pPr>
      <w:rPr>
        <w:rFonts w:hint="default"/>
        <w:lang w:val="zh-CN" w:eastAsia="zh-CN" w:bidi="zh-CN"/>
      </w:rPr>
    </w:lvl>
    <w:lvl w:ilvl="2">
      <w:start w:val="0"/>
      <w:numFmt w:val="bullet"/>
      <w:lvlText w:val="•"/>
      <w:lvlJc w:val="left"/>
      <w:pPr>
        <w:ind w:left="2658" w:hanging="529"/>
      </w:pPr>
      <w:rPr>
        <w:rFonts w:hint="default"/>
        <w:lang w:val="zh-CN" w:eastAsia="zh-CN" w:bidi="zh-CN"/>
      </w:rPr>
    </w:lvl>
    <w:lvl w:ilvl="3">
      <w:start w:val="0"/>
      <w:numFmt w:val="bullet"/>
      <w:lvlText w:val="•"/>
      <w:lvlJc w:val="left"/>
      <w:pPr>
        <w:ind w:left="3457" w:hanging="529"/>
      </w:pPr>
      <w:rPr>
        <w:rFonts w:hint="default"/>
        <w:lang w:val="zh-CN" w:eastAsia="zh-CN" w:bidi="zh-CN"/>
      </w:rPr>
    </w:lvl>
    <w:lvl w:ilvl="4">
      <w:start w:val="0"/>
      <w:numFmt w:val="bullet"/>
      <w:lvlText w:val="•"/>
      <w:lvlJc w:val="left"/>
      <w:pPr>
        <w:ind w:left="4257" w:hanging="529"/>
      </w:pPr>
      <w:rPr>
        <w:rFonts w:hint="default"/>
        <w:lang w:val="zh-CN" w:eastAsia="zh-CN" w:bidi="zh-CN"/>
      </w:rPr>
    </w:lvl>
    <w:lvl w:ilvl="5">
      <w:start w:val="0"/>
      <w:numFmt w:val="bullet"/>
      <w:lvlText w:val="•"/>
      <w:lvlJc w:val="left"/>
      <w:pPr>
        <w:ind w:left="5056" w:hanging="529"/>
      </w:pPr>
      <w:rPr>
        <w:rFonts w:hint="default"/>
        <w:lang w:val="zh-CN" w:eastAsia="zh-CN" w:bidi="zh-CN"/>
      </w:rPr>
    </w:lvl>
    <w:lvl w:ilvl="6">
      <w:start w:val="0"/>
      <w:numFmt w:val="bullet"/>
      <w:lvlText w:val="•"/>
      <w:lvlJc w:val="left"/>
      <w:pPr>
        <w:ind w:left="5855" w:hanging="529"/>
      </w:pPr>
      <w:rPr>
        <w:rFonts w:hint="default"/>
        <w:lang w:val="zh-CN" w:eastAsia="zh-CN" w:bidi="zh-CN"/>
      </w:rPr>
    </w:lvl>
    <w:lvl w:ilvl="7">
      <w:start w:val="0"/>
      <w:numFmt w:val="bullet"/>
      <w:lvlText w:val="•"/>
      <w:lvlJc w:val="left"/>
      <w:pPr>
        <w:ind w:left="6655" w:hanging="529"/>
      </w:pPr>
      <w:rPr>
        <w:rFonts w:hint="default"/>
        <w:lang w:val="zh-CN" w:eastAsia="zh-CN" w:bidi="zh-CN"/>
      </w:rPr>
    </w:lvl>
    <w:lvl w:ilvl="8">
      <w:start w:val="0"/>
      <w:numFmt w:val="bullet"/>
      <w:lvlText w:val="•"/>
      <w:lvlJc w:val="left"/>
      <w:pPr>
        <w:ind w:left="7454" w:hanging="529"/>
      </w:pPr>
      <w:rPr>
        <w:rFonts w:hint="default"/>
        <w:lang w:val="zh-CN" w:eastAsia="zh-CN" w:bidi="zh-CN"/>
      </w:rPr>
    </w:lvl>
  </w:abstractNum>
  <w:abstractNum w:abstractNumId="20">
    <w:nsid w:val="E0F76A70"/>
    <w:multiLevelType w:val="multilevel"/>
    <w:tmpl w:val="E0F76A70"/>
    <w:lvl w:ilvl="0">
      <w:start w:val="1"/>
      <w:numFmt w:val="lowerLetter"/>
      <w:lvlText w:val="%1."/>
      <w:lvlJc w:val="left"/>
      <w:pPr>
        <w:ind w:left="794" w:hanging="148"/>
        <w:jc w:val="left"/>
      </w:pPr>
      <w:rPr>
        <w:rFonts w:ascii="Times New Roman" w:eastAsia="Times New Roman" w:hAnsi="Times New Roman" w:cs="Times New Roman" w:hint="default"/>
        <w:spacing w:val="-1"/>
        <w:w w:val="100"/>
        <w:sz w:val="19"/>
        <w:szCs w:val="19"/>
        <w:lang w:val="zh-CN" w:eastAsia="zh-CN" w:bidi="zh-CN"/>
      </w:rPr>
    </w:lvl>
    <w:lvl w:ilvl="1">
      <w:start w:val="0"/>
      <w:numFmt w:val="bullet"/>
      <w:lvlText w:val="•"/>
      <w:lvlJc w:val="left"/>
      <w:pPr>
        <w:ind w:left="1650" w:hanging="148"/>
      </w:pPr>
      <w:rPr>
        <w:rFonts w:hint="default"/>
        <w:lang w:val="zh-CN" w:eastAsia="zh-CN" w:bidi="zh-CN"/>
      </w:rPr>
    </w:lvl>
    <w:lvl w:ilvl="2">
      <w:start w:val="0"/>
      <w:numFmt w:val="bullet"/>
      <w:lvlText w:val="•"/>
      <w:lvlJc w:val="left"/>
      <w:pPr>
        <w:ind w:left="2501" w:hanging="148"/>
      </w:pPr>
      <w:rPr>
        <w:rFonts w:hint="default"/>
        <w:lang w:val="zh-CN" w:eastAsia="zh-CN" w:bidi="zh-CN"/>
      </w:rPr>
    </w:lvl>
    <w:lvl w:ilvl="3">
      <w:start w:val="0"/>
      <w:numFmt w:val="bullet"/>
      <w:lvlText w:val="•"/>
      <w:lvlJc w:val="left"/>
      <w:pPr>
        <w:ind w:left="3351" w:hanging="148"/>
      </w:pPr>
      <w:rPr>
        <w:rFonts w:hint="default"/>
        <w:lang w:val="zh-CN" w:eastAsia="zh-CN" w:bidi="zh-CN"/>
      </w:rPr>
    </w:lvl>
    <w:lvl w:ilvl="4">
      <w:start w:val="0"/>
      <w:numFmt w:val="bullet"/>
      <w:lvlText w:val="•"/>
      <w:lvlJc w:val="left"/>
      <w:pPr>
        <w:ind w:left="4202" w:hanging="148"/>
      </w:pPr>
      <w:rPr>
        <w:rFonts w:hint="default"/>
        <w:lang w:val="zh-CN" w:eastAsia="zh-CN" w:bidi="zh-CN"/>
      </w:rPr>
    </w:lvl>
    <w:lvl w:ilvl="5">
      <w:start w:val="0"/>
      <w:numFmt w:val="bullet"/>
      <w:lvlText w:val="•"/>
      <w:lvlJc w:val="left"/>
      <w:pPr>
        <w:ind w:left="5053" w:hanging="148"/>
      </w:pPr>
      <w:rPr>
        <w:rFonts w:hint="default"/>
        <w:lang w:val="zh-CN" w:eastAsia="zh-CN" w:bidi="zh-CN"/>
      </w:rPr>
    </w:lvl>
    <w:lvl w:ilvl="6">
      <w:start w:val="0"/>
      <w:numFmt w:val="bullet"/>
      <w:lvlText w:val="•"/>
      <w:lvlJc w:val="left"/>
      <w:pPr>
        <w:ind w:left="5903" w:hanging="148"/>
      </w:pPr>
      <w:rPr>
        <w:rFonts w:hint="default"/>
        <w:lang w:val="zh-CN" w:eastAsia="zh-CN" w:bidi="zh-CN"/>
      </w:rPr>
    </w:lvl>
    <w:lvl w:ilvl="7">
      <w:start w:val="0"/>
      <w:numFmt w:val="bullet"/>
      <w:lvlText w:val="•"/>
      <w:lvlJc w:val="left"/>
      <w:pPr>
        <w:ind w:left="6754" w:hanging="148"/>
      </w:pPr>
      <w:rPr>
        <w:rFonts w:hint="default"/>
        <w:lang w:val="zh-CN" w:eastAsia="zh-CN" w:bidi="zh-CN"/>
      </w:rPr>
    </w:lvl>
    <w:lvl w:ilvl="8">
      <w:start w:val="0"/>
      <w:numFmt w:val="bullet"/>
      <w:lvlText w:val="•"/>
      <w:lvlJc w:val="left"/>
      <w:pPr>
        <w:ind w:left="7605" w:hanging="148"/>
      </w:pPr>
      <w:rPr>
        <w:rFonts w:hint="default"/>
        <w:lang w:val="zh-CN" w:eastAsia="zh-CN" w:bidi="zh-CN"/>
      </w:rPr>
    </w:lvl>
  </w:abstractNum>
  <w:abstractNum w:abstractNumId="21">
    <w:nsid w:val="E7004332"/>
    <w:multiLevelType w:val="multilevel"/>
    <w:tmpl w:val="E7004332"/>
    <w:lvl w:ilvl="0">
      <w:start w:val="1"/>
      <w:numFmt w:val="decimal"/>
      <w:lvlText w:val="%1."/>
      <w:lvlJc w:val="left"/>
      <w:pPr>
        <w:ind w:left="694" w:hanging="160"/>
        <w:jc w:val="left"/>
      </w:pPr>
      <w:rPr>
        <w:rFonts w:ascii="Times New Roman" w:eastAsia="Times New Roman" w:hAnsi="Times New Roman" w:cs="Times New Roman" w:hint="default"/>
        <w:b/>
        <w:bCs/>
        <w:spacing w:val="-3"/>
        <w:w w:val="100"/>
        <w:sz w:val="19"/>
        <w:szCs w:val="19"/>
        <w:lang w:val="zh-CN" w:eastAsia="zh-CN" w:bidi="zh-CN"/>
      </w:rPr>
    </w:lvl>
    <w:lvl w:ilvl="1">
      <w:start w:val="0"/>
      <w:numFmt w:val="bullet"/>
      <w:lvlText w:val="•"/>
      <w:lvlJc w:val="left"/>
      <w:pPr>
        <w:ind w:left="1479" w:hanging="160"/>
      </w:pPr>
      <w:rPr>
        <w:rFonts w:hint="default"/>
        <w:lang w:val="zh-CN" w:eastAsia="zh-CN" w:bidi="zh-CN"/>
      </w:rPr>
    </w:lvl>
    <w:lvl w:ilvl="2">
      <w:start w:val="0"/>
      <w:numFmt w:val="bullet"/>
      <w:lvlText w:val="•"/>
      <w:lvlJc w:val="left"/>
      <w:pPr>
        <w:ind w:left="2259" w:hanging="160"/>
      </w:pPr>
      <w:rPr>
        <w:rFonts w:hint="default"/>
        <w:lang w:val="zh-CN" w:eastAsia="zh-CN" w:bidi="zh-CN"/>
      </w:rPr>
    </w:lvl>
    <w:lvl w:ilvl="3">
      <w:start w:val="0"/>
      <w:numFmt w:val="bullet"/>
      <w:lvlText w:val="•"/>
      <w:lvlJc w:val="left"/>
      <w:pPr>
        <w:ind w:left="3039" w:hanging="160"/>
      </w:pPr>
      <w:rPr>
        <w:rFonts w:hint="default"/>
        <w:lang w:val="zh-CN" w:eastAsia="zh-CN" w:bidi="zh-CN"/>
      </w:rPr>
    </w:lvl>
    <w:lvl w:ilvl="4">
      <w:start w:val="0"/>
      <w:numFmt w:val="bullet"/>
      <w:lvlText w:val="•"/>
      <w:lvlJc w:val="left"/>
      <w:pPr>
        <w:ind w:left="3818" w:hanging="160"/>
      </w:pPr>
      <w:rPr>
        <w:rFonts w:hint="default"/>
        <w:lang w:val="zh-CN" w:eastAsia="zh-CN" w:bidi="zh-CN"/>
      </w:rPr>
    </w:lvl>
    <w:lvl w:ilvl="5">
      <w:start w:val="0"/>
      <w:numFmt w:val="bullet"/>
      <w:lvlText w:val="•"/>
      <w:lvlJc w:val="left"/>
      <w:pPr>
        <w:ind w:left="4598" w:hanging="160"/>
      </w:pPr>
      <w:rPr>
        <w:rFonts w:hint="default"/>
        <w:lang w:val="zh-CN" w:eastAsia="zh-CN" w:bidi="zh-CN"/>
      </w:rPr>
    </w:lvl>
    <w:lvl w:ilvl="6">
      <w:start w:val="0"/>
      <w:numFmt w:val="bullet"/>
      <w:lvlText w:val="•"/>
      <w:lvlJc w:val="left"/>
      <w:pPr>
        <w:ind w:left="5378" w:hanging="160"/>
      </w:pPr>
      <w:rPr>
        <w:rFonts w:hint="default"/>
        <w:lang w:val="zh-CN" w:eastAsia="zh-CN" w:bidi="zh-CN"/>
      </w:rPr>
    </w:lvl>
    <w:lvl w:ilvl="7">
      <w:start w:val="0"/>
      <w:numFmt w:val="bullet"/>
      <w:lvlText w:val="•"/>
      <w:lvlJc w:val="left"/>
      <w:pPr>
        <w:ind w:left="6157" w:hanging="160"/>
      </w:pPr>
      <w:rPr>
        <w:rFonts w:hint="default"/>
        <w:lang w:val="zh-CN" w:eastAsia="zh-CN" w:bidi="zh-CN"/>
      </w:rPr>
    </w:lvl>
    <w:lvl w:ilvl="8">
      <w:start w:val="0"/>
      <w:numFmt w:val="bullet"/>
      <w:lvlText w:val="•"/>
      <w:lvlJc w:val="left"/>
      <w:pPr>
        <w:ind w:left="6937" w:hanging="160"/>
      </w:pPr>
      <w:rPr>
        <w:rFonts w:hint="default"/>
        <w:lang w:val="zh-CN" w:eastAsia="zh-CN" w:bidi="zh-CN"/>
      </w:rPr>
    </w:lvl>
  </w:abstractNum>
  <w:abstractNum w:abstractNumId="22">
    <w:nsid w:val="ED91AD3A"/>
    <w:multiLevelType w:val="multilevel"/>
    <w:tmpl w:val="ED91AD3A"/>
    <w:lvl w:ilvl="0">
      <w:start w:val="2"/>
      <w:numFmt w:val="decimal"/>
      <w:lvlText w:val="%1."/>
      <w:lvlJc w:val="left"/>
      <w:pPr>
        <w:ind w:left="692" w:hanging="160"/>
        <w:jc w:val="left"/>
      </w:pPr>
      <w:rPr>
        <w:rFonts w:ascii="Times New Roman" w:eastAsia="Times New Roman" w:hAnsi="Times New Roman" w:cs="Times New Roman" w:hint="default"/>
        <w:b/>
        <w:bCs/>
        <w:spacing w:val="-3"/>
        <w:w w:val="100"/>
        <w:sz w:val="19"/>
        <w:szCs w:val="19"/>
        <w:lang w:val="zh-CN" w:eastAsia="zh-CN" w:bidi="zh-CN"/>
      </w:rPr>
    </w:lvl>
    <w:lvl w:ilvl="1">
      <w:start w:val="0"/>
      <w:numFmt w:val="bullet"/>
      <w:lvlText w:val="•"/>
      <w:lvlJc w:val="left"/>
      <w:pPr>
        <w:ind w:left="1490" w:hanging="160"/>
      </w:pPr>
      <w:rPr>
        <w:rFonts w:hint="default"/>
        <w:lang w:val="zh-CN" w:eastAsia="zh-CN" w:bidi="zh-CN"/>
      </w:rPr>
    </w:lvl>
    <w:lvl w:ilvl="2">
      <w:start w:val="0"/>
      <w:numFmt w:val="bullet"/>
      <w:lvlText w:val="•"/>
      <w:lvlJc w:val="left"/>
      <w:pPr>
        <w:ind w:left="2281" w:hanging="160"/>
      </w:pPr>
      <w:rPr>
        <w:rFonts w:hint="default"/>
        <w:lang w:val="zh-CN" w:eastAsia="zh-CN" w:bidi="zh-CN"/>
      </w:rPr>
    </w:lvl>
    <w:lvl w:ilvl="3">
      <w:start w:val="0"/>
      <w:numFmt w:val="bullet"/>
      <w:lvlText w:val="•"/>
      <w:lvlJc w:val="left"/>
      <w:pPr>
        <w:ind w:left="3072" w:hanging="160"/>
      </w:pPr>
      <w:rPr>
        <w:rFonts w:hint="default"/>
        <w:lang w:val="zh-CN" w:eastAsia="zh-CN" w:bidi="zh-CN"/>
      </w:rPr>
    </w:lvl>
    <w:lvl w:ilvl="4">
      <w:start w:val="0"/>
      <w:numFmt w:val="bullet"/>
      <w:lvlText w:val="•"/>
      <w:lvlJc w:val="left"/>
      <w:pPr>
        <w:ind w:left="3863" w:hanging="160"/>
      </w:pPr>
      <w:rPr>
        <w:rFonts w:hint="default"/>
        <w:lang w:val="zh-CN" w:eastAsia="zh-CN" w:bidi="zh-CN"/>
      </w:rPr>
    </w:lvl>
    <w:lvl w:ilvl="5">
      <w:start w:val="0"/>
      <w:numFmt w:val="bullet"/>
      <w:lvlText w:val="•"/>
      <w:lvlJc w:val="left"/>
      <w:pPr>
        <w:ind w:left="4654" w:hanging="160"/>
      </w:pPr>
      <w:rPr>
        <w:rFonts w:hint="default"/>
        <w:lang w:val="zh-CN" w:eastAsia="zh-CN" w:bidi="zh-CN"/>
      </w:rPr>
    </w:lvl>
    <w:lvl w:ilvl="6">
      <w:start w:val="0"/>
      <w:numFmt w:val="bullet"/>
      <w:lvlText w:val="•"/>
      <w:lvlJc w:val="left"/>
      <w:pPr>
        <w:ind w:left="5445" w:hanging="160"/>
      </w:pPr>
      <w:rPr>
        <w:rFonts w:hint="default"/>
        <w:lang w:val="zh-CN" w:eastAsia="zh-CN" w:bidi="zh-CN"/>
      </w:rPr>
    </w:lvl>
    <w:lvl w:ilvl="7">
      <w:start w:val="0"/>
      <w:numFmt w:val="bullet"/>
      <w:lvlText w:val="•"/>
      <w:lvlJc w:val="left"/>
      <w:pPr>
        <w:ind w:left="6236" w:hanging="160"/>
      </w:pPr>
      <w:rPr>
        <w:rFonts w:hint="default"/>
        <w:lang w:val="zh-CN" w:eastAsia="zh-CN" w:bidi="zh-CN"/>
      </w:rPr>
    </w:lvl>
    <w:lvl w:ilvl="8">
      <w:start w:val="0"/>
      <w:numFmt w:val="bullet"/>
      <w:lvlText w:val="•"/>
      <w:lvlJc w:val="left"/>
      <w:pPr>
        <w:ind w:left="7027" w:hanging="160"/>
      </w:pPr>
      <w:rPr>
        <w:rFonts w:hint="default"/>
        <w:lang w:val="zh-CN" w:eastAsia="zh-CN" w:bidi="zh-CN"/>
      </w:rPr>
    </w:lvl>
  </w:abstractNum>
  <w:abstractNum w:abstractNumId="23">
    <w:nsid w:val="EDDA8D16"/>
    <w:multiLevelType w:val="multilevel"/>
    <w:tmpl w:val="EDDA8D16"/>
    <w:lvl w:ilvl="0">
      <w:start w:val="1"/>
      <w:numFmt w:val="decimal"/>
      <w:lvlText w:val="%1）"/>
      <w:lvlJc w:val="left"/>
      <w:pPr>
        <w:ind w:left="845" w:hanging="318"/>
        <w:jc w:val="left"/>
      </w:pPr>
      <w:rPr>
        <w:rFonts w:ascii="Times New Roman" w:eastAsia="Times New Roman" w:hAnsi="Times New Roman" w:cs="Times New Roman" w:hint="default"/>
        <w:spacing w:val="-1"/>
        <w:w w:val="100"/>
        <w:sz w:val="19"/>
        <w:szCs w:val="19"/>
        <w:lang w:val="zh-CN" w:eastAsia="zh-CN" w:bidi="zh-CN"/>
      </w:rPr>
    </w:lvl>
    <w:lvl w:ilvl="1">
      <w:start w:val="0"/>
      <w:numFmt w:val="bullet"/>
      <w:lvlText w:val="•"/>
      <w:lvlJc w:val="left"/>
      <w:pPr>
        <w:ind w:left="1661" w:hanging="318"/>
      </w:pPr>
      <w:rPr>
        <w:rFonts w:hint="default"/>
        <w:lang w:val="zh-CN" w:eastAsia="zh-CN" w:bidi="zh-CN"/>
      </w:rPr>
    </w:lvl>
    <w:lvl w:ilvl="2">
      <w:start w:val="0"/>
      <w:numFmt w:val="bullet"/>
      <w:lvlText w:val="•"/>
      <w:lvlJc w:val="left"/>
      <w:pPr>
        <w:ind w:left="2483" w:hanging="318"/>
      </w:pPr>
      <w:rPr>
        <w:rFonts w:hint="default"/>
        <w:lang w:val="zh-CN" w:eastAsia="zh-CN" w:bidi="zh-CN"/>
      </w:rPr>
    </w:lvl>
    <w:lvl w:ilvl="3">
      <w:start w:val="0"/>
      <w:numFmt w:val="bullet"/>
      <w:lvlText w:val="•"/>
      <w:lvlJc w:val="left"/>
      <w:pPr>
        <w:ind w:left="3305" w:hanging="318"/>
      </w:pPr>
      <w:rPr>
        <w:rFonts w:hint="default"/>
        <w:lang w:val="zh-CN" w:eastAsia="zh-CN" w:bidi="zh-CN"/>
      </w:rPr>
    </w:lvl>
    <w:lvl w:ilvl="4">
      <w:start w:val="0"/>
      <w:numFmt w:val="bullet"/>
      <w:lvlText w:val="•"/>
      <w:lvlJc w:val="left"/>
      <w:pPr>
        <w:ind w:left="4126" w:hanging="318"/>
      </w:pPr>
      <w:rPr>
        <w:rFonts w:hint="default"/>
        <w:lang w:val="zh-CN" w:eastAsia="zh-CN" w:bidi="zh-CN"/>
      </w:rPr>
    </w:lvl>
    <w:lvl w:ilvl="5">
      <w:start w:val="0"/>
      <w:numFmt w:val="bullet"/>
      <w:lvlText w:val="•"/>
      <w:lvlJc w:val="left"/>
      <w:pPr>
        <w:ind w:left="4948" w:hanging="318"/>
      </w:pPr>
      <w:rPr>
        <w:rFonts w:hint="default"/>
        <w:lang w:val="zh-CN" w:eastAsia="zh-CN" w:bidi="zh-CN"/>
      </w:rPr>
    </w:lvl>
    <w:lvl w:ilvl="6">
      <w:start w:val="0"/>
      <w:numFmt w:val="bullet"/>
      <w:lvlText w:val="•"/>
      <w:lvlJc w:val="left"/>
      <w:pPr>
        <w:ind w:left="5770" w:hanging="318"/>
      </w:pPr>
      <w:rPr>
        <w:rFonts w:hint="default"/>
        <w:lang w:val="zh-CN" w:eastAsia="zh-CN" w:bidi="zh-CN"/>
      </w:rPr>
    </w:lvl>
    <w:lvl w:ilvl="7">
      <w:start w:val="0"/>
      <w:numFmt w:val="bullet"/>
      <w:lvlText w:val="•"/>
      <w:lvlJc w:val="left"/>
      <w:pPr>
        <w:ind w:left="6591" w:hanging="318"/>
      </w:pPr>
      <w:rPr>
        <w:rFonts w:hint="default"/>
        <w:lang w:val="zh-CN" w:eastAsia="zh-CN" w:bidi="zh-CN"/>
      </w:rPr>
    </w:lvl>
    <w:lvl w:ilvl="8">
      <w:start w:val="0"/>
      <w:numFmt w:val="bullet"/>
      <w:lvlText w:val="•"/>
      <w:lvlJc w:val="left"/>
      <w:pPr>
        <w:ind w:left="7413" w:hanging="318"/>
      </w:pPr>
      <w:rPr>
        <w:rFonts w:hint="default"/>
        <w:lang w:val="zh-CN" w:eastAsia="zh-CN" w:bidi="zh-CN"/>
      </w:rPr>
    </w:lvl>
  </w:abstractNum>
  <w:abstractNum w:abstractNumId="24">
    <w:nsid w:val="F4FF174A"/>
    <w:multiLevelType w:val="multilevel"/>
    <w:tmpl w:val="F4FF174A"/>
    <w:lvl w:ilvl="0">
      <w:start w:val="10"/>
      <w:numFmt w:val="decimal"/>
      <w:lvlText w:val="%1)"/>
      <w:lvlJc w:val="left"/>
      <w:pPr>
        <w:ind w:left="947" w:hanging="420"/>
        <w:jc w:val="left"/>
      </w:pPr>
      <w:rPr>
        <w:rFonts w:ascii="Times New Roman" w:eastAsia="Times New Roman" w:hAnsi="Times New Roman" w:cs="Times New Roman" w:hint="default"/>
        <w:w w:val="100"/>
        <w:sz w:val="21"/>
        <w:szCs w:val="21"/>
        <w:lang w:val="zh-CN" w:eastAsia="zh-CN" w:bidi="zh-CN"/>
      </w:rPr>
    </w:lvl>
    <w:lvl w:ilvl="1">
      <w:start w:val="0"/>
      <w:numFmt w:val="bullet"/>
      <w:lvlText w:val="•"/>
      <w:lvlJc w:val="left"/>
      <w:pPr>
        <w:ind w:left="1751" w:hanging="420"/>
      </w:pPr>
      <w:rPr>
        <w:rFonts w:hint="default"/>
        <w:lang w:val="zh-CN" w:eastAsia="zh-CN" w:bidi="zh-CN"/>
      </w:rPr>
    </w:lvl>
    <w:lvl w:ilvl="2">
      <w:start w:val="0"/>
      <w:numFmt w:val="bullet"/>
      <w:lvlText w:val="•"/>
      <w:lvlJc w:val="left"/>
      <w:pPr>
        <w:ind w:left="2562" w:hanging="420"/>
      </w:pPr>
      <w:rPr>
        <w:rFonts w:hint="default"/>
        <w:lang w:val="zh-CN" w:eastAsia="zh-CN" w:bidi="zh-CN"/>
      </w:rPr>
    </w:lvl>
    <w:lvl w:ilvl="3">
      <w:start w:val="0"/>
      <w:numFmt w:val="bullet"/>
      <w:lvlText w:val="•"/>
      <w:lvlJc w:val="left"/>
      <w:pPr>
        <w:ind w:left="3373" w:hanging="420"/>
      </w:pPr>
      <w:rPr>
        <w:rFonts w:hint="default"/>
        <w:lang w:val="zh-CN" w:eastAsia="zh-CN" w:bidi="zh-CN"/>
      </w:rPr>
    </w:lvl>
    <w:lvl w:ilvl="4">
      <w:start w:val="0"/>
      <w:numFmt w:val="bullet"/>
      <w:lvlText w:val="•"/>
      <w:lvlJc w:val="left"/>
      <w:pPr>
        <w:ind w:left="4185" w:hanging="420"/>
      </w:pPr>
      <w:rPr>
        <w:rFonts w:hint="default"/>
        <w:lang w:val="zh-CN" w:eastAsia="zh-CN" w:bidi="zh-CN"/>
      </w:rPr>
    </w:lvl>
    <w:lvl w:ilvl="5">
      <w:start w:val="0"/>
      <w:numFmt w:val="bullet"/>
      <w:lvlText w:val="•"/>
      <w:lvlJc w:val="left"/>
      <w:pPr>
        <w:ind w:left="4996" w:hanging="420"/>
      </w:pPr>
      <w:rPr>
        <w:rFonts w:hint="default"/>
        <w:lang w:val="zh-CN" w:eastAsia="zh-CN" w:bidi="zh-CN"/>
      </w:rPr>
    </w:lvl>
    <w:lvl w:ilvl="6">
      <w:start w:val="0"/>
      <w:numFmt w:val="bullet"/>
      <w:lvlText w:val="•"/>
      <w:lvlJc w:val="left"/>
      <w:pPr>
        <w:ind w:left="5807" w:hanging="420"/>
      </w:pPr>
      <w:rPr>
        <w:rFonts w:hint="default"/>
        <w:lang w:val="zh-CN" w:eastAsia="zh-CN" w:bidi="zh-CN"/>
      </w:rPr>
    </w:lvl>
    <w:lvl w:ilvl="7">
      <w:start w:val="0"/>
      <w:numFmt w:val="bullet"/>
      <w:lvlText w:val="•"/>
      <w:lvlJc w:val="left"/>
      <w:pPr>
        <w:ind w:left="6619" w:hanging="420"/>
      </w:pPr>
      <w:rPr>
        <w:rFonts w:hint="default"/>
        <w:lang w:val="zh-CN" w:eastAsia="zh-CN" w:bidi="zh-CN"/>
      </w:rPr>
    </w:lvl>
    <w:lvl w:ilvl="8">
      <w:start w:val="0"/>
      <w:numFmt w:val="bullet"/>
      <w:lvlText w:val="•"/>
      <w:lvlJc w:val="left"/>
      <w:pPr>
        <w:ind w:left="7430" w:hanging="420"/>
      </w:pPr>
      <w:rPr>
        <w:rFonts w:hint="default"/>
        <w:lang w:val="zh-CN" w:eastAsia="zh-CN" w:bidi="zh-CN"/>
      </w:rPr>
    </w:lvl>
  </w:abstractNum>
  <w:abstractNum w:abstractNumId="25">
    <w:nsid w:val="F50D4C84"/>
    <w:multiLevelType w:val="multilevel"/>
    <w:tmpl w:val="F50D4C84"/>
    <w:lvl w:ilvl="0">
      <w:start w:val="1"/>
      <w:numFmt w:val="lowerLetter"/>
      <w:lvlText w:val="%1."/>
      <w:lvlJc w:val="left"/>
      <w:pPr>
        <w:ind w:left="226" w:hanging="310"/>
        <w:jc w:val="left"/>
      </w:pPr>
      <w:rPr>
        <w:rFonts w:ascii="Times New Roman" w:eastAsia="Times New Roman" w:hAnsi="Times New Roman" w:cs="Times New Roman" w:hint="default"/>
        <w:spacing w:val="2"/>
        <w:w w:val="100"/>
        <w:sz w:val="19"/>
        <w:szCs w:val="19"/>
        <w:lang w:val="zh-CN" w:eastAsia="zh-CN" w:bidi="zh-CN"/>
      </w:rPr>
    </w:lvl>
    <w:lvl w:ilvl="1">
      <w:start w:val="0"/>
      <w:numFmt w:val="bullet"/>
      <w:lvlText w:val="•"/>
      <w:lvlJc w:val="left"/>
      <w:pPr>
        <w:ind w:left="1128" w:hanging="310"/>
      </w:pPr>
      <w:rPr>
        <w:rFonts w:hint="default"/>
        <w:lang w:val="zh-CN" w:eastAsia="zh-CN" w:bidi="zh-CN"/>
      </w:rPr>
    </w:lvl>
    <w:lvl w:ilvl="2">
      <w:start w:val="0"/>
      <w:numFmt w:val="bullet"/>
      <w:lvlText w:val="•"/>
      <w:lvlJc w:val="left"/>
      <w:pPr>
        <w:ind w:left="2037" w:hanging="310"/>
      </w:pPr>
      <w:rPr>
        <w:rFonts w:hint="default"/>
        <w:lang w:val="zh-CN" w:eastAsia="zh-CN" w:bidi="zh-CN"/>
      </w:rPr>
    </w:lvl>
    <w:lvl w:ilvl="3">
      <w:start w:val="0"/>
      <w:numFmt w:val="bullet"/>
      <w:lvlText w:val="•"/>
      <w:lvlJc w:val="left"/>
      <w:pPr>
        <w:ind w:left="2945" w:hanging="310"/>
      </w:pPr>
      <w:rPr>
        <w:rFonts w:hint="default"/>
        <w:lang w:val="zh-CN" w:eastAsia="zh-CN" w:bidi="zh-CN"/>
      </w:rPr>
    </w:lvl>
    <w:lvl w:ilvl="4">
      <w:start w:val="0"/>
      <w:numFmt w:val="bullet"/>
      <w:lvlText w:val="•"/>
      <w:lvlJc w:val="left"/>
      <w:pPr>
        <w:ind w:left="3854" w:hanging="310"/>
      </w:pPr>
      <w:rPr>
        <w:rFonts w:hint="default"/>
        <w:lang w:val="zh-CN" w:eastAsia="zh-CN" w:bidi="zh-CN"/>
      </w:rPr>
    </w:lvl>
    <w:lvl w:ilvl="5">
      <w:start w:val="0"/>
      <w:numFmt w:val="bullet"/>
      <w:lvlText w:val="•"/>
      <w:lvlJc w:val="left"/>
      <w:pPr>
        <w:ind w:left="4763" w:hanging="310"/>
      </w:pPr>
      <w:rPr>
        <w:rFonts w:hint="default"/>
        <w:lang w:val="zh-CN" w:eastAsia="zh-CN" w:bidi="zh-CN"/>
      </w:rPr>
    </w:lvl>
    <w:lvl w:ilvl="6">
      <w:start w:val="0"/>
      <w:numFmt w:val="bullet"/>
      <w:lvlText w:val="•"/>
      <w:lvlJc w:val="left"/>
      <w:pPr>
        <w:ind w:left="5671" w:hanging="310"/>
      </w:pPr>
      <w:rPr>
        <w:rFonts w:hint="default"/>
        <w:lang w:val="zh-CN" w:eastAsia="zh-CN" w:bidi="zh-CN"/>
      </w:rPr>
    </w:lvl>
    <w:lvl w:ilvl="7">
      <w:start w:val="0"/>
      <w:numFmt w:val="bullet"/>
      <w:lvlText w:val="•"/>
      <w:lvlJc w:val="left"/>
      <w:pPr>
        <w:ind w:left="6580" w:hanging="310"/>
      </w:pPr>
      <w:rPr>
        <w:rFonts w:hint="default"/>
        <w:lang w:val="zh-CN" w:eastAsia="zh-CN" w:bidi="zh-CN"/>
      </w:rPr>
    </w:lvl>
    <w:lvl w:ilvl="8">
      <w:start w:val="0"/>
      <w:numFmt w:val="bullet"/>
      <w:lvlText w:val="•"/>
      <w:lvlJc w:val="left"/>
      <w:pPr>
        <w:ind w:left="7489" w:hanging="310"/>
      </w:pPr>
      <w:rPr>
        <w:rFonts w:hint="default"/>
        <w:lang w:val="zh-CN" w:eastAsia="zh-CN" w:bidi="zh-CN"/>
      </w:rPr>
    </w:lvl>
  </w:abstractNum>
  <w:abstractNum w:abstractNumId="26">
    <w:nsid w:val="F8BE7E68"/>
    <w:multiLevelType w:val="multilevel"/>
    <w:tmpl w:val="F8BE7E68"/>
    <w:lvl w:ilvl="0">
      <w:start w:val="3"/>
      <w:numFmt w:val="decimal"/>
      <w:lvlText w:val="（%1）"/>
      <w:lvlJc w:val="left"/>
      <w:pPr>
        <w:ind w:left="1183" w:hanging="529"/>
        <w:jc w:val="left"/>
      </w:pPr>
      <w:rPr>
        <w:rFonts w:ascii="宋体" w:eastAsia="宋体" w:hAnsi="宋体" w:cs="宋体" w:hint="default"/>
        <w:b/>
        <w:bCs/>
        <w:spacing w:val="-3"/>
        <w:w w:val="100"/>
        <w:sz w:val="19"/>
        <w:szCs w:val="19"/>
        <w:lang w:val="zh-CN" w:eastAsia="zh-CN" w:bidi="zh-CN"/>
      </w:rPr>
    </w:lvl>
    <w:lvl w:ilvl="1">
      <w:start w:val="0"/>
      <w:numFmt w:val="bullet"/>
      <w:lvlText w:val="•"/>
      <w:lvlJc w:val="left"/>
      <w:pPr>
        <w:ind w:left="1994" w:hanging="529"/>
      </w:pPr>
      <w:rPr>
        <w:rFonts w:hint="default"/>
        <w:lang w:val="zh-CN" w:eastAsia="zh-CN" w:bidi="zh-CN"/>
      </w:rPr>
    </w:lvl>
    <w:lvl w:ilvl="2">
      <w:start w:val="0"/>
      <w:numFmt w:val="bullet"/>
      <w:lvlText w:val="•"/>
      <w:lvlJc w:val="left"/>
      <w:pPr>
        <w:ind w:left="2809" w:hanging="529"/>
      </w:pPr>
      <w:rPr>
        <w:rFonts w:hint="default"/>
        <w:lang w:val="zh-CN" w:eastAsia="zh-CN" w:bidi="zh-CN"/>
      </w:rPr>
    </w:lvl>
    <w:lvl w:ilvl="3">
      <w:start w:val="0"/>
      <w:numFmt w:val="bullet"/>
      <w:lvlText w:val="•"/>
      <w:lvlJc w:val="left"/>
      <w:pPr>
        <w:ind w:left="3623" w:hanging="529"/>
      </w:pPr>
      <w:rPr>
        <w:rFonts w:hint="default"/>
        <w:lang w:val="zh-CN" w:eastAsia="zh-CN" w:bidi="zh-CN"/>
      </w:rPr>
    </w:lvl>
    <w:lvl w:ilvl="4">
      <w:start w:val="0"/>
      <w:numFmt w:val="bullet"/>
      <w:lvlText w:val="•"/>
      <w:lvlJc w:val="left"/>
      <w:pPr>
        <w:ind w:left="4438" w:hanging="529"/>
      </w:pPr>
      <w:rPr>
        <w:rFonts w:hint="default"/>
        <w:lang w:val="zh-CN" w:eastAsia="zh-CN" w:bidi="zh-CN"/>
      </w:rPr>
    </w:lvl>
    <w:lvl w:ilvl="5">
      <w:start w:val="0"/>
      <w:numFmt w:val="bullet"/>
      <w:lvlText w:val="•"/>
      <w:lvlJc w:val="left"/>
      <w:pPr>
        <w:ind w:left="5253" w:hanging="529"/>
      </w:pPr>
      <w:rPr>
        <w:rFonts w:hint="default"/>
        <w:lang w:val="zh-CN" w:eastAsia="zh-CN" w:bidi="zh-CN"/>
      </w:rPr>
    </w:lvl>
    <w:lvl w:ilvl="6">
      <w:start w:val="0"/>
      <w:numFmt w:val="bullet"/>
      <w:lvlText w:val="•"/>
      <w:lvlJc w:val="left"/>
      <w:pPr>
        <w:ind w:left="6067" w:hanging="529"/>
      </w:pPr>
      <w:rPr>
        <w:rFonts w:hint="default"/>
        <w:lang w:val="zh-CN" w:eastAsia="zh-CN" w:bidi="zh-CN"/>
      </w:rPr>
    </w:lvl>
    <w:lvl w:ilvl="7">
      <w:start w:val="0"/>
      <w:numFmt w:val="bullet"/>
      <w:lvlText w:val="•"/>
      <w:lvlJc w:val="left"/>
      <w:pPr>
        <w:ind w:left="6882" w:hanging="529"/>
      </w:pPr>
      <w:rPr>
        <w:rFonts w:hint="default"/>
        <w:lang w:val="zh-CN" w:eastAsia="zh-CN" w:bidi="zh-CN"/>
      </w:rPr>
    </w:lvl>
    <w:lvl w:ilvl="8">
      <w:start w:val="0"/>
      <w:numFmt w:val="bullet"/>
      <w:lvlText w:val="•"/>
      <w:lvlJc w:val="left"/>
      <w:pPr>
        <w:ind w:left="7697" w:hanging="529"/>
      </w:pPr>
      <w:rPr>
        <w:rFonts w:hint="default"/>
        <w:lang w:val="zh-CN" w:eastAsia="zh-CN" w:bidi="zh-CN"/>
      </w:rPr>
    </w:lvl>
  </w:abstractNum>
  <w:abstractNum w:abstractNumId="27">
    <w:nsid w:val="FC78BD32"/>
    <w:multiLevelType w:val="multilevel"/>
    <w:tmpl w:val="FC78BD32"/>
    <w:lvl w:ilvl="0">
      <w:start w:val="1"/>
      <w:numFmt w:val="decimal"/>
      <w:lvlText w:val="%1）"/>
      <w:lvlJc w:val="left"/>
      <w:pPr>
        <w:ind w:left="969" w:hanging="318"/>
        <w:jc w:val="left"/>
      </w:pPr>
      <w:rPr>
        <w:rFonts w:ascii="Times New Roman" w:eastAsia="Times New Roman" w:hAnsi="Times New Roman" w:cs="Times New Roman" w:hint="default"/>
        <w:spacing w:val="-1"/>
        <w:w w:val="100"/>
        <w:sz w:val="19"/>
        <w:szCs w:val="19"/>
        <w:lang w:val="zh-CN" w:eastAsia="zh-CN" w:bidi="zh-CN"/>
      </w:rPr>
    </w:lvl>
    <w:lvl w:ilvl="1">
      <w:start w:val="0"/>
      <w:numFmt w:val="bullet"/>
      <w:lvlText w:val="•"/>
      <w:lvlJc w:val="left"/>
      <w:pPr>
        <w:ind w:left="1796" w:hanging="318"/>
      </w:pPr>
      <w:rPr>
        <w:rFonts w:hint="default"/>
        <w:lang w:val="zh-CN" w:eastAsia="zh-CN" w:bidi="zh-CN"/>
      </w:rPr>
    </w:lvl>
    <w:lvl w:ilvl="2">
      <w:start w:val="0"/>
      <w:numFmt w:val="bullet"/>
      <w:lvlText w:val="•"/>
      <w:lvlJc w:val="left"/>
      <w:pPr>
        <w:ind w:left="2633" w:hanging="318"/>
      </w:pPr>
      <w:rPr>
        <w:rFonts w:hint="default"/>
        <w:lang w:val="zh-CN" w:eastAsia="zh-CN" w:bidi="zh-CN"/>
      </w:rPr>
    </w:lvl>
    <w:lvl w:ilvl="3">
      <w:start w:val="0"/>
      <w:numFmt w:val="bullet"/>
      <w:lvlText w:val="•"/>
      <w:lvlJc w:val="left"/>
      <w:pPr>
        <w:ind w:left="3469" w:hanging="318"/>
      </w:pPr>
      <w:rPr>
        <w:rFonts w:hint="default"/>
        <w:lang w:val="zh-CN" w:eastAsia="zh-CN" w:bidi="zh-CN"/>
      </w:rPr>
    </w:lvl>
    <w:lvl w:ilvl="4">
      <w:start w:val="0"/>
      <w:numFmt w:val="bullet"/>
      <w:lvlText w:val="•"/>
      <w:lvlJc w:val="left"/>
      <w:pPr>
        <w:ind w:left="4306" w:hanging="318"/>
      </w:pPr>
      <w:rPr>
        <w:rFonts w:hint="default"/>
        <w:lang w:val="zh-CN" w:eastAsia="zh-CN" w:bidi="zh-CN"/>
      </w:rPr>
    </w:lvl>
    <w:lvl w:ilvl="5">
      <w:start w:val="0"/>
      <w:numFmt w:val="bullet"/>
      <w:lvlText w:val="•"/>
      <w:lvlJc w:val="left"/>
      <w:pPr>
        <w:ind w:left="5143" w:hanging="318"/>
      </w:pPr>
      <w:rPr>
        <w:rFonts w:hint="default"/>
        <w:lang w:val="zh-CN" w:eastAsia="zh-CN" w:bidi="zh-CN"/>
      </w:rPr>
    </w:lvl>
    <w:lvl w:ilvl="6">
      <w:start w:val="0"/>
      <w:numFmt w:val="bullet"/>
      <w:lvlText w:val="•"/>
      <w:lvlJc w:val="left"/>
      <w:pPr>
        <w:ind w:left="5979" w:hanging="318"/>
      </w:pPr>
      <w:rPr>
        <w:rFonts w:hint="default"/>
        <w:lang w:val="zh-CN" w:eastAsia="zh-CN" w:bidi="zh-CN"/>
      </w:rPr>
    </w:lvl>
    <w:lvl w:ilvl="7">
      <w:start w:val="0"/>
      <w:numFmt w:val="bullet"/>
      <w:lvlText w:val="•"/>
      <w:lvlJc w:val="left"/>
      <w:pPr>
        <w:ind w:left="6816" w:hanging="318"/>
      </w:pPr>
      <w:rPr>
        <w:rFonts w:hint="default"/>
        <w:lang w:val="zh-CN" w:eastAsia="zh-CN" w:bidi="zh-CN"/>
      </w:rPr>
    </w:lvl>
    <w:lvl w:ilvl="8">
      <w:start w:val="0"/>
      <w:numFmt w:val="bullet"/>
      <w:lvlText w:val="•"/>
      <w:lvlJc w:val="left"/>
      <w:pPr>
        <w:ind w:left="7653" w:hanging="318"/>
      </w:pPr>
      <w:rPr>
        <w:rFonts w:hint="default"/>
        <w:lang w:val="zh-CN" w:eastAsia="zh-CN" w:bidi="zh-CN"/>
      </w:rPr>
    </w:lvl>
  </w:abstractNum>
  <w:abstractNum w:abstractNumId="28">
    <w:nsid w:val="0954A009"/>
    <w:multiLevelType w:val="multilevel"/>
    <w:tmpl w:val="0954A009"/>
    <w:lvl w:ilvl="0">
      <w:start w:val="1"/>
      <w:numFmt w:val="decimal"/>
      <w:lvlText w:val="%1）"/>
      <w:lvlJc w:val="left"/>
      <w:pPr>
        <w:ind w:left="848" w:hanging="318"/>
        <w:jc w:val="left"/>
      </w:pPr>
      <w:rPr>
        <w:rFonts w:ascii="Times New Roman" w:eastAsia="Times New Roman" w:hAnsi="Times New Roman" w:cs="Times New Roman" w:hint="default"/>
        <w:w w:val="100"/>
        <w:sz w:val="19"/>
        <w:szCs w:val="19"/>
        <w:lang w:val="zh-CN" w:eastAsia="zh-CN" w:bidi="zh-CN"/>
      </w:rPr>
    </w:lvl>
    <w:lvl w:ilvl="1">
      <w:start w:val="0"/>
      <w:numFmt w:val="bullet"/>
      <w:lvlText w:val="•"/>
      <w:lvlJc w:val="left"/>
      <w:pPr>
        <w:ind w:left="1617" w:hanging="318"/>
      </w:pPr>
      <w:rPr>
        <w:rFonts w:hint="default"/>
        <w:lang w:val="zh-CN" w:eastAsia="zh-CN" w:bidi="zh-CN"/>
      </w:rPr>
    </w:lvl>
    <w:lvl w:ilvl="2">
      <w:start w:val="0"/>
      <w:numFmt w:val="bullet"/>
      <w:lvlText w:val="•"/>
      <w:lvlJc w:val="left"/>
      <w:pPr>
        <w:ind w:left="2394" w:hanging="318"/>
      </w:pPr>
      <w:rPr>
        <w:rFonts w:hint="default"/>
        <w:lang w:val="zh-CN" w:eastAsia="zh-CN" w:bidi="zh-CN"/>
      </w:rPr>
    </w:lvl>
    <w:lvl w:ilvl="3">
      <w:start w:val="0"/>
      <w:numFmt w:val="bullet"/>
      <w:lvlText w:val="•"/>
      <w:lvlJc w:val="left"/>
      <w:pPr>
        <w:ind w:left="3171" w:hanging="318"/>
      </w:pPr>
      <w:rPr>
        <w:rFonts w:hint="default"/>
        <w:lang w:val="zh-CN" w:eastAsia="zh-CN" w:bidi="zh-CN"/>
      </w:rPr>
    </w:lvl>
    <w:lvl w:ilvl="4">
      <w:start w:val="0"/>
      <w:numFmt w:val="bullet"/>
      <w:lvlText w:val="•"/>
      <w:lvlJc w:val="left"/>
      <w:pPr>
        <w:ind w:left="3948" w:hanging="318"/>
      </w:pPr>
      <w:rPr>
        <w:rFonts w:hint="default"/>
        <w:lang w:val="zh-CN" w:eastAsia="zh-CN" w:bidi="zh-CN"/>
      </w:rPr>
    </w:lvl>
    <w:lvl w:ilvl="5">
      <w:start w:val="0"/>
      <w:numFmt w:val="bullet"/>
      <w:lvlText w:val="•"/>
      <w:lvlJc w:val="left"/>
      <w:pPr>
        <w:ind w:left="4725" w:hanging="318"/>
      </w:pPr>
      <w:rPr>
        <w:rFonts w:hint="default"/>
        <w:lang w:val="zh-CN" w:eastAsia="zh-CN" w:bidi="zh-CN"/>
      </w:rPr>
    </w:lvl>
    <w:lvl w:ilvl="6">
      <w:start w:val="0"/>
      <w:numFmt w:val="bullet"/>
      <w:lvlText w:val="•"/>
      <w:lvlJc w:val="left"/>
      <w:pPr>
        <w:ind w:left="5502" w:hanging="318"/>
      </w:pPr>
      <w:rPr>
        <w:rFonts w:hint="default"/>
        <w:lang w:val="zh-CN" w:eastAsia="zh-CN" w:bidi="zh-CN"/>
      </w:rPr>
    </w:lvl>
    <w:lvl w:ilvl="7">
      <w:start w:val="0"/>
      <w:numFmt w:val="bullet"/>
      <w:lvlText w:val="•"/>
      <w:lvlJc w:val="left"/>
      <w:pPr>
        <w:ind w:left="6279" w:hanging="318"/>
      </w:pPr>
      <w:rPr>
        <w:rFonts w:hint="default"/>
        <w:lang w:val="zh-CN" w:eastAsia="zh-CN" w:bidi="zh-CN"/>
      </w:rPr>
    </w:lvl>
    <w:lvl w:ilvl="8">
      <w:start w:val="0"/>
      <w:numFmt w:val="bullet"/>
      <w:lvlText w:val="•"/>
      <w:lvlJc w:val="left"/>
      <w:pPr>
        <w:ind w:left="7056" w:hanging="318"/>
      </w:pPr>
      <w:rPr>
        <w:rFonts w:hint="default"/>
        <w:lang w:val="zh-CN" w:eastAsia="zh-CN" w:bidi="zh-CN"/>
      </w:rPr>
    </w:lvl>
  </w:abstractNum>
  <w:abstractNum w:abstractNumId="29">
    <w:nsid w:val="09FB0230"/>
    <w:multiLevelType w:val="multilevel"/>
    <w:tmpl w:val="09FB0230"/>
    <w:lvl w:ilvl="0">
      <w:start w:val="1"/>
      <w:numFmt w:val="decimal"/>
      <w:lvlText w:val="%1)"/>
      <w:lvlJc w:val="left"/>
      <w:pPr>
        <w:ind w:left="226" w:hanging="420"/>
        <w:jc w:val="left"/>
      </w:pPr>
      <w:rPr>
        <w:rFonts w:ascii="Times New Roman" w:eastAsia="Times New Roman" w:hAnsi="Times New Roman" w:cs="Times New Roman" w:hint="default"/>
        <w:w w:val="100"/>
        <w:sz w:val="21"/>
        <w:szCs w:val="21"/>
        <w:lang w:val="zh-CN" w:eastAsia="zh-CN" w:bidi="zh-CN"/>
      </w:rPr>
    </w:lvl>
    <w:lvl w:ilvl="1">
      <w:start w:val="0"/>
      <w:numFmt w:val="bullet"/>
      <w:lvlText w:val="•"/>
      <w:lvlJc w:val="left"/>
      <w:pPr>
        <w:ind w:left="1128" w:hanging="420"/>
      </w:pPr>
      <w:rPr>
        <w:rFonts w:hint="default"/>
        <w:lang w:val="zh-CN" w:eastAsia="zh-CN" w:bidi="zh-CN"/>
      </w:rPr>
    </w:lvl>
    <w:lvl w:ilvl="2">
      <w:start w:val="0"/>
      <w:numFmt w:val="bullet"/>
      <w:lvlText w:val="•"/>
      <w:lvlJc w:val="left"/>
      <w:pPr>
        <w:ind w:left="2037" w:hanging="420"/>
      </w:pPr>
      <w:rPr>
        <w:rFonts w:hint="default"/>
        <w:lang w:val="zh-CN" w:eastAsia="zh-CN" w:bidi="zh-CN"/>
      </w:rPr>
    </w:lvl>
    <w:lvl w:ilvl="3">
      <w:start w:val="0"/>
      <w:numFmt w:val="bullet"/>
      <w:lvlText w:val="•"/>
      <w:lvlJc w:val="left"/>
      <w:pPr>
        <w:ind w:left="2945" w:hanging="420"/>
      </w:pPr>
      <w:rPr>
        <w:rFonts w:hint="default"/>
        <w:lang w:val="zh-CN" w:eastAsia="zh-CN" w:bidi="zh-CN"/>
      </w:rPr>
    </w:lvl>
    <w:lvl w:ilvl="4">
      <w:start w:val="0"/>
      <w:numFmt w:val="bullet"/>
      <w:lvlText w:val="•"/>
      <w:lvlJc w:val="left"/>
      <w:pPr>
        <w:ind w:left="3854" w:hanging="420"/>
      </w:pPr>
      <w:rPr>
        <w:rFonts w:hint="default"/>
        <w:lang w:val="zh-CN" w:eastAsia="zh-CN" w:bidi="zh-CN"/>
      </w:rPr>
    </w:lvl>
    <w:lvl w:ilvl="5">
      <w:start w:val="0"/>
      <w:numFmt w:val="bullet"/>
      <w:lvlText w:val="•"/>
      <w:lvlJc w:val="left"/>
      <w:pPr>
        <w:ind w:left="4763" w:hanging="420"/>
      </w:pPr>
      <w:rPr>
        <w:rFonts w:hint="default"/>
        <w:lang w:val="zh-CN" w:eastAsia="zh-CN" w:bidi="zh-CN"/>
      </w:rPr>
    </w:lvl>
    <w:lvl w:ilvl="6">
      <w:start w:val="0"/>
      <w:numFmt w:val="bullet"/>
      <w:lvlText w:val="•"/>
      <w:lvlJc w:val="left"/>
      <w:pPr>
        <w:ind w:left="5671" w:hanging="420"/>
      </w:pPr>
      <w:rPr>
        <w:rFonts w:hint="default"/>
        <w:lang w:val="zh-CN" w:eastAsia="zh-CN" w:bidi="zh-CN"/>
      </w:rPr>
    </w:lvl>
    <w:lvl w:ilvl="7">
      <w:start w:val="0"/>
      <w:numFmt w:val="bullet"/>
      <w:lvlText w:val="•"/>
      <w:lvlJc w:val="left"/>
      <w:pPr>
        <w:ind w:left="6580" w:hanging="420"/>
      </w:pPr>
      <w:rPr>
        <w:rFonts w:hint="default"/>
        <w:lang w:val="zh-CN" w:eastAsia="zh-CN" w:bidi="zh-CN"/>
      </w:rPr>
    </w:lvl>
    <w:lvl w:ilvl="8">
      <w:start w:val="0"/>
      <w:numFmt w:val="bullet"/>
      <w:lvlText w:val="•"/>
      <w:lvlJc w:val="left"/>
      <w:pPr>
        <w:ind w:left="7489" w:hanging="420"/>
      </w:pPr>
      <w:rPr>
        <w:rFonts w:hint="default"/>
        <w:lang w:val="zh-CN" w:eastAsia="zh-CN" w:bidi="zh-CN"/>
      </w:rPr>
    </w:lvl>
  </w:abstractNum>
  <w:abstractNum w:abstractNumId="30">
    <w:nsid w:val="13A82AFB"/>
    <w:multiLevelType w:val="multilevel"/>
    <w:tmpl w:val="13A82AFB"/>
    <w:lvl w:ilvl="0">
      <w:start w:val="2"/>
      <w:numFmt w:val="decimal"/>
      <w:lvlText w:val="%1）"/>
      <w:lvlJc w:val="left"/>
      <w:pPr>
        <w:ind w:left="964" w:hanging="318"/>
        <w:jc w:val="left"/>
      </w:pPr>
      <w:rPr>
        <w:rFonts w:ascii="Times New Roman" w:eastAsia="Times New Roman" w:hAnsi="Times New Roman" w:cs="Times New Roman" w:hint="default"/>
        <w:spacing w:val="-1"/>
        <w:w w:val="100"/>
        <w:sz w:val="19"/>
        <w:szCs w:val="19"/>
        <w:lang w:val="zh-CN" w:eastAsia="zh-CN" w:bidi="zh-CN"/>
      </w:rPr>
    </w:lvl>
    <w:lvl w:ilvl="1">
      <w:start w:val="0"/>
      <w:numFmt w:val="bullet"/>
      <w:lvlText w:val="•"/>
      <w:lvlJc w:val="left"/>
      <w:pPr>
        <w:ind w:left="1794" w:hanging="318"/>
      </w:pPr>
      <w:rPr>
        <w:rFonts w:hint="default"/>
        <w:lang w:val="zh-CN" w:eastAsia="zh-CN" w:bidi="zh-CN"/>
      </w:rPr>
    </w:lvl>
    <w:lvl w:ilvl="2">
      <w:start w:val="0"/>
      <w:numFmt w:val="bullet"/>
      <w:lvlText w:val="•"/>
      <w:lvlJc w:val="left"/>
      <w:pPr>
        <w:ind w:left="2629" w:hanging="318"/>
      </w:pPr>
      <w:rPr>
        <w:rFonts w:hint="default"/>
        <w:lang w:val="zh-CN" w:eastAsia="zh-CN" w:bidi="zh-CN"/>
      </w:rPr>
    </w:lvl>
    <w:lvl w:ilvl="3">
      <w:start w:val="0"/>
      <w:numFmt w:val="bullet"/>
      <w:lvlText w:val="•"/>
      <w:lvlJc w:val="left"/>
      <w:pPr>
        <w:ind w:left="3463" w:hanging="318"/>
      </w:pPr>
      <w:rPr>
        <w:rFonts w:hint="default"/>
        <w:lang w:val="zh-CN" w:eastAsia="zh-CN" w:bidi="zh-CN"/>
      </w:rPr>
    </w:lvl>
    <w:lvl w:ilvl="4">
      <w:start w:val="0"/>
      <w:numFmt w:val="bullet"/>
      <w:lvlText w:val="•"/>
      <w:lvlJc w:val="left"/>
      <w:pPr>
        <w:ind w:left="4298" w:hanging="318"/>
      </w:pPr>
      <w:rPr>
        <w:rFonts w:hint="default"/>
        <w:lang w:val="zh-CN" w:eastAsia="zh-CN" w:bidi="zh-CN"/>
      </w:rPr>
    </w:lvl>
    <w:lvl w:ilvl="5">
      <w:start w:val="0"/>
      <w:numFmt w:val="bullet"/>
      <w:lvlText w:val="•"/>
      <w:lvlJc w:val="left"/>
      <w:pPr>
        <w:ind w:left="5133" w:hanging="318"/>
      </w:pPr>
      <w:rPr>
        <w:rFonts w:hint="default"/>
        <w:lang w:val="zh-CN" w:eastAsia="zh-CN" w:bidi="zh-CN"/>
      </w:rPr>
    </w:lvl>
    <w:lvl w:ilvl="6">
      <w:start w:val="0"/>
      <w:numFmt w:val="bullet"/>
      <w:lvlText w:val="•"/>
      <w:lvlJc w:val="left"/>
      <w:pPr>
        <w:ind w:left="5967" w:hanging="318"/>
      </w:pPr>
      <w:rPr>
        <w:rFonts w:hint="default"/>
        <w:lang w:val="zh-CN" w:eastAsia="zh-CN" w:bidi="zh-CN"/>
      </w:rPr>
    </w:lvl>
    <w:lvl w:ilvl="7">
      <w:start w:val="0"/>
      <w:numFmt w:val="bullet"/>
      <w:lvlText w:val="•"/>
      <w:lvlJc w:val="left"/>
      <w:pPr>
        <w:ind w:left="6802" w:hanging="318"/>
      </w:pPr>
      <w:rPr>
        <w:rFonts w:hint="default"/>
        <w:lang w:val="zh-CN" w:eastAsia="zh-CN" w:bidi="zh-CN"/>
      </w:rPr>
    </w:lvl>
    <w:lvl w:ilvl="8">
      <w:start w:val="0"/>
      <w:numFmt w:val="bullet"/>
      <w:lvlText w:val="•"/>
      <w:lvlJc w:val="left"/>
      <w:pPr>
        <w:ind w:left="7637" w:hanging="318"/>
      </w:pPr>
      <w:rPr>
        <w:rFonts w:hint="default"/>
        <w:lang w:val="zh-CN" w:eastAsia="zh-CN" w:bidi="zh-CN"/>
      </w:rPr>
    </w:lvl>
  </w:abstractNum>
  <w:abstractNum w:abstractNumId="31">
    <w:nsid w:val="1875DD86"/>
    <w:multiLevelType w:val="multilevel"/>
    <w:tmpl w:val="1875DD86"/>
    <w:lvl w:ilvl="0">
      <w:start w:val="1"/>
      <w:numFmt w:val="lowerLetter"/>
      <w:lvlText w:val="%1."/>
      <w:lvlJc w:val="left"/>
      <w:pPr>
        <w:ind w:left="794" w:hanging="148"/>
        <w:jc w:val="left"/>
      </w:pPr>
      <w:rPr>
        <w:rFonts w:ascii="Times New Roman" w:eastAsia="Times New Roman" w:hAnsi="Times New Roman" w:cs="Times New Roman" w:hint="default"/>
        <w:spacing w:val="-1"/>
        <w:w w:val="100"/>
        <w:sz w:val="19"/>
        <w:szCs w:val="19"/>
        <w:lang w:val="zh-CN" w:eastAsia="zh-CN" w:bidi="zh-CN"/>
      </w:rPr>
    </w:lvl>
    <w:lvl w:ilvl="1">
      <w:start w:val="0"/>
      <w:numFmt w:val="bullet"/>
      <w:lvlText w:val="•"/>
      <w:lvlJc w:val="left"/>
      <w:pPr>
        <w:ind w:left="1650" w:hanging="148"/>
      </w:pPr>
      <w:rPr>
        <w:rFonts w:hint="default"/>
        <w:lang w:val="zh-CN" w:eastAsia="zh-CN" w:bidi="zh-CN"/>
      </w:rPr>
    </w:lvl>
    <w:lvl w:ilvl="2">
      <w:start w:val="0"/>
      <w:numFmt w:val="bullet"/>
      <w:lvlText w:val="•"/>
      <w:lvlJc w:val="left"/>
      <w:pPr>
        <w:ind w:left="2501" w:hanging="148"/>
      </w:pPr>
      <w:rPr>
        <w:rFonts w:hint="default"/>
        <w:lang w:val="zh-CN" w:eastAsia="zh-CN" w:bidi="zh-CN"/>
      </w:rPr>
    </w:lvl>
    <w:lvl w:ilvl="3">
      <w:start w:val="0"/>
      <w:numFmt w:val="bullet"/>
      <w:lvlText w:val="•"/>
      <w:lvlJc w:val="left"/>
      <w:pPr>
        <w:ind w:left="3351" w:hanging="148"/>
      </w:pPr>
      <w:rPr>
        <w:rFonts w:hint="default"/>
        <w:lang w:val="zh-CN" w:eastAsia="zh-CN" w:bidi="zh-CN"/>
      </w:rPr>
    </w:lvl>
    <w:lvl w:ilvl="4">
      <w:start w:val="0"/>
      <w:numFmt w:val="bullet"/>
      <w:lvlText w:val="•"/>
      <w:lvlJc w:val="left"/>
      <w:pPr>
        <w:ind w:left="4202" w:hanging="148"/>
      </w:pPr>
      <w:rPr>
        <w:rFonts w:hint="default"/>
        <w:lang w:val="zh-CN" w:eastAsia="zh-CN" w:bidi="zh-CN"/>
      </w:rPr>
    </w:lvl>
    <w:lvl w:ilvl="5">
      <w:start w:val="0"/>
      <w:numFmt w:val="bullet"/>
      <w:lvlText w:val="•"/>
      <w:lvlJc w:val="left"/>
      <w:pPr>
        <w:ind w:left="5053" w:hanging="148"/>
      </w:pPr>
      <w:rPr>
        <w:rFonts w:hint="default"/>
        <w:lang w:val="zh-CN" w:eastAsia="zh-CN" w:bidi="zh-CN"/>
      </w:rPr>
    </w:lvl>
    <w:lvl w:ilvl="6">
      <w:start w:val="0"/>
      <w:numFmt w:val="bullet"/>
      <w:lvlText w:val="•"/>
      <w:lvlJc w:val="left"/>
      <w:pPr>
        <w:ind w:left="5903" w:hanging="148"/>
      </w:pPr>
      <w:rPr>
        <w:rFonts w:hint="default"/>
        <w:lang w:val="zh-CN" w:eastAsia="zh-CN" w:bidi="zh-CN"/>
      </w:rPr>
    </w:lvl>
    <w:lvl w:ilvl="7">
      <w:start w:val="0"/>
      <w:numFmt w:val="bullet"/>
      <w:lvlText w:val="•"/>
      <w:lvlJc w:val="left"/>
      <w:pPr>
        <w:ind w:left="6754" w:hanging="148"/>
      </w:pPr>
      <w:rPr>
        <w:rFonts w:hint="default"/>
        <w:lang w:val="zh-CN" w:eastAsia="zh-CN" w:bidi="zh-CN"/>
      </w:rPr>
    </w:lvl>
    <w:lvl w:ilvl="8">
      <w:start w:val="0"/>
      <w:numFmt w:val="bullet"/>
      <w:lvlText w:val="•"/>
      <w:lvlJc w:val="left"/>
      <w:pPr>
        <w:ind w:left="7605" w:hanging="148"/>
      </w:pPr>
      <w:rPr>
        <w:rFonts w:hint="default"/>
        <w:lang w:val="zh-CN" w:eastAsia="zh-CN" w:bidi="zh-CN"/>
      </w:rPr>
    </w:lvl>
  </w:abstractNum>
  <w:abstractNum w:abstractNumId="32">
    <w:nsid w:val="18E05D21"/>
    <w:multiLevelType w:val="multilevel"/>
    <w:tmpl w:val="ED91AD3A"/>
    <w:lvl w:ilvl="0">
      <w:start w:val="2"/>
      <w:numFmt w:val="decimal"/>
      <w:lvlText w:val="%1."/>
      <w:lvlJc w:val="left"/>
      <w:pPr>
        <w:ind w:left="692" w:hanging="160"/>
        <w:jc w:val="left"/>
      </w:pPr>
      <w:rPr>
        <w:rFonts w:ascii="Times New Roman" w:eastAsia="Times New Roman" w:hAnsi="Times New Roman" w:cs="Times New Roman" w:hint="default"/>
        <w:b/>
        <w:bCs/>
        <w:spacing w:val="-3"/>
        <w:w w:val="100"/>
        <w:sz w:val="19"/>
        <w:szCs w:val="19"/>
        <w:lang w:val="zh-CN" w:eastAsia="zh-CN" w:bidi="zh-CN"/>
      </w:rPr>
    </w:lvl>
    <w:lvl w:ilvl="1">
      <w:start w:val="0"/>
      <w:numFmt w:val="bullet"/>
      <w:lvlText w:val="•"/>
      <w:lvlJc w:val="left"/>
      <w:pPr>
        <w:ind w:left="1490" w:hanging="160"/>
      </w:pPr>
      <w:rPr>
        <w:rFonts w:hint="default"/>
        <w:lang w:val="zh-CN" w:eastAsia="zh-CN" w:bidi="zh-CN"/>
      </w:rPr>
    </w:lvl>
    <w:lvl w:ilvl="2">
      <w:start w:val="0"/>
      <w:numFmt w:val="bullet"/>
      <w:lvlText w:val="•"/>
      <w:lvlJc w:val="left"/>
      <w:pPr>
        <w:ind w:left="2281" w:hanging="160"/>
      </w:pPr>
      <w:rPr>
        <w:rFonts w:hint="default"/>
        <w:lang w:val="zh-CN" w:eastAsia="zh-CN" w:bidi="zh-CN"/>
      </w:rPr>
    </w:lvl>
    <w:lvl w:ilvl="3">
      <w:start w:val="0"/>
      <w:numFmt w:val="bullet"/>
      <w:lvlText w:val="•"/>
      <w:lvlJc w:val="left"/>
      <w:pPr>
        <w:ind w:left="3072" w:hanging="160"/>
      </w:pPr>
      <w:rPr>
        <w:rFonts w:hint="default"/>
        <w:lang w:val="zh-CN" w:eastAsia="zh-CN" w:bidi="zh-CN"/>
      </w:rPr>
    </w:lvl>
    <w:lvl w:ilvl="4">
      <w:start w:val="0"/>
      <w:numFmt w:val="bullet"/>
      <w:lvlText w:val="•"/>
      <w:lvlJc w:val="left"/>
      <w:pPr>
        <w:ind w:left="3863" w:hanging="160"/>
      </w:pPr>
      <w:rPr>
        <w:rFonts w:hint="default"/>
        <w:lang w:val="zh-CN" w:eastAsia="zh-CN" w:bidi="zh-CN"/>
      </w:rPr>
    </w:lvl>
    <w:lvl w:ilvl="5">
      <w:start w:val="0"/>
      <w:numFmt w:val="bullet"/>
      <w:lvlText w:val="•"/>
      <w:lvlJc w:val="left"/>
      <w:pPr>
        <w:ind w:left="4654" w:hanging="160"/>
      </w:pPr>
      <w:rPr>
        <w:rFonts w:hint="default"/>
        <w:lang w:val="zh-CN" w:eastAsia="zh-CN" w:bidi="zh-CN"/>
      </w:rPr>
    </w:lvl>
    <w:lvl w:ilvl="6">
      <w:start w:val="0"/>
      <w:numFmt w:val="bullet"/>
      <w:lvlText w:val="•"/>
      <w:lvlJc w:val="left"/>
      <w:pPr>
        <w:ind w:left="5445" w:hanging="160"/>
      </w:pPr>
      <w:rPr>
        <w:rFonts w:hint="default"/>
        <w:lang w:val="zh-CN" w:eastAsia="zh-CN" w:bidi="zh-CN"/>
      </w:rPr>
    </w:lvl>
    <w:lvl w:ilvl="7">
      <w:start w:val="0"/>
      <w:numFmt w:val="bullet"/>
      <w:lvlText w:val="•"/>
      <w:lvlJc w:val="left"/>
      <w:pPr>
        <w:ind w:left="6236" w:hanging="160"/>
      </w:pPr>
      <w:rPr>
        <w:rFonts w:hint="default"/>
        <w:lang w:val="zh-CN" w:eastAsia="zh-CN" w:bidi="zh-CN"/>
      </w:rPr>
    </w:lvl>
    <w:lvl w:ilvl="8">
      <w:start w:val="0"/>
      <w:numFmt w:val="bullet"/>
      <w:lvlText w:val="•"/>
      <w:lvlJc w:val="left"/>
      <w:pPr>
        <w:ind w:left="7027" w:hanging="160"/>
      </w:pPr>
      <w:rPr>
        <w:rFonts w:hint="default"/>
        <w:lang w:val="zh-CN" w:eastAsia="zh-CN" w:bidi="zh-CN"/>
      </w:rPr>
    </w:lvl>
  </w:abstractNum>
  <w:abstractNum w:abstractNumId="33">
    <w:nsid w:val="19F037E4"/>
    <w:multiLevelType w:val="multilevel"/>
    <w:tmpl w:val="19F037E4"/>
    <w:lvl w:ilvl="0">
      <w:start w:val="6"/>
      <w:numFmt w:val="decimal"/>
      <w:lvlText w:val="%1"/>
      <w:lvlJc w:val="left"/>
      <w:pPr>
        <w:ind w:left="3285" w:hanging="2283"/>
        <w:jc w:val="left"/>
      </w:pPr>
      <w:rPr>
        <w:rFonts w:ascii="Times New Roman" w:eastAsia="Times New Roman" w:hAnsi="Times New Roman" w:cs="Times New Roman" w:hint="default"/>
        <w:spacing w:val="-2"/>
        <w:w w:val="100"/>
        <w:sz w:val="18"/>
        <w:szCs w:val="18"/>
        <w:lang w:val="zh-CN" w:eastAsia="zh-CN" w:bidi="zh-CN"/>
      </w:rPr>
    </w:lvl>
    <w:lvl w:ilvl="1">
      <w:start w:val="0"/>
      <w:numFmt w:val="bullet"/>
      <w:lvlText w:val="•"/>
      <w:lvlJc w:val="left"/>
      <w:pPr>
        <w:ind w:left="3856" w:hanging="2283"/>
      </w:pPr>
      <w:rPr>
        <w:rFonts w:hint="default"/>
        <w:lang w:val="zh-CN" w:eastAsia="zh-CN" w:bidi="zh-CN"/>
      </w:rPr>
    </w:lvl>
    <w:lvl w:ilvl="2">
      <w:start w:val="0"/>
      <w:numFmt w:val="bullet"/>
      <w:lvlText w:val="•"/>
      <w:lvlJc w:val="left"/>
      <w:pPr>
        <w:ind w:left="4433" w:hanging="2283"/>
      </w:pPr>
      <w:rPr>
        <w:rFonts w:hint="default"/>
        <w:lang w:val="zh-CN" w:eastAsia="zh-CN" w:bidi="zh-CN"/>
      </w:rPr>
    </w:lvl>
    <w:lvl w:ilvl="3">
      <w:start w:val="0"/>
      <w:numFmt w:val="bullet"/>
      <w:lvlText w:val="•"/>
      <w:lvlJc w:val="left"/>
      <w:pPr>
        <w:ind w:left="5010" w:hanging="2283"/>
      </w:pPr>
      <w:rPr>
        <w:rFonts w:hint="default"/>
        <w:lang w:val="zh-CN" w:eastAsia="zh-CN" w:bidi="zh-CN"/>
      </w:rPr>
    </w:lvl>
    <w:lvl w:ilvl="4">
      <w:start w:val="0"/>
      <w:numFmt w:val="bullet"/>
      <w:lvlText w:val="•"/>
      <w:lvlJc w:val="left"/>
      <w:pPr>
        <w:ind w:left="5586" w:hanging="2283"/>
      </w:pPr>
      <w:rPr>
        <w:rFonts w:hint="default"/>
        <w:lang w:val="zh-CN" w:eastAsia="zh-CN" w:bidi="zh-CN"/>
      </w:rPr>
    </w:lvl>
    <w:lvl w:ilvl="5">
      <w:start w:val="0"/>
      <w:numFmt w:val="bullet"/>
      <w:lvlText w:val="•"/>
      <w:lvlJc w:val="left"/>
      <w:pPr>
        <w:ind w:left="6163" w:hanging="2283"/>
      </w:pPr>
      <w:rPr>
        <w:rFonts w:hint="default"/>
        <w:lang w:val="zh-CN" w:eastAsia="zh-CN" w:bidi="zh-CN"/>
      </w:rPr>
    </w:lvl>
    <w:lvl w:ilvl="6">
      <w:start w:val="0"/>
      <w:numFmt w:val="bullet"/>
      <w:lvlText w:val="•"/>
      <w:lvlJc w:val="left"/>
      <w:pPr>
        <w:ind w:left="6740" w:hanging="2283"/>
      </w:pPr>
      <w:rPr>
        <w:rFonts w:hint="default"/>
        <w:lang w:val="zh-CN" w:eastAsia="zh-CN" w:bidi="zh-CN"/>
      </w:rPr>
    </w:lvl>
    <w:lvl w:ilvl="7">
      <w:start w:val="0"/>
      <w:numFmt w:val="bullet"/>
      <w:lvlText w:val="•"/>
      <w:lvlJc w:val="left"/>
      <w:pPr>
        <w:ind w:left="7316" w:hanging="2283"/>
      </w:pPr>
      <w:rPr>
        <w:rFonts w:hint="default"/>
        <w:lang w:val="zh-CN" w:eastAsia="zh-CN" w:bidi="zh-CN"/>
      </w:rPr>
    </w:lvl>
    <w:lvl w:ilvl="8">
      <w:start w:val="0"/>
      <w:numFmt w:val="bullet"/>
      <w:lvlText w:val="•"/>
      <w:lvlJc w:val="left"/>
      <w:pPr>
        <w:ind w:left="7893" w:hanging="2283"/>
      </w:pPr>
      <w:rPr>
        <w:rFonts w:hint="default"/>
        <w:lang w:val="zh-CN" w:eastAsia="zh-CN" w:bidi="zh-CN"/>
      </w:rPr>
    </w:lvl>
  </w:abstractNum>
  <w:abstractNum w:abstractNumId="34">
    <w:nsid w:val="1B1408C3"/>
    <w:multiLevelType w:val="multilevel"/>
    <w:tmpl w:val="1B1408C3"/>
    <w:lvl w:ilvl="0">
      <w:start w:val="1"/>
      <w:numFmt w:val="lowerLetter"/>
      <w:lvlText w:val="%1."/>
      <w:lvlJc w:val="left"/>
      <w:pPr>
        <w:ind w:left="226" w:hanging="149"/>
        <w:jc w:val="left"/>
      </w:pPr>
      <w:rPr>
        <w:rFonts w:ascii="Times New Roman" w:eastAsia="Times New Roman" w:hAnsi="Times New Roman" w:cs="Times New Roman" w:hint="default"/>
        <w:spacing w:val="-1"/>
        <w:w w:val="100"/>
        <w:sz w:val="19"/>
        <w:szCs w:val="19"/>
        <w:lang w:val="zh-CN" w:eastAsia="zh-CN" w:bidi="zh-CN"/>
      </w:rPr>
    </w:lvl>
    <w:lvl w:ilvl="1">
      <w:start w:val="0"/>
      <w:numFmt w:val="bullet"/>
      <w:lvlText w:val="•"/>
      <w:lvlJc w:val="left"/>
      <w:pPr>
        <w:ind w:left="1128" w:hanging="149"/>
      </w:pPr>
      <w:rPr>
        <w:rFonts w:hint="default"/>
        <w:lang w:val="zh-CN" w:eastAsia="zh-CN" w:bidi="zh-CN"/>
      </w:rPr>
    </w:lvl>
    <w:lvl w:ilvl="2">
      <w:start w:val="0"/>
      <w:numFmt w:val="bullet"/>
      <w:lvlText w:val="•"/>
      <w:lvlJc w:val="left"/>
      <w:pPr>
        <w:ind w:left="2037" w:hanging="149"/>
      </w:pPr>
      <w:rPr>
        <w:rFonts w:hint="default"/>
        <w:lang w:val="zh-CN" w:eastAsia="zh-CN" w:bidi="zh-CN"/>
      </w:rPr>
    </w:lvl>
    <w:lvl w:ilvl="3">
      <w:start w:val="0"/>
      <w:numFmt w:val="bullet"/>
      <w:lvlText w:val="•"/>
      <w:lvlJc w:val="left"/>
      <w:pPr>
        <w:ind w:left="2945" w:hanging="149"/>
      </w:pPr>
      <w:rPr>
        <w:rFonts w:hint="default"/>
        <w:lang w:val="zh-CN" w:eastAsia="zh-CN" w:bidi="zh-CN"/>
      </w:rPr>
    </w:lvl>
    <w:lvl w:ilvl="4">
      <w:start w:val="0"/>
      <w:numFmt w:val="bullet"/>
      <w:lvlText w:val="•"/>
      <w:lvlJc w:val="left"/>
      <w:pPr>
        <w:ind w:left="3854" w:hanging="149"/>
      </w:pPr>
      <w:rPr>
        <w:rFonts w:hint="default"/>
        <w:lang w:val="zh-CN" w:eastAsia="zh-CN" w:bidi="zh-CN"/>
      </w:rPr>
    </w:lvl>
    <w:lvl w:ilvl="5">
      <w:start w:val="0"/>
      <w:numFmt w:val="bullet"/>
      <w:lvlText w:val="•"/>
      <w:lvlJc w:val="left"/>
      <w:pPr>
        <w:ind w:left="4763" w:hanging="149"/>
      </w:pPr>
      <w:rPr>
        <w:rFonts w:hint="default"/>
        <w:lang w:val="zh-CN" w:eastAsia="zh-CN" w:bidi="zh-CN"/>
      </w:rPr>
    </w:lvl>
    <w:lvl w:ilvl="6">
      <w:start w:val="0"/>
      <w:numFmt w:val="bullet"/>
      <w:lvlText w:val="•"/>
      <w:lvlJc w:val="left"/>
      <w:pPr>
        <w:ind w:left="5671" w:hanging="149"/>
      </w:pPr>
      <w:rPr>
        <w:rFonts w:hint="default"/>
        <w:lang w:val="zh-CN" w:eastAsia="zh-CN" w:bidi="zh-CN"/>
      </w:rPr>
    </w:lvl>
    <w:lvl w:ilvl="7">
      <w:start w:val="0"/>
      <w:numFmt w:val="bullet"/>
      <w:lvlText w:val="•"/>
      <w:lvlJc w:val="left"/>
      <w:pPr>
        <w:ind w:left="6580" w:hanging="149"/>
      </w:pPr>
      <w:rPr>
        <w:rFonts w:hint="default"/>
        <w:lang w:val="zh-CN" w:eastAsia="zh-CN" w:bidi="zh-CN"/>
      </w:rPr>
    </w:lvl>
    <w:lvl w:ilvl="8">
      <w:start w:val="0"/>
      <w:numFmt w:val="bullet"/>
      <w:lvlText w:val="•"/>
      <w:lvlJc w:val="left"/>
      <w:pPr>
        <w:ind w:left="7489" w:hanging="149"/>
      </w:pPr>
      <w:rPr>
        <w:rFonts w:hint="default"/>
        <w:lang w:val="zh-CN" w:eastAsia="zh-CN" w:bidi="zh-CN"/>
      </w:rPr>
    </w:lvl>
  </w:abstractNum>
  <w:abstractNum w:abstractNumId="35">
    <w:nsid w:val="25260741"/>
    <w:multiLevelType w:val="multilevel"/>
    <w:tmpl w:val="25260741"/>
    <w:lvl w:ilvl="0">
      <w:start w:val="0"/>
      <w:numFmt w:val="bullet"/>
      <w:lvlText w:val="☐"/>
      <w:lvlJc w:val="left"/>
      <w:pPr>
        <w:ind w:left="190" w:hanging="183"/>
      </w:pPr>
      <w:rPr>
        <w:rFonts w:ascii="Segoe UI Symbol" w:eastAsia="Segoe UI Symbol" w:hAnsi="Segoe UI Symbol" w:cs="Segoe UI Symbol" w:hint="default"/>
        <w:w w:val="100"/>
        <w:sz w:val="19"/>
        <w:szCs w:val="19"/>
        <w:lang w:val="zh-CN" w:eastAsia="zh-CN" w:bidi="zh-CN"/>
      </w:rPr>
    </w:lvl>
    <w:lvl w:ilvl="1">
      <w:start w:val="0"/>
      <w:numFmt w:val="bullet"/>
      <w:lvlText w:val="•"/>
      <w:lvlJc w:val="left"/>
      <w:pPr>
        <w:ind w:left="562" w:hanging="183"/>
      </w:pPr>
      <w:rPr>
        <w:rFonts w:hint="default"/>
        <w:lang w:val="zh-CN" w:eastAsia="zh-CN" w:bidi="zh-CN"/>
      </w:rPr>
    </w:lvl>
    <w:lvl w:ilvl="2">
      <w:start w:val="0"/>
      <w:numFmt w:val="bullet"/>
      <w:lvlText w:val="•"/>
      <w:lvlJc w:val="left"/>
      <w:pPr>
        <w:ind w:left="924" w:hanging="183"/>
      </w:pPr>
      <w:rPr>
        <w:rFonts w:hint="default"/>
        <w:lang w:val="zh-CN" w:eastAsia="zh-CN" w:bidi="zh-CN"/>
      </w:rPr>
    </w:lvl>
    <w:lvl w:ilvl="3">
      <w:start w:val="0"/>
      <w:numFmt w:val="bullet"/>
      <w:lvlText w:val="•"/>
      <w:lvlJc w:val="left"/>
      <w:pPr>
        <w:ind w:left="1287" w:hanging="183"/>
      </w:pPr>
      <w:rPr>
        <w:rFonts w:hint="default"/>
        <w:lang w:val="zh-CN" w:eastAsia="zh-CN" w:bidi="zh-CN"/>
      </w:rPr>
    </w:lvl>
    <w:lvl w:ilvl="4">
      <w:start w:val="0"/>
      <w:numFmt w:val="bullet"/>
      <w:lvlText w:val="•"/>
      <w:lvlJc w:val="left"/>
      <w:pPr>
        <w:ind w:left="1649" w:hanging="183"/>
      </w:pPr>
      <w:rPr>
        <w:rFonts w:hint="default"/>
        <w:lang w:val="zh-CN" w:eastAsia="zh-CN" w:bidi="zh-CN"/>
      </w:rPr>
    </w:lvl>
    <w:lvl w:ilvl="5">
      <w:start w:val="0"/>
      <w:numFmt w:val="bullet"/>
      <w:lvlText w:val="•"/>
      <w:lvlJc w:val="left"/>
      <w:pPr>
        <w:ind w:left="2012" w:hanging="183"/>
      </w:pPr>
      <w:rPr>
        <w:rFonts w:hint="default"/>
        <w:lang w:val="zh-CN" w:eastAsia="zh-CN" w:bidi="zh-CN"/>
      </w:rPr>
    </w:lvl>
    <w:lvl w:ilvl="6">
      <w:start w:val="0"/>
      <w:numFmt w:val="bullet"/>
      <w:lvlText w:val="•"/>
      <w:lvlJc w:val="left"/>
      <w:pPr>
        <w:ind w:left="2374" w:hanging="183"/>
      </w:pPr>
      <w:rPr>
        <w:rFonts w:hint="default"/>
        <w:lang w:val="zh-CN" w:eastAsia="zh-CN" w:bidi="zh-CN"/>
      </w:rPr>
    </w:lvl>
    <w:lvl w:ilvl="7">
      <w:start w:val="0"/>
      <w:numFmt w:val="bullet"/>
      <w:lvlText w:val="•"/>
      <w:lvlJc w:val="left"/>
      <w:pPr>
        <w:ind w:left="2736" w:hanging="183"/>
      </w:pPr>
      <w:rPr>
        <w:rFonts w:hint="default"/>
        <w:lang w:val="zh-CN" w:eastAsia="zh-CN" w:bidi="zh-CN"/>
      </w:rPr>
    </w:lvl>
    <w:lvl w:ilvl="8">
      <w:start w:val="0"/>
      <w:numFmt w:val="bullet"/>
      <w:lvlText w:val="•"/>
      <w:lvlJc w:val="left"/>
      <w:pPr>
        <w:ind w:left="3099" w:hanging="183"/>
      </w:pPr>
      <w:rPr>
        <w:rFonts w:hint="default"/>
        <w:lang w:val="zh-CN" w:eastAsia="zh-CN" w:bidi="zh-CN"/>
      </w:rPr>
    </w:lvl>
  </w:abstractNum>
  <w:abstractNum w:abstractNumId="36">
    <w:nsid w:val="25E017A4"/>
    <w:multiLevelType w:val="multilevel"/>
    <w:tmpl w:val="90961B61"/>
    <w:lvl w:ilvl="0">
      <w:start w:val="1"/>
      <w:numFmt w:val="decimal"/>
      <w:lvlText w:val="（%1）"/>
      <w:lvlJc w:val="left"/>
      <w:pPr>
        <w:ind w:left="2300" w:hanging="529"/>
        <w:jc w:val="left"/>
      </w:pPr>
      <w:rPr>
        <w:rFonts w:ascii="宋体" w:eastAsia="宋体" w:hAnsi="宋体" w:cs="宋体" w:hint="default"/>
        <w:b/>
        <w:bCs/>
        <w:spacing w:val="-106"/>
        <w:w w:val="100"/>
        <w:sz w:val="19"/>
        <w:szCs w:val="19"/>
        <w:lang w:val="zh-CN" w:eastAsia="zh-CN" w:bidi="zh-CN"/>
      </w:rPr>
    </w:lvl>
    <w:lvl w:ilvl="1">
      <w:start w:val="0"/>
      <w:numFmt w:val="bullet"/>
      <w:lvlText w:val="•"/>
      <w:lvlJc w:val="left"/>
      <w:pPr>
        <w:ind w:left="3032" w:hanging="529"/>
      </w:pPr>
      <w:rPr>
        <w:rFonts w:hint="default"/>
        <w:lang w:val="zh-CN" w:eastAsia="zh-CN" w:bidi="zh-CN"/>
      </w:rPr>
    </w:lvl>
    <w:lvl w:ilvl="2">
      <w:start w:val="0"/>
      <w:numFmt w:val="bullet"/>
      <w:lvlText w:val="•"/>
      <w:lvlJc w:val="left"/>
      <w:pPr>
        <w:ind w:left="3765" w:hanging="529"/>
      </w:pPr>
      <w:rPr>
        <w:rFonts w:hint="default"/>
        <w:lang w:val="zh-CN" w:eastAsia="zh-CN" w:bidi="zh-CN"/>
      </w:rPr>
    </w:lvl>
    <w:lvl w:ilvl="3">
      <w:start w:val="0"/>
      <w:numFmt w:val="bullet"/>
      <w:lvlText w:val="•"/>
      <w:lvlJc w:val="left"/>
      <w:pPr>
        <w:ind w:left="4497" w:hanging="529"/>
      </w:pPr>
      <w:rPr>
        <w:rFonts w:hint="default"/>
        <w:lang w:val="zh-CN" w:eastAsia="zh-CN" w:bidi="zh-CN"/>
      </w:rPr>
    </w:lvl>
    <w:lvl w:ilvl="4">
      <w:start w:val="0"/>
      <w:numFmt w:val="bullet"/>
      <w:lvlText w:val="•"/>
      <w:lvlJc w:val="left"/>
      <w:pPr>
        <w:ind w:left="5230" w:hanging="529"/>
      </w:pPr>
      <w:rPr>
        <w:rFonts w:hint="default"/>
        <w:lang w:val="zh-CN" w:eastAsia="zh-CN" w:bidi="zh-CN"/>
      </w:rPr>
    </w:lvl>
    <w:lvl w:ilvl="5">
      <w:start w:val="0"/>
      <w:numFmt w:val="bullet"/>
      <w:lvlText w:val="•"/>
      <w:lvlJc w:val="left"/>
      <w:pPr>
        <w:ind w:left="5963" w:hanging="529"/>
      </w:pPr>
      <w:rPr>
        <w:rFonts w:hint="default"/>
        <w:lang w:val="zh-CN" w:eastAsia="zh-CN" w:bidi="zh-CN"/>
      </w:rPr>
    </w:lvl>
    <w:lvl w:ilvl="6">
      <w:start w:val="0"/>
      <w:numFmt w:val="bullet"/>
      <w:lvlText w:val="•"/>
      <w:lvlJc w:val="left"/>
      <w:pPr>
        <w:ind w:left="6695" w:hanging="529"/>
      </w:pPr>
      <w:rPr>
        <w:rFonts w:hint="default"/>
        <w:lang w:val="zh-CN" w:eastAsia="zh-CN" w:bidi="zh-CN"/>
      </w:rPr>
    </w:lvl>
    <w:lvl w:ilvl="7">
      <w:start w:val="0"/>
      <w:numFmt w:val="bullet"/>
      <w:lvlText w:val="•"/>
      <w:lvlJc w:val="left"/>
      <w:pPr>
        <w:ind w:left="7428" w:hanging="529"/>
      </w:pPr>
      <w:rPr>
        <w:rFonts w:hint="default"/>
        <w:lang w:val="zh-CN" w:eastAsia="zh-CN" w:bidi="zh-CN"/>
      </w:rPr>
    </w:lvl>
    <w:lvl w:ilvl="8">
      <w:start w:val="0"/>
      <w:numFmt w:val="bullet"/>
      <w:lvlText w:val="•"/>
      <w:lvlJc w:val="left"/>
      <w:pPr>
        <w:ind w:left="8161" w:hanging="529"/>
      </w:pPr>
      <w:rPr>
        <w:rFonts w:hint="default"/>
        <w:lang w:val="zh-CN" w:eastAsia="zh-CN" w:bidi="zh-CN"/>
      </w:rPr>
    </w:lvl>
  </w:abstractNum>
  <w:abstractNum w:abstractNumId="37">
    <w:nsid w:val="26AAC193"/>
    <w:multiLevelType w:val="multilevel"/>
    <w:tmpl w:val="26AAC193"/>
    <w:lvl w:ilvl="0">
      <w:start w:val="1"/>
      <w:numFmt w:val="decimal"/>
      <w:lvlText w:val="%1）"/>
      <w:lvlJc w:val="left"/>
      <w:pPr>
        <w:ind w:left="964" w:hanging="318"/>
        <w:jc w:val="left"/>
      </w:pPr>
      <w:rPr>
        <w:rFonts w:ascii="Times New Roman" w:eastAsia="Times New Roman" w:hAnsi="Times New Roman" w:cs="Times New Roman" w:hint="default"/>
        <w:spacing w:val="-1"/>
        <w:w w:val="100"/>
        <w:sz w:val="19"/>
        <w:szCs w:val="19"/>
        <w:lang w:val="zh-CN" w:eastAsia="zh-CN" w:bidi="zh-CN"/>
      </w:rPr>
    </w:lvl>
    <w:lvl w:ilvl="1">
      <w:start w:val="0"/>
      <w:numFmt w:val="bullet"/>
      <w:lvlText w:val="•"/>
      <w:lvlJc w:val="left"/>
      <w:pPr>
        <w:ind w:left="1794" w:hanging="318"/>
      </w:pPr>
      <w:rPr>
        <w:rFonts w:hint="default"/>
        <w:lang w:val="zh-CN" w:eastAsia="zh-CN" w:bidi="zh-CN"/>
      </w:rPr>
    </w:lvl>
    <w:lvl w:ilvl="2">
      <w:start w:val="0"/>
      <w:numFmt w:val="bullet"/>
      <w:lvlText w:val="•"/>
      <w:lvlJc w:val="left"/>
      <w:pPr>
        <w:ind w:left="2629" w:hanging="318"/>
      </w:pPr>
      <w:rPr>
        <w:rFonts w:hint="default"/>
        <w:lang w:val="zh-CN" w:eastAsia="zh-CN" w:bidi="zh-CN"/>
      </w:rPr>
    </w:lvl>
    <w:lvl w:ilvl="3">
      <w:start w:val="0"/>
      <w:numFmt w:val="bullet"/>
      <w:lvlText w:val="•"/>
      <w:lvlJc w:val="left"/>
      <w:pPr>
        <w:ind w:left="3463" w:hanging="318"/>
      </w:pPr>
      <w:rPr>
        <w:rFonts w:hint="default"/>
        <w:lang w:val="zh-CN" w:eastAsia="zh-CN" w:bidi="zh-CN"/>
      </w:rPr>
    </w:lvl>
    <w:lvl w:ilvl="4">
      <w:start w:val="0"/>
      <w:numFmt w:val="bullet"/>
      <w:lvlText w:val="•"/>
      <w:lvlJc w:val="left"/>
      <w:pPr>
        <w:ind w:left="4298" w:hanging="318"/>
      </w:pPr>
      <w:rPr>
        <w:rFonts w:hint="default"/>
        <w:lang w:val="zh-CN" w:eastAsia="zh-CN" w:bidi="zh-CN"/>
      </w:rPr>
    </w:lvl>
    <w:lvl w:ilvl="5">
      <w:start w:val="0"/>
      <w:numFmt w:val="bullet"/>
      <w:lvlText w:val="•"/>
      <w:lvlJc w:val="left"/>
      <w:pPr>
        <w:ind w:left="5133" w:hanging="318"/>
      </w:pPr>
      <w:rPr>
        <w:rFonts w:hint="default"/>
        <w:lang w:val="zh-CN" w:eastAsia="zh-CN" w:bidi="zh-CN"/>
      </w:rPr>
    </w:lvl>
    <w:lvl w:ilvl="6">
      <w:start w:val="0"/>
      <w:numFmt w:val="bullet"/>
      <w:lvlText w:val="•"/>
      <w:lvlJc w:val="left"/>
      <w:pPr>
        <w:ind w:left="5967" w:hanging="318"/>
      </w:pPr>
      <w:rPr>
        <w:rFonts w:hint="default"/>
        <w:lang w:val="zh-CN" w:eastAsia="zh-CN" w:bidi="zh-CN"/>
      </w:rPr>
    </w:lvl>
    <w:lvl w:ilvl="7">
      <w:start w:val="0"/>
      <w:numFmt w:val="bullet"/>
      <w:lvlText w:val="•"/>
      <w:lvlJc w:val="left"/>
      <w:pPr>
        <w:ind w:left="6802" w:hanging="318"/>
      </w:pPr>
      <w:rPr>
        <w:rFonts w:hint="default"/>
        <w:lang w:val="zh-CN" w:eastAsia="zh-CN" w:bidi="zh-CN"/>
      </w:rPr>
    </w:lvl>
    <w:lvl w:ilvl="8">
      <w:start w:val="0"/>
      <w:numFmt w:val="bullet"/>
      <w:lvlText w:val="•"/>
      <w:lvlJc w:val="left"/>
      <w:pPr>
        <w:ind w:left="7637" w:hanging="318"/>
      </w:pPr>
      <w:rPr>
        <w:rFonts w:hint="default"/>
        <w:lang w:val="zh-CN" w:eastAsia="zh-CN" w:bidi="zh-CN"/>
      </w:rPr>
    </w:lvl>
  </w:abstractNum>
  <w:abstractNum w:abstractNumId="38">
    <w:nsid w:val="2B9B3DCA"/>
    <w:multiLevelType w:val="multilevel"/>
    <w:tmpl w:val="334D26C4"/>
    <w:lvl w:ilvl="0">
      <w:start w:val="2"/>
      <w:numFmt w:val="decimal"/>
      <w:lvlText w:val="（%1）"/>
      <w:lvlJc w:val="left"/>
      <w:pPr>
        <w:ind w:left="1063" w:hanging="529"/>
        <w:jc w:val="left"/>
      </w:pPr>
      <w:rPr>
        <w:rFonts w:ascii="宋体" w:eastAsia="宋体" w:hAnsi="宋体" w:cs="宋体" w:hint="default"/>
        <w:b/>
        <w:bCs/>
        <w:spacing w:val="-3"/>
        <w:w w:val="100"/>
        <w:sz w:val="19"/>
        <w:szCs w:val="19"/>
        <w:lang w:val="zh-CN" w:eastAsia="zh-CN" w:bidi="zh-CN"/>
      </w:rPr>
    </w:lvl>
    <w:lvl w:ilvl="1">
      <w:start w:val="0"/>
      <w:numFmt w:val="bullet"/>
      <w:lvlText w:val="•"/>
      <w:lvlJc w:val="left"/>
      <w:pPr>
        <w:ind w:left="1777" w:hanging="529"/>
      </w:pPr>
      <w:rPr>
        <w:rFonts w:hint="default"/>
        <w:lang w:val="zh-CN" w:eastAsia="zh-CN" w:bidi="zh-CN"/>
      </w:rPr>
    </w:lvl>
    <w:lvl w:ilvl="2">
      <w:start w:val="0"/>
      <w:numFmt w:val="bullet"/>
      <w:lvlText w:val="•"/>
      <w:lvlJc w:val="left"/>
      <w:pPr>
        <w:ind w:left="2495" w:hanging="529"/>
      </w:pPr>
      <w:rPr>
        <w:rFonts w:hint="default"/>
        <w:lang w:val="zh-CN" w:eastAsia="zh-CN" w:bidi="zh-CN"/>
      </w:rPr>
    </w:lvl>
    <w:lvl w:ilvl="3">
      <w:start w:val="0"/>
      <w:numFmt w:val="bullet"/>
      <w:lvlText w:val="•"/>
      <w:lvlJc w:val="left"/>
      <w:pPr>
        <w:ind w:left="3213" w:hanging="529"/>
      </w:pPr>
      <w:rPr>
        <w:rFonts w:hint="default"/>
        <w:lang w:val="zh-CN" w:eastAsia="zh-CN" w:bidi="zh-CN"/>
      </w:rPr>
    </w:lvl>
    <w:lvl w:ilvl="4">
      <w:start w:val="0"/>
      <w:numFmt w:val="bullet"/>
      <w:lvlText w:val="•"/>
      <w:lvlJc w:val="left"/>
      <w:pPr>
        <w:ind w:left="3931" w:hanging="529"/>
      </w:pPr>
      <w:rPr>
        <w:rFonts w:hint="default"/>
        <w:lang w:val="zh-CN" w:eastAsia="zh-CN" w:bidi="zh-CN"/>
      </w:rPr>
    </w:lvl>
    <w:lvl w:ilvl="5">
      <w:start w:val="0"/>
      <w:numFmt w:val="bullet"/>
      <w:lvlText w:val="•"/>
      <w:lvlJc w:val="left"/>
      <w:pPr>
        <w:ind w:left="4649" w:hanging="529"/>
      </w:pPr>
      <w:rPr>
        <w:rFonts w:hint="default"/>
        <w:lang w:val="zh-CN" w:eastAsia="zh-CN" w:bidi="zh-CN"/>
      </w:rPr>
    </w:lvl>
    <w:lvl w:ilvl="6">
      <w:start w:val="0"/>
      <w:numFmt w:val="bullet"/>
      <w:lvlText w:val="•"/>
      <w:lvlJc w:val="left"/>
      <w:pPr>
        <w:ind w:left="5367" w:hanging="529"/>
      </w:pPr>
      <w:rPr>
        <w:rFonts w:hint="default"/>
        <w:lang w:val="zh-CN" w:eastAsia="zh-CN" w:bidi="zh-CN"/>
      </w:rPr>
    </w:lvl>
    <w:lvl w:ilvl="7">
      <w:start w:val="0"/>
      <w:numFmt w:val="bullet"/>
      <w:lvlText w:val="•"/>
      <w:lvlJc w:val="left"/>
      <w:pPr>
        <w:ind w:left="6085" w:hanging="529"/>
      </w:pPr>
      <w:rPr>
        <w:rFonts w:hint="default"/>
        <w:lang w:val="zh-CN" w:eastAsia="zh-CN" w:bidi="zh-CN"/>
      </w:rPr>
    </w:lvl>
    <w:lvl w:ilvl="8">
      <w:start w:val="0"/>
      <w:numFmt w:val="bullet"/>
      <w:lvlText w:val="•"/>
      <w:lvlJc w:val="left"/>
      <w:pPr>
        <w:ind w:left="6803" w:hanging="529"/>
      </w:pPr>
      <w:rPr>
        <w:rFonts w:hint="default"/>
        <w:lang w:val="zh-CN" w:eastAsia="zh-CN" w:bidi="zh-CN"/>
      </w:rPr>
    </w:lvl>
  </w:abstractNum>
  <w:abstractNum w:abstractNumId="39">
    <w:nsid w:val="2C6C87D9"/>
    <w:multiLevelType w:val="multilevel"/>
    <w:tmpl w:val="2C6C87D9"/>
    <w:lvl w:ilvl="0">
      <w:start w:val="1"/>
      <w:numFmt w:val="decimal"/>
      <w:lvlText w:val="%1）"/>
      <w:lvlJc w:val="left"/>
      <w:pPr>
        <w:ind w:left="964" w:hanging="318"/>
        <w:jc w:val="left"/>
      </w:pPr>
      <w:rPr>
        <w:rFonts w:ascii="Times New Roman" w:eastAsia="Times New Roman" w:hAnsi="Times New Roman" w:cs="Times New Roman" w:hint="default"/>
        <w:spacing w:val="-1"/>
        <w:w w:val="100"/>
        <w:sz w:val="19"/>
        <w:szCs w:val="19"/>
        <w:lang w:val="zh-CN" w:eastAsia="zh-CN" w:bidi="zh-CN"/>
      </w:rPr>
    </w:lvl>
    <w:lvl w:ilvl="1">
      <w:start w:val="0"/>
      <w:numFmt w:val="bullet"/>
      <w:lvlText w:val="•"/>
      <w:lvlJc w:val="left"/>
      <w:pPr>
        <w:ind w:left="1794" w:hanging="318"/>
      </w:pPr>
      <w:rPr>
        <w:rFonts w:hint="default"/>
        <w:lang w:val="zh-CN" w:eastAsia="zh-CN" w:bidi="zh-CN"/>
      </w:rPr>
    </w:lvl>
    <w:lvl w:ilvl="2">
      <w:start w:val="0"/>
      <w:numFmt w:val="bullet"/>
      <w:lvlText w:val="•"/>
      <w:lvlJc w:val="left"/>
      <w:pPr>
        <w:ind w:left="2629" w:hanging="318"/>
      </w:pPr>
      <w:rPr>
        <w:rFonts w:hint="default"/>
        <w:lang w:val="zh-CN" w:eastAsia="zh-CN" w:bidi="zh-CN"/>
      </w:rPr>
    </w:lvl>
    <w:lvl w:ilvl="3">
      <w:start w:val="0"/>
      <w:numFmt w:val="bullet"/>
      <w:lvlText w:val="•"/>
      <w:lvlJc w:val="left"/>
      <w:pPr>
        <w:ind w:left="3463" w:hanging="318"/>
      </w:pPr>
      <w:rPr>
        <w:rFonts w:hint="default"/>
        <w:lang w:val="zh-CN" w:eastAsia="zh-CN" w:bidi="zh-CN"/>
      </w:rPr>
    </w:lvl>
    <w:lvl w:ilvl="4">
      <w:start w:val="0"/>
      <w:numFmt w:val="bullet"/>
      <w:lvlText w:val="•"/>
      <w:lvlJc w:val="left"/>
      <w:pPr>
        <w:ind w:left="4298" w:hanging="318"/>
      </w:pPr>
      <w:rPr>
        <w:rFonts w:hint="default"/>
        <w:lang w:val="zh-CN" w:eastAsia="zh-CN" w:bidi="zh-CN"/>
      </w:rPr>
    </w:lvl>
    <w:lvl w:ilvl="5">
      <w:start w:val="0"/>
      <w:numFmt w:val="bullet"/>
      <w:lvlText w:val="•"/>
      <w:lvlJc w:val="left"/>
      <w:pPr>
        <w:ind w:left="5133" w:hanging="318"/>
      </w:pPr>
      <w:rPr>
        <w:rFonts w:hint="default"/>
        <w:lang w:val="zh-CN" w:eastAsia="zh-CN" w:bidi="zh-CN"/>
      </w:rPr>
    </w:lvl>
    <w:lvl w:ilvl="6">
      <w:start w:val="0"/>
      <w:numFmt w:val="bullet"/>
      <w:lvlText w:val="•"/>
      <w:lvlJc w:val="left"/>
      <w:pPr>
        <w:ind w:left="5967" w:hanging="318"/>
      </w:pPr>
      <w:rPr>
        <w:rFonts w:hint="default"/>
        <w:lang w:val="zh-CN" w:eastAsia="zh-CN" w:bidi="zh-CN"/>
      </w:rPr>
    </w:lvl>
    <w:lvl w:ilvl="7">
      <w:start w:val="0"/>
      <w:numFmt w:val="bullet"/>
      <w:lvlText w:val="•"/>
      <w:lvlJc w:val="left"/>
      <w:pPr>
        <w:ind w:left="6802" w:hanging="318"/>
      </w:pPr>
      <w:rPr>
        <w:rFonts w:hint="default"/>
        <w:lang w:val="zh-CN" w:eastAsia="zh-CN" w:bidi="zh-CN"/>
      </w:rPr>
    </w:lvl>
    <w:lvl w:ilvl="8">
      <w:start w:val="0"/>
      <w:numFmt w:val="bullet"/>
      <w:lvlText w:val="•"/>
      <w:lvlJc w:val="left"/>
      <w:pPr>
        <w:ind w:left="7637" w:hanging="318"/>
      </w:pPr>
      <w:rPr>
        <w:rFonts w:hint="default"/>
        <w:lang w:val="zh-CN" w:eastAsia="zh-CN" w:bidi="zh-CN"/>
      </w:rPr>
    </w:lvl>
  </w:abstractNum>
  <w:abstractNum w:abstractNumId="40">
    <w:nsid w:val="2D0EDEAD"/>
    <w:multiLevelType w:val="multilevel"/>
    <w:tmpl w:val="2D0EDEAD"/>
    <w:lvl w:ilvl="0">
      <w:start w:val="5"/>
      <w:numFmt w:val="decimal"/>
      <w:lvlText w:val="（%1）"/>
      <w:lvlJc w:val="left"/>
      <w:pPr>
        <w:ind w:left="1178" w:hanging="529"/>
        <w:jc w:val="left"/>
      </w:pPr>
      <w:rPr>
        <w:rFonts w:ascii="宋体" w:eastAsia="宋体" w:hAnsi="宋体" w:cs="宋体" w:hint="default"/>
        <w:b/>
        <w:bCs/>
        <w:spacing w:val="-3"/>
        <w:w w:val="100"/>
        <w:sz w:val="19"/>
        <w:szCs w:val="19"/>
        <w:lang w:val="zh-CN" w:eastAsia="zh-CN" w:bidi="zh-CN"/>
      </w:rPr>
    </w:lvl>
    <w:lvl w:ilvl="1">
      <w:start w:val="0"/>
      <w:numFmt w:val="bullet"/>
      <w:lvlText w:val="•"/>
      <w:lvlJc w:val="left"/>
      <w:pPr>
        <w:ind w:left="1992" w:hanging="529"/>
      </w:pPr>
      <w:rPr>
        <w:rFonts w:hint="default"/>
        <w:lang w:val="zh-CN" w:eastAsia="zh-CN" w:bidi="zh-CN"/>
      </w:rPr>
    </w:lvl>
    <w:lvl w:ilvl="2">
      <w:start w:val="0"/>
      <w:numFmt w:val="bullet"/>
      <w:lvlText w:val="•"/>
      <w:lvlJc w:val="left"/>
      <w:pPr>
        <w:ind w:left="2805" w:hanging="529"/>
      </w:pPr>
      <w:rPr>
        <w:rFonts w:hint="default"/>
        <w:lang w:val="zh-CN" w:eastAsia="zh-CN" w:bidi="zh-CN"/>
      </w:rPr>
    </w:lvl>
    <w:lvl w:ilvl="3">
      <w:start w:val="0"/>
      <w:numFmt w:val="bullet"/>
      <w:lvlText w:val="•"/>
      <w:lvlJc w:val="left"/>
      <w:pPr>
        <w:ind w:left="3617" w:hanging="529"/>
      </w:pPr>
      <w:rPr>
        <w:rFonts w:hint="default"/>
        <w:lang w:val="zh-CN" w:eastAsia="zh-CN" w:bidi="zh-CN"/>
      </w:rPr>
    </w:lvl>
    <w:lvl w:ilvl="4">
      <w:start w:val="0"/>
      <w:numFmt w:val="bullet"/>
      <w:lvlText w:val="•"/>
      <w:lvlJc w:val="left"/>
      <w:pPr>
        <w:ind w:left="4430" w:hanging="529"/>
      </w:pPr>
      <w:rPr>
        <w:rFonts w:hint="default"/>
        <w:lang w:val="zh-CN" w:eastAsia="zh-CN" w:bidi="zh-CN"/>
      </w:rPr>
    </w:lvl>
    <w:lvl w:ilvl="5">
      <w:start w:val="0"/>
      <w:numFmt w:val="bullet"/>
      <w:lvlText w:val="•"/>
      <w:lvlJc w:val="left"/>
      <w:pPr>
        <w:ind w:left="5243" w:hanging="529"/>
      </w:pPr>
      <w:rPr>
        <w:rFonts w:hint="default"/>
        <w:lang w:val="zh-CN" w:eastAsia="zh-CN" w:bidi="zh-CN"/>
      </w:rPr>
    </w:lvl>
    <w:lvl w:ilvl="6">
      <w:start w:val="0"/>
      <w:numFmt w:val="bullet"/>
      <w:lvlText w:val="•"/>
      <w:lvlJc w:val="left"/>
      <w:pPr>
        <w:ind w:left="6055" w:hanging="529"/>
      </w:pPr>
      <w:rPr>
        <w:rFonts w:hint="default"/>
        <w:lang w:val="zh-CN" w:eastAsia="zh-CN" w:bidi="zh-CN"/>
      </w:rPr>
    </w:lvl>
    <w:lvl w:ilvl="7">
      <w:start w:val="0"/>
      <w:numFmt w:val="bullet"/>
      <w:lvlText w:val="•"/>
      <w:lvlJc w:val="left"/>
      <w:pPr>
        <w:ind w:left="6868" w:hanging="529"/>
      </w:pPr>
      <w:rPr>
        <w:rFonts w:hint="default"/>
        <w:lang w:val="zh-CN" w:eastAsia="zh-CN" w:bidi="zh-CN"/>
      </w:rPr>
    </w:lvl>
    <w:lvl w:ilvl="8">
      <w:start w:val="0"/>
      <w:numFmt w:val="bullet"/>
      <w:lvlText w:val="•"/>
      <w:lvlJc w:val="left"/>
      <w:pPr>
        <w:ind w:left="7681" w:hanging="529"/>
      </w:pPr>
      <w:rPr>
        <w:rFonts w:hint="default"/>
        <w:lang w:val="zh-CN" w:eastAsia="zh-CN" w:bidi="zh-CN"/>
      </w:rPr>
    </w:lvl>
  </w:abstractNum>
  <w:abstractNum w:abstractNumId="41">
    <w:nsid w:val="2E6C14EB"/>
    <w:multiLevelType w:val="multilevel"/>
    <w:tmpl w:val="2E6C14EB"/>
    <w:lvl w:ilvl="0">
      <w:start w:val="4"/>
      <w:numFmt w:val="decimal"/>
      <w:lvlText w:val="%1."/>
      <w:lvlJc w:val="left"/>
      <w:pPr>
        <w:ind w:left="1403" w:hanging="160"/>
        <w:jc w:val="left"/>
      </w:pPr>
      <w:rPr>
        <w:rFonts w:ascii="Times New Roman" w:eastAsia="Times New Roman" w:hAnsi="Times New Roman" w:cs="Times New Roman" w:hint="default"/>
        <w:b/>
        <w:bCs/>
        <w:spacing w:val="-3"/>
        <w:w w:val="100"/>
        <w:sz w:val="19"/>
        <w:szCs w:val="19"/>
        <w:lang w:val="zh-CN" w:eastAsia="zh-CN" w:bidi="zh-CN"/>
      </w:rPr>
    </w:lvl>
    <w:lvl w:ilvl="1">
      <w:start w:val="0"/>
      <w:numFmt w:val="bullet"/>
      <w:lvlText w:val="•"/>
      <w:lvlJc w:val="left"/>
      <w:pPr>
        <w:ind w:left="2222" w:hanging="160"/>
      </w:pPr>
      <w:rPr>
        <w:rFonts w:hint="default"/>
        <w:lang w:val="zh-CN" w:eastAsia="zh-CN" w:bidi="zh-CN"/>
      </w:rPr>
    </w:lvl>
    <w:lvl w:ilvl="2">
      <w:start w:val="0"/>
      <w:numFmt w:val="bullet"/>
      <w:lvlText w:val="•"/>
      <w:lvlJc w:val="left"/>
      <w:pPr>
        <w:ind w:left="3045" w:hanging="160"/>
      </w:pPr>
      <w:rPr>
        <w:rFonts w:hint="default"/>
        <w:lang w:val="zh-CN" w:eastAsia="zh-CN" w:bidi="zh-CN"/>
      </w:rPr>
    </w:lvl>
    <w:lvl w:ilvl="3">
      <w:start w:val="0"/>
      <w:numFmt w:val="bullet"/>
      <w:lvlText w:val="•"/>
      <w:lvlJc w:val="left"/>
      <w:pPr>
        <w:ind w:left="3867" w:hanging="160"/>
      </w:pPr>
      <w:rPr>
        <w:rFonts w:hint="default"/>
        <w:lang w:val="zh-CN" w:eastAsia="zh-CN" w:bidi="zh-CN"/>
      </w:rPr>
    </w:lvl>
    <w:lvl w:ilvl="4">
      <w:start w:val="0"/>
      <w:numFmt w:val="bullet"/>
      <w:lvlText w:val="•"/>
      <w:lvlJc w:val="left"/>
      <w:pPr>
        <w:ind w:left="4690" w:hanging="160"/>
      </w:pPr>
      <w:rPr>
        <w:rFonts w:hint="default"/>
        <w:lang w:val="zh-CN" w:eastAsia="zh-CN" w:bidi="zh-CN"/>
      </w:rPr>
    </w:lvl>
    <w:lvl w:ilvl="5">
      <w:start w:val="0"/>
      <w:numFmt w:val="bullet"/>
      <w:lvlText w:val="•"/>
      <w:lvlJc w:val="left"/>
      <w:pPr>
        <w:ind w:left="5513" w:hanging="160"/>
      </w:pPr>
      <w:rPr>
        <w:rFonts w:hint="default"/>
        <w:lang w:val="zh-CN" w:eastAsia="zh-CN" w:bidi="zh-CN"/>
      </w:rPr>
    </w:lvl>
    <w:lvl w:ilvl="6">
      <w:start w:val="0"/>
      <w:numFmt w:val="bullet"/>
      <w:lvlText w:val="•"/>
      <w:lvlJc w:val="left"/>
      <w:pPr>
        <w:ind w:left="6335" w:hanging="160"/>
      </w:pPr>
      <w:rPr>
        <w:rFonts w:hint="default"/>
        <w:lang w:val="zh-CN" w:eastAsia="zh-CN" w:bidi="zh-CN"/>
      </w:rPr>
    </w:lvl>
    <w:lvl w:ilvl="7">
      <w:start w:val="0"/>
      <w:numFmt w:val="bullet"/>
      <w:lvlText w:val="•"/>
      <w:lvlJc w:val="left"/>
      <w:pPr>
        <w:ind w:left="7158" w:hanging="160"/>
      </w:pPr>
      <w:rPr>
        <w:rFonts w:hint="default"/>
        <w:lang w:val="zh-CN" w:eastAsia="zh-CN" w:bidi="zh-CN"/>
      </w:rPr>
    </w:lvl>
    <w:lvl w:ilvl="8">
      <w:start w:val="0"/>
      <w:numFmt w:val="bullet"/>
      <w:lvlText w:val="•"/>
      <w:lvlJc w:val="left"/>
      <w:pPr>
        <w:ind w:left="7981" w:hanging="160"/>
      </w:pPr>
      <w:rPr>
        <w:rFonts w:hint="default"/>
        <w:lang w:val="zh-CN" w:eastAsia="zh-CN" w:bidi="zh-CN"/>
      </w:rPr>
    </w:lvl>
  </w:abstractNum>
  <w:abstractNum w:abstractNumId="42">
    <w:nsid w:val="319F8BDC"/>
    <w:multiLevelType w:val="multilevel"/>
    <w:tmpl w:val="319F8BDC"/>
    <w:lvl w:ilvl="0">
      <w:start w:val="1"/>
      <w:numFmt w:val="decimal"/>
      <w:lvlText w:val="%1）"/>
      <w:lvlJc w:val="left"/>
      <w:pPr>
        <w:ind w:left="1014" w:hanging="360"/>
        <w:jc w:val="left"/>
      </w:pPr>
      <w:rPr>
        <w:rFonts w:ascii="Times New Roman" w:eastAsia="Times New Roman" w:hAnsi="Times New Roman" w:cs="Times New Roman" w:hint="default"/>
        <w:b/>
        <w:bCs/>
        <w:spacing w:val="-1"/>
        <w:w w:val="100"/>
        <w:sz w:val="21"/>
        <w:szCs w:val="21"/>
        <w:lang w:val="zh-CN" w:eastAsia="zh-CN" w:bidi="zh-CN"/>
      </w:rPr>
    </w:lvl>
    <w:lvl w:ilvl="1">
      <w:start w:val="0"/>
      <w:numFmt w:val="bullet"/>
      <w:lvlText w:val="•"/>
      <w:lvlJc w:val="left"/>
      <w:pPr>
        <w:ind w:left="1850" w:hanging="360"/>
      </w:pPr>
      <w:rPr>
        <w:rFonts w:hint="default"/>
        <w:lang w:val="zh-CN" w:eastAsia="zh-CN" w:bidi="zh-CN"/>
      </w:rPr>
    </w:lvl>
    <w:lvl w:ilvl="2">
      <w:start w:val="0"/>
      <w:numFmt w:val="bullet"/>
      <w:lvlText w:val="•"/>
      <w:lvlJc w:val="left"/>
      <w:pPr>
        <w:ind w:left="2681" w:hanging="360"/>
      </w:pPr>
      <w:rPr>
        <w:rFonts w:hint="default"/>
        <w:lang w:val="zh-CN" w:eastAsia="zh-CN" w:bidi="zh-CN"/>
      </w:rPr>
    </w:lvl>
    <w:lvl w:ilvl="3">
      <w:start w:val="0"/>
      <w:numFmt w:val="bullet"/>
      <w:lvlText w:val="•"/>
      <w:lvlJc w:val="left"/>
      <w:pPr>
        <w:ind w:left="3511" w:hanging="360"/>
      </w:pPr>
      <w:rPr>
        <w:rFonts w:hint="default"/>
        <w:lang w:val="zh-CN" w:eastAsia="zh-CN" w:bidi="zh-CN"/>
      </w:rPr>
    </w:lvl>
    <w:lvl w:ilvl="4">
      <w:start w:val="0"/>
      <w:numFmt w:val="bullet"/>
      <w:lvlText w:val="•"/>
      <w:lvlJc w:val="left"/>
      <w:pPr>
        <w:ind w:left="4342" w:hanging="360"/>
      </w:pPr>
      <w:rPr>
        <w:rFonts w:hint="default"/>
        <w:lang w:val="zh-CN" w:eastAsia="zh-CN" w:bidi="zh-CN"/>
      </w:rPr>
    </w:lvl>
    <w:lvl w:ilvl="5">
      <w:start w:val="0"/>
      <w:numFmt w:val="bullet"/>
      <w:lvlText w:val="•"/>
      <w:lvlJc w:val="left"/>
      <w:pPr>
        <w:ind w:left="5173" w:hanging="360"/>
      </w:pPr>
      <w:rPr>
        <w:rFonts w:hint="default"/>
        <w:lang w:val="zh-CN" w:eastAsia="zh-CN" w:bidi="zh-CN"/>
      </w:rPr>
    </w:lvl>
    <w:lvl w:ilvl="6">
      <w:start w:val="0"/>
      <w:numFmt w:val="bullet"/>
      <w:lvlText w:val="•"/>
      <w:lvlJc w:val="left"/>
      <w:pPr>
        <w:ind w:left="6003" w:hanging="360"/>
      </w:pPr>
      <w:rPr>
        <w:rFonts w:hint="default"/>
        <w:lang w:val="zh-CN" w:eastAsia="zh-CN" w:bidi="zh-CN"/>
      </w:rPr>
    </w:lvl>
    <w:lvl w:ilvl="7">
      <w:start w:val="0"/>
      <w:numFmt w:val="bullet"/>
      <w:lvlText w:val="•"/>
      <w:lvlJc w:val="left"/>
      <w:pPr>
        <w:ind w:left="6834" w:hanging="360"/>
      </w:pPr>
      <w:rPr>
        <w:rFonts w:hint="default"/>
        <w:lang w:val="zh-CN" w:eastAsia="zh-CN" w:bidi="zh-CN"/>
      </w:rPr>
    </w:lvl>
    <w:lvl w:ilvl="8">
      <w:start w:val="0"/>
      <w:numFmt w:val="bullet"/>
      <w:lvlText w:val="•"/>
      <w:lvlJc w:val="left"/>
      <w:pPr>
        <w:ind w:left="7665" w:hanging="360"/>
      </w:pPr>
      <w:rPr>
        <w:rFonts w:hint="default"/>
        <w:lang w:val="zh-CN" w:eastAsia="zh-CN" w:bidi="zh-CN"/>
      </w:rPr>
    </w:lvl>
  </w:abstractNum>
  <w:abstractNum w:abstractNumId="43">
    <w:nsid w:val="334D26C4"/>
    <w:multiLevelType w:val="multilevel"/>
    <w:tmpl w:val="334D26C4"/>
    <w:lvl w:ilvl="0">
      <w:start w:val="2"/>
      <w:numFmt w:val="decimal"/>
      <w:lvlText w:val="（%1）"/>
      <w:lvlJc w:val="left"/>
      <w:pPr>
        <w:ind w:left="1063" w:hanging="529"/>
        <w:jc w:val="left"/>
      </w:pPr>
      <w:rPr>
        <w:rFonts w:ascii="宋体" w:eastAsia="宋体" w:hAnsi="宋体" w:cs="宋体" w:hint="default"/>
        <w:b/>
        <w:bCs/>
        <w:spacing w:val="-3"/>
        <w:w w:val="100"/>
        <w:sz w:val="19"/>
        <w:szCs w:val="19"/>
        <w:lang w:val="zh-CN" w:eastAsia="zh-CN" w:bidi="zh-CN"/>
      </w:rPr>
    </w:lvl>
    <w:lvl w:ilvl="1">
      <w:start w:val="0"/>
      <w:numFmt w:val="bullet"/>
      <w:lvlText w:val="•"/>
      <w:lvlJc w:val="left"/>
      <w:pPr>
        <w:ind w:left="1777" w:hanging="529"/>
      </w:pPr>
      <w:rPr>
        <w:rFonts w:hint="default"/>
        <w:lang w:val="zh-CN" w:eastAsia="zh-CN" w:bidi="zh-CN"/>
      </w:rPr>
    </w:lvl>
    <w:lvl w:ilvl="2">
      <w:start w:val="0"/>
      <w:numFmt w:val="bullet"/>
      <w:lvlText w:val="•"/>
      <w:lvlJc w:val="left"/>
      <w:pPr>
        <w:ind w:left="2495" w:hanging="529"/>
      </w:pPr>
      <w:rPr>
        <w:rFonts w:hint="default"/>
        <w:lang w:val="zh-CN" w:eastAsia="zh-CN" w:bidi="zh-CN"/>
      </w:rPr>
    </w:lvl>
    <w:lvl w:ilvl="3">
      <w:start w:val="0"/>
      <w:numFmt w:val="bullet"/>
      <w:lvlText w:val="•"/>
      <w:lvlJc w:val="left"/>
      <w:pPr>
        <w:ind w:left="3213" w:hanging="529"/>
      </w:pPr>
      <w:rPr>
        <w:rFonts w:hint="default"/>
        <w:lang w:val="zh-CN" w:eastAsia="zh-CN" w:bidi="zh-CN"/>
      </w:rPr>
    </w:lvl>
    <w:lvl w:ilvl="4">
      <w:start w:val="0"/>
      <w:numFmt w:val="bullet"/>
      <w:lvlText w:val="•"/>
      <w:lvlJc w:val="left"/>
      <w:pPr>
        <w:ind w:left="3931" w:hanging="529"/>
      </w:pPr>
      <w:rPr>
        <w:rFonts w:hint="default"/>
        <w:lang w:val="zh-CN" w:eastAsia="zh-CN" w:bidi="zh-CN"/>
      </w:rPr>
    </w:lvl>
    <w:lvl w:ilvl="5">
      <w:start w:val="0"/>
      <w:numFmt w:val="bullet"/>
      <w:lvlText w:val="•"/>
      <w:lvlJc w:val="left"/>
      <w:pPr>
        <w:ind w:left="4649" w:hanging="529"/>
      </w:pPr>
      <w:rPr>
        <w:rFonts w:hint="default"/>
        <w:lang w:val="zh-CN" w:eastAsia="zh-CN" w:bidi="zh-CN"/>
      </w:rPr>
    </w:lvl>
    <w:lvl w:ilvl="6">
      <w:start w:val="0"/>
      <w:numFmt w:val="bullet"/>
      <w:lvlText w:val="•"/>
      <w:lvlJc w:val="left"/>
      <w:pPr>
        <w:ind w:left="5367" w:hanging="529"/>
      </w:pPr>
      <w:rPr>
        <w:rFonts w:hint="default"/>
        <w:lang w:val="zh-CN" w:eastAsia="zh-CN" w:bidi="zh-CN"/>
      </w:rPr>
    </w:lvl>
    <w:lvl w:ilvl="7">
      <w:start w:val="0"/>
      <w:numFmt w:val="bullet"/>
      <w:lvlText w:val="•"/>
      <w:lvlJc w:val="left"/>
      <w:pPr>
        <w:ind w:left="6085" w:hanging="529"/>
      </w:pPr>
      <w:rPr>
        <w:rFonts w:hint="default"/>
        <w:lang w:val="zh-CN" w:eastAsia="zh-CN" w:bidi="zh-CN"/>
      </w:rPr>
    </w:lvl>
    <w:lvl w:ilvl="8">
      <w:start w:val="0"/>
      <w:numFmt w:val="bullet"/>
      <w:lvlText w:val="•"/>
      <w:lvlJc w:val="left"/>
      <w:pPr>
        <w:ind w:left="6803" w:hanging="529"/>
      </w:pPr>
      <w:rPr>
        <w:rFonts w:hint="default"/>
        <w:lang w:val="zh-CN" w:eastAsia="zh-CN" w:bidi="zh-CN"/>
      </w:rPr>
    </w:lvl>
  </w:abstractNum>
  <w:abstractNum w:abstractNumId="44">
    <w:nsid w:val="3532C45A"/>
    <w:multiLevelType w:val="multilevel"/>
    <w:tmpl w:val="3532C45A"/>
    <w:lvl w:ilvl="0">
      <w:start w:val="7"/>
      <w:numFmt w:val="decimal"/>
      <w:lvlText w:val="%1."/>
      <w:lvlJc w:val="left"/>
      <w:pPr>
        <w:ind w:left="1931" w:hanging="160"/>
        <w:jc w:val="left"/>
      </w:pPr>
      <w:rPr>
        <w:rFonts w:ascii="Times New Roman" w:eastAsia="Times New Roman" w:hAnsi="Times New Roman" w:cs="Times New Roman" w:hint="default"/>
        <w:b/>
        <w:bCs/>
        <w:spacing w:val="-3"/>
        <w:w w:val="100"/>
        <w:sz w:val="19"/>
        <w:szCs w:val="19"/>
        <w:lang w:val="zh-CN" w:eastAsia="zh-CN" w:bidi="zh-CN"/>
      </w:rPr>
    </w:lvl>
    <w:lvl w:ilvl="1">
      <w:start w:val="0"/>
      <w:numFmt w:val="bullet"/>
      <w:lvlText w:val="•"/>
      <w:lvlJc w:val="left"/>
      <w:pPr>
        <w:ind w:left="2708" w:hanging="160"/>
      </w:pPr>
      <w:rPr>
        <w:rFonts w:hint="default"/>
        <w:lang w:val="zh-CN" w:eastAsia="zh-CN" w:bidi="zh-CN"/>
      </w:rPr>
    </w:lvl>
    <w:lvl w:ilvl="2">
      <w:start w:val="0"/>
      <w:numFmt w:val="bullet"/>
      <w:lvlText w:val="•"/>
      <w:lvlJc w:val="left"/>
      <w:pPr>
        <w:ind w:left="3477" w:hanging="160"/>
      </w:pPr>
      <w:rPr>
        <w:rFonts w:hint="default"/>
        <w:lang w:val="zh-CN" w:eastAsia="zh-CN" w:bidi="zh-CN"/>
      </w:rPr>
    </w:lvl>
    <w:lvl w:ilvl="3">
      <w:start w:val="0"/>
      <w:numFmt w:val="bullet"/>
      <w:lvlText w:val="•"/>
      <w:lvlJc w:val="left"/>
      <w:pPr>
        <w:ind w:left="4245" w:hanging="160"/>
      </w:pPr>
      <w:rPr>
        <w:rFonts w:hint="default"/>
        <w:lang w:val="zh-CN" w:eastAsia="zh-CN" w:bidi="zh-CN"/>
      </w:rPr>
    </w:lvl>
    <w:lvl w:ilvl="4">
      <w:start w:val="0"/>
      <w:numFmt w:val="bullet"/>
      <w:lvlText w:val="•"/>
      <w:lvlJc w:val="left"/>
      <w:pPr>
        <w:ind w:left="5014" w:hanging="160"/>
      </w:pPr>
      <w:rPr>
        <w:rFonts w:hint="default"/>
        <w:lang w:val="zh-CN" w:eastAsia="zh-CN" w:bidi="zh-CN"/>
      </w:rPr>
    </w:lvl>
    <w:lvl w:ilvl="5">
      <w:start w:val="0"/>
      <w:numFmt w:val="bullet"/>
      <w:lvlText w:val="•"/>
      <w:lvlJc w:val="left"/>
      <w:pPr>
        <w:ind w:left="5783" w:hanging="160"/>
      </w:pPr>
      <w:rPr>
        <w:rFonts w:hint="default"/>
        <w:lang w:val="zh-CN" w:eastAsia="zh-CN" w:bidi="zh-CN"/>
      </w:rPr>
    </w:lvl>
    <w:lvl w:ilvl="6">
      <w:start w:val="0"/>
      <w:numFmt w:val="bullet"/>
      <w:lvlText w:val="•"/>
      <w:lvlJc w:val="left"/>
      <w:pPr>
        <w:ind w:left="6551" w:hanging="160"/>
      </w:pPr>
      <w:rPr>
        <w:rFonts w:hint="default"/>
        <w:lang w:val="zh-CN" w:eastAsia="zh-CN" w:bidi="zh-CN"/>
      </w:rPr>
    </w:lvl>
    <w:lvl w:ilvl="7">
      <w:start w:val="0"/>
      <w:numFmt w:val="bullet"/>
      <w:lvlText w:val="•"/>
      <w:lvlJc w:val="left"/>
      <w:pPr>
        <w:ind w:left="7320" w:hanging="160"/>
      </w:pPr>
      <w:rPr>
        <w:rFonts w:hint="default"/>
        <w:lang w:val="zh-CN" w:eastAsia="zh-CN" w:bidi="zh-CN"/>
      </w:rPr>
    </w:lvl>
    <w:lvl w:ilvl="8">
      <w:start w:val="0"/>
      <w:numFmt w:val="bullet"/>
      <w:lvlText w:val="•"/>
      <w:lvlJc w:val="left"/>
      <w:pPr>
        <w:ind w:left="8089" w:hanging="160"/>
      </w:pPr>
      <w:rPr>
        <w:rFonts w:hint="default"/>
        <w:lang w:val="zh-CN" w:eastAsia="zh-CN" w:bidi="zh-CN"/>
      </w:rPr>
    </w:lvl>
  </w:abstractNum>
  <w:abstractNum w:abstractNumId="45">
    <w:nsid w:val="371F6F6D"/>
    <w:multiLevelType w:val="multilevel"/>
    <w:tmpl w:val="3532C45A"/>
    <w:lvl w:ilvl="0">
      <w:start w:val="7"/>
      <w:numFmt w:val="decimal"/>
      <w:lvlText w:val="%1."/>
      <w:lvlJc w:val="left"/>
      <w:pPr>
        <w:ind w:left="1931" w:hanging="160"/>
        <w:jc w:val="left"/>
      </w:pPr>
      <w:rPr>
        <w:rFonts w:ascii="Times New Roman" w:eastAsia="Times New Roman" w:hAnsi="Times New Roman" w:cs="Times New Roman" w:hint="default"/>
        <w:b/>
        <w:bCs/>
        <w:spacing w:val="-3"/>
        <w:w w:val="100"/>
        <w:sz w:val="19"/>
        <w:szCs w:val="19"/>
        <w:lang w:val="zh-CN" w:eastAsia="zh-CN" w:bidi="zh-CN"/>
      </w:rPr>
    </w:lvl>
    <w:lvl w:ilvl="1">
      <w:start w:val="0"/>
      <w:numFmt w:val="bullet"/>
      <w:lvlText w:val="•"/>
      <w:lvlJc w:val="left"/>
      <w:pPr>
        <w:ind w:left="2708" w:hanging="160"/>
      </w:pPr>
      <w:rPr>
        <w:rFonts w:hint="default"/>
        <w:lang w:val="zh-CN" w:eastAsia="zh-CN" w:bidi="zh-CN"/>
      </w:rPr>
    </w:lvl>
    <w:lvl w:ilvl="2">
      <w:start w:val="0"/>
      <w:numFmt w:val="bullet"/>
      <w:lvlText w:val="•"/>
      <w:lvlJc w:val="left"/>
      <w:pPr>
        <w:ind w:left="3477" w:hanging="160"/>
      </w:pPr>
      <w:rPr>
        <w:rFonts w:hint="default"/>
        <w:lang w:val="zh-CN" w:eastAsia="zh-CN" w:bidi="zh-CN"/>
      </w:rPr>
    </w:lvl>
    <w:lvl w:ilvl="3">
      <w:start w:val="0"/>
      <w:numFmt w:val="bullet"/>
      <w:lvlText w:val="•"/>
      <w:lvlJc w:val="left"/>
      <w:pPr>
        <w:ind w:left="4245" w:hanging="160"/>
      </w:pPr>
      <w:rPr>
        <w:rFonts w:hint="default"/>
        <w:lang w:val="zh-CN" w:eastAsia="zh-CN" w:bidi="zh-CN"/>
      </w:rPr>
    </w:lvl>
    <w:lvl w:ilvl="4">
      <w:start w:val="0"/>
      <w:numFmt w:val="bullet"/>
      <w:lvlText w:val="•"/>
      <w:lvlJc w:val="left"/>
      <w:pPr>
        <w:ind w:left="5014" w:hanging="160"/>
      </w:pPr>
      <w:rPr>
        <w:rFonts w:hint="default"/>
        <w:lang w:val="zh-CN" w:eastAsia="zh-CN" w:bidi="zh-CN"/>
      </w:rPr>
    </w:lvl>
    <w:lvl w:ilvl="5">
      <w:start w:val="0"/>
      <w:numFmt w:val="bullet"/>
      <w:lvlText w:val="•"/>
      <w:lvlJc w:val="left"/>
      <w:pPr>
        <w:ind w:left="5783" w:hanging="160"/>
      </w:pPr>
      <w:rPr>
        <w:rFonts w:hint="default"/>
        <w:lang w:val="zh-CN" w:eastAsia="zh-CN" w:bidi="zh-CN"/>
      </w:rPr>
    </w:lvl>
    <w:lvl w:ilvl="6">
      <w:start w:val="0"/>
      <w:numFmt w:val="bullet"/>
      <w:lvlText w:val="•"/>
      <w:lvlJc w:val="left"/>
      <w:pPr>
        <w:ind w:left="6551" w:hanging="160"/>
      </w:pPr>
      <w:rPr>
        <w:rFonts w:hint="default"/>
        <w:lang w:val="zh-CN" w:eastAsia="zh-CN" w:bidi="zh-CN"/>
      </w:rPr>
    </w:lvl>
    <w:lvl w:ilvl="7">
      <w:start w:val="0"/>
      <w:numFmt w:val="bullet"/>
      <w:lvlText w:val="•"/>
      <w:lvlJc w:val="left"/>
      <w:pPr>
        <w:ind w:left="7320" w:hanging="160"/>
      </w:pPr>
      <w:rPr>
        <w:rFonts w:hint="default"/>
        <w:lang w:val="zh-CN" w:eastAsia="zh-CN" w:bidi="zh-CN"/>
      </w:rPr>
    </w:lvl>
    <w:lvl w:ilvl="8">
      <w:start w:val="0"/>
      <w:numFmt w:val="bullet"/>
      <w:lvlText w:val="•"/>
      <w:lvlJc w:val="left"/>
      <w:pPr>
        <w:ind w:left="8089" w:hanging="160"/>
      </w:pPr>
      <w:rPr>
        <w:rFonts w:hint="default"/>
        <w:lang w:val="zh-CN" w:eastAsia="zh-CN" w:bidi="zh-CN"/>
      </w:rPr>
    </w:lvl>
  </w:abstractNum>
  <w:abstractNum w:abstractNumId="46">
    <w:nsid w:val="3AF056C7"/>
    <w:multiLevelType w:val="multilevel"/>
    <w:tmpl w:val="3AF056C7"/>
    <w:lvl w:ilvl="0">
      <w:start w:val="7"/>
      <w:numFmt w:val="decimal"/>
      <w:lvlText w:val="%1）"/>
      <w:lvlJc w:val="left"/>
      <w:pPr>
        <w:ind w:left="107" w:hanging="334"/>
        <w:jc w:val="left"/>
      </w:pPr>
      <w:rPr>
        <w:rFonts w:ascii="Times New Roman" w:eastAsia="Times New Roman" w:hAnsi="Times New Roman" w:cs="Times New Roman" w:hint="default"/>
        <w:spacing w:val="6"/>
        <w:w w:val="100"/>
        <w:sz w:val="19"/>
        <w:szCs w:val="19"/>
        <w:lang w:val="zh-CN" w:eastAsia="zh-CN" w:bidi="zh-CN"/>
      </w:rPr>
    </w:lvl>
    <w:lvl w:ilvl="1">
      <w:start w:val="0"/>
      <w:numFmt w:val="bullet"/>
      <w:lvlText w:val="•"/>
      <w:lvlJc w:val="left"/>
      <w:pPr>
        <w:ind w:left="995" w:hanging="334"/>
      </w:pPr>
      <w:rPr>
        <w:rFonts w:hint="default"/>
        <w:lang w:val="zh-CN" w:eastAsia="zh-CN" w:bidi="zh-CN"/>
      </w:rPr>
    </w:lvl>
    <w:lvl w:ilvl="2">
      <w:start w:val="0"/>
      <w:numFmt w:val="bullet"/>
      <w:lvlText w:val="•"/>
      <w:lvlJc w:val="left"/>
      <w:pPr>
        <w:ind w:left="1891" w:hanging="334"/>
      </w:pPr>
      <w:rPr>
        <w:rFonts w:hint="default"/>
        <w:lang w:val="zh-CN" w:eastAsia="zh-CN" w:bidi="zh-CN"/>
      </w:rPr>
    </w:lvl>
    <w:lvl w:ilvl="3">
      <w:start w:val="0"/>
      <w:numFmt w:val="bullet"/>
      <w:lvlText w:val="•"/>
      <w:lvlJc w:val="left"/>
      <w:pPr>
        <w:ind w:left="2787" w:hanging="334"/>
      </w:pPr>
      <w:rPr>
        <w:rFonts w:hint="default"/>
        <w:lang w:val="zh-CN" w:eastAsia="zh-CN" w:bidi="zh-CN"/>
      </w:rPr>
    </w:lvl>
    <w:lvl w:ilvl="4">
      <w:start w:val="0"/>
      <w:numFmt w:val="bullet"/>
      <w:lvlText w:val="•"/>
      <w:lvlJc w:val="left"/>
      <w:pPr>
        <w:ind w:left="3683" w:hanging="334"/>
      </w:pPr>
      <w:rPr>
        <w:rFonts w:hint="default"/>
        <w:lang w:val="zh-CN" w:eastAsia="zh-CN" w:bidi="zh-CN"/>
      </w:rPr>
    </w:lvl>
    <w:lvl w:ilvl="5">
      <w:start w:val="0"/>
      <w:numFmt w:val="bullet"/>
      <w:lvlText w:val="•"/>
      <w:lvlJc w:val="left"/>
      <w:pPr>
        <w:ind w:left="4579" w:hanging="334"/>
      </w:pPr>
      <w:rPr>
        <w:rFonts w:hint="default"/>
        <w:lang w:val="zh-CN" w:eastAsia="zh-CN" w:bidi="zh-CN"/>
      </w:rPr>
    </w:lvl>
    <w:lvl w:ilvl="6">
      <w:start w:val="0"/>
      <w:numFmt w:val="bullet"/>
      <w:lvlText w:val="•"/>
      <w:lvlJc w:val="left"/>
      <w:pPr>
        <w:ind w:left="5475" w:hanging="334"/>
      </w:pPr>
      <w:rPr>
        <w:rFonts w:hint="default"/>
        <w:lang w:val="zh-CN" w:eastAsia="zh-CN" w:bidi="zh-CN"/>
      </w:rPr>
    </w:lvl>
    <w:lvl w:ilvl="7">
      <w:start w:val="0"/>
      <w:numFmt w:val="bullet"/>
      <w:lvlText w:val="•"/>
      <w:lvlJc w:val="left"/>
      <w:pPr>
        <w:ind w:left="6371" w:hanging="334"/>
      </w:pPr>
      <w:rPr>
        <w:rFonts w:hint="default"/>
        <w:lang w:val="zh-CN" w:eastAsia="zh-CN" w:bidi="zh-CN"/>
      </w:rPr>
    </w:lvl>
    <w:lvl w:ilvl="8">
      <w:start w:val="0"/>
      <w:numFmt w:val="bullet"/>
      <w:lvlText w:val="•"/>
      <w:lvlJc w:val="left"/>
      <w:pPr>
        <w:ind w:left="7267" w:hanging="334"/>
      </w:pPr>
      <w:rPr>
        <w:rFonts w:hint="default"/>
        <w:lang w:val="zh-CN" w:eastAsia="zh-CN" w:bidi="zh-CN"/>
      </w:rPr>
    </w:lvl>
  </w:abstractNum>
  <w:abstractNum w:abstractNumId="47">
    <w:nsid w:val="3D8C4A1E"/>
    <w:multiLevelType w:val="multilevel"/>
    <w:tmpl w:val="3D8C4A1E"/>
    <w:lvl w:ilvl="0">
      <w:start w:val="1"/>
      <w:numFmt w:val="decimal"/>
      <w:lvlText w:val="%1）"/>
      <w:lvlJc w:val="left"/>
      <w:pPr>
        <w:ind w:left="1559" w:hanging="318"/>
        <w:jc w:val="left"/>
      </w:pPr>
      <w:rPr>
        <w:rFonts w:ascii="Times New Roman" w:eastAsia="Times New Roman" w:hAnsi="Times New Roman" w:cs="Times New Roman" w:hint="default"/>
        <w:w w:val="100"/>
        <w:sz w:val="19"/>
        <w:szCs w:val="19"/>
        <w:lang w:val="zh-CN" w:eastAsia="zh-CN" w:bidi="zh-CN"/>
      </w:rPr>
    </w:lvl>
    <w:lvl w:ilvl="1">
      <w:start w:val="0"/>
      <w:numFmt w:val="bullet"/>
      <w:lvlText w:val="•"/>
      <w:lvlJc w:val="left"/>
      <w:pPr>
        <w:ind w:left="2366" w:hanging="318"/>
      </w:pPr>
      <w:rPr>
        <w:rFonts w:hint="default"/>
        <w:lang w:val="zh-CN" w:eastAsia="zh-CN" w:bidi="zh-CN"/>
      </w:rPr>
    </w:lvl>
    <w:lvl w:ilvl="2">
      <w:start w:val="0"/>
      <w:numFmt w:val="bullet"/>
      <w:lvlText w:val="•"/>
      <w:lvlJc w:val="left"/>
      <w:pPr>
        <w:ind w:left="3173" w:hanging="318"/>
      </w:pPr>
      <w:rPr>
        <w:rFonts w:hint="default"/>
        <w:lang w:val="zh-CN" w:eastAsia="zh-CN" w:bidi="zh-CN"/>
      </w:rPr>
    </w:lvl>
    <w:lvl w:ilvl="3">
      <w:start w:val="0"/>
      <w:numFmt w:val="bullet"/>
      <w:lvlText w:val="•"/>
      <w:lvlJc w:val="left"/>
      <w:pPr>
        <w:ind w:left="3979" w:hanging="318"/>
      </w:pPr>
      <w:rPr>
        <w:rFonts w:hint="default"/>
        <w:lang w:val="zh-CN" w:eastAsia="zh-CN" w:bidi="zh-CN"/>
      </w:rPr>
    </w:lvl>
    <w:lvl w:ilvl="4">
      <w:start w:val="0"/>
      <w:numFmt w:val="bullet"/>
      <w:lvlText w:val="•"/>
      <w:lvlJc w:val="left"/>
      <w:pPr>
        <w:ind w:left="4786" w:hanging="318"/>
      </w:pPr>
      <w:rPr>
        <w:rFonts w:hint="default"/>
        <w:lang w:val="zh-CN" w:eastAsia="zh-CN" w:bidi="zh-CN"/>
      </w:rPr>
    </w:lvl>
    <w:lvl w:ilvl="5">
      <w:start w:val="0"/>
      <w:numFmt w:val="bullet"/>
      <w:lvlText w:val="•"/>
      <w:lvlJc w:val="left"/>
      <w:pPr>
        <w:ind w:left="5593" w:hanging="318"/>
      </w:pPr>
      <w:rPr>
        <w:rFonts w:hint="default"/>
        <w:lang w:val="zh-CN" w:eastAsia="zh-CN" w:bidi="zh-CN"/>
      </w:rPr>
    </w:lvl>
    <w:lvl w:ilvl="6">
      <w:start w:val="0"/>
      <w:numFmt w:val="bullet"/>
      <w:lvlText w:val="•"/>
      <w:lvlJc w:val="left"/>
      <w:pPr>
        <w:ind w:left="6399" w:hanging="318"/>
      </w:pPr>
      <w:rPr>
        <w:rFonts w:hint="default"/>
        <w:lang w:val="zh-CN" w:eastAsia="zh-CN" w:bidi="zh-CN"/>
      </w:rPr>
    </w:lvl>
    <w:lvl w:ilvl="7">
      <w:start w:val="0"/>
      <w:numFmt w:val="bullet"/>
      <w:lvlText w:val="•"/>
      <w:lvlJc w:val="left"/>
      <w:pPr>
        <w:ind w:left="7206" w:hanging="318"/>
      </w:pPr>
      <w:rPr>
        <w:rFonts w:hint="default"/>
        <w:lang w:val="zh-CN" w:eastAsia="zh-CN" w:bidi="zh-CN"/>
      </w:rPr>
    </w:lvl>
    <w:lvl w:ilvl="8">
      <w:start w:val="0"/>
      <w:numFmt w:val="bullet"/>
      <w:lvlText w:val="•"/>
      <w:lvlJc w:val="left"/>
      <w:pPr>
        <w:ind w:left="8013" w:hanging="318"/>
      </w:pPr>
      <w:rPr>
        <w:rFonts w:hint="default"/>
        <w:lang w:val="zh-CN" w:eastAsia="zh-CN" w:bidi="zh-CN"/>
      </w:rPr>
    </w:lvl>
  </w:abstractNum>
  <w:abstractNum w:abstractNumId="48">
    <w:nsid w:val="43A388AF"/>
    <w:multiLevelType w:val="multilevel"/>
    <w:tmpl w:val="43A388AF"/>
    <w:lvl w:ilvl="0">
      <w:start w:val="1"/>
      <w:numFmt w:val="upperLetter"/>
      <w:lvlText w:val="%1."/>
      <w:lvlJc w:val="left"/>
      <w:pPr>
        <w:ind w:left="859" w:hanging="208"/>
        <w:jc w:val="left"/>
      </w:pPr>
      <w:rPr>
        <w:rFonts w:ascii="Times New Roman" w:eastAsia="Times New Roman" w:hAnsi="Times New Roman" w:cs="Times New Roman" w:hint="default"/>
        <w:spacing w:val="0"/>
        <w:w w:val="100"/>
        <w:sz w:val="19"/>
        <w:szCs w:val="19"/>
        <w:lang w:val="zh-CN" w:eastAsia="zh-CN" w:bidi="zh-CN"/>
      </w:rPr>
    </w:lvl>
    <w:lvl w:ilvl="1">
      <w:start w:val="0"/>
      <w:numFmt w:val="bullet"/>
      <w:lvlText w:val="•"/>
      <w:lvlJc w:val="left"/>
      <w:pPr>
        <w:ind w:left="1706" w:hanging="208"/>
      </w:pPr>
      <w:rPr>
        <w:rFonts w:hint="default"/>
        <w:lang w:val="zh-CN" w:eastAsia="zh-CN" w:bidi="zh-CN"/>
      </w:rPr>
    </w:lvl>
    <w:lvl w:ilvl="2">
      <w:start w:val="0"/>
      <w:numFmt w:val="bullet"/>
      <w:lvlText w:val="•"/>
      <w:lvlJc w:val="left"/>
      <w:pPr>
        <w:ind w:left="2553" w:hanging="208"/>
      </w:pPr>
      <w:rPr>
        <w:rFonts w:hint="default"/>
        <w:lang w:val="zh-CN" w:eastAsia="zh-CN" w:bidi="zh-CN"/>
      </w:rPr>
    </w:lvl>
    <w:lvl w:ilvl="3">
      <w:start w:val="0"/>
      <w:numFmt w:val="bullet"/>
      <w:lvlText w:val="•"/>
      <w:lvlJc w:val="left"/>
      <w:pPr>
        <w:ind w:left="3399" w:hanging="208"/>
      </w:pPr>
      <w:rPr>
        <w:rFonts w:hint="default"/>
        <w:lang w:val="zh-CN" w:eastAsia="zh-CN" w:bidi="zh-CN"/>
      </w:rPr>
    </w:lvl>
    <w:lvl w:ilvl="4">
      <w:start w:val="0"/>
      <w:numFmt w:val="bullet"/>
      <w:lvlText w:val="•"/>
      <w:lvlJc w:val="left"/>
      <w:pPr>
        <w:ind w:left="4246" w:hanging="208"/>
      </w:pPr>
      <w:rPr>
        <w:rFonts w:hint="default"/>
        <w:lang w:val="zh-CN" w:eastAsia="zh-CN" w:bidi="zh-CN"/>
      </w:rPr>
    </w:lvl>
    <w:lvl w:ilvl="5">
      <w:start w:val="0"/>
      <w:numFmt w:val="bullet"/>
      <w:lvlText w:val="•"/>
      <w:lvlJc w:val="left"/>
      <w:pPr>
        <w:ind w:left="5093" w:hanging="208"/>
      </w:pPr>
      <w:rPr>
        <w:rFonts w:hint="default"/>
        <w:lang w:val="zh-CN" w:eastAsia="zh-CN" w:bidi="zh-CN"/>
      </w:rPr>
    </w:lvl>
    <w:lvl w:ilvl="6">
      <w:start w:val="0"/>
      <w:numFmt w:val="bullet"/>
      <w:lvlText w:val="•"/>
      <w:lvlJc w:val="left"/>
      <w:pPr>
        <w:ind w:left="5939" w:hanging="208"/>
      </w:pPr>
      <w:rPr>
        <w:rFonts w:hint="default"/>
        <w:lang w:val="zh-CN" w:eastAsia="zh-CN" w:bidi="zh-CN"/>
      </w:rPr>
    </w:lvl>
    <w:lvl w:ilvl="7">
      <w:start w:val="0"/>
      <w:numFmt w:val="bullet"/>
      <w:lvlText w:val="•"/>
      <w:lvlJc w:val="left"/>
      <w:pPr>
        <w:ind w:left="6786" w:hanging="208"/>
      </w:pPr>
      <w:rPr>
        <w:rFonts w:hint="default"/>
        <w:lang w:val="zh-CN" w:eastAsia="zh-CN" w:bidi="zh-CN"/>
      </w:rPr>
    </w:lvl>
    <w:lvl w:ilvl="8">
      <w:start w:val="0"/>
      <w:numFmt w:val="bullet"/>
      <w:lvlText w:val="•"/>
      <w:lvlJc w:val="left"/>
      <w:pPr>
        <w:ind w:left="7633" w:hanging="208"/>
      </w:pPr>
      <w:rPr>
        <w:rFonts w:hint="default"/>
        <w:lang w:val="zh-CN" w:eastAsia="zh-CN" w:bidi="zh-CN"/>
      </w:rPr>
    </w:lvl>
  </w:abstractNum>
  <w:abstractNum w:abstractNumId="49">
    <w:nsid w:val="4551972F"/>
    <w:multiLevelType w:val="multilevel"/>
    <w:tmpl w:val="4551972F"/>
    <w:lvl w:ilvl="0">
      <w:start w:val="0"/>
      <w:numFmt w:val="bullet"/>
      <w:lvlText w:val=""/>
      <w:lvlJc w:val="left"/>
      <w:pPr>
        <w:ind w:left="198" w:hanging="190"/>
      </w:pPr>
      <w:rPr>
        <w:rFonts w:ascii="Wingdings" w:eastAsia="Wingdings" w:hAnsi="Wingdings" w:cs="Wingdings" w:hint="default"/>
        <w:spacing w:val="-1"/>
        <w:w w:val="100"/>
        <w:sz w:val="19"/>
        <w:szCs w:val="19"/>
        <w:lang w:val="zh-CN" w:eastAsia="zh-CN" w:bidi="zh-CN"/>
      </w:rPr>
    </w:lvl>
    <w:lvl w:ilvl="1">
      <w:start w:val="0"/>
      <w:numFmt w:val="bullet"/>
      <w:lvlText w:val="•"/>
      <w:lvlJc w:val="left"/>
      <w:pPr>
        <w:ind w:left="392" w:hanging="190"/>
      </w:pPr>
      <w:rPr>
        <w:rFonts w:hint="default"/>
        <w:lang w:val="zh-CN" w:eastAsia="zh-CN" w:bidi="zh-CN"/>
      </w:rPr>
    </w:lvl>
    <w:lvl w:ilvl="2">
      <w:start w:val="0"/>
      <w:numFmt w:val="bullet"/>
      <w:lvlText w:val="•"/>
      <w:lvlJc w:val="left"/>
      <w:pPr>
        <w:ind w:left="585" w:hanging="190"/>
      </w:pPr>
      <w:rPr>
        <w:rFonts w:hint="default"/>
        <w:lang w:val="zh-CN" w:eastAsia="zh-CN" w:bidi="zh-CN"/>
      </w:rPr>
    </w:lvl>
    <w:lvl w:ilvl="3">
      <w:start w:val="0"/>
      <w:numFmt w:val="bullet"/>
      <w:lvlText w:val="•"/>
      <w:lvlJc w:val="left"/>
      <w:pPr>
        <w:ind w:left="777" w:hanging="190"/>
      </w:pPr>
      <w:rPr>
        <w:rFonts w:hint="default"/>
        <w:lang w:val="zh-CN" w:eastAsia="zh-CN" w:bidi="zh-CN"/>
      </w:rPr>
    </w:lvl>
    <w:lvl w:ilvl="4">
      <w:start w:val="0"/>
      <w:numFmt w:val="bullet"/>
      <w:lvlText w:val="•"/>
      <w:lvlJc w:val="left"/>
      <w:pPr>
        <w:ind w:left="970" w:hanging="190"/>
      </w:pPr>
      <w:rPr>
        <w:rFonts w:hint="default"/>
        <w:lang w:val="zh-CN" w:eastAsia="zh-CN" w:bidi="zh-CN"/>
      </w:rPr>
    </w:lvl>
    <w:lvl w:ilvl="5">
      <w:start w:val="0"/>
      <w:numFmt w:val="bullet"/>
      <w:lvlText w:val="•"/>
      <w:lvlJc w:val="left"/>
      <w:pPr>
        <w:ind w:left="1162" w:hanging="190"/>
      </w:pPr>
      <w:rPr>
        <w:rFonts w:hint="default"/>
        <w:lang w:val="zh-CN" w:eastAsia="zh-CN" w:bidi="zh-CN"/>
      </w:rPr>
    </w:lvl>
    <w:lvl w:ilvl="6">
      <w:start w:val="0"/>
      <w:numFmt w:val="bullet"/>
      <w:lvlText w:val="•"/>
      <w:lvlJc w:val="left"/>
      <w:pPr>
        <w:ind w:left="1355" w:hanging="190"/>
      </w:pPr>
      <w:rPr>
        <w:rFonts w:hint="default"/>
        <w:lang w:val="zh-CN" w:eastAsia="zh-CN" w:bidi="zh-CN"/>
      </w:rPr>
    </w:lvl>
    <w:lvl w:ilvl="7">
      <w:start w:val="0"/>
      <w:numFmt w:val="bullet"/>
      <w:lvlText w:val="•"/>
      <w:lvlJc w:val="left"/>
      <w:pPr>
        <w:ind w:left="1547" w:hanging="190"/>
      </w:pPr>
      <w:rPr>
        <w:rFonts w:hint="default"/>
        <w:lang w:val="zh-CN" w:eastAsia="zh-CN" w:bidi="zh-CN"/>
      </w:rPr>
    </w:lvl>
    <w:lvl w:ilvl="8">
      <w:start w:val="0"/>
      <w:numFmt w:val="bullet"/>
      <w:lvlText w:val="•"/>
      <w:lvlJc w:val="left"/>
      <w:pPr>
        <w:ind w:left="1740" w:hanging="190"/>
      </w:pPr>
      <w:rPr>
        <w:rFonts w:hint="default"/>
        <w:lang w:val="zh-CN" w:eastAsia="zh-CN" w:bidi="zh-CN"/>
      </w:rPr>
    </w:lvl>
  </w:abstractNum>
  <w:abstractNum w:abstractNumId="50">
    <w:nsid w:val="4829D91E"/>
    <w:multiLevelType w:val="multilevel"/>
    <w:tmpl w:val="4829D91E"/>
    <w:lvl w:ilvl="0">
      <w:start w:val="1"/>
      <w:numFmt w:val="decimal"/>
      <w:lvlText w:val="（%1）"/>
      <w:lvlJc w:val="left"/>
      <w:pPr>
        <w:ind w:left="1063" w:hanging="529"/>
        <w:jc w:val="left"/>
      </w:pPr>
      <w:rPr>
        <w:rFonts w:ascii="宋体" w:eastAsia="宋体" w:hAnsi="宋体" w:cs="宋体" w:hint="default"/>
        <w:b/>
        <w:bCs/>
        <w:spacing w:val="-106"/>
        <w:w w:val="100"/>
        <w:sz w:val="19"/>
        <w:szCs w:val="19"/>
        <w:lang w:val="zh-CN" w:eastAsia="zh-CN" w:bidi="zh-CN"/>
      </w:rPr>
    </w:lvl>
    <w:lvl w:ilvl="1">
      <w:start w:val="0"/>
      <w:numFmt w:val="bullet"/>
      <w:lvlText w:val="•"/>
      <w:lvlJc w:val="left"/>
      <w:pPr>
        <w:ind w:left="1778" w:hanging="529"/>
      </w:pPr>
      <w:rPr>
        <w:rFonts w:hint="default"/>
        <w:lang w:val="zh-CN" w:eastAsia="zh-CN" w:bidi="zh-CN"/>
      </w:rPr>
    </w:lvl>
    <w:lvl w:ilvl="2">
      <w:start w:val="0"/>
      <w:numFmt w:val="bullet"/>
      <w:lvlText w:val="•"/>
      <w:lvlJc w:val="left"/>
      <w:pPr>
        <w:ind w:left="2496" w:hanging="529"/>
      </w:pPr>
      <w:rPr>
        <w:rFonts w:hint="default"/>
        <w:lang w:val="zh-CN" w:eastAsia="zh-CN" w:bidi="zh-CN"/>
      </w:rPr>
    </w:lvl>
    <w:lvl w:ilvl="3">
      <w:start w:val="0"/>
      <w:numFmt w:val="bullet"/>
      <w:lvlText w:val="•"/>
      <w:lvlJc w:val="left"/>
      <w:pPr>
        <w:ind w:left="3214" w:hanging="529"/>
      </w:pPr>
      <w:rPr>
        <w:rFonts w:hint="default"/>
        <w:lang w:val="zh-CN" w:eastAsia="zh-CN" w:bidi="zh-CN"/>
      </w:rPr>
    </w:lvl>
    <w:lvl w:ilvl="4">
      <w:start w:val="0"/>
      <w:numFmt w:val="bullet"/>
      <w:lvlText w:val="•"/>
      <w:lvlJc w:val="left"/>
      <w:pPr>
        <w:ind w:left="3932" w:hanging="529"/>
      </w:pPr>
      <w:rPr>
        <w:rFonts w:hint="default"/>
        <w:lang w:val="zh-CN" w:eastAsia="zh-CN" w:bidi="zh-CN"/>
      </w:rPr>
    </w:lvl>
    <w:lvl w:ilvl="5">
      <w:start w:val="0"/>
      <w:numFmt w:val="bullet"/>
      <w:lvlText w:val="•"/>
      <w:lvlJc w:val="left"/>
      <w:pPr>
        <w:ind w:left="4650" w:hanging="529"/>
      </w:pPr>
      <w:rPr>
        <w:rFonts w:hint="default"/>
        <w:lang w:val="zh-CN" w:eastAsia="zh-CN" w:bidi="zh-CN"/>
      </w:rPr>
    </w:lvl>
    <w:lvl w:ilvl="6">
      <w:start w:val="0"/>
      <w:numFmt w:val="bullet"/>
      <w:lvlText w:val="•"/>
      <w:lvlJc w:val="left"/>
      <w:pPr>
        <w:ind w:left="5368" w:hanging="529"/>
      </w:pPr>
      <w:rPr>
        <w:rFonts w:hint="default"/>
        <w:lang w:val="zh-CN" w:eastAsia="zh-CN" w:bidi="zh-CN"/>
      </w:rPr>
    </w:lvl>
    <w:lvl w:ilvl="7">
      <w:start w:val="0"/>
      <w:numFmt w:val="bullet"/>
      <w:lvlText w:val="•"/>
      <w:lvlJc w:val="left"/>
      <w:pPr>
        <w:ind w:left="6086" w:hanging="529"/>
      </w:pPr>
      <w:rPr>
        <w:rFonts w:hint="default"/>
        <w:lang w:val="zh-CN" w:eastAsia="zh-CN" w:bidi="zh-CN"/>
      </w:rPr>
    </w:lvl>
    <w:lvl w:ilvl="8">
      <w:start w:val="0"/>
      <w:numFmt w:val="bullet"/>
      <w:lvlText w:val="•"/>
      <w:lvlJc w:val="left"/>
      <w:pPr>
        <w:ind w:left="6804" w:hanging="529"/>
      </w:pPr>
      <w:rPr>
        <w:rFonts w:hint="default"/>
        <w:lang w:val="zh-CN" w:eastAsia="zh-CN" w:bidi="zh-CN"/>
      </w:rPr>
    </w:lvl>
  </w:abstractNum>
  <w:abstractNum w:abstractNumId="51">
    <w:nsid w:val="4966F168"/>
    <w:multiLevelType w:val="multilevel"/>
    <w:tmpl w:val="4966F168"/>
    <w:lvl w:ilvl="0">
      <w:start w:val="1"/>
      <w:numFmt w:val="decimal"/>
      <w:lvlText w:val="（%1）"/>
      <w:lvlJc w:val="left"/>
      <w:pPr>
        <w:ind w:left="1770" w:hanging="529"/>
        <w:jc w:val="left"/>
      </w:pPr>
      <w:rPr>
        <w:rFonts w:ascii="宋体" w:eastAsia="宋体" w:hAnsi="宋体" w:cs="宋体" w:hint="default"/>
        <w:spacing w:val="-3"/>
        <w:w w:val="100"/>
        <w:sz w:val="19"/>
        <w:szCs w:val="19"/>
        <w:lang w:val="zh-CN" w:eastAsia="zh-CN" w:bidi="zh-CN"/>
      </w:rPr>
    </w:lvl>
    <w:lvl w:ilvl="1">
      <w:start w:val="1"/>
      <w:numFmt w:val="decimal"/>
      <w:lvlText w:val="%2."/>
      <w:lvlJc w:val="left"/>
      <w:pPr>
        <w:ind w:left="1638" w:hanging="160"/>
        <w:jc w:val="left"/>
      </w:pPr>
      <w:rPr>
        <w:rFonts w:ascii="Times New Roman" w:eastAsia="Times New Roman" w:hAnsi="Times New Roman" w:cs="Times New Roman" w:hint="default"/>
        <w:b/>
        <w:bCs/>
        <w:spacing w:val="-3"/>
        <w:w w:val="100"/>
        <w:sz w:val="19"/>
        <w:szCs w:val="19"/>
        <w:lang w:val="zh-CN" w:eastAsia="zh-CN" w:bidi="zh-CN"/>
      </w:rPr>
    </w:lvl>
    <w:lvl w:ilvl="2">
      <w:start w:val="0"/>
      <w:numFmt w:val="bullet"/>
      <w:lvlText w:val="•"/>
      <w:lvlJc w:val="left"/>
      <w:pPr>
        <w:ind w:left="2651" w:hanging="160"/>
      </w:pPr>
      <w:rPr>
        <w:rFonts w:hint="default"/>
        <w:lang w:val="zh-CN" w:eastAsia="zh-CN" w:bidi="zh-CN"/>
      </w:rPr>
    </w:lvl>
    <w:lvl w:ilvl="3">
      <w:start w:val="0"/>
      <w:numFmt w:val="bullet"/>
      <w:lvlText w:val="•"/>
      <w:lvlJc w:val="left"/>
      <w:pPr>
        <w:ind w:left="3523" w:hanging="160"/>
      </w:pPr>
      <w:rPr>
        <w:rFonts w:hint="default"/>
        <w:lang w:val="zh-CN" w:eastAsia="zh-CN" w:bidi="zh-CN"/>
      </w:rPr>
    </w:lvl>
    <w:lvl w:ilvl="4">
      <w:start w:val="0"/>
      <w:numFmt w:val="bullet"/>
      <w:lvlText w:val="•"/>
      <w:lvlJc w:val="left"/>
      <w:pPr>
        <w:ind w:left="4395" w:hanging="160"/>
      </w:pPr>
      <w:rPr>
        <w:rFonts w:hint="default"/>
        <w:lang w:val="zh-CN" w:eastAsia="zh-CN" w:bidi="zh-CN"/>
      </w:rPr>
    </w:lvl>
    <w:lvl w:ilvl="5">
      <w:start w:val="0"/>
      <w:numFmt w:val="bullet"/>
      <w:lvlText w:val="•"/>
      <w:lvlJc w:val="left"/>
      <w:pPr>
        <w:ind w:left="5267" w:hanging="160"/>
      </w:pPr>
      <w:rPr>
        <w:rFonts w:hint="default"/>
        <w:lang w:val="zh-CN" w:eastAsia="zh-CN" w:bidi="zh-CN"/>
      </w:rPr>
    </w:lvl>
    <w:lvl w:ilvl="6">
      <w:start w:val="0"/>
      <w:numFmt w:val="bullet"/>
      <w:lvlText w:val="•"/>
      <w:lvlJc w:val="left"/>
      <w:pPr>
        <w:ind w:left="6139" w:hanging="160"/>
      </w:pPr>
      <w:rPr>
        <w:rFonts w:hint="default"/>
        <w:lang w:val="zh-CN" w:eastAsia="zh-CN" w:bidi="zh-CN"/>
      </w:rPr>
    </w:lvl>
    <w:lvl w:ilvl="7">
      <w:start w:val="0"/>
      <w:numFmt w:val="bullet"/>
      <w:lvlText w:val="•"/>
      <w:lvlJc w:val="left"/>
      <w:pPr>
        <w:ind w:left="7010" w:hanging="160"/>
      </w:pPr>
      <w:rPr>
        <w:rFonts w:hint="default"/>
        <w:lang w:val="zh-CN" w:eastAsia="zh-CN" w:bidi="zh-CN"/>
      </w:rPr>
    </w:lvl>
    <w:lvl w:ilvl="8">
      <w:start w:val="0"/>
      <w:numFmt w:val="bullet"/>
      <w:lvlText w:val="•"/>
      <w:lvlJc w:val="left"/>
      <w:pPr>
        <w:ind w:left="7882" w:hanging="160"/>
      </w:pPr>
      <w:rPr>
        <w:rFonts w:hint="default"/>
        <w:lang w:val="zh-CN" w:eastAsia="zh-CN" w:bidi="zh-CN"/>
      </w:rPr>
    </w:lvl>
  </w:abstractNum>
  <w:abstractNum w:abstractNumId="52">
    <w:nsid w:val="4EF821F9"/>
    <w:multiLevelType w:val="multilevel"/>
    <w:tmpl w:val="4EF821F9"/>
    <w:lvl w:ilvl="0">
      <w:start w:val="1"/>
      <w:numFmt w:val="decimal"/>
      <w:lvlText w:val="（%1）"/>
      <w:lvlJc w:val="left"/>
      <w:pPr>
        <w:ind w:left="107" w:hanging="535"/>
        <w:jc w:val="left"/>
      </w:pPr>
      <w:rPr>
        <w:rFonts w:ascii="宋体" w:eastAsia="宋体" w:hAnsi="宋体" w:cs="宋体" w:hint="default"/>
        <w:spacing w:val="0"/>
        <w:w w:val="100"/>
        <w:sz w:val="19"/>
        <w:szCs w:val="19"/>
        <w:lang w:val="zh-CN" w:eastAsia="zh-CN" w:bidi="zh-CN"/>
      </w:rPr>
    </w:lvl>
    <w:lvl w:ilvl="1">
      <w:start w:val="0"/>
      <w:numFmt w:val="bullet"/>
      <w:lvlText w:val="•"/>
      <w:lvlJc w:val="left"/>
      <w:pPr>
        <w:ind w:left="911" w:hanging="535"/>
      </w:pPr>
      <w:rPr>
        <w:rFonts w:hint="default"/>
        <w:lang w:val="zh-CN" w:eastAsia="zh-CN" w:bidi="zh-CN"/>
      </w:rPr>
    </w:lvl>
    <w:lvl w:ilvl="2">
      <w:start w:val="0"/>
      <w:numFmt w:val="bullet"/>
      <w:lvlText w:val="•"/>
      <w:lvlJc w:val="left"/>
      <w:pPr>
        <w:ind w:left="1722" w:hanging="535"/>
      </w:pPr>
      <w:rPr>
        <w:rFonts w:hint="default"/>
        <w:lang w:val="zh-CN" w:eastAsia="zh-CN" w:bidi="zh-CN"/>
      </w:rPr>
    </w:lvl>
    <w:lvl w:ilvl="3">
      <w:start w:val="0"/>
      <w:numFmt w:val="bullet"/>
      <w:lvlText w:val="•"/>
      <w:lvlJc w:val="left"/>
      <w:pPr>
        <w:ind w:left="2533" w:hanging="535"/>
      </w:pPr>
      <w:rPr>
        <w:rFonts w:hint="default"/>
        <w:lang w:val="zh-CN" w:eastAsia="zh-CN" w:bidi="zh-CN"/>
      </w:rPr>
    </w:lvl>
    <w:lvl w:ilvl="4">
      <w:start w:val="0"/>
      <w:numFmt w:val="bullet"/>
      <w:lvlText w:val="•"/>
      <w:lvlJc w:val="left"/>
      <w:pPr>
        <w:ind w:left="3344" w:hanging="535"/>
      </w:pPr>
      <w:rPr>
        <w:rFonts w:hint="default"/>
        <w:lang w:val="zh-CN" w:eastAsia="zh-CN" w:bidi="zh-CN"/>
      </w:rPr>
    </w:lvl>
    <w:lvl w:ilvl="5">
      <w:start w:val="0"/>
      <w:numFmt w:val="bullet"/>
      <w:lvlText w:val="•"/>
      <w:lvlJc w:val="left"/>
      <w:pPr>
        <w:ind w:left="4155" w:hanging="535"/>
      </w:pPr>
      <w:rPr>
        <w:rFonts w:hint="default"/>
        <w:lang w:val="zh-CN" w:eastAsia="zh-CN" w:bidi="zh-CN"/>
      </w:rPr>
    </w:lvl>
    <w:lvl w:ilvl="6">
      <w:start w:val="0"/>
      <w:numFmt w:val="bullet"/>
      <w:lvlText w:val="•"/>
      <w:lvlJc w:val="left"/>
      <w:pPr>
        <w:ind w:left="4966" w:hanging="535"/>
      </w:pPr>
      <w:rPr>
        <w:rFonts w:hint="default"/>
        <w:lang w:val="zh-CN" w:eastAsia="zh-CN" w:bidi="zh-CN"/>
      </w:rPr>
    </w:lvl>
    <w:lvl w:ilvl="7">
      <w:start w:val="0"/>
      <w:numFmt w:val="bullet"/>
      <w:lvlText w:val="•"/>
      <w:lvlJc w:val="left"/>
      <w:pPr>
        <w:ind w:left="5777" w:hanging="535"/>
      </w:pPr>
      <w:rPr>
        <w:rFonts w:hint="default"/>
        <w:lang w:val="zh-CN" w:eastAsia="zh-CN" w:bidi="zh-CN"/>
      </w:rPr>
    </w:lvl>
    <w:lvl w:ilvl="8">
      <w:start w:val="0"/>
      <w:numFmt w:val="bullet"/>
      <w:lvlText w:val="•"/>
      <w:lvlJc w:val="left"/>
      <w:pPr>
        <w:ind w:left="6588" w:hanging="535"/>
      </w:pPr>
      <w:rPr>
        <w:rFonts w:hint="default"/>
        <w:lang w:val="zh-CN" w:eastAsia="zh-CN" w:bidi="zh-CN"/>
      </w:rPr>
    </w:lvl>
  </w:abstractNum>
  <w:abstractNum w:abstractNumId="53">
    <w:nsid w:val="51CBB0D1"/>
    <w:multiLevelType w:val="multilevel"/>
    <w:tmpl w:val="2E6C14EB"/>
    <w:lvl w:ilvl="0">
      <w:start w:val="4"/>
      <w:numFmt w:val="decimal"/>
      <w:lvlText w:val="%1."/>
      <w:lvlJc w:val="left"/>
      <w:pPr>
        <w:ind w:left="1403" w:hanging="160"/>
        <w:jc w:val="left"/>
      </w:pPr>
      <w:rPr>
        <w:rFonts w:ascii="Times New Roman" w:eastAsia="Times New Roman" w:hAnsi="Times New Roman" w:cs="Times New Roman" w:hint="default"/>
        <w:b/>
        <w:bCs/>
        <w:spacing w:val="-3"/>
        <w:w w:val="100"/>
        <w:sz w:val="19"/>
        <w:szCs w:val="19"/>
        <w:lang w:val="zh-CN" w:eastAsia="zh-CN" w:bidi="zh-CN"/>
      </w:rPr>
    </w:lvl>
    <w:lvl w:ilvl="1">
      <w:start w:val="0"/>
      <w:numFmt w:val="bullet"/>
      <w:lvlText w:val="•"/>
      <w:lvlJc w:val="left"/>
      <w:pPr>
        <w:ind w:left="2222" w:hanging="160"/>
      </w:pPr>
      <w:rPr>
        <w:rFonts w:hint="default"/>
        <w:lang w:val="zh-CN" w:eastAsia="zh-CN" w:bidi="zh-CN"/>
      </w:rPr>
    </w:lvl>
    <w:lvl w:ilvl="2">
      <w:start w:val="0"/>
      <w:numFmt w:val="bullet"/>
      <w:lvlText w:val="•"/>
      <w:lvlJc w:val="left"/>
      <w:pPr>
        <w:ind w:left="3045" w:hanging="160"/>
      </w:pPr>
      <w:rPr>
        <w:rFonts w:hint="default"/>
        <w:lang w:val="zh-CN" w:eastAsia="zh-CN" w:bidi="zh-CN"/>
      </w:rPr>
    </w:lvl>
    <w:lvl w:ilvl="3">
      <w:start w:val="0"/>
      <w:numFmt w:val="bullet"/>
      <w:lvlText w:val="•"/>
      <w:lvlJc w:val="left"/>
      <w:pPr>
        <w:ind w:left="3867" w:hanging="160"/>
      </w:pPr>
      <w:rPr>
        <w:rFonts w:hint="default"/>
        <w:lang w:val="zh-CN" w:eastAsia="zh-CN" w:bidi="zh-CN"/>
      </w:rPr>
    </w:lvl>
    <w:lvl w:ilvl="4">
      <w:start w:val="0"/>
      <w:numFmt w:val="bullet"/>
      <w:lvlText w:val="•"/>
      <w:lvlJc w:val="left"/>
      <w:pPr>
        <w:ind w:left="4690" w:hanging="160"/>
      </w:pPr>
      <w:rPr>
        <w:rFonts w:hint="default"/>
        <w:lang w:val="zh-CN" w:eastAsia="zh-CN" w:bidi="zh-CN"/>
      </w:rPr>
    </w:lvl>
    <w:lvl w:ilvl="5">
      <w:start w:val="0"/>
      <w:numFmt w:val="bullet"/>
      <w:lvlText w:val="•"/>
      <w:lvlJc w:val="left"/>
      <w:pPr>
        <w:ind w:left="5513" w:hanging="160"/>
      </w:pPr>
      <w:rPr>
        <w:rFonts w:hint="default"/>
        <w:lang w:val="zh-CN" w:eastAsia="zh-CN" w:bidi="zh-CN"/>
      </w:rPr>
    </w:lvl>
    <w:lvl w:ilvl="6">
      <w:start w:val="0"/>
      <w:numFmt w:val="bullet"/>
      <w:lvlText w:val="•"/>
      <w:lvlJc w:val="left"/>
      <w:pPr>
        <w:ind w:left="6335" w:hanging="160"/>
      </w:pPr>
      <w:rPr>
        <w:rFonts w:hint="default"/>
        <w:lang w:val="zh-CN" w:eastAsia="zh-CN" w:bidi="zh-CN"/>
      </w:rPr>
    </w:lvl>
    <w:lvl w:ilvl="7">
      <w:start w:val="0"/>
      <w:numFmt w:val="bullet"/>
      <w:lvlText w:val="•"/>
      <w:lvlJc w:val="left"/>
      <w:pPr>
        <w:ind w:left="7158" w:hanging="160"/>
      </w:pPr>
      <w:rPr>
        <w:rFonts w:hint="default"/>
        <w:lang w:val="zh-CN" w:eastAsia="zh-CN" w:bidi="zh-CN"/>
      </w:rPr>
    </w:lvl>
    <w:lvl w:ilvl="8">
      <w:start w:val="0"/>
      <w:numFmt w:val="bullet"/>
      <w:lvlText w:val="•"/>
      <w:lvlJc w:val="left"/>
      <w:pPr>
        <w:ind w:left="7981" w:hanging="160"/>
      </w:pPr>
      <w:rPr>
        <w:rFonts w:hint="default"/>
        <w:lang w:val="zh-CN" w:eastAsia="zh-CN" w:bidi="zh-CN"/>
      </w:rPr>
    </w:lvl>
  </w:abstractNum>
  <w:abstractNum w:abstractNumId="54">
    <w:nsid w:val="583B7913"/>
    <w:multiLevelType w:val="multilevel"/>
    <w:tmpl w:val="BCEA9C00"/>
    <w:lvl w:ilvl="0">
      <w:start w:val="2"/>
      <w:numFmt w:val="decimal"/>
      <w:lvlText w:val="（%1）"/>
      <w:lvlJc w:val="left"/>
      <w:pPr>
        <w:ind w:left="1770" w:hanging="529"/>
        <w:jc w:val="left"/>
      </w:pPr>
      <w:rPr>
        <w:rFonts w:ascii="宋体" w:eastAsia="宋体" w:hAnsi="宋体" w:cs="宋体" w:hint="default"/>
        <w:spacing w:val="-3"/>
        <w:w w:val="100"/>
        <w:sz w:val="19"/>
        <w:szCs w:val="19"/>
        <w:lang w:val="zh-CN" w:eastAsia="zh-CN" w:bidi="zh-CN"/>
      </w:rPr>
    </w:lvl>
    <w:lvl w:ilvl="1">
      <w:start w:val="0"/>
      <w:numFmt w:val="bullet"/>
      <w:lvlText w:val="•"/>
      <w:lvlJc w:val="left"/>
      <w:pPr>
        <w:ind w:left="2564" w:hanging="529"/>
      </w:pPr>
      <w:rPr>
        <w:rFonts w:hint="default"/>
        <w:lang w:val="zh-CN" w:eastAsia="zh-CN" w:bidi="zh-CN"/>
      </w:rPr>
    </w:lvl>
    <w:lvl w:ilvl="2">
      <w:start w:val="0"/>
      <w:numFmt w:val="bullet"/>
      <w:lvlText w:val="•"/>
      <w:lvlJc w:val="left"/>
      <w:pPr>
        <w:ind w:left="3349" w:hanging="529"/>
      </w:pPr>
      <w:rPr>
        <w:rFonts w:hint="default"/>
        <w:lang w:val="zh-CN" w:eastAsia="zh-CN" w:bidi="zh-CN"/>
      </w:rPr>
    </w:lvl>
    <w:lvl w:ilvl="3">
      <w:start w:val="0"/>
      <w:numFmt w:val="bullet"/>
      <w:lvlText w:val="•"/>
      <w:lvlJc w:val="left"/>
      <w:pPr>
        <w:ind w:left="4133" w:hanging="529"/>
      </w:pPr>
      <w:rPr>
        <w:rFonts w:hint="default"/>
        <w:lang w:val="zh-CN" w:eastAsia="zh-CN" w:bidi="zh-CN"/>
      </w:rPr>
    </w:lvl>
    <w:lvl w:ilvl="4">
      <w:start w:val="0"/>
      <w:numFmt w:val="bullet"/>
      <w:lvlText w:val="•"/>
      <w:lvlJc w:val="left"/>
      <w:pPr>
        <w:ind w:left="4918" w:hanging="529"/>
      </w:pPr>
      <w:rPr>
        <w:rFonts w:hint="default"/>
        <w:lang w:val="zh-CN" w:eastAsia="zh-CN" w:bidi="zh-CN"/>
      </w:rPr>
    </w:lvl>
    <w:lvl w:ilvl="5">
      <w:start w:val="0"/>
      <w:numFmt w:val="bullet"/>
      <w:lvlText w:val="•"/>
      <w:lvlJc w:val="left"/>
      <w:pPr>
        <w:ind w:left="5703" w:hanging="529"/>
      </w:pPr>
      <w:rPr>
        <w:rFonts w:hint="default"/>
        <w:lang w:val="zh-CN" w:eastAsia="zh-CN" w:bidi="zh-CN"/>
      </w:rPr>
    </w:lvl>
    <w:lvl w:ilvl="6">
      <w:start w:val="0"/>
      <w:numFmt w:val="bullet"/>
      <w:lvlText w:val="•"/>
      <w:lvlJc w:val="left"/>
      <w:pPr>
        <w:ind w:left="6487" w:hanging="529"/>
      </w:pPr>
      <w:rPr>
        <w:rFonts w:hint="default"/>
        <w:lang w:val="zh-CN" w:eastAsia="zh-CN" w:bidi="zh-CN"/>
      </w:rPr>
    </w:lvl>
    <w:lvl w:ilvl="7">
      <w:start w:val="0"/>
      <w:numFmt w:val="bullet"/>
      <w:lvlText w:val="•"/>
      <w:lvlJc w:val="left"/>
      <w:pPr>
        <w:ind w:left="7272" w:hanging="529"/>
      </w:pPr>
      <w:rPr>
        <w:rFonts w:hint="default"/>
        <w:lang w:val="zh-CN" w:eastAsia="zh-CN" w:bidi="zh-CN"/>
      </w:rPr>
    </w:lvl>
    <w:lvl w:ilvl="8">
      <w:start w:val="0"/>
      <w:numFmt w:val="bullet"/>
      <w:lvlText w:val="•"/>
      <w:lvlJc w:val="left"/>
      <w:pPr>
        <w:ind w:left="8057" w:hanging="529"/>
      </w:pPr>
      <w:rPr>
        <w:rFonts w:hint="default"/>
        <w:lang w:val="zh-CN" w:eastAsia="zh-CN" w:bidi="zh-CN"/>
      </w:rPr>
    </w:lvl>
  </w:abstractNum>
  <w:abstractNum w:abstractNumId="55">
    <w:nsid w:val="59A7CCAA"/>
    <w:multiLevelType w:val="multilevel"/>
    <w:tmpl w:val="59A7CCAA"/>
    <w:lvl w:ilvl="0">
      <w:start w:val="1"/>
      <w:numFmt w:val="decimal"/>
      <w:lvlText w:val="（%1）"/>
      <w:lvlJc w:val="left"/>
      <w:pPr>
        <w:ind w:left="1014" w:hanging="504"/>
        <w:jc w:val="left"/>
      </w:pPr>
      <w:rPr>
        <w:rFonts w:ascii="宋体" w:eastAsia="宋体" w:hAnsi="宋体" w:cs="宋体" w:hint="default"/>
        <w:b/>
        <w:bCs/>
        <w:spacing w:val="1"/>
        <w:w w:val="99"/>
        <w:sz w:val="18"/>
        <w:szCs w:val="18"/>
        <w:lang w:val="zh-CN" w:eastAsia="zh-CN" w:bidi="zh-CN"/>
      </w:rPr>
    </w:lvl>
    <w:lvl w:ilvl="1">
      <w:start w:val="0"/>
      <w:numFmt w:val="bullet"/>
      <w:lvlText w:val="•"/>
      <w:lvlJc w:val="left"/>
      <w:pPr>
        <w:ind w:left="1823" w:hanging="504"/>
      </w:pPr>
      <w:rPr>
        <w:rFonts w:hint="default"/>
        <w:lang w:val="zh-CN" w:eastAsia="zh-CN" w:bidi="zh-CN"/>
      </w:rPr>
    </w:lvl>
    <w:lvl w:ilvl="2">
      <w:start w:val="0"/>
      <w:numFmt w:val="bullet"/>
      <w:lvlText w:val="•"/>
      <w:lvlJc w:val="left"/>
      <w:pPr>
        <w:ind w:left="2627" w:hanging="504"/>
      </w:pPr>
      <w:rPr>
        <w:rFonts w:hint="default"/>
        <w:lang w:val="zh-CN" w:eastAsia="zh-CN" w:bidi="zh-CN"/>
      </w:rPr>
    </w:lvl>
    <w:lvl w:ilvl="3">
      <w:start w:val="0"/>
      <w:numFmt w:val="bullet"/>
      <w:lvlText w:val="•"/>
      <w:lvlJc w:val="left"/>
      <w:pPr>
        <w:ind w:left="3431" w:hanging="504"/>
      </w:pPr>
      <w:rPr>
        <w:rFonts w:hint="default"/>
        <w:lang w:val="zh-CN" w:eastAsia="zh-CN" w:bidi="zh-CN"/>
      </w:rPr>
    </w:lvl>
    <w:lvl w:ilvl="4">
      <w:start w:val="0"/>
      <w:numFmt w:val="bullet"/>
      <w:lvlText w:val="•"/>
      <w:lvlJc w:val="left"/>
      <w:pPr>
        <w:ind w:left="4234" w:hanging="504"/>
      </w:pPr>
      <w:rPr>
        <w:rFonts w:hint="default"/>
        <w:lang w:val="zh-CN" w:eastAsia="zh-CN" w:bidi="zh-CN"/>
      </w:rPr>
    </w:lvl>
    <w:lvl w:ilvl="5">
      <w:start w:val="0"/>
      <w:numFmt w:val="bullet"/>
      <w:lvlText w:val="•"/>
      <w:lvlJc w:val="left"/>
      <w:pPr>
        <w:ind w:left="5038" w:hanging="504"/>
      </w:pPr>
      <w:rPr>
        <w:rFonts w:hint="default"/>
        <w:lang w:val="zh-CN" w:eastAsia="zh-CN" w:bidi="zh-CN"/>
      </w:rPr>
    </w:lvl>
    <w:lvl w:ilvl="6">
      <w:start w:val="0"/>
      <w:numFmt w:val="bullet"/>
      <w:lvlText w:val="•"/>
      <w:lvlJc w:val="left"/>
      <w:pPr>
        <w:ind w:left="5842" w:hanging="504"/>
      </w:pPr>
      <w:rPr>
        <w:rFonts w:hint="default"/>
        <w:lang w:val="zh-CN" w:eastAsia="zh-CN" w:bidi="zh-CN"/>
      </w:rPr>
    </w:lvl>
    <w:lvl w:ilvl="7">
      <w:start w:val="0"/>
      <w:numFmt w:val="bullet"/>
      <w:lvlText w:val="•"/>
      <w:lvlJc w:val="left"/>
      <w:pPr>
        <w:ind w:left="6645" w:hanging="504"/>
      </w:pPr>
      <w:rPr>
        <w:rFonts w:hint="default"/>
        <w:lang w:val="zh-CN" w:eastAsia="zh-CN" w:bidi="zh-CN"/>
      </w:rPr>
    </w:lvl>
    <w:lvl w:ilvl="8">
      <w:start w:val="0"/>
      <w:numFmt w:val="bullet"/>
      <w:lvlText w:val="•"/>
      <w:lvlJc w:val="left"/>
      <w:pPr>
        <w:ind w:left="7449" w:hanging="504"/>
      </w:pPr>
      <w:rPr>
        <w:rFonts w:hint="default"/>
        <w:lang w:val="zh-CN" w:eastAsia="zh-CN" w:bidi="zh-CN"/>
      </w:rPr>
    </w:lvl>
  </w:abstractNum>
  <w:abstractNum w:abstractNumId="56">
    <w:nsid w:val="6E161ECE"/>
    <w:multiLevelType w:val="multilevel"/>
    <w:tmpl w:val="6E161ECE"/>
    <w:lvl w:ilvl="0">
      <w:start w:val="1"/>
      <w:numFmt w:val="decimal"/>
      <w:lvlText w:val="%1）"/>
      <w:lvlJc w:val="left"/>
      <w:pPr>
        <w:ind w:left="649" w:hanging="318"/>
        <w:jc w:val="left"/>
      </w:pPr>
      <w:rPr>
        <w:rFonts w:hint="default"/>
        <w:b/>
        <w:bCs/>
        <w:spacing w:val="-16"/>
        <w:w w:val="100"/>
        <w:lang w:val="zh-CN" w:eastAsia="zh-CN" w:bidi="zh-CN"/>
      </w:rPr>
    </w:lvl>
    <w:lvl w:ilvl="1">
      <w:start w:val="0"/>
      <w:numFmt w:val="bullet"/>
      <w:lvlText w:val="•"/>
      <w:lvlJc w:val="left"/>
      <w:pPr>
        <w:ind w:left="1506" w:hanging="318"/>
      </w:pPr>
      <w:rPr>
        <w:rFonts w:hint="default"/>
        <w:lang w:val="zh-CN" w:eastAsia="zh-CN" w:bidi="zh-CN"/>
      </w:rPr>
    </w:lvl>
    <w:lvl w:ilvl="2">
      <w:start w:val="0"/>
      <w:numFmt w:val="bullet"/>
      <w:lvlText w:val="•"/>
      <w:lvlJc w:val="left"/>
      <w:pPr>
        <w:ind w:left="2373" w:hanging="318"/>
      </w:pPr>
      <w:rPr>
        <w:rFonts w:hint="default"/>
        <w:lang w:val="zh-CN" w:eastAsia="zh-CN" w:bidi="zh-CN"/>
      </w:rPr>
    </w:lvl>
    <w:lvl w:ilvl="3">
      <w:start w:val="0"/>
      <w:numFmt w:val="bullet"/>
      <w:lvlText w:val="•"/>
      <w:lvlJc w:val="left"/>
      <w:pPr>
        <w:ind w:left="3239" w:hanging="318"/>
      </w:pPr>
      <w:rPr>
        <w:rFonts w:hint="default"/>
        <w:lang w:val="zh-CN" w:eastAsia="zh-CN" w:bidi="zh-CN"/>
      </w:rPr>
    </w:lvl>
    <w:lvl w:ilvl="4">
      <w:start w:val="0"/>
      <w:numFmt w:val="bullet"/>
      <w:lvlText w:val="•"/>
      <w:lvlJc w:val="left"/>
      <w:pPr>
        <w:ind w:left="4106" w:hanging="318"/>
      </w:pPr>
      <w:rPr>
        <w:rFonts w:hint="default"/>
        <w:lang w:val="zh-CN" w:eastAsia="zh-CN" w:bidi="zh-CN"/>
      </w:rPr>
    </w:lvl>
    <w:lvl w:ilvl="5">
      <w:start w:val="0"/>
      <w:numFmt w:val="bullet"/>
      <w:lvlText w:val="•"/>
      <w:lvlJc w:val="left"/>
      <w:pPr>
        <w:ind w:left="4973" w:hanging="318"/>
      </w:pPr>
      <w:rPr>
        <w:rFonts w:hint="default"/>
        <w:lang w:val="zh-CN" w:eastAsia="zh-CN" w:bidi="zh-CN"/>
      </w:rPr>
    </w:lvl>
    <w:lvl w:ilvl="6">
      <w:start w:val="0"/>
      <w:numFmt w:val="bullet"/>
      <w:lvlText w:val="•"/>
      <w:lvlJc w:val="left"/>
      <w:pPr>
        <w:ind w:left="5839" w:hanging="318"/>
      </w:pPr>
      <w:rPr>
        <w:rFonts w:hint="default"/>
        <w:lang w:val="zh-CN" w:eastAsia="zh-CN" w:bidi="zh-CN"/>
      </w:rPr>
    </w:lvl>
    <w:lvl w:ilvl="7">
      <w:start w:val="0"/>
      <w:numFmt w:val="bullet"/>
      <w:lvlText w:val="•"/>
      <w:lvlJc w:val="left"/>
      <w:pPr>
        <w:ind w:left="6706" w:hanging="318"/>
      </w:pPr>
      <w:rPr>
        <w:rFonts w:hint="default"/>
        <w:lang w:val="zh-CN" w:eastAsia="zh-CN" w:bidi="zh-CN"/>
      </w:rPr>
    </w:lvl>
    <w:lvl w:ilvl="8">
      <w:start w:val="0"/>
      <w:numFmt w:val="bullet"/>
      <w:lvlText w:val="•"/>
      <w:lvlJc w:val="left"/>
      <w:pPr>
        <w:ind w:left="7573" w:hanging="318"/>
      </w:pPr>
      <w:rPr>
        <w:rFonts w:hint="default"/>
        <w:lang w:val="zh-CN" w:eastAsia="zh-CN" w:bidi="zh-CN"/>
      </w:rPr>
    </w:lvl>
  </w:abstractNum>
  <w:abstractNum w:abstractNumId="57">
    <w:nsid w:val="766397FE"/>
    <w:multiLevelType w:val="multilevel"/>
    <w:tmpl w:val="A33E4DC8"/>
    <w:lvl w:ilvl="0">
      <w:start w:val="1"/>
      <w:numFmt w:val="decimal"/>
      <w:lvlText w:val="%1"/>
      <w:lvlJc w:val="left"/>
      <w:pPr>
        <w:ind w:left="698" w:hanging="420"/>
        <w:jc w:val="left"/>
      </w:pPr>
      <w:rPr>
        <w:rFonts w:ascii="Times New Roman" w:eastAsia="Times New Roman" w:hAnsi="Times New Roman" w:cs="Times New Roman" w:hint="default"/>
        <w:w w:val="100"/>
        <w:sz w:val="24"/>
        <w:szCs w:val="24"/>
        <w:lang w:val="zh-CN" w:eastAsia="zh-CN" w:bidi="zh-CN"/>
      </w:rPr>
    </w:lvl>
    <w:lvl w:ilvl="1">
      <w:start w:val="2"/>
      <w:numFmt w:val="decimal"/>
      <w:lvlText w:val="（%2）"/>
      <w:lvlJc w:val="left"/>
      <w:pPr>
        <w:ind w:left="2300" w:hanging="529"/>
        <w:jc w:val="left"/>
      </w:pPr>
      <w:rPr>
        <w:rFonts w:ascii="宋体" w:eastAsia="宋体" w:hAnsi="宋体" w:cs="宋体" w:hint="default"/>
        <w:b/>
        <w:bCs/>
        <w:spacing w:val="-106"/>
        <w:w w:val="100"/>
        <w:sz w:val="19"/>
        <w:szCs w:val="19"/>
        <w:lang w:val="zh-CN" w:eastAsia="zh-CN" w:bidi="zh-CN"/>
      </w:rPr>
    </w:lvl>
    <w:lvl w:ilvl="2">
      <w:start w:val="0"/>
      <w:numFmt w:val="bullet"/>
      <w:lvlText w:val="•"/>
      <w:lvlJc w:val="left"/>
      <w:pPr>
        <w:ind w:left="3820" w:hanging="529"/>
      </w:pPr>
      <w:rPr>
        <w:rFonts w:hint="default"/>
        <w:lang w:val="zh-CN" w:eastAsia="zh-CN" w:bidi="zh-CN"/>
      </w:rPr>
    </w:lvl>
    <w:lvl w:ilvl="3">
      <w:start w:val="0"/>
      <w:numFmt w:val="bullet"/>
      <w:lvlText w:val="•"/>
      <w:lvlJc w:val="left"/>
      <w:pPr>
        <w:ind w:left="4545" w:hanging="529"/>
      </w:pPr>
      <w:rPr>
        <w:rFonts w:hint="default"/>
        <w:lang w:val="zh-CN" w:eastAsia="zh-CN" w:bidi="zh-CN"/>
      </w:rPr>
    </w:lvl>
    <w:lvl w:ilvl="4">
      <w:start w:val="0"/>
      <w:numFmt w:val="bullet"/>
      <w:lvlText w:val="•"/>
      <w:lvlJc w:val="left"/>
      <w:pPr>
        <w:ind w:left="5271" w:hanging="529"/>
      </w:pPr>
      <w:rPr>
        <w:rFonts w:hint="default"/>
        <w:lang w:val="zh-CN" w:eastAsia="zh-CN" w:bidi="zh-CN"/>
      </w:rPr>
    </w:lvl>
    <w:lvl w:ilvl="5">
      <w:start w:val="0"/>
      <w:numFmt w:val="bullet"/>
      <w:lvlText w:val="•"/>
      <w:lvlJc w:val="left"/>
      <w:pPr>
        <w:ind w:left="5997" w:hanging="529"/>
      </w:pPr>
      <w:rPr>
        <w:rFonts w:hint="default"/>
        <w:lang w:val="zh-CN" w:eastAsia="zh-CN" w:bidi="zh-CN"/>
      </w:rPr>
    </w:lvl>
    <w:lvl w:ilvl="6">
      <w:start w:val="0"/>
      <w:numFmt w:val="bullet"/>
      <w:lvlText w:val="•"/>
      <w:lvlJc w:val="left"/>
      <w:pPr>
        <w:ind w:left="6723" w:hanging="529"/>
      </w:pPr>
      <w:rPr>
        <w:rFonts w:hint="default"/>
        <w:lang w:val="zh-CN" w:eastAsia="zh-CN" w:bidi="zh-CN"/>
      </w:rPr>
    </w:lvl>
    <w:lvl w:ilvl="7">
      <w:start w:val="0"/>
      <w:numFmt w:val="bullet"/>
      <w:lvlText w:val="•"/>
      <w:lvlJc w:val="left"/>
      <w:pPr>
        <w:ind w:left="7449" w:hanging="529"/>
      </w:pPr>
      <w:rPr>
        <w:rFonts w:hint="default"/>
        <w:lang w:val="zh-CN" w:eastAsia="zh-CN" w:bidi="zh-CN"/>
      </w:rPr>
    </w:lvl>
    <w:lvl w:ilvl="8">
      <w:start w:val="0"/>
      <w:numFmt w:val="bullet"/>
      <w:lvlText w:val="•"/>
      <w:lvlJc w:val="left"/>
      <w:pPr>
        <w:ind w:left="8174" w:hanging="529"/>
      </w:pPr>
      <w:rPr>
        <w:rFonts w:hint="default"/>
        <w:lang w:val="zh-CN" w:eastAsia="zh-CN" w:bidi="zh-CN"/>
      </w:rPr>
    </w:lvl>
  </w:abstractNum>
  <w:abstractNum w:abstractNumId="58">
    <w:nsid w:val="768A0E25"/>
    <w:multiLevelType w:val="multilevel"/>
    <w:tmpl w:val="B58C0C12"/>
    <w:lvl w:ilvl="0">
      <w:start w:val="1"/>
      <w:numFmt w:val="decimal"/>
      <w:lvlText w:val="（%1）"/>
      <w:lvlJc w:val="left"/>
      <w:pPr>
        <w:ind w:left="112" w:hanging="537"/>
        <w:jc w:val="left"/>
      </w:pPr>
      <w:rPr>
        <w:rFonts w:ascii="宋体" w:eastAsia="宋体" w:hAnsi="宋体" w:cs="宋体" w:hint="default"/>
        <w:b/>
        <w:bCs/>
        <w:spacing w:val="-101"/>
        <w:w w:val="100"/>
        <w:sz w:val="19"/>
        <w:szCs w:val="19"/>
        <w:lang w:val="zh-CN" w:eastAsia="zh-CN" w:bidi="zh-CN"/>
      </w:rPr>
    </w:lvl>
    <w:lvl w:ilvl="1">
      <w:start w:val="1"/>
      <w:numFmt w:val="decimal"/>
      <w:lvlText w:val="%2."/>
      <w:lvlJc w:val="left"/>
      <w:pPr>
        <w:ind w:left="980" w:hanging="144"/>
        <w:jc w:val="left"/>
      </w:pPr>
      <w:rPr>
        <w:rFonts w:ascii="Times New Roman" w:eastAsia="Times New Roman" w:hAnsi="Times New Roman" w:cs="Times New Roman" w:hint="default"/>
        <w:spacing w:val="1"/>
        <w:w w:val="100"/>
        <w:sz w:val="16"/>
        <w:szCs w:val="16"/>
        <w:lang w:val="zh-CN" w:eastAsia="zh-CN" w:bidi="zh-CN"/>
      </w:rPr>
    </w:lvl>
    <w:lvl w:ilvl="2">
      <w:start w:val="0"/>
      <w:numFmt w:val="bullet"/>
      <w:lvlText w:val="•"/>
      <w:lvlJc w:val="left"/>
      <w:pPr>
        <w:ind w:left="1786" w:hanging="144"/>
      </w:pPr>
      <w:rPr>
        <w:rFonts w:hint="default"/>
        <w:lang w:val="zh-CN" w:eastAsia="zh-CN" w:bidi="zh-CN"/>
      </w:rPr>
    </w:lvl>
    <w:lvl w:ilvl="3">
      <w:start w:val="0"/>
      <w:numFmt w:val="bullet"/>
      <w:lvlText w:val="•"/>
      <w:lvlJc w:val="left"/>
      <w:pPr>
        <w:ind w:left="2593" w:hanging="144"/>
      </w:pPr>
      <w:rPr>
        <w:rFonts w:hint="default"/>
        <w:lang w:val="zh-CN" w:eastAsia="zh-CN" w:bidi="zh-CN"/>
      </w:rPr>
    </w:lvl>
    <w:lvl w:ilvl="4">
      <w:start w:val="0"/>
      <w:numFmt w:val="bullet"/>
      <w:lvlText w:val="•"/>
      <w:lvlJc w:val="left"/>
      <w:pPr>
        <w:ind w:left="3400" w:hanging="144"/>
      </w:pPr>
      <w:rPr>
        <w:rFonts w:hint="default"/>
        <w:lang w:val="zh-CN" w:eastAsia="zh-CN" w:bidi="zh-CN"/>
      </w:rPr>
    </w:lvl>
    <w:lvl w:ilvl="5">
      <w:start w:val="0"/>
      <w:numFmt w:val="bullet"/>
      <w:lvlText w:val="•"/>
      <w:lvlJc w:val="left"/>
      <w:pPr>
        <w:ind w:left="4207" w:hanging="144"/>
      </w:pPr>
      <w:rPr>
        <w:rFonts w:hint="default"/>
        <w:lang w:val="zh-CN" w:eastAsia="zh-CN" w:bidi="zh-CN"/>
      </w:rPr>
    </w:lvl>
    <w:lvl w:ilvl="6">
      <w:start w:val="0"/>
      <w:numFmt w:val="bullet"/>
      <w:lvlText w:val="•"/>
      <w:lvlJc w:val="left"/>
      <w:pPr>
        <w:ind w:left="5013" w:hanging="144"/>
      </w:pPr>
      <w:rPr>
        <w:rFonts w:hint="default"/>
        <w:lang w:val="zh-CN" w:eastAsia="zh-CN" w:bidi="zh-CN"/>
      </w:rPr>
    </w:lvl>
    <w:lvl w:ilvl="7">
      <w:start w:val="0"/>
      <w:numFmt w:val="bullet"/>
      <w:lvlText w:val="•"/>
      <w:lvlJc w:val="left"/>
      <w:pPr>
        <w:ind w:left="5820" w:hanging="144"/>
      </w:pPr>
      <w:rPr>
        <w:rFonts w:hint="default"/>
        <w:lang w:val="zh-CN" w:eastAsia="zh-CN" w:bidi="zh-CN"/>
      </w:rPr>
    </w:lvl>
    <w:lvl w:ilvl="8">
      <w:start w:val="0"/>
      <w:numFmt w:val="bullet"/>
      <w:lvlText w:val="•"/>
      <w:lvlJc w:val="left"/>
      <w:pPr>
        <w:ind w:left="6627" w:hanging="144"/>
      </w:pPr>
      <w:rPr>
        <w:rFonts w:hint="default"/>
        <w:lang w:val="zh-CN" w:eastAsia="zh-CN" w:bidi="zh-CN"/>
      </w:rPr>
    </w:lvl>
  </w:abstractNum>
  <w:abstractNum w:abstractNumId="59">
    <w:nsid w:val="7F84194C"/>
    <w:multiLevelType w:val="multilevel"/>
    <w:tmpl w:val="7F84194C"/>
    <w:lvl w:ilvl="0">
      <w:start w:val="3"/>
      <w:numFmt w:val="decimal"/>
      <w:lvlText w:val="（%1）"/>
      <w:lvlJc w:val="left"/>
      <w:pPr>
        <w:ind w:left="1133" w:hanging="504"/>
        <w:jc w:val="left"/>
      </w:pPr>
      <w:rPr>
        <w:rFonts w:ascii="宋体" w:eastAsia="宋体" w:hAnsi="宋体" w:cs="宋体" w:hint="default"/>
        <w:b/>
        <w:bCs/>
        <w:spacing w:val="1"/>
        <w:w w:val="99"/>
        <w:sz w:val="18"/>
        <w:szCs w:val="18"/>
        <w:lang w:val="zh-CN" w:eastAsia="zh-CN" w:bidi="zh-CN"/>
      </w:rPr>
    </w:lvl>
    <w:lvl w:ilvl="1">
      <w:start w:val="0"/>
      <w:numFmt w:val="bullet"/>
      <w:lvlText w:val="•"/>
      <w:lvlJc w:val="left"/>
      <w:pPr>
        <w:ind w:left="1956" w:hanging="504"/>
      </w:pPr>
      <w:rPr>
        <w:rFonts w:hint="default"/>
        <w:lang w:val="zh-CN" w:eastAsia="zh-CN" w:bidi="zh-CN"/>
      </w:rPr>
    </w:lvl>
    <w:lvl w:ilvl="2">
      <w:start w:val="0"/>
      <w:numFmt w:val="bullet"/>
      <w:lvlText w:val="•"/>
      <w:lvlJc w:val="left"/>
      <w:pPr>
        <w:ind w:left="2773" w:hanging="504"/>
      </w:pPr>
      <w:rPr>
        <w:rFonts w:hint="default"/>
        <w:lang w:val="zh-CN" w:eastAsia="zh-CN" w:bidi="zh-CN"/>
      </w:rPr>
    </w:lvl>
    <w:lvl w:ilvl="3">
      <w:start w:val="0"/>
      <w:numFmt w:val="bullet"/>
      <w:lvlText w:val="•"/>
      <w:lvlJc w:val="left"/>
      <w:pPr>
        <w:ind w:left="3589" w:hanging="504"/>
      </w:pPr>
      <w:rPr>
        <w:rFonts w:hint="default"/>
        <w:lang w:val="zh-CN" w:eastAsia="zh-CN" w:bidi="zh-CN"/>
      </w:rPr>
    </w:lvl>
    <w:lvl w:ilvl="4">
      <w:start w:val="0"/>
      <w:numFmt w:val="bullet"/>
      <w:lvlText w:val="•"/>
      <w:lvlJc w:val="left"/>
      <w:pPr>
        <w:ind w:left="4406" w:hanging="504"/>
      </w:pPr>
      <w:rPr>
        <w:rFonts w:hint="default"/>
        <w:lang w:val="zh-CN" w:eastAsia="zh-CN" w:bidi="zh-CN"/>
      </w:rPr>
    </w:lvl>
    <w:lvl w:ilvl="5">
      <w:start w:val="0"/>
      <w:numFmt w:val="bullet"/>
      <w:lvlText w:val="•"/>
      <w:lvlJc w:val="left"/>
      <w:pPr>
        <w:ind w:left="5223" w:hanging="504"/>
      </w:pPr>
      <w:rPr>
        <w:rFonts w:hint="default"/>
        <w:lang w:val="zh-CN" w:eastAsia="zh-CN" w:bidi="zh-CN"/>
      </w:rPr>
    </w:lvl>
    <w:lvl w:ilvl="6">
      <w:start w:val="0"/>
      <w:numFmt w:val="bullet"/>
      <w:lvlText w:val="•"/>
      <w:lvlJc w:val="left"/>
      <w:pPr>
        <w:ind w:left="6039" w:hanging="504"/>
      </w:pPr>
      <w:rPr>
        <w:rFonts w:hint="default"/>
        <w:lang w:val="zh-CN" w:eastAsia="zh-CN" w:bidi="zh-CN"/>
      </w:rPr>
    </w:lvl>
    <w:lvl w:ilvl="7">
      <w:start w:val="0"/>
      <w:numFmt w:val="bullet"/>
      <w:lvlText w:val="•"/>
      <w:lvlJc w:val="left"/>
      <w:pPr>
        <w:ind w:left="6856" w:hanging="504"/>
      </w:pPr>
      <w:rPr>
        <w:rFonts w:hint="default"/>
        <w:lang w:val="zh-CN" w:eastAsia="zh-CN" w:bidi="zh-CN"/>
      </w:rPr>
    </w:lvl>
    <w:lvl w:ilvl="8">
      <w:start w:val="0"/>
      <w:numFmt w:val="bullet"/>
      <w:lvlText w:val="•"/>
      <w:lvlJc w:val="left"/>
      <w:pPr>
        <w:ind w:left="7673" w:hanging="504"/>
      </w:pPr>
      <w:rPr>
        <w:rFonts w:hint="default"/>
        <w:lang w:val="zh-CN" w:eastAsia="zh-CN" w:bidi="zh-CN"/>
      </w:rPr>
    </w:lvl>
  </w:abstractNum>
  <w:num w:numId="1">
    <w:abstractNumId w:val="11"/>
  </w:num>
  <w:num w:numId="2">
    <w:abstractNumId w:val="17"/>
  </w:num>
  <w:num w:numId="3">
    <w:abstractNumId w:val="35"/>
  </w:num>
  <w:num w:numId="4">
    <w:abstractNumId w:val="49"/>
  </w:num>
  <w:num w:numId="5">
    <w:abstractNumId w:val="43"/>
  </w:num>
  <w:num w:numId="6">
    <w:abstractNumId w:val="1"/>
  </w:num>
  <w:num w:numId="7">
    <w:abstractNumId w:val="13"/>
  </w:num>
  <w:num w:numId="8">
    <w:abstractNumId w:val="50"/>
  </w:num>
  <w:num w:numId="9">
    <w:abstractNumId w:val="44"/>
  </w:num>
  <w:num w:numId="10">
    <w:abstractNumId w:val="4"/>
  </w:num>
  <w:num w:numId="11">
    <w:abstractNumId w:val="16"/>
  </w:num>
  <w:num w:numId="12">
    <w:abstractNumId w:val="22"/>
  </w:num>
  <w:num w:numId="13">
    <w:abstractNumId w:val="18"/>
  </w:num>
  <w:num w:numId="14">
    <w:abstractNumId w:val="28"/>
  </w:num>
  <w:num w:numId="15">
    <w:abstractNumId w:val="14"/>
  </w:num>
  <w:num w:numId="16">
    <w:abstractNumId w:val="41"/>
  </w:num>
  <w:num w:numId="17">
    <w:abstractNumId w:val="5"/>
  </w:num>
  <w:num w:numId="18">
    <w:abstractNumId w:val="10"/>
  </w:num>
  <w:num w:numId="19">
    <w:abstractNumId w:val="6"/>
  </w:num>
  <w:num w:numId="20">
    <w:abstractNumId w:val="47"/>
  </w:num>
  <w:num w:numId="21">
    <w:abstractNumId w:val="51"/>
  </w:num>
  <w:num w:numId="22">
    <w:abstractNumId w:val="3"/>
  </w:num>
  <w:num w:numId="23">
    <w:abstractNumId w:val="9"/>
  </w:num>
  <w:num w:numId="24">
    <w:abstractNumId w:val="21"/>
  </w:num>
  <w:num w:numId="25">
    <w:abstractNumId w:val="26"/>
  </w:num>
  <w:num w:numId="26">
    <w:abstractNumId w:val="42"/>
  </w:num>
  <w:num w:numId="27">
    <w:abstractNumId w:val="48"/>
  </w:num>
  <w:num w:numId="28">
    <w:abstractNumId w:val="33"/>
  </w:num>
  <w:num w:numId="29">
    <w:abstractNumId w:val="2"/>
  </w:num>
  <w:num w:numId="30">
    <w:abstractNumId w:val="27"/>
  </w:num>
  <w:num w:numId="31">
    <w:abstractNumId w:val="29"/>
  </w:num>
  <w:num w:numId="32">
    <w:abstractNumId w:val="24"/>
  </w:num>
  <w:num w:numId="33">
    <w:abstractNumId w:val="0"/>
  </w:num>
  <w:num w:numId="34">
    <w:abstractNumId w:val="15"/>
  </w:num>
  <w:num w:numId="35">
    <w:abstractNumId w:val="19"/>
  </w:num>
  <w:num w:numId="36">
    <w:abstractNumId w:val="40"/>
  </w:num>
  <w:num w:numId="37">
    <w:abstractNumId w:val="56"/>
  </w:num>
  <w:num w:numId="38">
    <w:abstractNumId w:val="20"/>
  </w:num>
  <w:num w:numId="39">
    <w:abstractNumId w:val="39"/>
  </w:num>
  <w:num w:numId="40">
    <w:abstractNumId w:val="37"/>
  </w:num>
  <w:num w:numId="41">
    <w:abstractNumId w:val="46"/>
  </w:num>
  <w:num w:numId="42">
    <w:abstractNumId w:val="12"/>
  </w:num>
  <w:num w:numId="43">
    <w:abstractNumId w:val="7"/>
  </w:num>
  <w:num w:numId="44">
    <w:abstractNumId w:val="8"/>
  </w:num>
  <w:num w:numId="45">
    <w:abstractNumId w:val="30"/>
  </w:num>
  <w:num w:numId="46">
    <w:abstractNumId w:val="34"/>
  </w:num>
  <w:num w:numId="47">
    <w:abstractNumId w:val="25"/>
  </w:num>
  <w:num w:numId="48">
    <w:abstractNumId w:val="31"/>
  </w:num>
  <w:num w:numId="49">
    <w:abstractNumId w:val="55"/>
  </w:num>
  <w:num w:numId="50">
    <w:abstractNumId w:val="23"/>
  </w:num>
  <w:num w:numId="51">
    <w:abstractNumId w:val="59"/>
  </w:num>
  <w:num w:numId="52">
    <w:abstractNumId w:val="52"/>
  </w:num>
  <w:num w:numId="53">
    <w:abstractNumId w:val="38"/>
  </w:num>
  <w:num w:numId="54">
    <w:abstractNumId w:val="58"/>
  </w:num>
  <w:num w:numId="55">
    <w:abstractNumId w:val="57"/>
  </w:num>
  <w:num w:numId="56">
    <w:abstractNumId w:val="45"/>
  </w:num>
  <w:num w:numId="57">
    <w:abstractNumId w:val="36"/>
  </w:num>
  <w:num w:numId="58">
    <w:abstractNumId w:val="32"/>
  </w:num>
  <w:num w:numId="59">
    <w:abstractNumId w:val="54"/>
  </w:num>
  <w:num w:numId="60">
    <w:abstractNumId w:val="5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63020B6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1" w:unhideWhenUsed="0"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spacing w:before="43"/>
      <w:ind w:left="101"/>
      <w:outlineLvl w:val="0"/>
    </w:pPr>
    <w:rPr>
      <w:rFonts w:ascii="宋体" w:eastAsia="宋体" w:hAnsi="宋体" w:cs="宋体"/>
      <w:b/>
      <w:bCs/>
      <w:sz w:val="30"/>
      <w:szCs w:val="30"/>
      <w:lang w:val="zh-CN" w:eastAsia="zh-CN" w:bidi="zh-CN"/>
    </w:rPr>
  </w:style>
  <w:style w:type="paragraph" w:styleId="Heading2">
    <w:name w:val="heading 2"/>
    <w:basedOn w:val="Normal"/>
    <w:next w:val="Normal"/>
    <w:uiPriority w:val="1"/>
    <w:qFormat/>
    <w:pPr>
      <w:spacing w:before="67"/>
      <w:ind w:left="4216" w:right="4012"/>
      <w:jc w:val="center"/>
      <w:outlineLvl w:val="1"/>
    </w:pPr>
    <w:rPr>
      <w:rFonts w:ascii="宋体" w:eastAsia="宋体" w:hAnsi="宋体" w:cs="宋体"/>
      <w:b/>
      <w:bCs/>
      <w:sz w:val="24"/>
      <w:szCs w:val="24"/>
      <w:lang w:val="zh-CN" w:eastAsia="zh-CN" w:bidi="zh-CN"/>
    </w:rPr>
  </w:style>
  <w:style w:type="paragraph" w:styleId="Heading3">
    <w:name w:val="heading 3"/>
    <w:basedOn w:val="Normal"/>
    <w:next w:val="Normal"/>
    <w:uiPriority w:val="1"/>
    <w:qFormat/>
    <w:pPr>
      <w:ind w:left="1178"/>
      <w:outlineLvl w:val="2"/>
    </w:pPr>
    <w:rPr>
      <w:rFonts w:ascii="宋体" w:eastAsia="宋体" w:hAnsi="宋体" w:cs="宋体"/>
      <w:b/>
      <w:bCs/>
      <w:sz w:val="21"/>
      <w:szCs w:val="21"/>
      <w:lang w:val="zh-CN" w:eastAsia="zh-CN" w:bidi="zh-CN"/>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1"/>
      <w:szCs w:val="21"/>
      <w:lang w:val="zh-CN" w:eastAsia="zh-CN" w:bidi="zh-CN"/>
    </w:rPr>
  </w:style>
  <w:style w:type="paragraph" w:styleId="TOC1">
    <w:name w:val="toc 1"/>
    <w:basedOn w:val="Normal"/>
    <w:next w:val="Normal"/>
    <w:uiPriority w:val="1"/>
    <w:qFormat/>
    <w:pPr>
      <w:spacing w:before="160"/>
      <w:ind w:left="698" w:right="5" w:hanging="699"/>
    </w:pPr>
    <w:rPr>
      <w:rFonts w:ascii="宋体" w:eastAsia="宋体" w:hAnsi="宋体" w:cs="宋体"/>
      <w:sz w:val="24"/>
      <w:szCs w:val="24"/>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226" w:hanging="530"/>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image" Target="media/image1.jpeg" /><Relationship Id="rId21" Type="http://schemas.openxmlformats.org/officeDocument/2006/relationships/image" Target="media/image2.png" /><Relationship Id="rId22" Type="http://schemas.openxmlformats.org/officeDocument/2006/relationships/footer" Target="footer16.xml" /><Relationship Id="rId23" Type="http://schemas.openxmlformats.org/officeDocument/2006/relationships/footer" Target="footer17.xml" /><Relationship Id="rId24" Type="http://schemas.openxmlformats.org/officeDocument/2006/relationships/footer" Target="footer18.xml" /><Relationship Id="rId25" Type="http://schemas.openxmlformats.org/officeDocument/2006/relationships/hyperlink" Target="https://baike.baidu.com/item/%E6%89%A9%E6%95%A3" TargetMode="External" /><Relationship Id="rId26" Type="http://schemas.openxmlformats.org/officeDocument/2006/relationships/hyperlink" Target="https://baike.baidu.com/item/%E6%B0%AF%E4%BB%BF" TargetMode="External" /><Relationship Id="rId27" Type="http://schemas.openxmlformats.org/officeDocument/2006/relationships/hyperlink" Target="https://baike.baidu.com/item/%E6%9C%89%E6%9C%BA%E6%BA%B6%E5%89%82" TargetMode="External" /><Relationship Id="rId28" Type="http://schemas.openxmlformats.org/officeDocument/2006/relationships/footer" Target="footer19.xml" /><Relationship Id="rId29" Type="http://schemas.openxmlformats.org/officeDocument/2006/relationships/footer" Target="footer20.xml" /><Relationship Id="rId3" Type="http://schemas.openxmlformats.org/officeDocument/2006/relationships/fontTable" Target="fontTable.xml" /><Relationship Id="rId30" Type="http://schemas.openxmlformats.org/officeDocument/2006/relationships/footer" Target="footer21.xml" /><Relationship Id="rId31" Type="http://schemas.openxmlformats.org/officeDocument/2006/relationships/footer" Target="footer22.xml" /><Relationship Id="rId32" Type="http://schemas.openxmlformats.org/officeDocument/2006/relationships/image" Target="media/image3.jpeg" /><Relationship Id="rId33" Type="http://schemas.openxmlformats.org/officeDocument/2006/relationships/footer" Target="footer23.xml" /><Relationship Id="rId34" Type="http://schemas.openxmlformats.org/officeDocument/2006/relationships/footer" Target="footer24.xml" /><Relationship Id="rId35" Type="http://schemas.openxmlformats.org/officeDocument/2006/relationships/footer" Target="footer25.xml" /><Relationship Id="rId36" Type="http://schemas.openxmlformats.org/officeDocument/2006/relationships/footer" Target="footer26.xml" /><Relationship Id="rId37" Type="http://schemas.openxmlformats.org/officeDocument/2006/relationships/footer" Target="footer27.xml" /><Relationship Id="rId38" Type="http://schemas.openxmlformats.org/officeDocument/2006/relationships/footer" Target="footer28.xml" /><Relationship Id="rId39" Type="http://schemas.openxmlformats.org/officeDocument/2006/relationships/footer" Target="footer29.xml" /><Relationship Id="rId4" Type="http://schemas.openxmlformats.org/officeDocument/2006/relationships/customXml" Target="../customXml/item1.xml" /><Relationship Id="rId40" Type="http://schemas.openxmlformats.org/officeDocument/2006/relationships/footer" Target="footer30.xml" /><Relationship Id="rId41" Type="http://schemas.openxmlformats.org/officeDocument/2006/relationships/hyperlink" Target="https://d.book118.com/968003127026006047" TargetMode="External" /><Relationship Id="rId42" Type="http://schemas.openxmlformats.org/officeDocument/2006/relationships/footer" Target="footer31.xml" /><Relationship Id="rId43" Type="http://schemas.openxmlformats.org/officeDocument/2006/relationships/theme" Target="theme/theme1.xml" /><Relationship Id="rId44" Type="http://schemas.openxmlformats.org/officeDocument/2006/relationships/numbering" Target="numbering.xml" /><Relationship Id="rId45"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26"/>
    <customShpInfo spid="_x0000_s1050"/>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51"/>
    <customShpInfo spid="_x0000_s1078"/>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79"/>
    <customShpInfo spid="_x0000_s1089"/>
    <customShpInfo spid="_x0000_s1090"/>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091"/>
    <customShpInfo spid="_x0000_s1111"/>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1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22"/>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34"/>
    <customShpInfo spid="_x0000_s1144"/>
    <customShpInfo spid="_x0000_s1145"/>
    <customShpInfo spid="_x0000_s1146"/>
    <customShpInfo spid="_x0000_s1147"/>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48"/>
    <customShpInfo spid="_x0000_s1186"/>
    <customShpInfo spid="_x0000_s1187"/>
    <customShpInfo spid="_x0000_s1188"/>
    <customShpInfo spid="_x0000_s1190"/>
    <customShpInfo spid="_x0000_s1191"/>
    <customShpInfo spid="_x0000_s1192"/>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203"/>
    <customShpInfo spid="_x0000_s1204"/>
    <customShpInfo spid="_x0000_s1205"/>
    <customShpInfo spid="_x0000_s1206"/>
    <customShpInfo spid="_x0000_s1207"/>
    <customShpInfo spid="_x0000_s1208"/>
    <customShpInfo spid="_x0000_s1209"/>
    <customShpInfo spid="_x0000_s1210"/>
    <customShpInfo spid="_x0000_s1211"/>
    <customShpInfo spid="_x0000_s1212"/>
    <customShpInfo spid="_x0000_s1213"/>
    <customShpInfo spid="_x0000_s1214"/>
    <customShpInfo spid="_x0000_s1215"/>
    <customShpInfo spid="_x0000_s1216"/>
    <customShpInfo spid="_x0000_s1217"/>
    <customShpInfo spid="_x0000_s1218"/>
    <customShpInfo spid="_x0000_s1219"/>
    <customShpInfo spid="_x0000_s1220"/>
    <customShpInfo spid="_x0000_s1221"/>
    <customShpInfo spid="_x0000_s1222"/>
    <customShpInfo spid="_x0000_s1223"/>
    <customShpInfo spid="_x0000_s1224"/>
    <customShpInfo spid="_x0000_s1225"/>
    <customShpInfo spid="_x0000_s1226"/>
    <customShpInfo spid="_x0000_s1227"/>
    <customShpInfo spid="_x0000_s1228"/>
    <customShpInfo spid="_x0000_s1229"/>
    <customShpInfo spid="_x0000_s1230"/>
    <customShpInfo spid="_x0000_s1189"/>
    <customShpInfo spid="_x0000_s1231"/>
    <customShpInfo spid="_x0000_s1233"/>
    <customShpInfo spid="_x0000_s1234"/>
    <customShpInfo spid="_x0000_s1235"/>
    <customShpInfo spid="_x0000_s1236"/>
    <customShpInfo spid="_x0000_s1237"/>
    <customShpInfo spid="_x0000_s1238"/>
    <customShpInfo spid="_x0000_s1239"/>
    <customShpInfo spid="_x0000_s1240"/>
    <customShpInfo spid="_x0000_s1241"/>
    <customShpInfo spid="_x0000_s1242"/>
    <customShpInfo spid="_x0000_s1232"/>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43"/>
    <customShpInfo spid="_x0000_s1253"/>
    <customShpInfo spid="_x0000_s1255"/>
    <customShpInfo spid="_x0000_s1256"/>
    <customShpInfo spid="_x0000_s1257"/>
    <customShpInfo spid="_x0000_s1254"/>
    <customShpInfo spid="_x0000_s1259"/>
    <customShpInfo spid="_x0000_s1260"/>
    <customShpInfo spid="_x0000_s1258"/>
    <customShpInfo spid="_x0000_s1262"/>
    <customShpInfo spid="_x0000_s1263"/>
    <customShpInfo spid="_x0000_s1261"/>
    <customShpInfo spid="_x0000_s1265"/>
    <customShpInfo spid="_x0000_s1266"/>
    <customShpInfo spid="_x0000_s1264"/>
    <customShpInfo spid="_x0000_s1268"/>
    <customShpInfo spid="_x0000_s1269"/>
    <customShpInfo spid="_x0000_s1267"/>
    <customShpInfo spid="_x0000_s1271"/>
    <customShpInfo spid="_x0000_s1272"/>
    <customShpInfo spid="_x0000_s1270"/>
    <customShpInfo spid="_x0000_s1274"/>
    <customShpInfo spid="_x0000_s1275"/>
    <customShpInfo spid="_x0000_s1273"/>
    <customShpInfo spid="_x0000_s1277"/>
    <customShpInfo spid="_x0000_s1278"/>
    <customShpInfo spid="_x0000_s1276"/>
    <customShpInfo spid="_x0000_s1279"/>
    <customShpInfo spid="_x0000_s1281"/>
    <customShpInfo spid="_x0000_s1282"/>
    <customShpInfo spid="_x0000_s1283"/>
    <customShpInfo spid="_x0000_s1284"/>
    <customShpInfo spid="_x0000_s1285"/>
    <customShpInfo spid="_x0000_s1286"/>
    <customShpInfo spid="_x0000_s1287"/>
    <customShpInfo spid="_x0000_s1288"/>
    <customShpInfo spid="_x0000_s1289"/>
    <customShpInfo spid="_x0000_s1290"/>
    <customShpInfo spid="_x0000_s1291"/>
    <customShpInfo spid="_x0000_s1280"/>
    <customShpInfo spid="_x0000_s1293"/>
    <customShpInfo spid="_x0000_s1294"/>
    <customShpInfo spid="_x0000_s1292"/>
    <customShpInfo spid="_x0000_s1295"/>
    <customShpInfo spid="_x0000_s1297"/>
    <customShpInfo spid="_x0000_s1298"/>
    <customShpInfo spid="_x0000_s1296"/>
    <customShpInfo spid="_x0000_s1300"/>
    <customShpInfo spid="_x0000_s1301"/>
    <customShpInfo spid="_x0000_s1299"/>
    <customShpInfo spid="_x0000_s1303"/>
    <customShpInfo spid="_x0000_s1304"/>
    <customShpInfo spid="_x0000_s1302"/>
    <customShpInfo spid="_x0000_s1305"/>
    <customShpInfo spid="_x0000_s1307"/>
    <customShpInfo spid="_x0000_s1308"/>
    <customShpInfo spid="_x0000_s1306"/>
    <customShpInfo spid="_x0000_s1310"/>
    <customShpInfo spid="_x0000_s1311"/>
    <customShpInfo spid="_x0000_s1309"/>
    <customShpInfo spid="_x0000_s1312"/>
    <customShpInfo spid="_x0000_s1313"/>
    <customShpInfo spid="_x0000_s1315"/>
    <customShpInfo spid="_x0000_s1316"/>
    <customShpInfo spid="_x0000_s1317"/>
    <customShpInfo spid="_x0000_s1318"/>
    <customShpInfo spid="_x0000_s1319"/>
    <customShpInfo spid="_x0000_s1320"/>
    <customShpInfo spid="_x0000_s1321"/>
    <customShpInfo spid="_x0000_s1322"/>
    <customShpInfo spid="_x0000_s1323"/>
    <customShpInfo spid="_x0000_s1324"/>
    <customShpInfo spid="_x0000_s1325"/>
    <customShpInfo spid="_x0000_s1314"/>
    <customShpInfo spid="_x0000_s1327"/>
    <customShpInfo spid="_x0000_s1328"/>
    <customShpInfo spid="_x0000_s1329"/>
    <customShpInfo spid="_x0000_s1330"/>
    <customShpInfo spid="_x0000_s1331"/>
    <customShpInfo spid="_x0000_s1332"/>
    <customShpInfo spid="_x0000_s1333"/>
    <customShpInfo spid="_x0000_s1334"/>
    <customShpInfo spid="_x0000_s1335"/>
    <customShpInfo spid="_x0000_s1336"/>
    <customShpInfo spid="_x0000_s1337"/>
    <customShpInfo spid="_x0000_s1326"/>
    <customShpInfo spid="_x0000_s1339"/>
    <customShpInfo spid="_x0000_s1340"/>
    <customShpInfo spid="_x0000_s1341"/>
    <customShpInfo spid="_x0000_s1342"/>
    <customShpInfo spid="_x0000_s1343"/>
    <customShpInfo spid="_x0000_s1344"/>
    <customShpInfo spid="_x0000_s1345"/>
    <customShpInfo spid="_x0000_s1346"/>
    <customShpInfo spid="_x0000_s1347"/>
    <customShpInfo spid="_x0000_s1338"/>
    <customShpInfo spid="_x0000_s1349"/>
    <customShpInfo spid="_x0000_s1350"/>
    <customShpInfo spid="_x0000_s1351"/>
    <customShpInfo spid="_x0000_s1352"/>
    <customShpInfo spid="_x0000_s1353"/>
    <customShpInfo spid="_x0000_s1354"/>
    <customShpInfo spid="_x0000_s1355"/>
    <customShpInfo spid="_x0000_s1356"/>
    <customShpInfo spid="_x0000_s1357"/>
    <customShpInfo spid="_x0000_s1358"/>
    <customShpInfo spid="_x0000_s1359"/>
    <customShpInfo spid="_x0000_s1348"/>
    <customShpInfo spid="_x0000_s1361"/>
    <customShpInfo spid="_x0000_s1362"/>
    <customShpInfo spid="_x0000_s1363"/>
    <customShpInfo spid="_x0000_s1364"/>
    <customShpInfo spid="_x0000_s1365"/>
    <customShpInfo spid="_x0000_s1366"/>
    <customShpInfo spid="_x0000_s1367"/>
    <customShpInfo spid="_x0000_s1368"/>
    <customShpInfo spid="_x0000_s1369"/>
    <customShpInfo spid="_x0000_s1370"/>
    <customShpInfo spid="_x0000_s1371"/>
    <customShpInfo spid="_x0000_s1360"/>
    <customShpInfo spid="_x0000_s1372"/>
    <customShpInfo spid="_x0000_s1374"/>
    <customShpInfo spid="_x0000_s1375"/>
    <customShpInfo spid="_x0000_s1376"/>
    <customShpInfo spid="_x0000_s1377"/>
    <customShpInfo spid="_x0000_s1378"/>
    <customShpInfo spid="_x0000_s1379"/>
    <customShpInfo spid="_x0000_s1380"/>
    <customShpInfo spid="_x0000_s1381"/>
    <customShpInfo spid="_x0000_s1382"/>
    <customShpInfo spid="_x0000_s1373"/>
    <customShpInfo spid="_x0000_s1384"/>
    <customShpInfo spid="_x0000_s1385"/>
    <customShpInfo spid="_x0000_s1386"/>
    <customShpInfo spid="_x0000_s1387"/>
    <customShpInfo spid="_x0000_s1388"/>
    <customShpInfo spid="_x0000_s1389"/>
    <customShpInfo spid="_x0000_s1390"/>
    <customShpInfo spid="_x0000_s1391"/>
    <customShpInfo spid="_x0000_s1392"/>
    <customShpInfo spid="_x0000_s1383"/>
    <customShpInfo spid="_x0000_s1394"/>
    <customShpInfo spid="_x0000_s1395"/>
    <customShpInfo spid="_x0000_s1396"/>
    <customShpInfo spid="_x0000_s1397"/>
    <customShpInfo spid="_x0000_s1398"/>
    <customShpInfo spid="_x0000_s1399"/>
    <customShpInfo spid="_x0000_s1400"/>
    <customShpInfo spid="_x0000_s1401"/>
    <customShpInfo spid="_x0000_s1402"/>
    <customShpInfo spid="_x0000_s1403"/>
    <customShpInfo spid="_x0000_s1404"/>
    <customShpInfo spid="_x0000_s1405"/>
    <customShpInfo spid="_x0000_s1406"/>
    <customShpInfo spid="_x0000_s1407"/>
    <customShpInfo spid="_x0000_s1408"/>
    <customShpInfo spid="_x0000_s1409"/>
    <customShpInfo spid="_x0000_s1410"/>
    <customShpInfo spid="_x0000_s1411"/>
    <customShpInfo spid="_x0000_s1412"/>
    <customShpInfo spid="_x0000_s1413"/>
    <customShpInfo spid="_x0000_s1414"/>
    <customShpInfo spid="_x0000_s1415"/>
    <customShpInfo spid="_x0000_s1416"/>
    <customShpInfo spid="_x0000_s1417"/>
    <customShpInfo spid="_x0000_s1418"/>
    <customShpInfo spid="_x0000_s1393"/>
    <customShpInfo spid="_x0000_s1420"/>
    <customShpInfo spid="_x0000_s1421"/>
    <customShpInfo spid="_x0000_s1422"/>
    <customShpInfo spid="_x0000_s1423"/>
    <customShpInfo spid="_x0000_s1424"/>
    <customShpInfo spid="_x0000_s1425"/>
    <customShpInfo spid="_x0000_s1426"/>
    <customShpInfo spid="_x0000_s1427"/>
    <customShpInfo spid="_x0000_s1428"/>
    <customShpInfo spid="_x0000_s1429"/>
    <customShpInfo spid="_x0000_s1430"/>
    <customShpInfo spid="_x0000_s1431"/>
    <customShpInfo spid="_x0000_s1432"/>
    <customShpInfo spid="_x0000_s1433"/>
    <customShpInfo spid="_x0000_s1434"/>
    <customShpInfo spid="_x0000_s1435"/>
    <customShpInfo spid="_x0000_s1436"/>
    <customShpInfo spid="_x0000_s1419"/>
    <customShpInfo spid="_x0000_s1437"/>
    <customShpInfo spid="_x0000_s1438"/>
    <customShpInfo spid="_x0000_s1439"/>
    <customShpInfo spid="_x0000_s1440"/>
    <customShpInfo spid="_x0000_s1441"/>
    <customShpInfo spid="_x0000_s1442"/>
    <customShpInfo spid="_x0000_s1444"/>
    <customShpInfo spid="_x0000_s1445"/>
    <customShpInfo spid="_x0000_s1446"/>
    <customShpInfo spid="_x0000_s1447"/>
    <customShpInfo spid="_x0000_s1448"/>
    <customShpInfo spid="_x0000_s1449"/>
    <customShpInfo spid="_x0000_s1450"/>
    <customShpInfo spid="_x0000_s1451"/>
    <customShpInfo spid="_x0000_s1452"/>
    <customShpInfo spid="_x0000_s1453"/>
    <customShpInfo spid="_x0000_s1454"/>
    <customShpInfo spid="_x0000_s1455"/>
    <customShpInfo spid="_x0000_s1456"/>
    <customShpInfo spid="_x0000_s1457"/>
    <customShpInfo spid="_x0000_s1458"/>
    <customShpInfo spid="_x0000_s1459"/>
    <customShpInfo spid="_x0000_s1460"/>
    <customShpInfo spid="_x0000_s1443"/>
    <customShpInfo spid="_x0000_s1461"/>
    <customShpInfo spid="_x0000_s1463"/>
    <customShpInfo spid="_x0000_s1464"/>
    <customShpInfo spid="_x0000_s1465"/>
    <customShpInfo spid="_x0000_s1466"/>
    <customShpInfo spid="_x0000_s1467"/>
    <customShpInfo spid="_x0000_s1468"/>
    <customShpInfo spid="_x0000_s1469"/>
    <customShpInfo spid="_x0000_s1470"/>
    <customShpInfo spid="_x0000_s1471"/>
    <customShpInfo spid="_x0000_s1472"/>
    <customShpInfo spid="_x0000_s1473"/>
    <customShpInfo spid="_x0000_s1462"/>
    <customShpInfo spid="_x0000_s1474"/>
    <customShpInfo spid="_x0000_s1475"/>
    <customShpInfo spid="_x0000_s1476"/>
    <customShpInfo spid="_x0000_s1478"/>
    <customShpInfo spid="_x0000_s1479"/>
    <customShpInfo spid="_x0000_s1480"/>
    <customShpInfo spid="_x0000_s1481"/>
    <customShpInfo spid="_x0000_s1482"/>
    <customShpInfo spid="_x0000_s1483"/>
    <customShpInfo spid="_x0000_s1484"/>
    <customShpInfo spid="_x0000_s1485"/>
    <customShpInfo spid="_x0000_s1486"/>
    <customShpInfo spid="_x0000_s1487"/>
    <customShpInfo spid="_x0000_s1488"/>
    <customShpInfo spid="_x0000_s1477"/>
    <customShpInfo spid="_x0000_s1489"/>
    <customShpInfo spid="_x0000_s1490"/>
    <customShpInfo spid="_x0000_s1491"/>
    <customShpInfo spid="_x0000_s1492"/>
    <customShpInfo spid="_x0000_s1494"/>
    <customShpInfo spid="_x0000_s1495"/>
    <customShpInfo spid="_x0000_s1496"/>
    <customShpInfo spid="_x0000_s1497"/>
    <customShpInfo spid="_x0000_s1498"/>
    <customShpInfo spid="_x0000_s1493"/>
    <customShpInfo spid="_x0000_s1500"/>
    <customShpInfo spid="_x0000_s1501"/>
    <customShpInfo spid="_x0000_s1502"/>
    <customShpInfo spid="_x0000_s1503"/>
    <customShpInfo spid="_x0000_s1504"/>
    <customShpInfo spid="_x0000_s1505"/>
    <customShpInfo spid="_x0000_s1499"/>
    <customShpInfo spid="_x0000_s1507"/>
    <customShpInfo spid="_x0000_s1508"/>
    <customShpInfo spid="_x0000_s1509"/>
    <customShpInfo spid="_x0000_s1510"/>
    <customShpInfo spid="_x0000_s1511"/>
    <customShpInfo spid="_x0000_s1506"/>
    <customShpInfo spid="_x0000_s1513"/>
    <customShpInfo spid="_x0000_s1514"/>
    <customShpInfo spid="_x0000_s1515"/>
    <customShpInfo spid="_x0000_s1516"/>
    <customShpInfo spid="_x0000_s1517"/>
    <customShpInfo spid="_x0000_s1518"/>
    <customShpInfo spid="_x0000_s1519"/>
    <customShpInfo spid="_x0000_s1520"/>
    <customShpInfo spid="_x0000_s1521"/>
    <customShpInfo spid="_x0000_s1522"/>
    <customShpInfo spid="_x0000_s1523"/>
    <customShpInfo spid="_x0000_s1524"/>
    <customShpInfo spid="_x0000_s1525"/>
    <customShpInfo spid="_x0000_s1526"/>
    <customShpInfo spid="_x0000_s1527"/>
    <customShpInfo spid="_x0000_s1528"/>
    <customShpInfo spid="_x0000_s1529"/>
    <customShpInfo spid="_x0000_s1530"/>
    <customShpInfo spid="_x0000_s1531"/>
    <customShpInfo spid="_x0000_s1532"/>
    <customShpInfo spid="_x0000_s1533"/>
    <customShpInfo spid="_x0000_s1534"/>
    <customShpInfo spid="_x0000_s1535"/>
    <customShpInfo spid="_x0000_s1536"/>
    <customShpInfo spid="_x0000_s1537"/>
    <customShpInfo spid="_x0000_s1538"/>
    <customShpInfo spid="_x0000_s1539"/>
    <customShpInfo spid="_x0000_s1540"/>
    <customShpInfo spid="_x0000_s1541"/>
    <customShpInfo spid="_x0000_s1542"/>
    <customShpInfo spid="_x0000_s1543"/>
    <customShpInfo spid="_x0000_s1544"/>
    <customShpInfo spid="_x0000_s1545"/>
    <customShpInfo spid="_x0000_s1546"/>
    <customShpInfo spid="_x0000_s1547"/>
    <customShpInfo spid="_x0000_s1548"/>
    <customShpInfo spid="_x0000_s1549"/>
    <customShpInfo spid="_x0000_s1550"/>
    <customShpInfo spid="_x0000_s1551"/>
    <customShpInfo spid="_x0000_s1552"/>
    <customShpInfo spid="_x0000_s1512"/>
    <customShpInfo spid="_x0000_s1553"/>
    <customShpInfo spid="_x0000_s1555"/>
    <customShpInfo spid="_x0000_s1556"/>
    <customShpInfo spid="_x0000_s1557"/>
    <customShpInfo spid="_x0000_s1558"/>
    <customShpInfo spid="_x0000_s1559"/>
    <customShpInfo spid="_x0000_s1560"/>
    <customShpInfo spid="_x0000_s1561"/>
    <customShpInfo spid="_x0000_s1554"/>
    <customShpInfo spid="_x0000_s1562"/>
    <customShpInfo spid="_x0000_s1564"/>
    <customShpInfo spid="_x0000_s1565"/>
    <customShpInfo spid="_x0000_s1566"/>
    <customShpInfo spid="_x0000_s1567"/>
    <customShpInfo spid="_x0000_s1563"/>
    <customShpInfo spid="_x0000_s1569"/>
    <customShpInfo spid="_x0000_s1570"/>
    <customShpInfo spid="_x0000_s1571"/>
    <customShpInfo spid="_x0000_s1572"/>
    <customShpInfo spid="_x0000_s1573"/>
    <customShpInfo spid="_x0000_s1574"/>
    <customShpInfo spid="_x0000_s1568"/>
    <customShpInfo spid="_x0000_s1576"/>
    <customShpInfo spid="_x0000_s1577"/>
    <customShpInfo spid="_x0000_s1578"/>
    <customShpInfo spid="_x0000_s1579"/>
    <customShpInfo spid="_x0000_s1580"/>
    <customShpInfo spid="_x0000_s1581"/>
    <customShpInfo spid="_x0000_s1582"/>
    <customShpInfo spid="_x0000_s1583"/>
    <customShpInfo spid="_x0000_s1575"/>
    <customShpInfo spid="_x0000_s1585"/>
    <customShpInfo spid="_x0000_s1586"/>
    <customShpInfo spid="_x0000_s1587"/>
    <customShpInfo spid="_x0000_s1588"/>
    <customShpInfo spid="_x0000_s1584"/>
    <customShpInfo spid="_x0000_s1590"/>
    <customShpInfo spid="_x0000_s1591"/>
    <customShpInfo spid="_x0000_s1592"/>
    <customShpInfo spid="_x0000_s1593"/>
    <customShpInfo spid="_x0000_s1594"/>
    <customShpInfo spid="_x0000_s1595"/>
    <customShpInfo spid="_x0000_s1589"/>
    <customShpInfo spid="_x0000_s1596"/>
    <customShpInfo spid="_x0000_s1597"/>
    <customShpInfo spid="_x0000_s1599"/>
    <customShpInfo spid="_x0000_s1600"/>
    <customShpInfo spid="_x0000_s1601"/>
    <customShpInfo spid="_x0000_s1602"/>
    <customShpInfo spid="_x0000_s1598"/>
    <customShpInfo spid="_x0000_s1604"/>
    <customShpInfo spid="_x0000_s1605"/>
    <customShpInfo spid="_x0000_s1606"/>
    <customShpInfo spid="_x0000_s1607"/>
    <customShpInfo spid="_x0000_s1608"/>
    <customShpInfo spid="_x0000_s1603"/>
    <customShpInfo spid="_x0000_s1610"/>
    <customShpInfo spid="_x0000_s1611"/>
    <customShpInfo spid="_x0000_s1612"/>
    <customShpInfo spid="_x0000_s1613"/>
    <customShpInfo spid="_x0000_s1614"/>
    <customShpInfo spid="_x0000_s1615"/>
    <customShpInfo spid="_x0000_s1609"/>
    <customShpInfo spid="_x0000_s1617"/>
    <customShpInfo spid="_x0000_s1618"/>
    <customShpInfo spid="_x0000_s1619"/>
    <customShpInfo spid="_x0000_s1620"/>
    <customShpInfo spid="_x0000_s1621"/>
    <customShpInfo spid="_x0000_s1616"/>
    <customShpInfo spid="_x0000_s1623"/>
    <customShpInfo spid="_x0000_s1624"/>
    <customShpInfo spid="_x0000_s1625"/>
    <customShpInfo spid="_x0000_s1626"/>
    <customShpInfo spid="_x0000_s1627"/>
    <customShpInfo spid="_x0000_s1628"/>
    <customShpInfo spid="_x0000_s1622"/>
    <customShpInfo spid="_x0000_s1630"/>
    <customShpInfo spid="_x0000_s1631"/>
    <customShpInfo spid="_x0000_s1632"/>
    <customShpInfo spid="_x0000_s1633"/>
    <customShpInfo spid="_x0000_s1634"/>
    <customShpInfo spid="_x0000_s1635"/>
    <customShpInfo spid="_x0000_s1629"/>
    <customShpInfo spid="_x0000_s1637"/>
    <customShpInfo spid="_x0000_s1638"/>
    <customShpInfo spid="_x0000_s1639"/>
    <customShpInfo spid="_x0000_s1640"/>
    <customShpInfo spid="_x0000_s1636"/>
    <customShpInfo spid="_x0000_s1641"/>
    <customShpInfo spid="_x0000_s1643"/>
    <customShpInfo spid="_x0000_s1644"/>
    <customShpInfo spid="_x0000_s1645"/>
    <customShpInfo spid="_x0000_s1646"/>
    <customShpInfo spid="_x0000_s1642"/>
    <customShpInfo spid="_x0000_s1647"/>
    <customShpInfo spid="_x0000_s1649"/>
    <customShpInfo spid="_x0000_s1650"/>
    <customShpInfo spid="_x0000_s1651"/>
    <customShpInfo spid="_x0000_s1652"/>
    <customShpInfo spid="_x0000_s1653"/>
    <customShpInfo spid="_x0000_s1654"/>
    <customShpInfo spid="_x0000_s164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心悦</dc:creator>
  <cp:lastModifiedBy>龙风呈祥</cp:lastModifiedBy>
  <cp:revision>0</cp:revision>
  <dcterms:created xsi:type="dcterms:W3CDTF">2024-03-14T04:01:00Z</dcterms:created>
  <dcterms:modified xsi:type="dcterms:W3CDTF">2024-03-14T04:03:04Z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2023-12-29T00:00:00Z</vt:filetime>
  </property>
  <property fmtid="{D5CDD505-2E9C-101B-9397-08002B2CF9AE}" pid="3" name="Creator">
    <vt:lpwstr>Microsoft® Word 2021</vt:lpwstr>
  </property>
  <property fmtid="{D5CDD505-2E9C-101B-9397-08002B2CF9AE}" pid="4" name="ICV">
    <vt:lpwstr>FA3C68140A2046DF9106B50B28AAA893</vt:lpwstr>
  </property>
  <property fmtid="{D5CDD505-2E9C-101B-9397-08002B2CF9AE}" pid="5" name="KSOProductBuildVer">
    <vt:lpwstr>2052-11.1.0.10463</vt:lpwstr>
  </property>
  <property fmtid="{D5CDD505-2E9C-101B-9397-08002B2CF9AE}" pid="6" name="LastSaved">
    <vt:filetime>2024-03-14T00:00:00Z</vt:filetime>
  </property>
</Properties>
</file>