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商用衡器相关行业公司成立方案及可行性研究报告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5640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_Toc25640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663" w:history="1">
        <w:r>
          <w:rPr>
            <w:rFonts w:ascii="仿宋" w:eastAsia="仿宋" w:hAnsi="仿宋" w:cs="仿宋" w:hint="eastAsia"/>
            <w:lang w:eastAsia="zh-CN"/>
          </w:rPr>
          <w:t>一、公司成立背景及可行性分析</w:t>
        </w:r>
        <w:r>
          <w:tab/>
        </w:r>
        <w:r>
          <w:fldChar w:fldCharType="begin"/>
        </w:r>
        <w:r>
          <w:instrText xml:space="preserve"> PAGEREF _Toc7663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17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_Toc3417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59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_Toc30159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71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_Toc12671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31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_Toc5031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48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_Toc4148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98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_Toc18798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3" w:history="1">
        <w:r>
          <w:rPr>
            <w:rFonts w:ascii="仿宋" w:eastAsia="仿宋" w:hAnsi="仿宋" w:cs="仿宋" w:hint="eastAsia"/>
            <w:lang w:eastAsia="zh-CN"/>
          </w:rPr>
          <w:t>(七)、商用衡器项目建设必要性分析</w:t>
        </w:r>
        <w:r>
          <w:tab/>
        </w:r>
        <w:r>
          <w:fldChar w:fldCharType="begin"/>
        </w:r>
        <w:r>
          <w:instrText xml:space="preserve"> PAGEREF _Toc2383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174" w:history="1">
        <w:r>
          <w:rPr>
            <w:rFonts w:ascii="仿宋" w:eastAsia="仿宋" w:hAnsi="仿宋" w:cs="仿宋" w:hint="eastAsia"/>
            <w:lang w:eastAsia="zh-CN"/>
          </w:rPr>
          <w:t>二、行业、市场分析</w:t>
        </w:r>
        <w:r>
          <w:tab/>
        </w:r>
        <w:r>
          <w:fldChar w:fldCharType="begin"/>
        </w:r>
        <w:r>
          <w:instrText xml:space="preserve"> PAGEREF _Toc24174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60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_Toc23160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1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_Toc1811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03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_Toc9803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19" w:history="1">
        <w:r>
          <w:rPr>
            <w:rFonts w:ascii="仿宋" w:eastAsia="仿宋" w:hAnsi="仿宋" w:cs="仿宋" w:hint="eastAsia"/>
            <w:lang w:eastAsia="zh-CN"/>
          </w:rPr>
          <w:t>三、选址分析</w:t>
        </w:r>
        <w:r>
          <w:tab/>
        </w:r>
        <w:r>
          <w:fldChar w:fldCharType="begin"/>
        </w:r>
        <w:r>
          <w:instrText xml:space="preserve"> PAGEREF _Toc1019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23" w:history="1">
        <w:r>
          <w:rPr>
            <w:rFonts w:ascii="仿宋" w:eastAsia="仿宋" w:hAnsi="仿宋" w:cs="仿宋" w:hint="eastAsia"/>
            <w:lang w:eastAsia="zh-CN"/>
          </w:rPr>
          <w:t>(一)、商用衡器项目选址原则</w:t>
        </w:r>
        <w:r>
          <w:tab/>
        </w:r>
        <w:r>
          <w:fldChar w:fldCharType="begin"/>
        </w:r>
        <w:r>
          <w:instrText xml:space="preserve"> PAGEREF _Toc31123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35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_Toc27335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71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_Toc26471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26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_Toc28226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46" w:history="1">
        <w:r>
          <w:rPr>
            <w:rFonts w:ascii="仿宋" w:eastAsia="仿宋" w:hAnsi="仿宋" w:cs="仿宋" w:hint="eastAsia"/>
            <w:lang w:eastAsia="zh-CN"/>
          </w:rPr>
          <w:t>(五)、商用衡器项目选址综合评价</w:t>
        </w:r>
        <w:r>
          <w:tab/>
        </w:r>
        <w:r>
          <w:fldChar w:fldCharType="begin"/>
        </w:r>
        <w:r>
          <w:instrText xml:space="preserve"> PAGEREF _Toc23346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829" w:history="1">
        <w:r>
          <w:rPr>
            <w:rFonts w:ascii="仿宋" w:eastAsia="仿宋" w:hAnsi="仿宋" w:cs="仿宋" w:hint="eastAsia"/>
            <w:lang w:eastAsia="zh-CN"/>
          </w:rPr>
          <w:t>四、发展规划</w:t>
        </w:r>
        <w:r>
          <w:tab/>
        </w:r>
        <w:r>
          <w:fldChar w:fldCharType="begin"/>
        </w:r>
        <w:r>
          <w:instrText xml:space="preserve"> PAGEREF _Toc26829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97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_Toc30697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12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_Toc17212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011" w:history="1">
        <w:r>
          <w:rPr>
            <w:rFonts w:ascii="仿宋" w:eastAsia="仿宋" w:hAnsi="仿宋" w:cs="仿宋" w:hint="eastAsia"/>
            <w:lang w:eastAsia="zh-CN"/>
          </w:rPr>
          <w:t>五、法人治理</w:t>
        </w:r>
        <w:r>
          <w:tab/>
        </w:r>
        <w:r>
          <w:fldChar w:fldCharType="begin"/>
        </w:r>
        <w:r>
          <w:instrText xml:space="preserve"> PAGEREF _Toc22011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77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_Toc25477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11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_Toc15811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14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_Toc27114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79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_Toc10879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864" w:history="1">
        <w:r>
          <w:rPr>
            <w:rFonts w:ascii="仿宋" w:eastAsia="仿宋" w:hAnsi="仿宋" w:cs="仿宋" w:hint="eastAsia"/>
            <w:lang w:eastAsia="zh-CN"/>
          </w:rPr>
          <w:t>六、环境保护分析</w:t>
        </w:r>
        <w:r>
          <w:tab/>
        </w:r>
        <w:r>
          <w:fldChar w:fldCharType="begin"/>
        </w:r>
        <w:r>
          <w:instrText xml:space="preserve"> PAGEREF _Toc30864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4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_Toc544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28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_Toc24728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02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_Toc4202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49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_Toc10549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9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_Toc2109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27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_Toc18527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13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_Toc9213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91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_Toc25091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8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_Toc1658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25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_Toc18925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67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_Toc18367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56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_Toc9656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45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_Toc13745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4217" w:history="1">
        <w:r>
          <w:rPr>
            <w:rFonts w:ascii="仿宋" w:eastAsia="仿宋" w:hAnsi="仿宋" w:cs="仿宋" w:hint="eastAsia"/>
            <w:lang w:eastAsia="zh-CN"/>
          </w:rPr>
          <w:t>七、目标客户和受众分析</w:t>
        </w:r>
        <w:r>
          <w:tab/>
        </w:r>
        <w:r>
          <w:fldChar w:fldCharType="begin"/>
        </w:r>
        <w:r>
          <w:instrText xml:space="preserve"> PAGEREF _Toc14217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79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_Toc20079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18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_Toc24418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34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_Toc27334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77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_Toc4177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6" w:history="1">
        <w:r>
          <w:rPr>
            <w:rFonts w:ascii="仿宋" w:eastAsia="仿宋" w:hAnsi="仿宋" w:cs="仿宋" w:hint="eastAsia"/>
            <w:lang w:eastAsia="zh-CN"/>
          </w:rPr>
          <w:t>八、建设进度分析</w:t>
        </w:r>
        <w:r>
          <w:tab/>
        </w:r>
        <w:r>
          <w:fldChar w:fldCharType="begin"/>
        </w:r>
        <w:r>
          <w:instrText xml:space="preserve"> PAGEREF _Toc316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32" w:history="1">
        <w:r>
          <w:rPr>
            <w:rFonts w:ascii="仿宋" w:eastAsia="仿宋" w:hAnsi="仿宋" w:cs="仿宋" w:hint="eastAsia"/>
            <w:lang w:eastAsia="zh-CN"/>
          </w:rPr>
          <w:t>(一)、商用衡器项目进度安排</w:t>
        </w:r>
        <w:r>
          <w:tab/>
        </w:r>
        <w:r>
          <w:fldChar w:fldCharType="begin"/>
        </w:r>
        <w:r>
          <w:instrText xml:space="preserve"> PAGEREF _Toc8132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87" w:history="1">
        <w:r>
          <w:rPr>
            <w:rFonts w:ascii="仿宋" w:eastAsia="仿宋" w:hAnsi="仿宋" w:cs="仿宋" w:hint="eastAsia"/>
            <w:lang w:eastAsia="zh-CN"/>
          </w:rPr>
          <w:t>(二)、商用衡器项目实施保障措施</w:t>
        </w:r>
        <w:r>
          <w:tab/>
        </w:r>
        <w:r>
          <w:fldChar w:fldCharType="begin"/>
        </w:r>
        <w:r>
          <w:instrText xml:space="preserve"> PAGEREF _Toc28287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630" w:history="1">
        <w:r>
          <w:rPr>
            <w:rFonts w:ascii="仿宋" w:eastAsia="仿宋" w:hAnsi="仿宋" w:cs="仿宋" w:hint="eastAsia"/>
            <w:lang w:eastAsia="zh-CN"/>
          </w:rPr>
          <w:t>九、公司组建背景分析</w:t>
        </w:r>
        <w:r>
          <w:tab/>
        </w:r>
        <w:r>
          <w:fldChar w:fldCharType="begin"/>
        </w:r>
        <w:r>
          <w:instrText xml:space="preserve"> PAGEREF _Toc18630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73" w:history="1">
        <w:r>
          <w:rPr>
            <w:rFonts w:ascii="仿宋" w:eastAsia="仿宋" w:hAnsi="仿宋" w:cs="仿宋" w:hint="eastAsia"/>
            <w:lang w:eastAsia="zh-CN"/>
          </w:rPr>
          <w:t>(一)、商用衡器项目背景分析</w:t>
        </w:r>
        <w:r>
          <w:tab/>
        </w:r>
        <w:r>
          <w:fldChar w:fldCharType="begin"/>
        </w:r>
        <w:r>
          <w:instrText xml:space="preserve"> PAGEREF _Toc22073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39" w:history="1">
        <w:r>
          <w:rPr>
            <w:rFonts w:ascii="仿宋" w:eastAsia="仿宋" w:hAnsi="仿宋" w:cs="仿宋" w:hint="eastAsia"/>
            <w:lang w:eastAsia="zh-CN"/>
          </w:rPr>
          <w:t>(二)、商用衡器项目建设必要性分析</w:t>
        </w:r>
        <w:r>
          <w:tab/>
        </w:r>
        <w:r>
          <w:fldChar w:fldCharType="begin"/>
        </w:r>
        <w:r>
          <w:instrText xml:space="preserve"> PAGEREF _Toc18939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2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_Toc1942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83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_Toc31883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403" w:history="1">
        <w:r>
          <w:rPr>
            <w:rFonts w:ascii="仿宋" w:eastAsia="仿宋" w:hAnsi="仿宋" w:cs="仿宋" w:hint="eastAsia"/>
            <w:lang w:eastAsia="zh-CN"/>
          </w:rPr>
          <w:t>十、商用衡器项目风险分析</w:t>
        </w:r>
        <w:r>
          <w:tab/>
        </w:r>
        <w:r>
          <w:fldChar w:fldCharType="begin"/>
        </w:r>
        <w:r>
          <w:instrText xml:space="preserve"> PAGEREF _Toc27403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38" w:history="1">
        <w:r>
          <w:rPr>
            <w:rFonts w:ascii="仿宋" w:eastAsia="仿宋" w:hAnsi="仿宋" w:cs="仿宋" w:hint="eastAsia"/>
            <w:lang w:eastAsia="zh-CN"/>
          </w:rPr>
          <w:t>(一)、商用衡器项目风险分析</w:t>
        </w:r>
        <w:r>
          <w:tab/>
        </w:r>
        <w:r>
          <w:fldChar w:fldCharType="begin"/>
        </w:r>
        <w:r>
          <w:instrText xml:space="preserve"> PAGEREF _Toc29538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05" w:history="1">
        <w:r>
          <w:rPr>
            <w:rFonts w:ascii="仿宋" w:eastAsia="仿宋" w:hAnsi="仿宋" w:cs="仿宋" w:hint="eastAsia"/>
            <w:lang w:eastAsia="zh-CN"/>
          </w:rPr>
          <w:t>(二)、商用衡器项目风险对策</w:t>
        </w:r>
        <w:r>
          <w:tab/>
        </w:r>
        <w:r>
          <w:fldChar w:fldCharType="begin"/>
        </w:r>
        <w:r>
          <w:instrText xml:space="preserve"> PAGEREF _Toc27405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010" w:history="1">
        <w:r>
          <w:rPr>
            <w:rFonts w:ascii="仿宋" w:eastAsia="仿宋" w:hAnsi="仿宋" w:cs="仿宋" w:hint="eastAsia"/>
            <w:lang w:eastAsia="zh-CN"/>
          </w:rPr>
          <w:t>十一、战略合作伙伴</w:t>
        </w:r>
        <w:r>
          <w:tab/>
        </w:r>
        <w:r>
          <w:fldChar w:fldCharType="begin"/>
        </w:r>
        <w:r>
          <w:instrText xml:space="preserve"> PAGEREF _Toc28010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16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_Toc6116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10" w:history="1">
        <w:r>
          <w:rPr>
            <w:rFonts w:ascii="仿宋" w:eastAsia="仿宋" w:hAnsi="仿宋" w:cs="仿宋" w:hint="eastAsia"/>
            <w:lang w:eastAsia="zh-CN"/>
          </w:rPr>
          <w:t>(二)、合作商用衡器项目</w:t>
        </w:r>
        <w:r>
          <w:tab/>
        </w:r>
        <w:r>
          <w:fldChar w:fldCharType="begin"/>
        </w:r>
        <w:r>
          <w:instrText xml:space="preserve"> PAGEREF _Toc31410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0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_Toc1730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592" w:history="1">
        <w:r>
          <w:rPr>
            <w:rFonts w:ascii="仿宋" w:eastAsia="仿宋" w:hAnsi="仿宋" w:cs="仿宋" w:hint="eastAsia"/>
            <w:lang w:eastAsia="zh-CN"/>
          </w:rPr>
          <w:t>十二、法律和合规事项</w:t>
        </w:r>
        <w:r>
          <w:tab/>
        </w:r>
        <w:r>
          <w:fldChar w:fldCharType="begin"/>
        </w:r>
        <w:r>
          <w:instrText xml:space="preserve"> PAGEREF _Toc29592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58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_Toc11958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66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_Toc6766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07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_Toc23107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10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_Toc17210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008" w:history="1">
        <w:r>
          <w:rPr>
            <w:rFonts w:ascii="仿宋" w:eastAsia="仿宋" w:hAnsi="仿宋" w:cs="仿宋" w:hint="eastAsia"/>
            <w:lang w:eastAsia="zh-CN"/>
          </w:rPr>
          <w:t>十三、未来计划和展望</w:t>
        </w:r>
        <w:r>
          <w:tab/>
        </w:r>
        <w:r>
          <w:fldChar w:fldCharType="begin"/>
        </w:r>
        <w:r>
          <w:instrText xml:space="preserve"> PAGEREF _Toc15008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58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_Toc31358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63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_Toc20963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047" w:history="1">
        <w:r>
          <w:rPr>
            <w:rFonts w:ascii="仿宋" w:eastAsia="仿宋" w:hAnsi="仿宋" w:cs="仿宋" w:hint="eastAsia"/>
            <w:lang w:eastAsia="zh-CN"/>
          </w:rPr>
          <w:t>十四、风险分析</w:t>
        </w:r>
        <w:r>
          <w:tab/>
        </w:r>
        <w:r>
          <w:fldChar w:fldCharType="begin"/>
        </w:r>
        <w:r>
          <w:instrText xml:space="preserve"> PAGEREF _Toc11047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21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_Toc21421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5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_Toc1305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42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_Toc22542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5640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7663"/>
      <w:r>
        <w:rPr>
          <w:rFonts w:ascii="仿宋" w:eastAsia="仿宋" w:hAnsi="仿宋" w:cs="仿宋" w:hint="eastAsia"/>
          <w:sz w:val="28"/>
          <w:lang w:eastAsia="zh-CN"/>
        </w:rPr>
        <w:t>一、公司成立背景及可行性分析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417"/>
      <w:r>
        <w:rPr>
          <w:rFonts w:ascii="仿宋" w:eastAsia="仿宋" w:hAnsi="仿宋" w:cs="仿宋" w:hint="eastAsia"/>
          <w:lang w:eastAsia="zh-CN"/>
        </w:rPr>
        <w:t>(一)、发展思路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深入贯彻落实科学发展观，推动产业转型升级，实现高质量发展。要立足国内市场需求，控制总量扩张，优化产业结构，推动产业向高端化、智能化、绿色化方向发展。同时，要大力发展具有高技术含量、高附加值、高成长性的新产品、新产业和新业态，提升产业发展质量和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推进产业转型升级的过程中，要注重一体化发展，延伸产业链条，增加产品技术含量和附加值。通过实施创新驱动战略，加强技术创新和成果转化，提高产业的核心竞争力和市场竞争力。同时，要注重培育和引进高端人才，为产业发展提供强有力的人才支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更好地促进产业发展，政府应加大对产业转型升级的政策引导和支持力度，完善相关法律法规和政策措施，营造良好的营商环境和发展氛围。同时，要加强对产业发展的监测和评估，及时发现和解决问题，推动产业健康有序发展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30159"/>
      <w:r>
        <w:rPr>
          <w:rFonts w:ascii="仿宋" w:eastAsia="仿宋" w:hAnsi="仿宋" w:cs="仿宋" w:hint="eastAsia"/>
          <w:sz w:val="28"/>
          <w:lang w:eastAsia="zh-CN"/>
        </w:rPr>
        <w:t>(二)、产业发展背景分析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当前，全球经济正处于深度调整期，新一轮技术革命和产业变革蓬勃兴起，对传统产业产生巨大冲击，但也为新兴产业发展提供了重大机遇。我国产业发展正处于由数量规模向质量效益转变的关键时期，必须以供给侧结构性改革为主线，加快转变产业发展方式，推动产业向高端化、智能化、绿色化方向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市场需求不断升级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国内居民收入水平不断提高，消费观念和消费结构正在发生深刻变化，对高品质、个性化、绿色健康的产品需求不断增加。同时，随着全球贸易保护主义加剧和国内环保约束强化，低质量、高能耗、高污染的产品将逐渐被市场淘汰。这种变化为高端产品提供了广阔的市场空间，也将推动传统产业加快转型升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技术创新成为产业发展的关键驱动力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新一轮技术革命和产业变革正在全球范围内深入发展，人工智能、物联网、大数据、云计算等新技术加速推广应用，为产业发展提供了新的动力和支撑。同时，我国在某些领域已经具备了较好的技术积累和人才储备，如人工智能、新能源等领域，这为我国产业转型升级提供了强有力的技术支持和产业基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产业政策支持力度不断加大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https://d.book118.com/968017003134006036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商用衡器相关行业公司成立方案及可行性研究报告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商用衡器相关行业公司成立方案及可行性研究报告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商用衡器相关行业公司成立方案及可行性研究报告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商用衡器相关行业公司成立方案及可行性研究报告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商用衡器相关行业公司成立方案及可行性研究报告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968017003134006036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2024-02-06T01:42:00Z</dcterms:created>
  <dcterms:modified xsi:type="dcterms:W3CDTF">2024-02-06T01:42:34Z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ADD25988B9A047F882CF40835A70D67F_11</vt:lpwstr>
  </property>
  <property fmtid="{D5CDD505-2E9C-101B-9397-08002B2CF9AE}" pid="3" name="KSOProductBuildVer">
    <vt:lpwstr>2052-12.1.0.16250</vt:lpwstr>
  </property>
</Properties>
</file>