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31" w:lineRule="auto"/>
        <w:rPr>
          <w:rFonts w:ascii="Arial"/>
          <w:sz w:val="21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1117562</wp:posOffset>
            </wp:positionH>
            <wp:positionV relativeFrom="page">
              <wp:posOffset>1009670</wp:posOffset>
            </wp:positionV>
            <wp:extent cx="1555753" cy="533386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5753" cy="533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32" w:lineRule="auto"/>
        <w:rPr>
          <w:rFonts w:ascii="Arial"/>
          <w:sz w:val="21"/>
        </w:rPr>
      </w:pPr>
    </w:p>
    <w:p>
      <w:pPr>
        <w:spacing w:before="100" w:line="175" w:lineRule="auto"/>
        <w:ind w:left="2794"/>
        <w:rPr>
          <w:rFonts w:ascii="LiSu" w:eastAsia="LiSu" w:hAnsi="LiSu" w:cs="LiSu"/>
          <w:sz w:val="31"/>
          <w:szCs w:val="31"/>
        </w:rPr>
      </w:pPr>
      <w:r>
        <w:rPr>
          <w:rFonts w:ascii="LiSu" w:eastAsia="LiSu" w:hAnsi="LiSu" w:cs="LiSu"/>
          <w:b/>
          <w:bCs/>
          <w:spacing w:val="-11"/>
          <w:sz w:val="31"/>
          <w:szCs w:val="31"/>
        </w:rPr>
        <w:t>行</w:t>
      </w:r>
      <w:r>
        <w:rPr>
          <w:rFonts w:ascii="LiSu" w:eastAsia="LiSu" w:hAnsi="LiSu" w:cs="LiSu"/>
          <w:spacing w:val="42"/>
          <w:sz w:val="31"/>
          <w:szCs w:val="31"/>
        </w:rPr>
        <w:t xml:space="preserve">  </w:t>
      </w:r>
      <w:r>
        <w:rPr>
          <w:rFonts w:ascii="LiSu" w:eastAsia="LiSu" w:hAnsi="LiSu" w:cs="LiSu"/>
          <w:b/>
          <w:bCs/>
          <w:spacing w:val="-11"/>
          <w:sz w:val="31"/>
          <w:szCs w:val="31"/>
        </w:rPr>
        <w:t>业</w:t>
      </w:r>
      <w:r>
        <w:rPr>
          <w:rFonts w:ascii="LiSu" w:eastAsia="LiSu" w:hAnsi="LiSu" w:cs="LiSu"/>
          <w:spacing w:val="60"/>
          <w:sz w:val="31"/>
          <w:szCs w:val="31"/>
        </w:rPr>
        <w:t xml:space="preserve">  </w:t>
      </w:r>
      <w:r>
        <w:rPr>
          <w:rFonts w:ascii="LiSu" w:eastAsia="LiSu" w:hAnsi="LiSu" w:cs="LiSu"/>
          <w:b/>
          <w:bCs/>
          <w:spacing w:val="-11"/>
          <w:sz w:val="31"/>
          <w:szCs w:val="31"/>
        </w:rPr>
        <w:t>季</w:t>
      </w:r>
      <w:r>
        <w:rPr>
          <w:rFonts w:ascii="LiSu" w:eastAsia="LiSu" w:hAnsi="LiSu" w:cs="LiSu"/>
          <w:spacing w:val="65"/>
          <w:sz w:val="31"/>
          <w:szCs w:val="31"/>
        </w:rPr>
        <w:t xml:space="preserve">  </w:t>
      </w:r>
      <w:r>
        <w:rPr>
          <w:rFonts w:ascii="LiSu" w:eastAsia="LiSu" w:hAnsi="LiSu" w:cs="LiSu"/>
          <w:b/>
          <w:bCs/>
          <w:spacing w:val="-11"/>
          <w:sz w:val="31"/>
          <w:szCs w:val="31"/>
        </w:rPr>
        <w:t>度</w:t>
      </w:r>
      <w:r>
        <w:rPr>
          <w:rFonts w:ascii="LiSu" w:eastAsia="LiSu" w:hAnsi="LiSu" w:cs="LiSu"/>
          <w:spacing w:val="58"/>
          <w:sz w:val="31"/>
          <w:szCs w:val="31"/>
        </w:rPr>
        <w:t xml:space="preserve">  </w:t>
      </w:r>
      <w:r>
        <w:rPr>
          <w:rFonts w:ascii="LiSu" w:eastAsia="LiSu" w:hAnsi="LiSu" w:cs="LiSu"/>
          <w:b/>
          <w:bCs/>
          <w:spacing w:val="-11"/>
          <w:sz w:val="31"/>
          <w:szCs w:val="31"/>
        </w:rPr>
        <w:t>分</w:t>
      </w:r>
      <w:r>
        <w:rPr>
          <w:rFonts w:ascii="LiSu" w:eastAsia="LiSu" w:hAnsi="LiSu" w:cs="LiSu"/>
          <w:spacing w:val="58"/>
          <w:sz w:val="31"/>
          <w:szCs w:val="31"/>
        </w:rPr>
        <w:t xml:space="preserve">  </w:t>
      </w:r>
      <w:r>
        <w:rPr>
          <w:rFonts w:ascii="LiSu" w:eastAsia="LiSu" w:hAnsi="LiSu" w:cs="LiSu"/>
          <w:b/>
          <w:bCs/>
          <w:spacing w:val="-11"/>
          <w:sz w:val="31"/>
          <w:szCs w:val="31"/>
        </w:rPr>
        <w:t>析</w:t>
      </w:r>
      <w:r>
        <w:rPr>
          <w:rFonts w:ascii="LiSu" w:eastAsia="LiSu" w:hAnsi="LiSu" w:cs="LiSu"/>
          <w:spacing w:val="61"/>
          <w:sz w:val="31"/>
          <w:szCs w:val="31"/>
        </w:rPr>
        <w:t xml:space="preserve">  </w:t>
      </w:r>
      <w:r>
        <w:rPr>
          <w:rFonts w:ascii="LiSu" w:eastAsia="LiSu" w:hAnsi="LiSu" w:cs="LiSu"/>
          <w:b/>
          <w:bCs/>
          <w:spacing w:val="-11"/>
          <w:sz w:val="31"/>
          <w:szCs w:val="31"/>
        </w:rPr>
        <w:t>报</w:t>
      </w:r>
      <w:r>
        <w:rPr>
          <w:rFonts w:ascii="LiSu" w:eastAsia="LiSu" w:hAnsi="LiSu" w:cs="LiSu"/>
          <w:spacing w:val="66"/>
          <w:sz w:val="31"/>
          <w:szCs w:val="31"/>
        </w:rPr>
        <w:t xml:space="preserve">  </w:t>
      </w:r>
      <w:r>
        <w:rPr>
          <w:rFonts w:ascii="LiSu" w:eastAsia="LiSu" w:hAnsi="LiSu" w:cs="LiSu"/>
          <w:b/>
          <w:bCs/>
          <w:spacing w:val="-11"/>
          <w:sz w:val="31"/>
          <w:szCs w:val="31"/>
        </w:rPr>
        <w:t>告</w:t>
      </w: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before="162" w:line="222" w:lineRule="auto"/>
        <w:ind w:left="2797"/>
        <w:outlineLvl w:val="0"/>
        <w:rPr>
          <w:rFonts w:ascii="SimHei" w:eastAsia="SimHei" w:hAnsi="SimHei" w:cs="SimHei"/>
          <w:sz w:val="50"/>
          <w:szCs w:val="50"/>
        </w:rPr>
      </w:pPr>
      <w:r>
        <w:rPr>
          <w:rFonts w:ascii="SimHei" w:eastAsia="SimHei" w:hAnsi="SimHei" w:cs="SimHei"/>
          <w:b/>
          <w:bCs/>
          <w:spacing w:val="-27"/>
          <w:sz w:val="50"/>
          <w:szCs w:val="50"/>
        </w:rPr>
        <w:t>医</w:t>
      </w:r>
      <w:r>
        <w:rPr>
          <w:rFonts w:ascii="SimHei" w:eastAsia="SimHei" w:hAnsi="SimHei" w:cs="SimHei"/>
          <w:spacing w:val="56"/>
          <w:sz w:val="50"/>
          <w:szCs w:val="50"/>
        </w:rPr>
        <w:t xml:space="preserve"> </w:t>
      </w:r>
      <w:r>
        <w:rPr>
          <w:rFonts w:ascii="SimHei" w:eastAsia="SimHei" w:hAnsi="SimHei" w:cs="SimHei"/>
          <w:b/>
          <w:bCs/>
          <w:spacing w:val="-27"/>
          <w:sz w:val="50"/>
          <w:szCs w:val="50"/>
        </w:rPr>
        <w:t>药</w:t>
      </w:r>
      <w:r>
        <w:rPr>
          <w:rFonts w:ascii="SimHei" w:eastAsia="SimHei" w:hAnsi="SimHei" w:cs="SimHei"/>
          <w:spacing w:val="50"/>
          <w:sz w:val="50"/>
          <w:szCs w:val="50"/>
        </w:rPr>
        <w:t xml:space="preserve"> </w:t>
      </w:r>
      <w:r>
        <w:rPr>
          <w:rFonts w:ascii="SimHei" w:eastAsia="SimHei" w:hAnsi="SimHei" w:cs="SimHei"/>
          <w:b/>
          <w:bCs/>
          <w:spacing w:val="-27"/>
          <w:sz w:val="50"/>
          <w:szCs w:val="50"/>
        </w:rPr>
        <w:t>行</w:t>
      </w:r>
      <w:r>
        <w:rPr>
          <w:rFonts w:ascii="SimHei" w:eastAsia="SimHei" w:hAnsi="SimHei" w:cs="SimHei"/>
          <w:spacing w:val="56"/>
          <w:sz w:val="50"/>
          <w:szCs w:val="50"/>
        </w:rPr>
        <w:t xml:space="preserve"> </w:t>
      </w:r>
      <w:r>
        <w:rPr>
          <w:rFonts w:ascii="SimHei" w:eastAsia="SimHei" w:hAnsi="SimHei" w:cs="SimHei"/>
          <w:b/>
          <w:bCs/>
          <w:spacing w:val="-27"/>
          <w:sz w:val="50"/>
          <w:szCs w:val="50"/>
        </w:rPr>
        <w:t>业</w: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81" w:line="222" w:lineRule="auto"/>
        <w:ind w:left="3343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b/>
          <w:bCs/>
          <w:spacing w:val="-5"/>
          <w:sz w:val="25"/>
          <w:szCs w:val="25"/>
        </w:rPr>
        <w:t>(2023年四季度)</w:t>
      </w:r>
    </w:p>
    <w:p>
      <w:pPr>
        <w:pStyle w:val="BodyText"/>
        <w:spacing w:before="322" w:line="220" w:lineRule="auto"/>
        <w:ind w:left="33"/>
        <w:rPr>
          <w:sz w:val="25"/>
          <w:szCs w:val="25"/>
        </w:rPr>
      </w:pPr>
      <w:r>
        <w:rPr>
          <w:b/>
          <w:bCs/>
          <w:spacing w:val="-5"/>
          <w:sz w:val="25"/>
          <w:szCs w:val="25"/>
        </w:rPr>
        <w:t>要点提示</w:t>
      </w:r>
    </w:p>
    <w:p>
      <w:pPr>
        <w:pStyle w:val="BodyText"/>
        <w:spacing w:before="309" w:line="344" w:lineRule="auto"/>
        <w:ind w:left="400" w:hanging="370"/>
      </w:pPr>
      <w:r>
        <w:rPr>
          <w:spacing w:val="-3"/>
        </w:rPr>
        <w:t>★</w:t>
      </w:r>
      <w:r>
        <w:rPr>
          <w:spacing w:val="66"/>
        </w:rPr>
        <w:t xml:space="preserve"> </w:t>
      </w:r>
      <w:r>
        <w:rPr>
          <w:b/>
          <w:bCs/>
          <w:spacing w:val="-3"/>
        </w:rPr>
        <w:t>全球经济复苏动力不足，我国经济运行持续回升向好。</w:t>
      </w:r>
      <w:r>
        <w:rPr>
          <w:spacing w:val="-3"/>
        </w:rPr>
        <w:t>从宏观经济形势来看，2023年四</w:t>
      </w:r>
      <w:r>
        <w:t xml:space="preserve">  </w:t>
      </w:r>
      <w:r>
        <w:rPr>
          <w:spacing w:val="-1"/>
        </w:rPr>
        <w:t>季度，全球经济继续呈现复苏稳定性较弱、恢复动力不</w:t>
      </w:r>
      <w:r>
        <w:rPr>
          <w:spacing w:val="-2"/>
        </w:rPr>
        <w:t>足的态势，全球经济增长势头较</w:t>
      </w:r>
      <w:r>
        <w:t xml:space="preserve">  </w:t>
      </w:r>
      <w:r>
        <w:rPr>
          <w:spacing w:val="1"/>
        </w:rPr>
        <w:t>2022年有所放缓。国内方面，国家着力扩大内需、优化结构，经济运行持续回升向好，</w:t>
      </w:r>
      <w:r>
        <w:rPr>
          <w:spacing w:val="4"/>
        </w:rPr>
        <w:t xml:space="preserve"> </w:t>
      </w:r>
      <w:r>
        <w:rPr>
          <w:spacing w:val="1"/>
        </w:rPr>
        <w:t>高质量发展取得新成效。2023年，我国</w:t>
      </w:r>
      <w:r>
        <w:rPr>
          <w:rFonts w:ascii="Times New Roman" w:eastAsia="Times New Roman" w:hAnsi="Times New Roman" w:cs="Times New Roman"/>
        </w:rPr>
        <w:t>GDP</w:t>
      </w:r>
      <w:r>
        <w:rPr>
          <w:rFonts w:ascii="Times New Roman" w:eastAsia="Times New Roman" w:hAnsi="Times New Roman" w:cs="Times New Roman"/>
          <w:spacing w:val="-19"/>
        </w:rPr>
        <w:t xml:space="preserve"> </w:t>
      </w:r>
      <w:r>
        <w:t xml:space="preserve">为1260582亿元，按不变价格计算，比上年  </w:t>
      </w:r>
      <w:r>
        <w:rPr>
          <w:spacing w:val="2"/>
        </w:rPr>
        <w:t>增长5.2%。从产业政策环境来看，2023</w:t>
      </w:r>
      <w:r>
        <w:rPr>
          <w:spacing w:val="-18"/>
        </w:rPr>
        <w:t xml:space="preserve"> </w:t>
      </w:r>
      <w:r>
        <w:rPr>
          <w:spacing w:val="1"/>
        </w:rPr>
        <w:t>年四季度医药行业政策主要集中在以下几个方</w:t>
      </w:r>
      <w:r>
        <w:t xml:space="preserve">  </w:t>
      </w:r>
      <w:r>
        <w:rPr>
          <w:spacing w:val="-4"/>
        </w:rPr>
        <w:t>面：</w:t>
      </w:r>
      <w:r>
        <w:rPr>
          <w:spacing w:val="-5"/>
        </w:rPr>
        <w:t xml:space="preserve"> </w:t>
      </w:r>
      <w:r>
        <w:rPr>
          <w:spacing w:val="-4"/>
        </w:rPr>
        <w:t>一是药品监督与管理逐步趋严，国家药监局明确无参比制剂品种仿制研究要求，药</w:t>
      </w:r>
      <w:r>
        <w:t xml:space="preserve">  </w:t>
      </w:r>
      <w:r>
        <w:rPr>
          <w:spacing w:val="-1"/>
        </w:rPr>
        <w:t>品上市许可持有人委托生产监督管理工作加强，药物临床</w:t>
      </w:r>
      <w:r>
        <w:rPr>
          <w:spacing w:val="-2"/>
        </w:rPr>
        <w:t>试验机构督查办法发布；二是</w:t>
      </w:r>
      <w:r>
        <w:t xml:space="preserve">  </w:t>
      </w:r>
      <w:r>
        <w:rPr>
          <w:spacing w:val="-1"/>
        </w:rPr>
        <w:t>医疗服务政策逐步完善，2023年医疗服务与保障能力提升补助资金下达，国家卫</w:t>
      </w:r>
      <w:r>
        <w:rPr>
          <w:spacing w:val="-2"/>
        </w:rPr>
        <w:t>健委印</w:t>
      </w:r>
      <w:r>
        <w:t xml:space="preserve">  </w:t>
      </w:r>
      <w:r>
        <w:rPr>
          <w:spacing w:val="1"/>
        </w:rPr>
        <w:t>发《突发事件医疗应急工作管理办法(试行)》;三是新版国家医保药品目录发布，越来</w:t>
      </w:r>
      <w:r>
        <w:rPr>
          <w:spacing w:val="6"/>
        </w:rPr>
        <w:t xml:space="preserve">  </w:t>
      </w:r>
      <w:r>
        <w:rPr>
          <w:spacing w:val="-1"/>
        </w:rPr>
        <w:t>越多的创新药产品通过以价换量的方式进入医保，更好地</w:t>
      </w:r>
      <w:r>
        <w:rPr>
          <w:spacing w:val="-2"/>
        </w:rPr>
        <w:t>惠及到更多患者；四是《医疗</w:t>
      </w:r>
    </w:p>
    <w:p>
      <w:pPr>
        <w:pStyle w:val="BodyText"/>
        <w:spacing w:before="1" w:line="218" w:lineRule="auto"/>
        <w:ind w:left="400"/>
      </w:pPr>
      <w:r>
        <w:rPr>
          <w:spacing w:val="-3"/>
        </w:rPr>
        <w:t>器械经营质量管理规范》出台，促进医疗器械行业的规范发展。</w:t>
      </w:r>
    </w:p>
    <w:p>
      <w:pPr>
        <w:pStyle w:val="BodyText"/>
        <w:spacing w:before="293" w:line="336" w:lineRule="auto"/>
        <w:ind w:left="400" w:right="88" w:hanging="370"/>
      </w:pPr>
      <w:r>
        <w:rPr>
          <w:spacing w:val="-4"/>
        </w:rPr>
        <w:t>★</w:t>
      </w:r>
      <w:r>
        <w:rPr>
          <w:spacing w:val="74"/>
        </w:rPr>
        <w:t xml:space="preserve"> </w:t>
      </w:r>
      <w:r>
        <w:rPr>
          <w:b/>
          <w:bCs/>
          <w:spacing w:val="-4"/>
        </w:rPr>
        <w:t>中西药品零售额继续保持较快增长，中药产量累计同比保持增长。</w:t>
      </w:r>
      <w:r>
        <w:rPr>
          <w:spacing w:val="-4"/>
        </w:rPr>
        <w:t xml:space="preserve">2023年四季度，医药 </w:t>
      </w:r>
      <w:r>
        <w:rPr>
          <w:spacing w:val="-6"/>
        </w:rPr>
        <w:t>行业主要运行指标呈现如下特点：</w:t>
      </w:r>
      <w:r>
        <w:rPr>
          <w:spacing w:val="71"/>
        </w:rPr>
        <w:t xml:space="preserve"> </w:t>
      </w:r>
      <w:r>
        <w:rPr>
          <w:spacing w:val="-6"/>
        </w:rPr>
        <w:t>一是国家积极扩大有效投资，持续调动民间投资积极</w:t>
      </w:r>
      <w:r>
        <w:t xml:space="preserve"> </w:t>
      </w:r>
      <w:r>
        <w:rPr>
          <w:spacing w:val="-1"/>
        </w:rPr>
        <w:t>性，投资结构不断优化，医药制造业固定资产投资额保持增长；</w:t>
      </w:r>
      <w:r>
        <w:rPr>
          <w:spacing w:val="-2"/>
        </w:rPr>
        <w:t>二是虽然我国工业生产</w:t>
      </w:r>
      <w:r>
        <w:t xml:space="preserve"> </w:t>
      </w:r>
      <w:r>
        <w:rPr>
          <w:spacing w:val="-1"/>
        </w:rPr>
        <w:t>稳中有升，但国内需求仍显不足，医药行业生产端继续承压，行业工业增</w:t>
      </w:r>
      <w:r>
        <w:rPr>
          <w:spacing w:val="-2"/>
        </w:rPr>
        <w:t>加值同比负增</w:t>
      </w:r>
      <w:r>
        <w:t xml:space="preserve"> </w:t>
      </w:r>
      <w:r>
        <w:rPr>
          <w:spacing w:val="-1"/>
        </w:rPr>
        <w:t>长；三是我国消费市场持续恢复回升，医药行业需求进一</w:t>
      </w:r>
      <w:r>
        <w:rPr>
          <w:spacing w:val="-2"/>
        </w:rPr>
        <w:t>步释放，中西药品零售额继续</w:t>
      </w:r>
      <w:r>
        <w:t xml:space="preserve"> </w:t>
      </w:r>
      <w:r>
        <w:rPr>
          <w:spacing w:val="-1"/>
        </w:rPr>
        <w:t>保持增长；四是部分化学原料药价格仍然维持低位水平，化学药品原药产</w:t>
      </w:r>
      <w:r>
        <w:rPr>
          <w:spacing w:val="-2"/>
        </w:rPr>
        <w:t>量继续呈负增</w:t>
      </w:r>
      <w:r>
        <w:t xml:space="preserve"> </w:t>
      </w:r>
      <w:r>
        <w:rPr>
          <w:spacing w:val="-7"/>
        </w:rPr>
        <w:t>速；五是在人口老龄化加速、疫后时代健康意识大幅提升</w:t>
      </w:r>
      <w:r>
        <w:rPr>
          <w:spacing w:val="-8"/>
        </w:rPr>
        <w:t>的趋势下，随着医保门诊统筹、</w:t>
      </w:r>
      <w:r>
        <w:t xml:space="preserve"> </w:t>
      </w:r>
      <w:r>
        <w:rPr>
          <w:spacing w:val="-1"/>
        </w:rPr>
        <w:t>中医药振兴等政策落地，我国中成药产品产量继</w:t>
      </w:r>
      <w:r>
        <w:rPr>
          <w:spacing w:val="-2"/>
        </w:rPr>
        <w:t>续保持较快增速；六是我国医药行业出</w:t>
      </w:r>
    </w:p>
    <w:p>
      <w:pPr>
        <w:pStyle w:val="BodyText"/>
        <w:spacing w:before="1" w:line="217" w:lineRule="auto"/>
        <w:ind w:left="400"/>
      </w:pPr>
      <w:r>
        <w:rPr>
          <w:spacing w:val="-2"/>
        </w:rPr>
        <w:t>口形势逐步好转，行业出口交货值继续呈负增</w:t>
      </w:r>
      <w:r>
        <w:rPr>
          <w:spacing w:val="-3"/>
        </w:rPr>
        <w:t>速，但降幅持续收窄。</w:t>
      </w:r>
    </w:p>
    <w:p>
      <w:pPr>
        <w:spacing w:line="290" w:lineRule="auto"/>
        <w:rPr>
          <w:rFonts w:ascii="Arial"/>
          <w:sz w:val="21"/>
        </w:rPr>
        <w:sectPr>
          <w:footerReference w:type="default" r:id="rId5"/>
          <w:pgSz w:w="11910" w:h="16840"/>
          <w:pgMar w:top="1431" w:right="1724" w:bottom="1296" w:left="1759" w:header="0" w:footer="1216" w:gutter="0"/>
          <w:cols w:space="708"/>
        </w:sectPr>
      </w:pPr>
    </w:p>
    <w:p>
      <w:pPr>
        <w:pStyle w:val="BodyText"/>
        <w:spacing w:before="68" w:line="335" w:lineRule="auto"/>
        <w:ind w:left="400" w:right="93" w:hanging="370"/>
      </w:pPr>
      <w:r>
        <w:rPr>
          <w:spacing w:val="-2"/>
        </w:rPr>
        <w:t>★</w:t>
      </w:r>
      <w:r>
        <w:rPr>
          <w:spacing w:val="48"/>
        </w:rPr>
        <w:t xml:space="preserve"> </w:t>
      </w:r>
      <w:r>
        <w:rPr>
          <w:b/>
          <w:bCs/>
          <w:spacing w:val="-2"/>
        </w:rPr>
        <w:t>行业销售毛利率有所提高，行业偿债能力有所增强。</w:t>
      </w:r>
      <w:r>
        <w:rPr>
          <w:spacing w:val="-2"/>
        </w:rPr>
        <w:t>2023</w:t>
      </w:r>
      <w:r>
        <w:rPr>
          <w:spacing w:val="-3"/>
        </w:rPr>
        <w:t>年四季度，医药行业主要经济</w:t>
      </w:r>
      <w:r>
        <w:t xml:space="preserve"> </w:t>
      </w:r>
      <w:r>
        <w:rPr>
          <w:spacing w:val="-6"/>
        </w:rPr>
        <w:t>效益指标呈现如下特点：</w:t>
      </w:r>
      <w:r>
        <w:rPr>
          <w:spacing w:val="73"/>
        </w:rPr>
        <w:t xml:space="preserve"> </w:t>
      </w:r>
      <w:r>
        <w:rPr>
          <w:spacing w:val="-6"/>
        </w:rPr>
        <w:t>一是我国国内需求逐步改善，工业生产稳步回升，规模以上工</w:t>
      </w:r>
      <w:r>
        <w:t xml:space="preserve"> </w:t>
      </w:r>
      <w:r>
        <w:rPr>
          <w:spacing w:val="-1"/>
        </w:rPr>
        <w:t>业企业效益持续恢复，主要行业利润积极改善，在此背景下</w:t>
      </w:r>
      <w:r>
        <w:rPr>
          <w:spacing w:val="-2"/>
        </w:rPr>
        <w:t>，医药行业利润总额降幅继</w:t>
      </w:r>
    </w:p>
    <w:p>
      <w:pPr>
        <w:pStyle w:val="BodyText"/>
        <w:spacing w:before="1" w:line="219" w:lineRule="auto"/>
        <w:ind w:left="400"/>
      </w:pPr>
      <w:r>
        <w:rPr>
          <w:spacing w:val="-1"/>
        </w:rPr>
        <w:t>续收窄；二是我国工业经济运行持续回升向好，产业结构持续优化，医</w:t>
      </w:r>
      <w:r>
        <w:rPr>
          <w:spacing w:val="-2"/>
        </w:rPr>
        <w:t>药行业销售毛利</w:t>
      </w:r>
    </w:p>
    <w:p>
      <w:pPr>
        <w:spacing w:line="219" w:lineRule="auto"/>
        <w:sectPr>
          <w:footerReference w:type="default" r:id="rId6"/>
          <w:type w:val="nextPage"/>
          <w:pgSz w:w="11910" w:h="16840"/>
          <w:pgMar w:top="1431" w:right="1724" w:bottom="1296" w:left="1759" w:header="0" w:footer="1216" w:gutter="0"/>
          <w:pgNumType w:start="2"/>
          <w:cols w:space="708"/>
          <w:titlePg w:val="0"/>
        </w:sectPr>
      </w:pPr>
    </w:p>
    <w:p>
      <w:pPr>
        <w:pStyle w:val="BodyText"/>
        <w:spacing w:before="97" w:line="343" w:lineRule="auto"/>
        <w:ind w:left="381" w:right="7" w:firstLine="2"/>
        <w:jc w:val="both"/>
      </w:pPr>
      <w:r>
        <w:rPr>
          <w:spacing w:val="-3"/>
        </w:rPr>
        <w:t>率和销售净利率均有所提高，</w:t>
      </w:r>
      <w:r>
        <w:rPr>
          <w:spacing w:val="-32"/>
        </w:rPr>
        <w:t xml:space="preserve"> </w:t>
      </w:r>
      <w:r>
        <w:rPr>
          <w:spacing w:val="-3"/>
        </w:rPr>
        <w:t>本季度行业盈利能力有所增强；三是医药行业企业经营持</w:t>
      </w:r>
      <w:r>
        <w:t xml:space="preserve"> </w:t>
      </w:r>
      <w:r>
        <w:rPr>
          <w:spacing w:val="-3"/>
        </w:rPr>
        <w:t>续改善，行业资产负债率较上季度有所下降，</w:t>
      </w:r>
      <w:r>
        <w:rPr>
          <w:spacing w:val="-27"/>
        </w:rPr>
        <w:t xml:space="preserve"> </w:t>
      </w:r>
      <w:r>
        <w:rPr>
          <w:spacing w:val="-3"/>
        </w:rPr>
        <w:t>行业偿债能力略有增强；四是医药制造业</w:t>
      </w:r>
      <w:r>
        <w:t xml:space="preserve"> </w:t>
      </w:r>
      <w:r>
        <w:rPr>
          <w:spacing w:val="-1"/>
        </w:rPr>
        <w:t>存货周转率较上季度有所改善，行业经营效率有所提高；五是医药行业所有者权益继续</w:t>
      </w:r>
    </w:p>
    <w:p>
      <w:pPr>
        <w:pStyle w:val="BodyText"/>
        <w:spacing w:line="220" w:lineRule="auto"/>
        <w:ind w:left="383"/>
      </w:pPr>
      <w:r>
        <w:rPr>
          <w:spacing w:val="-7"/>
        </w:rPr>
        <w:t>保持增长， 行业成长能力整体较好。</w:t>
      </w:r>
    </w:p>
    <w:p>
      <w:pPr>
        <w:pStyle w:val="BodyText"/>
        <w:spacing w:before="294" w:line="343" w:lineRule="auto"/>
        <w:ind w:left="381" w:right="7" w:hanging="355"/>
      </w:pPr>
      <w:r>
        <w:rPr>
          <w:spacing w:val="-3"/>
        </w:rPr>
        <w:t>★</w:t>
      </w:r>
      <w:r>
        <w:rPr>
          <w:spacing w:val="54"/>
        </w:rPr>
        <w:t xml:space="preserve"> </w:t>
      </w:r>
      <w:r>
        <w:rPr>
          <w:b/>
          <w:bCs/>
          <w:spacing w:val="-3"/>
        </w:rPr>
        <w:t>我国经济将向潜在增速水平回归，创新药国内上市和出海高潮将到来。</w:t>
      </w:r>
      <w:r>
        <w:rPr>
          <w:spacing w:val="-3"/>
        </w:rPr>
        <w:t>展</w:t>
      </w:r>
      <w:r>
        <w:rPr>
          <w:spacing w:val="-4"/>
        </w:rPr>
        <w:t>望</w:t>
      </w:r>
      <w:r>
        <w:rPr>
          <w:spacing w:val="-22"/>
        </w:rPr>
        <w:t xml:space="preserve"> </w:t>
      </w:r>
      <w:r>
        <w:rPr>
          <w:spacing w:val="-4"/>
        </w:rPr>
        <w:t>2024</w:t>
      </w:r>
      <w:r>
        <w:rPr>
          <w:spacing w:val="-21"/>
        </w:rPr>
        <w:t xml:space="preserve"> </w:t>
      </w:r>
      <w:r>
        <w:rPr>
          <w:spacing w:val="-4"/>
        </w:rPr>
        <w:t>年，</w:t>
      </w:r>
      <w:r>
        <w:t xml:space="preserve">  </w:t>
      </w:r>
      <w:r>
        <w:rPr>
          <w:spacing w:val="-5"/>
        </w:rPr>
        <w:t>全球经济前景黯淡，</w:t>
      </w:r>
      <w:r>
        <w:rPr>
          <w:spacing w:val="-22"/>
        </w:rPr>
        <w:t xml:space="preserve"> </w:t>
      </w:r>
      <w:r>
        <w:rPr>
          <w:spacing w:val="-5"/>
        </w:rPr>
        <w:t>地区分化严重，</w:t>
      </w:r>
      <w:r>
        <w:rPr>
          <w:spacing w:val="-35"/>
        </w:rPr>
        <w:t xml:space="preserve"> </w:t>
      </w:r>
      <w:r>
        <w:rPr>
          <w:spacing w:val="-5"/>
        </w:rPr>
        <w:t>世界经济仍然面临着诸多不确定性，经济复苏基础</w:t>
      </w:r>
      <w:r>
        <w:t xml:space="preserve"> </w:t>
      </w:r>
      <w:r>
        <w:rPr>
          <w:spacing w:val="-6"/>
        </w:rPr>
        <w:t>总体上仍比较脆弱。国内方面，国内需求将持续改善，我国经</w:t>
      </w:r>
      <w:r>
        <w:rPr>
          <w:spacing w:val="-7"/>
        </w:rPr>
        <w:t>济将向潜在增速水平回归。</w:t>
      </w:r>
      <w:r>
        <w:t xml:space="preserve"> </w:t>
      </w:r>
      <w:r>
        <w:rPr>
          <w:spacing w:val="-1"/>
        </w:rPr>
        <w:t>产业政策环境来看，一是国家政策将支持银发经济加速发展；二是国家将鼓励境外药品</w:t>
      </w:r>
      <w:r>
        <w:t xml:space="preserve"> </w:t>
      </w:r>
      <w:r>
        <w:rPr>
          <w:spacing w:val="-1"/>
        </w:rPr>
        <w:t>转境内生产；三是国家继续支持创新药械企业进行创新研发；四是药品网络交易第三方</w:t>
      </w:r>
      <w:r>
        <w:t xml:space="preserve"> </w:t>
      </w:r>
      <w:r>
        <w:rPr>
          <w:spacing w:val="-3"/>
        </w:rPr>
        <w:t>平台检查指南将印发。从行业发展趋势来看，</w:t>
      </w:r>
      <w:r>
        <w:rPr>
          <w:spacing w:val="-27"/>
        </w:rPr>
        <w:t xml:space="preserve"> </w:t>
      </w:r>
      <w:r>
        <w:rPr>
          <w:spacing w:val="-3"/>
        </w:rPr>
        <w:t>创新药国内上市和出海高潮将到来；医疗</w:t>
      </w:r>
      <w:r>
        <w:t xml:space="preserve"> </w:t>
      </w:r>
      <w:r>
        <w:rPr>
          <w:spacing w:val="-2"/>
        </w:rPr>
        <w:t>器械领域迎来进口替代加速的新机遇；中药行业景</w:t>
      </w:r>
      <w:r>
        <w:rPr>
          <w:spacing w:val="-3"/>
        </w:rPr>
        <w:t>气度持续向上；2024</w:t>
      </w:r>
      <w:r>
        <w:rPr>
          <w:spacing w:val="-43"/>
        </w:rPr>
        <w:t xml:space="preserve"> </w:t>
      </w:r>
      <w:r>
        <w:rPr>
          <w:spacing w:val="-3"/>
        </w:rPr>
        <w:t>年医药商业模式</w:t>
      </w:r>
    </w:p>
    <w:p>
      <w:pPr>
        <w:pStyle w:val="BodyText"/>
        <w:spacing w:line="219" w:lineRule="auto"/>
        <w:ind w:left="385"/>
      </w:pPr>
      <w:r>
        <w:rPr>
          <w:spacing w:val="-2"/>
        </w:rPr>
        <w:t>或大幅变革。</w:t>
      </w:r>
    </w:p>
    <w:p>
      <w:pPr>
        <w:spacing w:line="219" w:lineRule="auto"/>
        <w:sectPr>
          <w:footerReference w:type="default" r:id="rId7"/>
          <w:pgSz w:w="11907" w:h="16839"/>
          <w:pgMar w:top="1431" w:right="1785" w:bottom="1362" w:left="1785" w:header="0" w:footer="1201" w:gutter="0"/>
          <w:pgNumType w:start="3"/>
          <w:cols w:space="708"/>
        </w:sectPr>
      </w:pPr>
    </w:p>
    <w:p>
      <w:pPr>
        <w:spacing w:line="357" w:lineRule="auto"/>
        <w:rPr>
          <w:rFonts w:ascii="Arial"/>
          <w:sz w:val="21"/>
        </w:rPr>
      </w:pPr>
    </w:p>
    <w:p>
      <w:pPr>
        <w:spacing w:before="169" w:line="218" w:lineRule="auto"/>
        <w:ind w:left="2379"/>
        <w:rPr>
          <w:rFonts w:ascii="SimHei" w:eastAsia="SimHei" w:hAnsi="SimHei" w:cs="SimHei"/>
          <w:sz w:val="52"/>
          <w:szCs w:val="52"/>
        </w:rPr>
      </w:pPr>
      <w:r>
        <w:rPr>
          <w:rFonts w:ascii="SimHei" w:eastAsia="SimHei" w:hAnsi="SimHei" w:cs="SimHei"/>
          <w:b/>
          <w:bCs/>
          <w:spacing w:val="-7"/>
          <w:sz w:val="52"/>
          <w:szCs w:val="52"/>
        </w:rPr>
        <w:t>版权与免责声明</w:t>
      </w:r>
    </w:p>
    <w:p>
      <w:pPr>
        <w:pStyle w:val="BodyText"/>
        <w:spacing w:before="143" w:line="280" w:lineRule="auto"/>
        <w:ind w:left="35" w:right="24" w:firstLine="484"/>
        <w:jc w:val="both"/>
      </w:pPr>
      <w:r>
        <w:rPr>
          <w:spacing w:val="1"/>
        </w:rPr>
        <w:t>本报告版权属于北京国研网信息股份有限公司。任何购买、收存和保管本报告各种版</w:t>
      </w:r>
      <w:r>
        <w:rPr>
          <w:spacing w:val="5"/>
        </w:rPr>
        <w:t xml:space="preserve"> </w:t>
      </w:r>
      <w:r>
        <w:rPr>
          <w:spacing w:val="-2"/>
        </w:rPr>
        <w:t>本的单位和个人，未经北京国研网信息股份有限公司允</w:t>
      </w:r>
      <w:r>
        <w:rPr>
          <w:spacing w:val="-3"/>
        </w:rPr>
        <w:t>许，不得将本报告转借他人，亦不得</w:t>
      </w:r>
      <w:r>
        <w:t xml:space="preserve"> </w:t>
      </w:r>
      <w:r>
        <w:rPr>
          <w:spacing w:val="-4"/>
        </w:rPr>
        <w:t>随意复制、抄录、拍照或以任何方式传播。违反上述声明者，</w:t>
      </w:r>
      <w:r>
        <w:rPr>
          <w:spacing w:val="-41"/>
        </w:rPr>
        <w:t xml:space="preserve"> </w:t>
      </w:r>
      <w:r>
        <w:rPr>
          <w:spacing w:val="-4"/>
        </w:rPr>
        <w:t>北京国研网信息股份有限公司</w:t>
      </w:r>
      <w:r>
        <w:t xml:space="preserve"> </w:t>
      </w:r>
      <w:r>
        <w:rPr>
          <w:spacing w:val="-2"/>
        </w:rPr>
        <w:t>将追究其相关法律责任。</w:t>
      </w:r>
    </w:p>
    <w:p>
      <w:pPr>
        <w:pStyle w:val="BodyText"/>
        <w:spacing w:before="304" w:line="343" w:lineRule="auto"/>
        <w:ind w:left="39" w:right="24" w:firstLine="417"/>
        <w:jc w:val="both"/>
      </w:pPr>
      <w:r>
        <w:rPr>
          <w:spacing w:val="-6"/>
        </w:rPr>
        <w:t>欢迎读者对本报告提出任何问题或建议。同时，</w:t>
      </w:r>
      <w:r>
        <w:rPr>
          <w:spacing w:val="31"/>
        </w:rPr>
        <w:t xml:space="preserve"> </w:t>
      </w:r>
      <w:r>
        <w:rPr>
          <w:spacing w:val="-6"/>
        </w:rPr>
        <w:t>由于任何研究都会具有一</w:t>
      </w:r>
      <w:r>
        <w:rPr>
          <w:spacing w:val="-7"/>
        </w:rPr>
        <w:t>定程度的不足</w:t>
      </w:r>
      <w:r>
        <w:t xml:space="preserve"> </w:t>
      </w:r>
      <w:r>
        <w:rPr>
          <w:spacing w:val="-4"/>
        </w:rPr>
        <w:t>或局限性，因此，</w:t>
      </w:r>
      <w:r>
        <w:rPr>
          <w:spacing w:val="-45"/>
        </w:rPr>
        <w:t xml:space="preserve"> </w:t>
      </w:r>
      <w:r>
        <w:rPr>
          <w:spacing w:val="-4"/>
        </w:rPr>
        <w:t>本报告仅供读者参考。北京国研网信息股份有限公司不承担读者由于阅读</w:t>
      </w:r>
    </w:p>
    <w:p>
      <w:pPr>
        <w:pStyle w:val="BodyText"/>
        <w:spacing w:line="219" w:lineRule="auto"/>
        <w:ind w:left="39"/>
      </w:pPr>
      <w:r>
        <w:rPr>
          <w:spacing w:val="-2"/>
        </w:rPr>
        <w:t>或使用此报告引起的投资、决策等行为风险。</w:t>
      </w:r>
    </w:p>
    <w:p>
      <w:pPr>
        <w:spacing w:line="219" w:lineRule="auto"/>
        <w:sectPr>
          <w:headerReference w:type="default" r:id="rId8"/>
          <w:footerReference w:type="default" r:id="rId9"/>
          <w:pgSz w:w="11907" w:h="16839"/>
          <w:pgMar w:top="1118" w:right="1769" w:bottom="1362" w:left="1771" w:header="877" w:footer="1201" w:gutter="0"/>
          <w:pgNumType w:start="4"/>
          <w:cols w:space="708"/>
        </w:sect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sdt>
      <w:sdtPr>
        <w:rPr>
          <w:rFonts w:ascii="SimSun" w:eastAsia="SimSun" w:hAnsi="SimSun" w:cs="SimSun"/>
          <w:sz w:val="30"/>
          <w:szCs w:val="30"/>
        </w:rPr>
        <w:id w:val="1605428900"/>
        <w:docPartObj>
          <w:docPartGallery w:val="Table of Contents"/>
          <w:docPartUnique/>
        </w:docPartObj>
      </w:sdtPr>
      <w:sdtEndPr>
        <w:rPr>
          <w:rFonts w:ascii="SimSun" w:eastAsia="SimSun" w:hAnsi="SimSun" w:cs="SimSun"/>
          <w:sz w:val="21"/>
          <w:szCs w:val="21"/>
        </w:rPr>
      </w:sdtEndPr>
      <w:sdtContent>
        <w:p>
          <w:pPr>
            <w:pStyle w:val="BodyText"/>
            <w:spacing w:before="98" w:line="222" w:lineRule="auto"/>
            <w:ind w:left="3647"/>
            <w:rPr>
              <w:sz w:val="30"/>
              <w:szCs w:val="30"/>
            </w:rPr>
          </w:pPr>
          <w:r>
            <w:rPr>
              <w:b/>
              <w:bCs/>
              <w:spacing w:val="-38"/>
              <w:sz w:val="30"/>
              <w:szCs w:val="30"/>
            </w:rPr>
            <w:t>目</w:t>
          </w:r>
          <w:r>
            <w:rPr>
              <w:spacing w:val="4"/>
              <w:sz w:val="30"/>
              <w:szCs w:val="30"/>
            </w:rPr>
            <w:t xml:space="preserve">    </w:t>
          </w:r>
          <w:r>
            <w:rPr>
              <w:b/>
              <w:bCs/>
              <w:spacing w:val="-38"/>
              <w:sz w:val="30"/>
              <w:szCs w:val="30"/>
            </w:rPr>
            <w:t>录</w:t>
          </w:r>
        </w:p>
        <w:p>
          <w:pPr>
            <w:spacing w:line="317" w:lineRule="auto"/>
            <w:rPr>
              <w:rFonts w:ascii="Arial"/>
              <w:sz w:val="21"/>
            </w:rPr>
          </w:pPr>
        </w:p>
        <w:p>
          <w:pPr>
            <w:pStyle w:val="BodyText"/>
            <w:spacing w:before="68" w:line="223" w:lineRule="auto"/>
            <w:ind w:left="41"/>
          </w:pPr>
          <w:r>
            <w:rPr>
              <w:b/>
              <w:bCs/>
              <w:spacing w:val="-4"/>
            </w:rPr>
            <w:t>正文目录</w:t>
          </w:r>
        </w:p>
        <w:p>
          <w:pPr>
            <w:pStyle w:val="BodyText"/>
            <w:tabs>
              <w:tab w:val="right" w:leader="dot" w:pos="8330"/>
            </w:tabs>
            <w:spacing w:before="293" w:line="186" w:lineRule="auto"/>
            <w:ind w:left="57"/>
          </w:pPr>
          <w:hyperlink w:anchor="bookmark1" w:history="1">
            <w:r>
              <w:rPr>
                <w:b/>
                <w:bCs/>
                <w:spacing w:val="-3"/>
              </w:rPr>
              <w:t>1</w:t>
            </w:r>
            <w:r>
              <w:rPr>
                <w:spacing w:val="-3"/>
              </w:rPr>
              <w:t xml:space="preserve">  </w:t>
            </w:r>
            <w:r>
              <w:rPr>
                <w:b/>
                <w:bCs/>
                <w:spacing w:val="-3"/>
              </w:rPr>
              <w:t>2023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3"/>
              </w:rPr>
              <w:t>年四季度医药行业发展环境分析</w:t>
            </w:r>
            <w:r>
              <w:rPr>
                <w:spacing w:val="-26"/>
              </w:rPr>
              <w:t xml:space="preserve"> </w:t>
            </w:r>
            <w:r>
              <w:rPr>
                <w14:textOutline w14:w="3831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ab/>
            </w:r>
            <w:r>
              <w:rPr>
                <w:b/>
                <w:bCs/>
                <w:spacing w:val="35"/>
                <w:w w:val="125"/>
              </w:rPr>
              <w:t>5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220" w:line="186" w:lineRule="auto"/>
            <w:ind w:left="472"/>
          </w:pPr>
          <w:hyperlink w:anchor="bookmark2" w:history="1">
            <w:r>
              <w:rPr>
                <w:spacing w:val="-3"/>
              </w:rPr>
              <w:t>1.1</w:t>
            </w:r>
            <w:r>
              <w:rPr>
                <w:spacing w:val="75"/>
              </w:rPr>
              <w:t xml:space="preserve"> </w:t>
            </w:r>
            <w:r>
              <w:rPr>
                <w:spacing w:val="-3"/>
              </w:rPr>
              <w:t>宏观经济环境分析</w:t>
            </w:r>
            <w:r>
              <w:rPr>
                <w:spacing w:val="-43"/>
              </w:rPr>
              <w:t xml:space="preserve"> </w:t>
            </w:r>
            <w:r>
              <w:tab/>
            </w:r>
            <w:r>
              <w:rPr>
                <w:spacing w:val="39"/>
                <w:w w:val="125"/>
              </w:rPr>
              <w:t>5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892"/>
            <w:rPr>
              <w:rFonts w:ascii="Times New Roman" w:eastAsia="Times New Roman" w:hAnsi="Times New Roman" w:cs="Times New Roman"/>
            </w:rPr>
          </w:pPr>
          <w:hyperlink w:anchor="bookmark3" w:history="1">
            <w:r>
              <w:rPr>
                <w:spacing w:val="-2"/>
              </w:rPr>
              <w:t>1.1.1  全球经济复苏动力不足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14"/>
              </w:rPr>
              <w:t>5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892"/>
            <w:rPr>
              <w:rFonts w:ascii="Times New Roman" w:eastAsia="Times New Roman" w:hAnsi="Times New Roman" w:cs="Times New Roman"/>
            </w:rPr>
          </w:pPr>
          <w:hyperlink w:anchor="bookmark4" w:history="1">
            <w:r>
              <w:rPr>
                <w:spacing w:val="-2"/>
              </w:rPr>
              <w:t>1.1.2  我国经济运行持续回升向好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13"/>
              </w:rPr>
              <w:t>6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892"/>
            <w:rPr>
              <w:rFonts w:ascii="Times New Roman" w:eastAsia="Times New Roman" w:hAnsi="Times New Roman" w:cs="Times New Roman"/>
            </w:rPr>
          </w:pPr>
          <w:hyperlink w:anchor="bookmark5" w:history="1">
            <w:r>
              <w:rPr>
                <w:spacing w:val="-1"/>
              </w:rPr>
              <w:t>1.1.3  宏观经济环境促进医药行业健康发展</w:t>
            </w:r>
            <w:r>
              <w:rPr>
                <w:spacing w:val="-68"/>
              </w:rPr>
              <w:t xml:space="preserve"> 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14"/>
              </w:rPr>
              <w:t>8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472"/>
          </w:pPr>
          <w:hyperlink w:anchor="bookmark6" w:history="1">
            <w:r>
              <w:rPr>
                <w:spacing w:val="-3"/>
              </w:rPr>
              <w:t>1.2</w:t>
            </w:r>
            <w:r>
              <w:rPr>
                <w:spacing w:val="75"/>
              </w:rPr>
              <w:t xml:space="preserve"> </w:t>
            </w:r>
            <w:r>
              <w:rPr>
                <w:spacing w:val="-3"/>
              </w:rPr>
              <w:t>产业政策环境分析</w:t>
            </w:r>
            <w:r>
              <w:rPr>
                <w:spacing w:val="-43"/>
              </w:rPr>
              <w:t xml:space="preserve"> </w:t>
            </w:r>
            <w:r>
              <w:tab/>
            </w:r>
            <w:r>
              <w:rPr>
                <w:spacing w:val="31"/>
                <w:w w:val="102"/>
              </w:rPr>
              <w:t>10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892"/>
            <w:rPr>
              <w:rFonts w:ascii="Times New Roman" w:eastAsia="Times New Roman" w:hAnsi="Times New Roman" w:cs="Times New Roman"/>
            </w:rPr>
          </w:pPr>
          <w:hyperlink w:anchor="bookmark7" w:history="1">
            <w:r>
              <w:rPr>
                <w:spacing w:val="-2"/>
              </w:rPr>
              <w:t>1.2.1  药品监督与管理逐步趋严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10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892"/>
            <w:rPr>
              <w:rFonts w:ascii="Times New Roman" w:eastAsia="Times New Roman" w:hAnsi="Times New Roman" w:cs="Times New Roman"/>
            </w:rPr>
          </w:pPr>
          <w:hyperlink w:anchor="bookmark8" w:history="1">
            <w:r>
              <w:rPr>
                <w:spacing w:val="-2"/>
              </w:rPr>
              <w:t>1.2.2  医疗服务政策逐步完善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12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892"/>
            <w:rPr>
              <w:rFonts w:ascii="Times New Roman" w:eastAsia="Times New Roman" w:hAnsi="Times New Roman" w:cs="Times New Roman"/>
            </w:rPr>
          </w:pPr>
          <w:hyperlink w:anchor="bookmark9" w:history="1">
            <w:r>
              <w:rPr>
                <w:spacing w:val="-2"/>
              </w:rPr>
              <w:t>1.2.3  新版国家医保药品目录发布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13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892"/>
            <w:rPr>
              <w:rFonts w:ascii="Times New Roman" w:eastAsia="Times New Roman" w:hAnsi="Times New Roman" w:cs="Times New Roman"/>
            </w:rPr>
          </w:pPr>
          <w:hyperlink w:anchor="bookmark10" w:history="1">
            <w:r>
              <w:rPr>
                <w:spacing w:val="-1"/>
              </w:rPr>
              <w:t>1.2.4  《医疗器械经营质量管理规范》出台</w:t>
            </w:r>
            <w:r>
              <w:rPr>
                <w:spacing w:val="-68"/>
              </w:rPr>
              <w:t xml:space="preserve"> 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14</w:t>
            </w:r>
          </w:hyperlink>
        </w:p>
        <w:p>
          <w:pPr>
            <w:pStyle w:val="BodyText"/>
            <w:tabs>
              <w:tab w:val="right" w:leader="dot" w:pos="8330"/>
            </w:tabs>
            <w:spacing w:before="220" w:line="186" w:lineRule="auto"/>
            <w:ind w:left="44"/>
          </w:pPr>
          <w:hyperlink w:anchor="bookmark11" w:history="1">
            <w:r>
              <w:rPr>
                <w:b/>
                <w:bCs/>
                <w:spacing w:val="-3"/>
              </w:rPr>
              <w:t>2</w:t>
            </w:r>
            <w:r>
              <w:rPr>
                <w:spacing w:val="-3"/>
              </w:rPr>
              <w:t xml:space="preserve">  </w:t>
            </w:r>
            <w:r>
              <w:rPr>
                <w:b/>
                <w:bCs/>
                <w:spacing w:val="-3"/>
              </w:rPr>
              <w:t>2023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-3"/>
              </w:rPr>
              <w:t>年四季度医药行业运行情况分析</w:t>
            </w:r>
            <w:r>
              <w:rPr>
                <w:spacing w:val="-26"/>
              </w:rPr>
              <w:t xml:space="preserve"> </w:t>
            </w:r>
            <w:r>
              <w:rPr>
                <w14:textOutline w14:w="3831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ab/>
            </w:r>
            <w:r>
              <w:rPr>
                <w:b/>
                <w:bCs/>
                <w:spacing w:val="31"/>
              </w:rPr>
              <w:t>15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220" w:line="186" w:lineRule="auto"/>
            <w:ind w:left="459"/>
          </w:pPr>
          <w:hyperlink w:anchor="bookmark12" w:history="1">
            <w:r>
              <w:rPr>
                <w:spacing w:val="-3"/>
              </w:rPr>
              <w:t>2.1</w:t>
            </w:r>
            <w:r>
              <w:rPr>
                <w:spacing w:val="82"/>
              </w:rPr>
              <w:t xml:space="preserve"> </w:t>
            </w:r>
            <w:r>
              <w:rPr>
                <w:spacing w:val="-3"/>
              </w:rPr>
              <w:t>投资情况分析</w:t>
            </w:r>
            <w:r>
              <w:rPr>
                <w:spacing w:val="-45"/>
              </w:rPr>
              <w:t xml:space="preserve"> </w:t>
            </w:r>
            <w:r>
              <w:tab/>
            </w:r>
            <w:r>
              <w:rPr>
                <w:spacing w:val="33"/>
              </w:rPr>
              <w:t>15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459"/>
          </w:pPr>
          <w:hyperlink w:anchor="bookmark13" w:history="1">
            <w:r>
              <w:rPr>
                <w:spacing w:val="-3"/>
              </w:rPr>
              <w:t>2.2</w:t>
            </w:r>
            <w:r>
              <w:rPr>
                <w:spacing w:val="82"/>
              </w:rPr>
              <w:t xml:space="preserve"> </w:t>
            </w:r>
            <w:r>
              <w:rPr>
                <w:spacing w:val="-3"/>
              </w:rPr>
              <w:t>生产情况分析</w:t>
            </w:r>
            <w:r>
              <w:rPr>
                <w:spacing w:val="-45"/>
              </w:rPr>
              <w:t xml:space="preserve"> </w:t>
            </w:r>
            <w:r>
              <w:tab/>
            </w:r>
            <w:r>
              <w:rPr>
                <w:spacing w:val="31"/>
                <w:w w:val="102"/>
              </w:rPr>
              <w:t>16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879"/>
            <w:rPr>
              <w:rFonts w:ascii="Times New Roman" w:eastAsia="Times New Roman" w:hAnsi="Times New Roman" w:cs="Times New Roman"/>
            </w:rPr>
          </w:pPr>
          <w:hyperlink w:anchor="bookmark14" w:history="1">
            <w:r>
              <w:rPr>
                <w:spacing w:val="-1"/>
              </w:rPr>
              <w:t>2.2.1  工业增加值呈负增速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16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879"/>
            <w:rPr>
              <w:rFonts w:ascii="Times New Roman" w:eastAsia="Times New Roman" w:hAnsi="Times New Roman" w:cs="Times New Roman"/>
            </w:rPr>
          </w:pPr>
          <w:hyperlink w:anchor="bookmark15" w:history="1">
            <w:r>
              <w:rPr>
                <w:spacing w:val="-3"/>
              </w:rPr>
              <w:t>2.2.2</w:t>
            </w:r>
            <w:r>
              <w:rPr>
                <w:spacing w:val="20"/>
              </w:rPr>
              <w:t xml:space="preserve">  </w:t>
            </w:r>
            <w:r>
              <w:rPr>
                <w:spacing w:val="-3"/>
              </w:rPr>
              <w:t>中药产量累计同比保持增长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17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459"/>
          </w:pPr>
          <w:hyperlink w:anchor="bookmark16" w:history="1">
            <w:r>
              <w:rPr>
                <w:spacing w:val="-2"/>
              </w:rPr>
              <w:t>2.3</w:t>
            </w:r>
            <w:r>
              <w:rPr>
                <w:spacing w:val="74"/>
              </w:rPr>
              <w:t xml:space="preserve"> </w:t>
            </w:r>
            <w:r>
              <w:rPr>
                <w:spacing w:val="-2"/>
              </w:rPr>
              <w:t>销售情况分析</w:t>
            </w:r>
            <w:r>
              <w:rPr>
                <w:spacing w:val="-46"/>
              </w:rPr>
              <w:t xml:space="preserve"> </w:t>
            </w:r>
            <w:r>
              <w:tab/>
            </w:r>
            <w:r>
              <w:rPr>
                <w:spacing w:val="30"/>
                <w:w w:val="103"/>
              </w:rPr>
              <w:t>18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459"/>
          </w:pPr>
          <w:hyperlink w:anchor="bookmark17" w:history="1">
            <w:r>
              <w:rPr>
                <w:spacing w:val="-4"/>
              </w:rPr>
              <w:t>2.4</w:t>
            </w:r>
            <w:r>
              <w:rPr>
                <w:spacing w:val="91"/>
              </w:rPr>
              <w:t xml:space="preserve"> </w:t>
            </w:r>
            <w:r>
              <w:rPr>
                <w:spacing w:val="-4"/>
              </w:rPr>
              <w:t>出口情况分析</w:t>
            </w:r>
            <w:r>
              <w:rPr>
                <w:spacing w:val="-45"/>
              </w:rPr>
              <w:t xml:space="preserve"> </w:t>
            </w:r>
            <w:r>
              <w:tab/>
            </w:r>
            <w:r>
              <w:rPr>
                <w:spacing w:val="30"/>
                <w:w w:val="103"/>
              </w:rPr>
              <w:t>19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459"/>
          </w:pPr>
          <w:hyperlink w:anchor="bookmark18" w:history="1">
            <w:r>
              <w:rPr>
                <w:spacing w:val="-2"/>
              </w:rPr>
              <w:t>2.5</w:t>
            </w:r>
            <w:r>
              <w:rPr>
                <w:spacing w:val="74"/>
              </w:rPr>
              <w:t xml:space="preserve"> </w:t>
            </w:r>
            <w:r>
              <w:rPr>
                <w:spacing w:val="-2"/>
              </w:rPr>
              <w:t>价格情况分析</w:t>
            </w:r>
            <w:r>
              <w:rPr>
                <w:spacing w:val="-46"/>
              </w:rPr>
              <w:t xml:space="preserve"> </w:t>
            </w:r>
            <w:r>
              <w:tab/>
            </w:r>
            <w:r>
              <w:rPr>
                <w:spacing w:val="20"/>
                <w:w w:val="112"/>
              </w:rPr>
              <w:t>20</w:t>
            </w:r>
          </w:hyperlink>
        </w:p>
        <w:p>
          <w:pPr>
            <w:pStyle w:val="BodyText"/>
            <w:tabs>
              <w:tab w:val="right" w:leader="dot" w:pos="8330"/>
            </w:tabs>
            <w:spacing w:before="221" w:line="186" w:lineRule="auto"/>
            <w:ind w:left="46"/>
          </w:pPr>
          <w:hyperlink w:anchor="bookmark19" w:history="1">
            <w:r>
              <w:rPr>
                <w:b/>
                <w:bCs/>
                <w:spacing w:val="-3"/>
              </w:rPr>
              <w:t>3</w:t>
            </w:r>
            <w:r>
              <w:rPr>
                <w:spacing w:val="-3"/>
              </w:rPr>
              <w:t xml:space="preserve">  </w:t>
            </w:r>
            <w:r>
              <w:rPr>
                <w:b/>
                <w:bCs/>
                <w:spacing w:val="-3"/>
              </w:rPr>
              <w:t>2023</w:t>
            </w:r>
            <w:r>
              <w:rPr>
                <w:spacing w:val="-26"/>
              </w:rPr>
              <w:t xml:space="preserve"> </w:t>
            </w:r>
            <w:r>
              <w:rPr>
                <w:b/>
                <w:bCs/>
                <w:spacing w:val="-3"/>
              </w:rPr>
              <w:t>年四季度医药行业经济效益分析</w:t>
            </w:r>
            <w:r>
              <w:rPr>
                <w:spacing w:val="-26"/>
              </w:rPr>
              <w:t xml:space="preserve"> </w:t>
            </w:r>
            <w:r>
              <w:rPr>
                <w14:textOutline w14:w="3831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ab/>
            </w:r>
            <w:r>
              <w:rPr>
                <w:b/>
                <w:bCs/>
                <w:spacing w:val="31"/>
              </w:rPr>
              <w:t>21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220" w:line="186" w:lineRule="auto"/>
            <w:ind w:left="461"/>
          </w:pPr>
          <w:hyperlink w:anchor="bookmark20" w:history="1">
            <w:r>
              <w:rPr>
                <w:spacing w:val="-3"/>
              </w:rPr>
              <w:t>3.1</w:t>
            </w:r>
            <w:r>
              <w:rPr>
                <w:spacing w:val="80"/>
              </w:rPr>
              <w:t xml:space="preserve"> </w:t>
            </w:r>
            <w:r>
              <w:rPr>
                <w:spacing w:val="-3"/>
              </w:rPr>
              <w:t>盈利能力分析</w:t>
            </w:r>
            <w:r>
              <w:rPr>
                <w:spacing w:val="-45"/>
              </w:rPr>
              <w:t xml:space="preserve"> </w:t>
            </w:r>
            <w:r>
              <w:tab/>
            </w:r>
            <w:r>
              <w:rPr>
                <w:spacing w:val="32"/>
                <w:w w:val="101"/>
              </w:rPr>
              <w:t>21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881"/>
            <w:rPr>
              <w:rFonts w:ascii="Times New Roman" w:eastAsia="Times New Roman" w:hAnsi="Times New Roman" w:cs="Times New Roman"/>
            </w:rPr>
          </w:pPr>
          <w:hyperlink w:anchor="bookmark21" w:history="1">
            <w:r>
              <w:rPr>
                <w:spacing w:val="-1"/>
              </w:rPr>
              <w:t>3.1.1  行业收入及利润均呈负增速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21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881"/>
            <w:rPr>
              <w:rFonts w:ascii="Times New Roman" w:eastAsia="Times New Roman" w:hAnsi="Times New Roman" w:cs="Times New Roman"/>
            </w:rPr>
          </w:pPr>
          <w:hyperlink w:anchor="bookmark22" w:history="1">
            <w:r>
              <w:rPr>
                <w:spacing w:val="-1"/>
              </w:rPr>
              <w:t>3.1.2  行业销售毛利率有所提高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22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461"/>
          </w:pPr>
          <w:hyperlink w:anchor="bookmark23" w:history="1">
            <w:r>
              <w:rPr>
                <w:spacing w:val="-2"/>
              </w:rPr>
              <w:t>3.2</w:t>
            </w:r>
            <w:r>
              <w:rPr>
                <w:spacing w:val="72"/>
              </w:rPr>
              <w:t xml:space="preserve"> </w:t>
            </w:r>
            <w:r>
              <w:rPr>
                <w:spacing w:val="-2"/>
              </w:rPr>
              <w:t>偿债能力分析</w:t>
            </w:r>
            <w:r>
              <w:rPr>
                <w:spacing w:val="-46"/>
              </w:rPr>
              <w:t xml:space="preserve"> </w:t>
            </w:r>
            <w:r>
              <w:tab/>
            </w:r>
            <w:r>
              <w:rPr>
                <w:spacing w:val="23"/>
                <w:w w:val="110"/>
              </w:rPr>
              <w:t>23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461"/>
          </w:pPr>
          <w:hyperlink w:anchor="bookmark24" w:history="1">
            <w:r>
              <w:rPr>
                <w:spacing w:val="-3"/>
              </w:rPr>
              <w:t>3.3</w:t>
            </w:r>
            <w:r>
              <w:rPr>
                <w:spacing w:val="80"/>
              </w:rPr>
              <w:t xml:space="preserve"> </w:t>
            </w:r>
            <w:r>
              <w:rPr>
                <w:spacing w:val="-3"/>
              </w:rPr>
              <w:t>营运能力分析</w:t>
            </w:r>
            <w:r>
              <w:rPr>
                <w:spacing w:val="-45"/>
              </w:rPr>
              <w:t xml:space="preserve"> </w:t>
            </w:r>
            <w:r>
              <w:tab/>
            </w:r>
            <w:r>
              <w:rPr>
                <w:spacing w:val="18"/>
                <w:w w:val="114"/>
              </w:rPr>
              <w:t>24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881"/>
            <w:rPr>
              <w:rFonts w:ascii="Times New Roman" w:eastAsia="Times New Roman" w:hAnsi="Times New Roman" w:cs="Times New Roman"/>
            </w:rPr>
          </w:pPr>
          <w:hyperlink w:anchor="bookmark25" w:history="1">
            <w:r>
              <w:rPr>
                <w:spacing w:val="-1"/>
              </w:rPr>
              <w:t>3.3.1  存货经营效率较上季度有所提升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24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881"/>
            <w:rPr>
              <w:rFonts w:ascii="Times New Roman" w:eastAsia="Times New Roman" w:hAnsi="Times New Roman" w:cs="Times New Roman"/>
            </w:rPr>
          </w:pPr>
          <w:hyperlink w:anchor="bookmark26" w:history="1">
            <w:r>
              <w:rPr>
                <w:spacing w:val="-1"/>
              </w:rPr>
              <w:t>3.3.2  流动资产利用效率较上年同期略有下降</w:t>
            </w:r>
            <w:r>
              <w:rPr>
                <w:spacing w:val="-54"/>
              </w:rPr>
              <w:t xml:space="preserve"> 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24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461"/>
          </w:pPr>
          <w:hyperlink w:anchor="bookmark27" w:history="1">
            <w:r>
              <w:rPr>
                <w:spacing w:val="-3"/>
              </w:rPr>
              <w:t>3.4</w:t>
            </w:r>
            <w:r>
              <w:rPr>
                <w:spacing w:val="80"/>
              </w:rPr>
              <w:t xml:space="preserve"> </w:t>
            </w:r>
            <w:r>
              <w:rPr>
                <w:spacing w:val="-3"/>
              </w:rPr>
              <w:t>成长能力分析</w:t>
            </w:r>
            <w:r>
              <w:rPr>
                <w:spacing w:val="-45"/>
              </w:rPr>
              <w:t xml:space="preserve"> </w:t>
            </w:r>
            <w:r>
              <w:tab/>
            </w:r>
            <w:r>
              <w:rPr>
                <w:spacing w:val="23"/>
                <w:w w:val="110"/>
              </w:rPr>
              <w:t>25</w:t>
            </w:r>
          </w:hyperlink>
        </w:p>
        <w:p>
          <w:pPr>
            <w:pStyle w:val="BodyText"/>
            <w:tabs>
              <w:tab w:val="right" w:leader="dot" w:pos="8330"/>
            </w:tabs>
            <w:spacing w:before="220" w:line="186" w:lineRule="auto"/>
            <w:ind w:left="40"/>
          </w:pPr>
          <w:hyperlink w:anchor="bookmark28" w:history="1">
            <w:r>
              <w:rPr>
                <w:b/>
                <w:bCs/>
                <w:spacing w:val="-3"/>
              </w:rPr>
              <w:t>4</w:t>
            </w:r>
            <w:r>
              <w:rPr>
                <w:spacing w:val="-3"/>
              </w:rPr>
              <w:t xml:space="preserve">  </w:t>
            </w:r>
            <w:r>
              <w:rPr>
                <w:b/>
                <w:bCs/>
                <w:spacing w:val="-3"/>
              </w:rPr>
              <w:t>2024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3"/>
              </w:rPr>
              <w:t>年医药行业发展趋势展望</w:t>
            </w:r>
            <w:r>
              <w:rPr>
                <w:spacing w:val="-41"/>
              </w:rPr>
              <w:t xml:space="preserve"> </w:t>
            </w:r>
            <w:r>
              <w:rPr>
                <w14:textOutline w14:w="3831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ab/>
            </w:r>
            <w:r>
              <w:rPr>
                <w:b/>
                <w:bCs/>
                <w:spacing w:val="23"/>
                <w:w w:val="107"/>
              </w:rPr>
              <w:t>27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221" w:line="186" w:lineRule="auto"/>
            <w:ind w:left="456"/>
          </w:pPr>
          <w:hyperlink w:anchor="bookmark29" w:history="1">
            <w:r>
              <w:rPr>
                <w:spacing w:val="-2"/>
              </w:rPr>
              <w:t>4.1</w:t>
            </w:r>
            <w:r>
              <w:rPr>
                <w:spacing w:val="81"/>
              </w:rPr>
              <w:t xml:space="preserve"> </w:t>
            </w:r>
            <w:r>
              <w:rPr>
                <w:spacing w:val="-2"/>
              </w:rPr>
              <w:t>宏观经济环境展望</w:t>
            </w:r>
            <w:r>
              <w:rPr>
                <w:spacing w:val="-43"/>
              </w:rPr>
              <w:t xml:space="preserve"> </w:t>
            </w:r>
            <w:r>
              <w:tab/>
            </w:r>
            <w:r>
              <w:rPr>
                <w:spacing w:val="23"/>
                <w:w w:val="110"/>
              </w:rPr>
              <w:t>27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876"/>
            <w:rPr>
              <w:rFonts w:ascii="Times New Roman" w:eastAsia="Times New Roman" w:hAnsi="Times New Roman" w:cs="Times New Roman"/>
            </w:rPr>
            <w:sectPr>
              <w:headerReference w:type="default" r:id="rId10"/>
              <w:footerReference w:type="default" r:id="rId11"/>
              <w:pgSz w:w="11907" w:h="16839"/>
              <w:pgMar w:top="1099" w:right="1769" w:bottom="1362" w:left="1771" w:header="877" w:footer="1201" w:gutter="0"/>
              <w:pgNumType w:start="5"/>
              <w:cols w:space="708"/>
            </w:sectPr>
          </w:pPr>
          <w:hyperlink w:anchor="bookmark30" w:history="1">
            <w:r>
              <w:rPr>
                <w:spacing w:val="-1"/>
              </w:rPr>
              <w:t>4.1.1  全球经济仍然面临着诸多不确定性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27</w:t>
            </w:r>
          </w:hyperlink>
        </w:p>
      </w:sdtContent>
    </w:sdt>
    <w:sdt>
      <w:sdtPr>
        <w:rPr>
          <w:rFonts w:ascii="SimSun" w:eastAsia="SimSun" w:hAnsi="SimSun" w:cs="SimSun"/>
          <w:sz w:val="30"/>
          <w:szCs w:val="30"/>
        </w:rPr>
        <w:id w:val="2067934352"/>
        <w:docPartObj>
          <w:docPartGallery w:val="Table of Contents"/>
          <w:docPartUnique/>
        </w:docPartObj>
      </w:sdtPr>
      <w:sdtEndPr>
        <w:rPr>
          <w:rFonts w:ascii="SimSun" w:eastAsia="SimSun" w:hAnsi="SimSun" w:cs="SimSun"/>
          <w:sz w:val="21"/>
          <w:szCs w:val="21"/>
        </w:rPr>
      </w:sdtEndPr>
      <w:sdtContent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876"/>
            <w:rPr>
              <w:rFonts w:ascii="Times New Roman" w:eastAsia="Times New Roman" w:hAnsi="Times New Roman" w:cs="Times New Roman"/>
            </w:rPr>
          </w:pPr>
          <w:hyperlink w:anchor="bookmark31" w:history="1">
            <w:r>
              <w:rPr>
                <w:spacing w:val="-1"/>
              </w:rPr>
              <w:t>4.1.2  我国经济将向潜在增速水平回归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28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456"/>
          </w:pPr>
          <w:hyperlink w:anchor="bookmark32" w:history="1">
            <w:r>
              <w:rPr>
                <w:spacing w:val="-2"/>
              </w:rPr>
              <w:t>4.2</w:t>
            </w:r>
            <w:r>
              <w:rPr>
                <w:spacing w:val="81"/>
              </w:rPr>
              <w:t xml:space="preserve"> </w:t>
            </w:r>
            <w:r>
              <w:rPr>
                <w:spacing w:val="-2"/>
              </w:rPr>
              <w:t>产业政策环境展望</w:t>
            </w:r>
            <w:r>
              <w:rPr>
                <w:spacing w:val="-43"/>
              </w:rPr>
              <w:t xml:space="preserve"> </w:t>
            </w:r>
            <w:r>
              <w:tab/>
            </w:r>
            <w:r>
              <w:rPr>
                <w:spacing w:val="19"/>
                <w:w w:val="113"/>
              </w:rPr>
              <w:t>29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876"/>
            <w:rPr>
              <w:rFonts w:ascii="Times New Roman" w:eastAsia="Times New Roman" w:hAnsi="Times New Roman" w:cs="Times New Roman"/>
            </w:rPr>
          </w:pPr>
          <w:hyperlink w:anchor="bookmark33" w:history="1">
            <w:r>
              <w:rPr>
                <w:spacing w:val="-1"/>
              </w:rPr>
              <w:t>4.2.1  国家政策将支持银发经济加速发展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29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876"/>
            <w:rPr>
              <w:rFonts w:ascii="Times New Roman" w:eastAsia="Times New Roman" w:hAnsi="Times New Roman" w:cs="Times New Roman"/>
            </w:rPr>
          </w:pPr>
          <w:hyperlink w:anchor="bookmark34" w:history="1">
            <w:r>
              <w:rPr>
                <w:spacing w:val="-1"/>
              </w:rPr>
              <w:t>4.2.2  国家将鼓励境外药品转境内生产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29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876"/>
            <w:rPr>
              <w:rFonts w:ascii="Times New Roman" w:eastAsia="Times New Roman" w:hAnsi="Times New Roman" w:cs="Times New Roman"/>
            </w:rPr>
          </w:pPr>
          <w:hyperlink w:anchor="bookmark35" w:history="1">
            <w:r>
              <w:t>4.2.3  国家继续支持创新药械企业</w:t>
            </w:r>
            <w:r>
              <w:rPr>
                <w:spacing w:val="-1"/>
              </w:rPr>
              <w:t>进行创新研发</w:t>
            </w:r>
            <w:r>
              <w:rPr>
                <w:spacing w:val="-66"/>
              </w:rPr>
              <w:t xml:space="preserve"> 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30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876"/>
            <w:rPr>
              <w:rFonts w:ascii="Times New Roman" w:eastAsia="Times New Roman" w:hAnsi="Times New Roman" w:cs="Times New Roman"/>
            </w:rPr>
          </w:pPr>
          <w:hyperlink w:anchor="bookmark36" w:history="1">
            <w:r>
              <w:t>4.2.4  药品网络交易第三方平台检</w:t>
            </w:r>
            <w:r>
              <w:rPr>
                <w:spacing w:val="-1"/>
              </w:rPr>
              <w:t>查指南将印发</w:t>
            </w:r>
            <w:r>
              <w:rPr>
                <w:spacing w:val="-66"/>
              </w:rPr>
              <w:t xml:space="preserve"> 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31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221" w:lineRule="auto"/>
            <w:ind w:left="456"/>
          </w:pPr>
          <w:hyperlink w:anchor="bookmark37" w:history="1">
            <w:r>
              <w:rPr>
                <w:spacing w:val="-2"/>
              </w:rPr>
              <w:t>4.3</w:t>
            </w:r>
            <w:r>
              <w:rPr>
                <w:spacing w:val="81"/>
              </w:rPr>
              <w:t xml:space="preserve"> </w:t>
            </w:r>
            <w:r>
              <w:rPr>
                <w:spacing w:val="-2"/>
              </w:rPr>
              <w:t>行业发展趋势预测</w:t>
            </w:r>
            <w:r>
              <w:rPr>
                <w:spacing w:val="-43"/>
              </w:rPr>
              <w:t xml:space="preserve"> </w:t>
            </w:r>
            <w:r>
              <w:tab/>
            </w:r>
            <w:r>
              <w:rPr>
                <w:spacing w:val="23"/>
                <w:w w:val="110"/>
              </w:rPr>
              <w:t>32</w:t>
            </w:r>
          </w:hyperlink>
        </w:p>
      </w:sdtContent>
    </w:sdt>
    <w:p>
      <w:pPr>
        <w:spacing w:line="221" w:lineRule="auto"/>
        <w:sectPr>
          <w:headerReference w:type="default" r:id="rId12"/>
          <w:footerReference w:type="default" r:id="rId13"/>
          <w:type w:val="nextPage"/>
          <w:pgSz w:w="11907" w:h="16839"/>
          <w:pgMar w:top="1099" w:right="1769" w:bottom="1362" w:left="1771" w:header="877" w:footer="1201" w:gutter="0"/>
          <w:pgNumType w:start="6"/>
          <w:cols w:space="708"/>
          <w:titlePg w:val="0"/>
        </w:sectPr>
      </w:pPr>
    </w:p>
    <w:p>
      <w:pPr>
        <w:spacing w:line="321" w:lineRule="auto"/>
        <w:rPr>
          <w:rFonts w:ascii="Arial"/>
          <w:sz w:val="21"/>
        </w:rPr>
      </w:pPr>
    </w:p>
    <w:sdt>
      <w:sdtPr>
        <w:rPr>
          <w:rFonts w:ascii="SimSun" w:eastAsia="SimSun" w:hAnsi="SimSun" w:cs="SimSun"/>
          <w:sz w:val="21"/>
          <w:szCs w:val="21"/>
        </w:rPr>
        <w:id w:val="164863532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1"/>
          <w:szCs w:val="21"/>
        </w:rPr>
      </w:sdtEndPr>
      <w:sdtContent>
        <w:p>
          <w:pPr>
            <w:pStyle w:val="BodyText"/>
            <w:tabs>
              <w:tab w:val="right" w:leader="dot" w:pos="8327"/>
            </w:tabs>
            <w:spacing w:before="69" w:line="186" w:lineRule="auto"/>
            <w:ind w:left="876"/>
            <w:rPr>
              <w:rFonts w:ascii="Times New Roman" w:eastAsia="Times New Roman" w:hAnsi="Times New Roman" w:cs="Times New Roman"/>
            </w:rPr>
          </w:pPr>
          <w:hyperlink w:anchor="bookmark38" w:history="1">
            <w:r>
              <w:rPr>
                <w:spacing w:val="-1"/>
              </w:rPr>
              <w:t>4.3.1  创新药国内上市和出海高潮将到来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32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876"/>
            <w:rPr>
              <w:rFonts w:ascii="Times New Roman" w:eastAsia="Times New Roman" w:hAnsi="Times New Roman" w:cs="Times New Roman"/>
            </w:rPr>
          </w:pPr>
          <w:hyperlink w:anchor="bookmark39" w:history="1">
            <w:r>
              <w:t>4.3.2  医疗器械领域迎来进口替代</w:t>
            </w:r>
            <w:r>
              <w:rPr>
                <w:spacing w:val="-1"/>
              </w:rPr>
              <w:t>加速的新机遇</w:t>
            </w:r>
            <w:r>
              <w:rPr>
                <w:spacing w:val="-66"/>
              </w:rPr>
              <w:t xml:space="preserve"> 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33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876"/>
            <w:rPr>
              <w:rFonts w:ascii="Times New Roman" w:eastAsia="Times New Roman" w:hAnsi="Times New Roman" w:cs="Times New Roman"/>
            </w:rPr>
          </w:pPr>
          <w:hyperlink w:anchor="bookmark40" w:history="1">
            <w:r>
              <w:rPr>
                <w:spacing w:val="-2"/>
              </w:rPr>
              <w:t>4.3.3</w:t>
            </w:r>
            <w:r>
              <w:rPr>
                <w:spacing w:val="13"/>
              </w:rPr>
              <w:t xml:space="preserve">  </w:t>
            </w:r>
            <w:r>
              <w:rPr>
                <w:spacing w:val="-2"/>
              </w:rPr>
              <w:t>中药行业景气度持续向上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33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219" w:lineRule="auto"/>
            <w:ind w:left="876"/>
            <w:rPr>
              <w:rFonts w:ascii="Times New Roman" w:eastAsia="Times New Roman" w:hAnsi="Times New Roman" w:cs="Times New Roman"/>
            </w:rPr>
          </w:pPr>
          <w:hyperlink w:anchor="bookmark41" w:history="1">
            <w:r>
              <w:rPr>
                <w:spacing w:val="-1"/>
              </w:rPr>
              <w:t>4.3.4  2024</w:t>
            </w:r>
            <w:r>
              <w:rPr>
                <w:spacing w:val="-33"/>
              </w:rPr>
              <w:t xml:space="preserve"> </w:t>
            </w:r>
            <w:r>
              <w:rPr>
                <w:spacing w:val="-1"/>
              </w:rPr>
              <w:t>年医药商业模式或大幅变革</w:t>
            </w:r>
            <w:r>
              <w:tab/>
            </w:r>
            <w:r>
              <w:rPr>
                <w:rFonts w:ascii="Times New Roman" w:eastAsia="Times New Roman" w:hAnsi="Times New Roman" w:cs="Times New Roman"/>
                <w:spacing w:val="7"/>
              </w:rPr>
              <w:t>33</w:t>
            </w:r>
          </w:hyperlink>
        </w:p>
      </w:sdtContent>
    </w:sdt>
    <w:p>
      <w:pPr>
        <w:pStyle w:val="BodyText"/>
        <w:spacing w:before="295" w:line="222" w:lineRule="auto"/>
        <w:ind w:left="57"/>
      </w:pPr>
      <w:r>
        <w:rPr>
          <w:b/>
          <w:bCs/>
          <w:spacing w:val="-8"/>
        </w:rPr>
        <w:t>图目录</w:t>
      </w:r>
    </w:p>
    <w:sdt>
      <w:sdtPr>
        <w:rPr>
          <w:rFonts w:ascii="Arial" w:eastAsia="Arial" w:hAnsi="Arial" w:cs="Arial"/>
          <w:sz w:val="21"/>
          <w:szCs w:val="21"/>
        </w:rPr>
        <w:id w:val="1042752715"/>
        <w:docPartObj>
          <w:docPartGallery w:val="Table of Contents"/>
          <w:docPartUnique/>
        </w:docPartObj>
      </w:sdtPr>
      <w:sdtEndPr>
        <w:rPr>
          <w:rFonts w:ascii="SimSun" w:eastAsia="SimSun" w:hAnsi="SimSun" w:cs="SimSun"/>
          <w:sz w:val="21"/>
          <w:szCs w:val="21"/>
        </w:rPr>
      </w:sdtEndPr>
      <w:sdtContent>
        <w:p>
          <w:pPr>
            <w:pStyle w:val="BodyText"/>
            <w:tabs>
              <w:tab w:val="right" w:leader="dot" w:pos="8327"/>
            </w:tabs>
            <w:spacing w:before="294" w:line="186" w:lineRule="auto"/>
            <w:ind w:left="477"/>
          </w:pPr>
          <w:hyperlink w:anchor="bookmark42" w:history="1">
            <w:r>
              <w:rPr>
                <w:spacing w:val="-1"/>
              </w:rPr>
              <w:t>图 1  2022</w:t>
            </w:r>
            <w:r>
              <w:rPr>
                <w:spacing w:val="-43"/>
              </w:rPr>
              <w:t xml:space="preserve"> </w:t>
            </w:r>
            <w:r>
              <w:rPr>
                <w:spacing w:val="-1"/>
              </w:rPr>
              <w:t>年二季度-2023</w:t>
            </w:r>
            <w:r>
              <w:rPr>
                <w:spacing w:val="-44"/>
              </w:rPr>
              <w:t xml:space="preserve"> </w:t>
            </w:r>
            <w:r>
              <w:rPr>
                <w:spacing w:val="-1"/>
              </w:rPr>
              <w:t>年四季度我国国内生产总值同</w:t>
            </w:r>
            <w:r>
              <w:rPr>
                <w:spacing w:val="-2"/>
              </w:rPr>
              <w:t>比及环比增长率</w:t>
            </w:r>
            <w:r>
              <w:rPr>
                <w:spacing w:val="-57"/>
              </w:rPr>
              <w:t xml:space="preserve"> </w:t>
            </w:r>
            <w:r>
              <w:tab/>
            </w:r>
            <w:r>
              <w:rPr>
                <w:spacing w:val="39"/>
                <w:w w:val="125"/>
              </w:rPr>
              <w:t>7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477"/>
          </w:pPr>
          <w:hyperlink w:anchor="bookmark43" w:history="1">
            <w:r>
              <w:rPr>
                <w:spacing w:val="-2"/>
              </w:rPr>
              <w:t>图 2  2023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年居民人均消费支出及构成</w:t>
            </w:r>
            <w:r>
              <w:rPr>
                <w:spacing w:val="-21"/>
              </w:rPr>
              <w:t xml:space="preserve"> </w:t>
            </w:r>
            <w:r>
              <w:tab/>
            </w:r>
            <w:r>
              <w:rPr>
                <w:spacing w:val="36"/>
                <w:w w:val="128"/>
              </w:rPr>
              <w:t>8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477"/>
          </w:pPr>
          <w:hyperlink w:anchor="bookmark44" w:history="1">
            <w:r>
              <w:rPr>
                <w:spacing w:val="-3"/>
              </w:rPr>
              <w:t>图 3  2022</w:t>
            </w:r>
            <w:r>
              <w:rPr>
                <w:spacing w:val="-33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8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月-2023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月卫生健康支出占财政支出比重走势</w:t>
            </w:r>
            <w:r>
              <w:rPr>
                <w:spacing w:val="-62"/>
              </w:rPr>
              <w:t xml:space="preserve"> </w:t>
            </w:r>
            <w:r>
              <w:tab/>
            </w:r>
            <w:r>
              <w:rPr>
                <w:spacing w:val="36"/>
                <w:w w:val="128"/>
              </w:rPr>
              <w:t>9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477"/>
          </w:pPr>
          <w:hyperlink w:anchor="bookmark45" w:history="1">
            <w:r>
              <w:rPr>
                <w:spacing w:val="-3"/>
              </w:rPr>
              <w:t>图 4  2022</w:t>
            </w:r>
            <w:r>
              <w:rPr>
                <w:spacing w:val="-40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3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月-2023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月医药行业固定资产投资增速走势</w:t>
            </w:r>
            <w:r>
              <w:rPr>
                <w:spacing w:val="-63"/>
              </w:rPr>
              <w:t xml:space="preserve"> </w:t>
            </w:r>
            <w:r>
              <w:tab/>
            </w:r>
            <w:r>
              <w:rPr>
                <w:spacing w:val="33"/>
              </w:rPr>
              <w:t>15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477"/>
          </w:pPr>
          <w:hyperlink w:anchor="bookmark46" w:history="1">
            <w:r>
              <w:rPr>
                <w:spacing w:val="-3"/>
              </w:rPr>
              <w:t>图 5  2022</w:t>
            </w:r>
            <w:r>
              <w:rPr>
                <w:spacing w:val="-40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3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月-2023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月医药行业增加值增长率走势比较</w:t>
            </w:r>
            <w:r>
              <w:rPr>
                <w:spacing w:val="-63"/>
              </w:rPr>
              <w:t xml:space="preserve"> </w:t>
            </w:r>
            <w:r>
              <w:tab/>
            </w:r>
            <w:r>
              <w:rPr>
                <w:spacing w:val="31"/>
                <w:w w:val="102"/>
              </w:rPr>
              <w:t>16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477"/>
          </w:pPr>
          <w:hyperlink w:anchor="bookmark47" w:history="1">
            <w:r>
              <w:rPr>
                <w:spacing w:val="-3"/>
              </w:rPr>
              <w:t>图 6  2022</w:t>
            </w:r>
            <w:r>
              <w:rPr>
                <w:spacing w:val="-36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5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月-2023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月化学药、中成药产量及其增速走势</w:t>
            </w:r>
            <w:r>
              <w:rPr>
                <w:spacing w:val="-62"/>
              </w:rPr>
              <w:t xml:space="preserve"> </w:t>
            </w:r>
            <w:r>
              <w:tab/>
            </w:r>
            <w:r>
              <w:rPr>
                <w:spacing w:val="33"/>
              </w:rPr>
              <w:t>17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477"/>
          </w:pPr>
          <w:hyperlink w:anchor="bookmark48" w:history="1">
            <w:r>
              <w:rPr>
                <w:spacing w:val="-3"/>
              </w:rPr>
              <w:t>图 7  2022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5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月-2023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月中西药品零售额及其增速走势</w:t>
            </w:r>
            <w:r>
              <w:rPr>
                <w:spacing w:val="-65"/>
              </w:rPr>
              <w:t xml:space="preserve"> </w:t>
            </w:r>
            <w:r>
              <w:tab/>
            </w:r>
            <w:r>
              <w:rPr>
                <w:spacing w:val="30"/>
                <w:w w:val="103"/>
              </w:rPr>
              <w:t>18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477"/>
          </w:pPr>
          <w:hyperlink w:anchor="bookmark49" w:history="1">
            <w:r>
              <w:rPr>
                <w:spacing w:val="-3"/>
              </w:rPr>
              <w:t>图 8  2022</w:t>
            </w:r>
            <w:r>
              <w:rPr>
                <w:spacing w:val="-36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5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月-2023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月医药行业出口交货值及其增速走势</w:t>
            </w:r>
            <w:r>
              <w:rPr>
                <w:spacing w:val="-62"/>
              </w:rPr>
              <w:t xml:space="preserve"> </w:t>
            </w:r>
            <w:r>
              <w:tab/>
            </w:r>
            <w:r>
              <w:rPr>
                <w:spacing w:val="30"/>
                <w:w w:val="103"/>
              </w:rPr>
              <w:t>19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477"/>
          </w:pPr>
          <w:hyperlink w:anchor="bookmark50" w:history="1">
            <w:r>
              <w:rPr>
                <w:spacing w:val="-3"/>
              </w:rPr>
              <w:t>图 9  2022</w:t>
            </w:r>
            <w:r>
              <w:rPr>
                <w:spacing w:val="-36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3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月-2023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月医药行业生产者出厂价格指数走势</w:t>
            </w:r>
            <w:r>
              <w:rPr>
                <w:spacing w:val="-62"/>
              </w:rPr>
              <w:t xml:space="preserve"> </w:t>
            </w:r>
            <w:r>
              <w:tab/>
            </w:r>
            <w:r>
              <w:rPr>
                <w:spacing w:val="20"/>
                <w:w w:val="112"/>
              </w:rPr>
              <w:t>20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477"/>
          </w:pPr>
          <w:hyperlink w:anchor="bookmark51" w:history="1">
            <w:r>
              <w:rPr>
                <w:spacing w:val="-4"/>
              </w:rPr>
              <w:t>图</w:t>
            </w:r>
            <w:r>
              <w:rPr>
                <w:spacing w:val="41"/>
              </w:rPr>
              <w:t xml:space="preserve"> </w:t>
            </w:r>
            <w:r>
              <w:rPr>
                <w:spacing w:val="-4"/>
              </w:rPr>
              <w:t>10  2022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42"/>
              </w:rPr>
              <w:t xml:space="preserve"> </w:t>
            </w:r>
            <w:r>
              <w:rPr>
                <w:spacing w:val="-4"/>
              </w:rPr>
              <w:t>5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月-2023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29"/>
              </w:rPr>
              <w:t xml:space="preserve"> </w:t>
            </w:r>
            <w:r>
              <w:rPr>
                <w:spacing w:val="-4"/>
              </w:rPr>
              <w:t>12</w:t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>月医药行业收入、利润及其增速走势</w:t>
            </w:r>
            <w:r>
              <w:rPr>
                <w:spacing w:val="-60"/>
              </w:rPr>
              <w:t xml:space="preserve"> </w:t>
            </w:r>
            <w:r>
              <w:tab/>
            </w:r>
            <w:r>
              <w:rPr>
                <w:spacing w:val="32"/>
                <w:w w:val="101"/>
              </w:rPr>
              <w:t>21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477"/>
          </w:pPr>
          <w:hyperlink w:anchor="bookmark52" w:history="1">
            <w:r>
              <w:rPr>
                <w:spacing w:val="-4"/>
              </w:rPr>
              <w:t>图</w:t>
            </w:r>
            <w:r>
              <w:rPr>
                <w:spacing w:val="28"/>
              </w:rPr>
              <w:t xml:space="preserve"> </w:t>
            </w:r>
            <w:r>
              <w:rPr>
                <w:spacing w:val="-4"/>
              </w:rPr>
              <w:t>11  2022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46"/>
              </w:rPr>
              <w:t xml:space="preserve"> </w:t>
            </w:r>
            <w:r>
              <w:rPr>
                <w:spacing w:val="-4"/>
              </w:rPr>
              <w:t>8</w:t>
            </w:r>
            <w:r>
              <w:rPr>
                <w:spacing w:val="-38"/>
              </w:rPr>
              <w:t xml:space="preserve"> </w:t>
            </w:r>
            <w:r>
              <w:rPr>
                <w:spacing w:val="-4"/>
              </w:rPr>
              <w:t>月-2023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29"/>
              </w:rPr>
              <w:t xml:space="preserve"> </w:t>
            </w:r>
            <w:r>
              <w:rPr>
                <w:spacing w:val="-4"/>
              </w:rPr>
              <w:t>12</w:t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>月医药行业销售利润率走势</w:t>
            </w:r>
            <w:r>
              <w:rPr>
                <w:spacing w:val="-65"/>
              </w:rPr>
              <w:t xml:space="preserve"> </w:t>
            </w:r>
            <w:r>
              <w:tab/>
            </w:r>
            <w:r>
              <w:rPr>
                <w:spacing w:val="22"/>
                <w:w w:val="111"/>
              </w:rPr>
              <w:t>22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477"/>
          </w:pPr>
          <w:hyperlink w:anchor="bookmark53" w:history="1">
            <w:r>
              <w:rPr>
                <w:spacing w:val="-4"/>
              </w:rPr>
              <w:t>图</w:t>
            </w:r>
            <w:r>
              <w:rPr>
                <w:spacing w:val="28"/>
              </w:rPr>
              <w:t xml:space="preserve"> </w:t>
            </w:r>
            <w:r>
              <w:rPr>
                <w:spacing w:val="-4"/>
              </w:rPr>
              <w:t>12  2022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46"/>
              </w:rPr>
              <w:t xml:space="preserve"> </w:t>
            </w:r>
            <w:r>
              <w:rPr>
                <w:spacing w:val="-4"/>
              </w:rPr>
              <w:t>9</w:t>
            </w:r>
            <w:r>
              <w:rPr>
                <w:spacing w:val="-38"/>
              </w:rPr>
              <w:t xml:space="preserve"> </w:t>
            </w:r>
            <w:r>
              <w:rPr>
                <w:spacing w:val="-4"/>
              </w:rPr>
              <w:t>月-2023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29"/>
              </w:rPr>
              <w:t xml:space="preserve"> </w:t>
            </w:r>
            <w:r>
              <w:rPr>
                <w:spacing w:val="-4"/>
              </w:rPr>
              <w:t>12</w:t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>月医药行业资产负债率走势</w:t>
            </w:r>
            <w:r>
              <w:rPr>
                <w:spacing w:val="-65"/>
              </w:rPr>
              <w:t xml:space="preserve"> </w:t>
            </w:r>
            <w:r>
              <w:tab/>
            </w:r>
            <w:r>
              <w:rPr>
                <w:spacing w:val="23"/>
                <w:w w:val="110"/>
              </w:rPr>
              <w:t>23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477"/>
          </w:pPr>
          <w:hyperlink w:anchor="bookmark54" w:history="1">
            <w:r>
              <w:rPr>
                <w:spacing w:val="-4"/>
              </w:rPr>
              <w:t>图</w:t>
            </w:r>
            <w:r>
              <w:rPr>
                <w:spacing w:val="24"/>
              </w:rPr>
              <w:t xml:space="preserve"> </w:t>
            </w:r>
            <w:r>
              <w:rPr>
                <w:spacing w:val="-4"/>
              </w:rPr>
              <w:t>13  2022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31"/>
              </w:rPr>
              <w:t xml:space="preserve"> </w:t>
            </w:r>
            <w:r>
              <w:rPr>
                <w:spacing w:val="-4"/>
              </w:rPr>
              <w:t>11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月-2023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12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月</w:t>
            </w:r>
            <w:r>
              <w:rPr>
                <w:spacing w:val="-5"/>
              </w:rPr>
              <w:t>医药行业存货周转率走势</w:t>
            </w:r>
            <w:r>
              <w:rPr>
                <w:spacing w:val="-62"/>
              </w:rPr>
              <w:t xml:space="preserve"> </w:t>
            </w:r>
            <w:r>
              <w:tab/>
            </w:r>
            <w:r>
              <w:rPr>
                <w:spacing w:val="18"/>
                <w:w w:val="114"/>
              </w:rPr>
              <w:t>24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477"/>
          </w:pPr>
          <w:hyperlink w:anchor="bookmark55" w:history="1">
            <w:r>
              <w:rPr>
                <w:spacing w:val="-4"/>
              </w:rPr>
              <w:t>图</w:t>
            </w:r>
            <w:r>
              <w:rPr>
                <w:spacing w:val="25"/>
              </w:rPr>
              <w:t xml:space="preserve"> </w:t>
            </w:r>
            <w:r>
              <w:rPr>
                <w:spacing w:val="-4"/>
              </w:rPr>
              <w:t>14  2022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31"/>
              </w:rPr>
              <w:t xml:space="preserve"> </w:t>
            </w:r>
            <w:r>
              <w:rPr>
                <w:spacing w:val="-4"/>
              </w:rPr>
              <w:t>11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月-2023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29"/>
              </w:rPr>
              <w:t xml:space="preserve"> </w:t>
            </w:r>
            <w:r>
              <w:rPr>
                <w:spacing w:val="-4"/>
              </w:rPr>
              <w:t>12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月医药行业流动资产周转</w:t>
            </w:r>
            <w:r>
              <w:rPr>
                <w:spacing w:val="-5"/>
              </w:rPr>
              <w:t>率走势</w:t>
            </w:r>
            <w:r>
              <w:rPr>
                <w:spacing w:val="-60"/>
              </w:rPr>
              <w:t xml:space="preserve"> </w:t>
            </w:r>
            <w:r>
              <w:tab/>
            </w:r>
            <w:r>
              <w:rPr>
                <w:spacing w:val="23"/>
                <w:w w:val="110"/>
              </w:rPr>
              <w:t>25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221" w:lineRule="auto"/>
            <w:ind w:left="477"/>
          </w:pPr>
          <w:hyperlink w:anchor="bookmark56" w:history="1">
            <w:r>
              <w:rPr>
                <w:spacing w:val="-4"/>
              </w:rPr>
              <w:t>图</w:t>
            </w:r>
            <w:r>
              <w:rPr>
                <w:spacing w:val="36"/>
              </w:rPr>
              <w:t xml:space="preserve"> </w:t>
            </w:r>
            <w:r>
              <w:rPr>
                <w:spacing w:val="-4"/>
              </w:rPr>
              <w:t>15  2022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9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月-2023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29"/>
              </w:rPr>
              <w:t xml:space="preserve"> </w:t>
            </w:r>
            <w:r>
              <w:rPr>
                <w:spacing w:val="-4"/>
              </w:rPr>
              <w:t>12</w:t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>月医药行业所有者权益增速走势</w:t>
            </w:r>
            <w:r>
              <w:rPr>
                <w:spacing w:val="-62"/>
              </w:rPr>
              <w:t xml:space="preserve"> </w:t>
            </w:r>
            <w:r>
              <w:tab/>
            </w:r>
            <w:r>
              <w:rPr>
                <w:spacing w:val="20"/>
                <w:w w:val="112"/>
              </w:rPr>
              <w:t>26</w:t>
            </w:r>
          </w:hyperlink>
        </w:p>
      </w:sdtContent>
    </w:sdt>
    <w:p>
      <w:pPr>
        <w:pStyle w:val="BodyText"/>
        <w:spacing w:before="64" w:line="230" w:lineRule="auto"/>
        <w:ind w:left="455"/>
        <w:rPr>
          <w:sz w:val="19"/>
          <w:szCs w:val="19"/>
        </w:rPr>
      </w:pPr>
      <w:r>
        <w:rPr>
          <w:b/>
          <w:bCs/>
          <w:spacing w:val="6"/>
          <w:sz w:val="19"/>
          <w:szCs w:val="19"/>
        </w:rPr>
        <w:t>表目录</w:t>
      </w:r>
    </w:p>
    <w:sdt>
      <w:sdtPr>
        <w:rPr>
          <w:rFonts w:ascii="SimSun" w:eastAsia="SimSun" w:hAnsi="SimSun" w:cs="SimSun"/>
          <w:sz w:val="21"/>
          <w:szCs w:val="21"/>
        </w:rPr>
        <w:id w:val="628317471"/>
        <w:docPartObj>
          <w:docPartGallery w:val="Table of Contents"/>
          <w:docPartUnique/>
        </w:docPartObj>
      </w:sdtPr>
      <w:sdtEndPr>
        <w:rPr>
          <w:rFonts w:ascii="SimSun" w:eastAsia="SimSun" w:hAnsi="SimSun" w:cs="SimSun"/>
          <w:sz w:val="21"/>
          <w:szCs w:val="21"/>
        </w:rPr>
      </w:sdtEndPr>
      <w:sdtContent>
        <w:p>
          <w:pPr>
            <w:pStyle w:val="BodyText"/>
            <w:tabs>
              <w:tab w:val="right" w:leader="dot" w:pos="8327"/>
            </w:tabs>
            <w:spacing w:before="72" w:line="186" w:lineRule="auto"/>
            <w:ind w:left="456"/>
          </w:pPr>
          <w:hyperlink w:anchor="bookmark57" w:history="1">
            <w:r>
              <w:rPr>
                <w:spacing w:val="-3"/>
              </w:rPr>
              <w:t>表</w:t>
            </w:r>
            <w:r>
              <w:rPr>
                <w:spacing w:val="25"/>
              </w:rPr>
              <w:t xml:space="preserve"> </w:t>
            </w:r>
            <w:r>
              <w:rPr>
                <w:spacing w:val="-3"/>
              </w:rPr>
              <w:t>1  2022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月-2023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</w:t>
            </w:r>
            <w:r>
              <w:rPr>
                <w:spacing w:val="-4"/>
              </w:rPr>
              <w:t>2</w:t>
            </w:r>
            <w:r>
              <w:rPr>
                <w:spacing w:val="-42"/>
              </w:rPr>
              <w:t xml:space="preserve"> </w:t>
            </w:r>
            <w:r>
              <w:rPr>
                <w:spacing w:val="-4"/>
              </w:rPr>
              <w:t>月医药行业固定资产投资增速情况</w:t>
            </w:r>
            <w:r>
              <w:rPr>
                <w:spacing w:val="-60"/>
              </w:rPr>
              <w:t xml:space="preserve"> </w:t>
            </w:r>
            <w:r>
              <w:tab/>
            </w:r>
            <w:r>
              <w:rPr>
                <w:spacing w:val="33"/>
              </w:rPr>
              <w:t>15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456"/>
          </w:pPr>
          <w:hyperlink w:anchor="bookmark58" w:history="1">
            <w:r>
              <w:rPr>
                <w:spacing w:val="-3"/>
              </w:rPr>
              <w:t>表 2  2022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月-2023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月医药行业增加值增长率情况</w:t>
            </w:r>
            <w:r>
              <w:rPr>
                <w:spacing w:val="-62"/>
              </w:rPr>
              <w:t xml:space="preserve"> </w:t>
            </w:r>
            <w:r>
              <w:tab/>
            </w:r>
            <w:r>
              <w:rPr>
                <w:spacing w:val="31"/>
                <w:w w:val="102"/>
              </w:rPr>
              <w:t>16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456"/>
          </w:pPr>
          <w:hyperlink w:anchor="bookmark59" w:history="1">
            <w:r>
              <w:rPr>
                <w:spacing w:val="-3"/>
              </w:rPr>
              <w:t>表 3  2022</w:t>
            </w:r>
            <w:r>
              <w:rPr>
                <w:spacing w:val="-40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月-2023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月化学药和中成药产量情况</w:t>
            </w:r>
            <w:r>
              <w:rPr>
                <w:spacing w:val="-64"/>
              </w:rPr>
              <w:t xml:space="preserve"> </w:t>
            </w:r>
            <w:r>
              <w:tab/>
            </w:r>
            <w:r>
              <w:rPr>
                <w:spacing w:val="33"/>
              </w:rPr>
              <w:t>17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456"/>
          </w:pPr>
          <w:hyperlink w:anchor="bookmark60" w:history="1">
            <w:r>
              <w:rPr>
                <w:spacing w:val="-3"/>
              </w:rPr>
              <w:t>表 4  2022</w:t>
            </w:r>
            <w:r>
              <w:rPr>
                <w:spacing w:val="-43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月-2023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月中西药品</w:t>
            </w:r>
            <w:r>
              <w:rPr>
                <w:spacing w:val="-4"/>
              </w:rPr>
              <w:t>零售额情况</w:t>
            </w:r>
            <w:r>
              <w:rPr>
                <w:spacing w:val="-65"/>
              </w:rPr>
              <w:t xml:space="preserve"> </w:t>
            </w:r>
            <w:r>
              <w:tab/>
            </w:r>
            <w:r>
              <w:rPr>
                <w:spacing w:val="30"/>
                <w:w w:val="103"/>
              </w:rPr>
              <w:t>18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456"/>
          </w:pPr>
          <w:hyperlink w:anchor="bookmark61" w:history="1">
            <w:r>
              <w:rPr>
                <w:spacing w:val="-3"/>
              </w:rPr>
              <w:t>表 5  2022</w:t>
            </w:r>
            <w:r>
              <w:rPr>
                <w:spacing w:val="-40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月-2023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月医药行业出口交货值情况</w:t>
            </w:r>
            <w:r>
              <w:rPr>
                <w:spacing w:val="-64"/>
              </w:rPr>
              <w:t xml:space="preserve"> </w:t>
            </w:r>
            <w:r>
              <w:tab/>
            </w:r>
            <w:r>
              <w:rPr>
                <w:spacing w:val="30"/>
                <w:w w:val="103"/>
              </w:rPr>
              <w:t>19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456"/>
          </w:pPr>
          <w:hyperlink w:anchor="bookmark62" w:history="1">
            <w:r>
              <w:rPr>
                <w:spacing w:val="-3"/>
              </w:rPr>
              <w:t>表 6  2022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月-2023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月医药行业生产者出厂价格指数情况</w:t>
            </w:r>
            <w:r>
              <w:rPr>
                <w:spacing w:val="-60"/>
              </w:rPr>
              <w:t xml:space="preserve"> </w:t>
            </w:r>
            <w:r>
              <w:tab/>
            </w:r>
            <w:r>
              <w:rPr>
                <w:spacing w:val="20"/>
                <w:w w:val="112"/>
              </w:rPr>
              <w:t>20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456"/>
          </w:pPr>
          <w:hyperlink w:anchor="bookmark63" w:history="1">
            <w:r>
              <w:rPr>
                <w:spacing w:val="-3"/>
              </w:rPr>
              <w:t>表 7  2022</w:t>
            </w:r>
            <w:r>
              <w:rPr>
                <w:spacing w:val="-40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月-2023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月医药行业收入、利润情况</w:t>
            </w:r>
            <w:r>
              <w:rPr>
                <w:spacing w:val="-64"/>
              </w:rPr>
              <w:t xml:space="preserve"> </w:t>
            </w:r>
            <w:r>
              <w:tab/>
            </w:r>
            <w:r>
              <w:rPr>
                <w:spacing w:val="32"/>
                <w:w w:val="101"/>
              </w:rPr>
              <w:t>21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186" w:lineRule="auto"/>
            <w:ind w:left="456"/>
          </w:pPr>
          <w:hyperlink w:anchor="bookmark64" w:history="1">
            <w:r>
              <w:rPr>
                <w:spacing w:val="-3"/>
              </w:rPr>
              <w:t>表 8  2022</w:t>
            </w:r>
            <w:r>
              <w:rPr>
                <w:spacing w:val="-40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月-2023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月医药行业资产和负债情况</w:t>
            </w:r>
            <w:r>
              <w:rPr>
                <w:spacing w:val="-64"/>
              </w:rPr>
              <w:t xml:space="preserve"> </w:t>
            </w:r>
            <w:r>
              <w:tab/>
            </w:r>
            <w:r>
              <w:rPr>
                <w:spacing w:val="23"/>
                <w:w w:val="110"/>
              </w:rPr>
              <w:t>23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456"/>
          </w:pPr>
          <w:hyperlink w:anchor="bookmark65" w:history="1">
            <w:r>
              <w:rPr>
                <w:spacing w:val="-3"/>
              </w:rPr>
              <w:t>表 9  2022</w:t>
            </w:r>
            <w:r>
              <w:rPr>
                <w:spacing w:val="-43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月-2023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12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月医</w:t>
            </w:r>
            <w:r>
              <w:rPr>
                <w:spacing w:val="-4"/>
              </w:rPr>
              <w:t>药行业存货情况</w:t>
            </w:r>
            <w:r>
              <w:rPr>
                <w:spacing w:val="-67"/>
              </w:rPr>
              <w:t xml:space="preserve"> </w:t>
            </w:r>
            <w:r>
              <w:tab/>
            </w:r>
            <w:r>
              <w:rPr>
                <w:spacing w:val="18"/>
                <w:w w:val="114"/>
              </w:rPr>
              <w:t>24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1" w:line="186" w:lineRule="auto"/>
            <w:ind w:left="456"/>
          </w:pPr>
          <w:hyperlink w:anchor="bookmark66" w:history="1">
            <w:r>
              <w:rPr>
                <w:spacing w:val="-4"/>
              </w:rPr>
              <w:t>表</w:t>
            </w:r>
            <w:r>
              <w:rPr>
                <w:spacing w:val="32"/>
              </w:rPr>
              <w:t xml:space="preserve"> </w:t>
            </w:r>
            <w:r>
              <w:rPr>
                <w:spacing w:val="-4"/>
              </w:rPr>
              <w:t>10  2022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31"/>
              </w:rPr>
              <w:t xml:space="preserve"> </w:t>
            </w:r>
            <w:r>
              <w:rPr>
                <w:spacing w:val="-4"/>
              </w:rPr>
              <w:t>12</w:t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>月-2023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12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月医药行业流动资产情况</w:t>
            </w:r>
            <w:r>
              <w:rPr>
                <w:spacing w:val="-65"/>
              </w:rPr>
              <w:t xml:space="preserve"> </w:t>
            </w:r>
            <w:r>
              <w:tab/>
            </w:r>
            <w:r>
              <w:rPr>
                <w:spacing w:val="23"/>
                <w:w w:val="110"/>
              </w:rPr>
              <w:t>25</w:t>
            </w:r>
          </w:hyperlink>
        </w:p>
        <w:p>
          <w:pPr>
            <w:pStyle w:val="BodyText"/>
            <w:tabs>
              <w:tab w:val="right" w:leader="dot" w:pos="8327"/>
            </w:tabs>
            <w:spacing w:before="100" w:line="221" w:lineRule="auto"/>
            <w:ind w:left="456"/>
          </w:pPr>
          <w:hyperlink w:anchor="bookmark67" w:history="1">
            <w:r>
              <w:rPr>
                <w:spacing w:val="-4"/>
              </w:rPr>
              <w:t>表</w:t>
            </w:r>
            <w:r>
              <w:rPr>
                <w:spacing w:val="35"/>
              </w:rPr>
              <w:t xml:space="preserve"> </w:t>
            </w:r>
            <w:r>
              <w:rPr>
                <w:spacing w:val="-4"/>
              </w:rPr>
              <w:t>11  2022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31"/>
              </w:rPr>
              <w:t xml:space="preserve"> </w:t>
            </w:r>
            <w:r>
              <w:rPr>
                <w:spacing w:val="-4"/>
              </w:rPr>
              <w:t>12</w:t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>月-2023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12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月医药行业所有者权益情况</w:t>
            </w:r>
            <w:r>
              <w:rPr>
                <w:spacing w:val="-63"/>
              </w:rPr>
              <w:t xml:space="preserve"> </w:t>
            </w:r>
            <w:r>
              <w:tab/>
            </w:r>
            <w:r>
              <w:rPr>
                <w:spacing w:val="20"/>
                <w:w w:val="112"/>
              </w:rPr>
              <w:t>26</w:t>
            </w:r>
          </w:hyperlink>
        </w:p>
      </w:sdtContent>
    </w:sdt>
    <w:p>
      <w:pPr>
        <w:spacing w:line="221" w:lineRule="auto"/>
        <w:sectPr>
          <w:headerReference w:type="default" r:id="rId14"/>
          <w:footerReference w:type="default" r:id="rId15"/>
          <w:pgSz w:w="11907" w:h="16839"/>
          <w:pgMar w:top="1099" w:right="1769" w:bottom="1362" w:left="1771" w:header="877" w:footer="1201" w:gutter="0"/>
          <w:pgNumType w:start="7"/>
          <w:cols w:space="708"/>
        </w:sectPr>
      </w:pPr>
    </w:p>
    <w:p>
      <w:pPr>
        <w:spacing w:line="400" w:lineRule="auto"/>
        <w:rPr>
          <w:rFonts w:ascii="Arial"/>
          <w:sz w:val="21"/>
        </w:rPr>
      </w:pPr>
    </w:p>
    <w:p>
      <w:pPr>
        <w:pStyle w:val="BodyText"/>
        <w:spacing w:before="97" w:line="220" w:lineRule="auto"/>
        <w:ind w:left="62"/>
        <w:rPr>
          <w:sz w:val="30"/>
          <w:szCs w:val="30"/>
        </w:rPr>
      </w:pPr>
      <w:r>
        <w:rPr>
          <w:b/>
          <w:bCs/>
          <w:spacing w:val="-4"/>
          <w:sz w:val="30"/>
          <w:szCs w:val="30"/>
        </w:rPr>
        <w:t>1</w:t>
      </w:r>
      <w:r>
        <w:rPr>
          <w:spacing w:val="-4"/>
          <w:sz w:val="30"/>
          <w:szCs w:val="30"/>
        </w:rPr>
        <w:t xml:space="preserve">  </w:t>
      </w:r>
      <w:r>
        <w:rPr>
          <w:b/>
          <w:bCs/>
          <w:spacing w:val="-4"/>
          <w:sz w:val="30"/>
          <w:szCs w:val="30"/>
        </w:rPr>
        <w:t>2023</w:t>
      </w:r>
      <w:r>
        <w:rPr>
          <w:spacing w:val="-62"/>
          <w:sz w:val="30"/>
          <w:szCs w:val="30"/>
        </w:rPr>
        <w:t xml:space="preserve"> </w:t>
      </w:r>
      <w:r>
        <w:rPr>
          <w:b/>
          <w:bCs/>
          <w:spacing w:val="-4"/>
          <w:sz w:val="30"/>
          <w:szCs w:val="30"/>
        </w:rPr>
        <w:t>年四季度医药行业发展环境</w:t>
      </w:r>
      <w:r>
        <w:rPr>
          <w:b/>
          <w:bCs/>
          <w:spacing w:val="-5"/>
          <w:sz w:val="30"/>
          <w:szCs w:val="30"/>
        </w:rPr>
        <w:t>分析</w:t>
      </w:r>
    </w:p>
    <w:p>
      <w:pPr>
        <w:spacing w:line="341" w:lineRule="auto"/>
        <w:rPr>
          <w:rFonts w:ascii="Arial"/>
          <w:sz w:val="21"/>
        </w:rPr>
      </w:pPr>
    </w:p>
    <w:p>
      <w:pPr>
        <w:pStyle w:val="BodyText"/>
        <w:spacing w:before="91" w:line="221" w:lineRule="auto"/>
        <w:ind w:left="60"/>
        <w:rPr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1.1</w:t>
      </w:r>
      <w:r>
        <w:rPr>
          <w:spacing w:val="-4"/>
          <w:sz w:val="28"/>
          <w:szCs w:val="28"/>
        </w:rPr>
        <w:t xml:space="preserve">  </w:t>
      </w:r>
      <w:r>
        <w:rPr>
          <w:b/>
          <w:bCs/>
          <w:spacing w:val="-4"/>
          <w:sz w:val="28"/>
          <w:szCs w:val="28"/>
        </w:rPr>
        <w:t>宏观经济环境分析</w:t>
      </w:r>
    </w:p>
    <w:p>
      <w:pPr>
        <w:spacing w:line="267" w:lineRule="auto"/>
        <w:rPr>
          <w:rFonts w:ascii="Arial"/>
          <w:sz w:val="21"/>
        </w:rPr>
      </w:pPr>
    </w:p>
    <w:p>
      <w:pPr>
        <w:pStyle w:val="BodyText"/>
        <w:spacing w:before="78" w:line="220" w:lineRule="auto"/>
        <w:ind w:left="55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1.1.1</w:t>
      </w:r>
      <w:r>
        <w:rPr>
          <w:spacing w:val="-3"/>
          <w:sz w:val="24"/>
          <w:szCs w:val="24"/>
        </w:rPr>
        <w:t xml:space="preserve">  </w:t>
      </w:r>
      <w:r>
        <w:rPr>
          <w:b/>
          <w:bCs/>
          <w:spacing w:val="-3"/>
          <w:sz w:val="24"/>
          <w:szCs w:val="24"/>
        </w:rPr>
        <w:t>全球经济复苏动力不足</w:t>
      </w:r>
    </w:p>
    <w:p>
      <w:pPr>
        <w:pStyle w:val="BodyText"/>
        <w:spacing w:before="274" w:line="343" w:lineRule="auto"/>
        <w:ind w:left="36" w:right="72" w:firstLine="423"/>
      </w:pPr>
      <w:r>
        <w:rPr>
          <w:b/>
          <w:bCs/>
          <w:spacing w:val="-5"/>
        </w:rPr>
        <w:t>全球经济复苏动力不足。</w:t>
      </w:r>
      <w:r>
        <w:rPr>
          <w:spacing w:val="-5"/>
        </w:rPr>
        <w:t>在通胀压力和地缘政治冲突等因素的影响下，2023</w:t>
      </w:r>
      <w:r>
        <w:rPr>
          <w:spacing w:val="-29"/>
        </w:rPr>
        <w:t xml:space="preserve"> </w:t>
      </w:r>
      <w:r>
        <w:rPr>
          <w:spacing w:val="-5"/>
        </w:rPr>
        <w:t>年四季度，</w:t>
      </w:r>
      <w:r>
        <w:t xml:space="preserve"> </w:t>
      </w:r>
      <w:r>
        <w:rPr>
          <w:spacing w:val="-2"/>
        </w:rPr>
        <w:t>全球经济继续呈现复苏稳定性较弱、恢复动力不足的态</w:t>
      </w:r>
      <w:r>
        <w:rPr>
          <w:spacing w:val="-3"/>
        </w:rPr>
        <w:t>势。中国物流与采购联合会发布的数</w:t>
      </w:r>
      <w:r>
        <w:t xml:space="preserve"> </w:t>
      </w:r>
      <w:r>
        <w:rPr>
          <w:spacing w:val="-4"/>
        </w:rPr>
        <w:t>据显示，2023</w:t>
      </w:r>
      <w:r>
        <w:rPr>
          <w:spacing w:val="-43"/>
        </w:rPr>
        <w:t xml:space="preserve"> </w:t>
      </w:r>
      <w:r>
        <w:rPr>
          <w:spacing w:val="-4"/>
        </w:rPr>
        <w:t>年四季度，</w:t>
      </w:r>
      <w:r>
        <w:rPr>
          <w:spacing w:val="-46"/>
        </w:rPr>
        <w:t xml:space="preserve"> </w:t>
      </w:r>
      <w:r>
        <w:rPr>
          <w:spacing w:val="-4"/>
        </w:rPr>
        <w:t>全球制造业</w:t>
      </w:r>
      <w:r>
        <w:rPr>
          <w:spacing w:val="-48"/>
        </w:rPr>
        <w:t xml:space="preserve"> </w:t>
      </w:r>
      <w:r>
        <w:rPr>
          <w:spacing w:val="-4"/>
        </w:rPr>
        <w:t>PMI</w:t>
      </w:r>
      <w:r>
        <w:rPr>
          <w:spacing w:val="-45"/>
        </w:rPr>
        <w:t xml:space="preserve"> </w:t>
      </w:r>
      <w:r>
        <w:rPr>
          <w:spacing w:val="-4"/>
        </w:rPr>
        <w:t>均值为</w:t>
      </w:r>
      <w:r>
        <w:rPr>
          <w:spacing w:val="-45"/>
        </w:rPr>
        <w:t xml:space="preserve"> </w:t>
      </w:r>
      <w:r>
        <w:rPr>
          <w:spacing w:val="-4"/>
        </w:rPr>
        <w:t>47.9%，较三季度下</w:t>
      </w:r>
      <w:r>
        <w:rPr>
          <w:spacing w:val="-5"/>
        </w:rPr>
        <w:t>降</w:t>
      </w:r>
      <w:r>
        <w:rPr>
          <w:spacing w:val="-43"/>
        </w:rPr>
        <w:t xml:space="preserve"> </w:t>
      </w:r>
      <w:r>
        <w:rPr>
          <w:spacing w:val="-5"/>
        </w:rPr>
        <w:t>0.4</w:t>
      </w:r>
      <w:r>
        <w:rPr>
          <w:spacing w:val="-43"/>
        </w:rPr>
        <w:t xml:space="preserve"> </w:t>
      </w:r>
      <w:r>
        <w:rPr>
          <w:spacing w:val="-5"/>
        </w:rPr>
        <w:t>个百分点；2023</w:t>
      </w:r>
      <w:r>
        <w:t xml:space="preserve"> </w:t>
      </w:r>
      <w:r>
        <w:rPr>
          <w:spacing w:val="-6"/>
        </w:rPr>
        <w:t>年，</w:t>
      </w:r>
      <w:r>
        <w:rPr>
          <w:spacing w:val="-46"/>
        </w:rPr>
        <w:t xml:space="preserve"> </w:t>
      </w:r>
      <w:r>
        <w:rPr>
          <w:spacing w:val="-6"/>
        </w:rPr>
        <w:t>全球制造业</w:t>
      </w:r>
      <w:r>
        <w:rPr>
          <w:spacing w:val="-47"/>
        </w:rPr>
        <w:t xml:space="preserve"> </w:t>
      </w:r>
      <w:r>
        <w:rPr>
          <w:spacing w:val="-6"/>
        </w:rPr>
        <w:t>PMI</w:t>
      </w:r>
      <w:r>
        <w:rPr>
          <w:spacing w:val="-46"/>
        </w:rPr>
        <w:t xml:space="preserve"> </w:t>
      </w:r>
      <w:r>
        <w:rPr>
          <w:spacing w:val="-6"/>
        </w:rPr>
        <w:t>均值为</w:t>
      </w:r>
      <w:r>
        <w:rPr>
          <w:spacing w:val="-44"/>
        </w:rPr>
        <w:t xml:space="preserve"> </w:t>
      </w:r>
      <w:r>
        <w:rPr>
          <w:spacing w:val="-6"/>
        </w:rPr>
        <w:t>48.5%，较</w:t>
      </w:r>
      <w:r>
        <w:rPr>
          <w:spacing w:val="-33"/>
        </w:rPr>
        <w:t xml:space="preserve"> </w:t>
      </w:r>
      <w:r>
        <w:rPr>
          <w:spacing w:val="-6"/>
        </w:rPr>
        <w:t>2022</w:t>
      </w:r>
      <w:r>
        <w:rPr>
          <w:spacing w:val="-45"/>
        </w:rPr>
        <w:t xml:space="preserve"> </w:t>
      </w:r>
      <w:r>
        <w:rPr>
          <w:spacing w:val="-6"/>
        </w:rPr>
        <w:t>年下降</w:t>
      </w:r>
      <w:r>
        <w:rPr>
          <w:spacing w:val="-42"/>
        </w:rPr>
        <w:t xml:space="preserve"> </w:t>
      </w:r>
      <w:r>
        <w:rPr>
          <w:spacing w:val="-6"/>
        </w:rPr>
        <w:t>3.3</w:t>
      </w:r>
      <w:r>
        <w:rPr>
          <w:spacing w:val="-44"/>
        </w:rPr>
        <w:t xml:space="preserve"> </w:t>
      </w:r>
      <w:r>
        <w:rPr>
          <w:spacing w:val="-6"/>
        </w:rPr>
        <w:t>个百分点，</w:t>
      </w:r>
      <w:r>
        <w:rPr>
          <w:spacing w:val="-54"/>
        </w:rPr>
        <w:t xml:space="preserve"> </w:t>
      </w:r>
      <w:r>
        <w:rPr>
          <w:spacing w:val="-6"/>
        </w:rPr>
        <w:t>全年各月均运行在</w:t>
      </w:r>
      <w:r>
        <w:rPr>
          <w:spacing w:val="-40"/>
        </w:rPr>
        <w:t xml:space="preserve"> </w:t>
      </w:r>
      <w:r>
        <w:rPr>
          <w:spacing w:val="-6"/>
        </w:rPr>
        <w:t>50.0%</w:t>
      </w:r>
    </w:p>
    <w:p>
      <w:pPr>
        <w:pStyle w:val="BodyText"/>
        <w:spacing w:before="1" w:line="220" w:lineRule="auto"/>
        <w:ind w:left="60"/>
      </w:pPr>
      <w:r>
        <w:rPr>
          <w:spacing w:val="-7"/>
        </w:rPr>
        <w:t>以下， 全球经济增长势头较</w:t>
      </w:r>
      <w:r>
        <w:rPr>
          <w:spacing w:val="-35"/>
        </w:rPr>
        <w:t xml:space="preserve"> </w:t>
      </w:r>
      <w:r>
        <w:rPr>
          <w:spacing w:val="-7"/>
        </w:rPr>
        <w:t>2022</w:t>
      </w:r>
      <w:r>
        <w:rPr>
          <w:spacing w:val="-43"/>
        </w:rPr>
        <w:t xml:space="preserve"> </w:t>
      </w:r>
      <w:r>
        <w:rPr>
          <w:spacing w:val="-7"/>
        </w:rPr>
        <w:t>年有所放缓。</w:t>
      </w:r>
    </w:p>
    <w:p>
      <w:pPr>
        <w:pStyle w:val="BodyText"/>
        <w:spacing w:before="294" w:line="343" w:lineRule="auto"/>
        <w:ind w:left="36" w:firstLine="423"/>
      </w:pPr>
      <w:r>
        <w:rPr>
          <w:spacing w:val="-6"/>
        </w:rPr>
        <w:t>从主要经济体来看，</w:t>
      </w:r>
      <w:r>
        <w:rPr>
          <w:spacing w:val="-20"/>
        </w:rPr>
        <w:t xml:space="preserve"> </w:t>
      </w:r>
      <w:r>
        <w:rPr>
          <w:b/>
          <w:bCs/>
          <w:spacing w:val="-6"/>
        </w:rPr>
        <w:t>美国经济增速放缓，但增长动能依然较强。</w:t>
      </w:r>
      <w:r>
        <w:rPr>
          <w:spacing w:val="-6"/>
        </w:rPr>
        <w:t>2023</w:t>
      </w:r>
      <w:r>
        <w:rPr>
          <w:spacing w:val="-29"/>
        </w:rPr>
        <w:t xml:space="preserve"> </w:t>
      </w:r>
      <w:r>
        <w:rPr>
          <w:spacing w:val="-6"/>
        </w:rPr>
        <w:t>年 10-</w:t>
      </w:r>
      <w:r>
        <w:rPr>
          <w:spacing w:val="-7"/>
        </w:rPr>
        <w:t>12</w:t>
      </w:r>
      <w:r>
        <w:rPr>
          <w:spacing w:val="-22"/>
        </w:rPr>
        <w:t xml:space="preserve"> </w:t>
      </w:r>
      <w:r>
        <w:rPr>
          <w:spacing w:val="-7"/>
        </w:rPr>
        <w:t>月，</w:t>
      </w:r>
      <w:r>
        <w:rPr>
          <w:spacing w:val="-26"/>
        </w:rPr>
        <w:t xml:space="preserve"> </w:t>
      </w:r>
      <w:r>
        <w:rPr>
          <w:spacing w:val="-7"/>
        </w:rPr>
        <w:t>美</w:t>
      </w:r>
      <w:r>
        <w:t xml:space="preserve">  </w:t>
      </w:r>
      <w:r>
        <w:rPr>
          <w:spacing w:val="-3"/>
        </w:rPr>
        <w:t>国制造业</w:t>
      </w:r>
      <w:r>
        <w:rPr>
          <w:spacing w:val="-40"/>
        </w:rPr>
        <w:t xml:space="preserve"> </w:t>
      </w:r>
      <w:r>
        <w:rPr>
          <w:spacing w:val="-3"/>
        </w:rPr>
        <w:t>PMI</w:t>
      </w:r>
      <w:r>
        <w:rPr>
          <w:spacing w:val="-35"/>
        </w:rPr>
        <w:t xml:space="preserve"> </w:t>
      </w:r>
      <w:r>
        <w:rPr>
          <w:spacing w:val="-3"/>
        </w:rPr>
        <w:t>分别为</w:t>
      </w:r>
      <w:r>
        <w:rPr>
          <w:spacing w:val="-35"/>
        </w:rPr>
        <w:t xml:space="preserve"> </w:t>
      </w:r>
      <w:r>
        <w:rPr>
          <w:spacing w:val="-3"/>
        </w:rPr>
        <w:t>46.7、46.7</w:t>
      </w:r>
      <w:r>
        <w:rPr>
          <w:spacing w:val="-36"/>
        </w:rPr>
        <w:t xml:space="preserve"> </w:t>
      </w:r>
      <w:r>
        <w:rPr>
          <w:spacing w:val="-3"/>
        </w:rPr>
        <w:t>和</w:t>
      </w:r>
      <w:r>
        <w:rPr>
          <w:spacing w:val="-35"/>
        </w:rPr>
        <w:t xml:space="preserve"> </w:t>
      </w:r>
      <w:r>
        <w:rPr>
          <w:spacing w:val="-3"/>
        </w:rPr>
        <w:t>47.4，连续十四个月处</w:t>
      </w:r>
      <w:r>
        <w:rPr>
          <w:spacing w:val="-4"/>
        </w:rPr>
        <w:t>于</w:t>
      </w:r>
      <w:r>
        <w:rPr>
          <w:spacing w:val="-33"/>
        </w:rPr>
        <w:t xml:space="preserve"> </w:t>
      </w:r>
      <w:r>
        <w:rPr>
          <w:spacing w:val="-4"/>
        </w:rPr>
        <w:t>50</w:t>
      </w:r>
      <w:r>
        <w:rPr>
          <w:spacing w:val="-31"/>
        </w:rPr>
        <w:t xml:space="preserve"> </w:t>
      </w:r>
      <w:r>
        <w:rPr>
          <w:spacing w:val="-4"/>
        </w:rPr>
        <w:t>荣枯线以下，</w:t>
      </w:r>
      <w:r>
        <w:rPr>
          <w:spacing w:val="-23"/>
        </w:rPr>
        <w:t xml:space="preserve"> </w:t>
      </w:r>
      <w:r>
        <w:rPr>
          <w:spacing w:val="-4"/>
        </w:rPr>
        <w:t xml:space="preserve">且低于三季 </w:t>
      </w:r>
      <w:r>
        <w:rPr>
          <w:spacing w:val="-2"/>
        </w:rPr>
        <w:t>度的均值</w:t>
      </w:r>
      <w:r>
        <w:rPr>
          <w:spacing w:val="-30"/>
        </w:rPr>
        <w:t xml:space="preserve"> </w:t>
      </w:r>
      <w:r>
        <w:rPr>
          <w:spacing w:val="-2"/>
        </w:rPr>
        <w:t>47.7；非制造业</w:t>
      </w:r>
      <w:r>
        <w:rPr>
          <w:spacing w:val="-50"/>
        </w:rPr>
        <w:t xml:space="preserve"> </w:t>
      </w:r>
      <w:r>
        <w:rPr>
          <w:spacing w:val="-2"/>
        </w:rPr>
        <w:t>PMI</w:t>
      </w:r>
      <w:r>
        <w:rPr>
          <w:spacing w:val="-41"/>
        </w:rPr>
        <w:t xml:space="preserve"> </w:t>
      </w:r>
      <w:r>
        <w:rPr>
          <w:spacing w:val="-2"/>
        </w:rPr>
        <w:t>分别为</w:t>
      </w:r>
      <w:r>
        <w:rPr>
          <w:spacing w:val="-42"/>
        </w:rPr>
        <w:t xml:space="preserve"> </w:t>
      </w:r>
      <w:r>
        <w:rPr>
          <w:spacing w:val="-2"/>
        </w:rPr>
        <w:t>51.8、52.7</w:t>
      </w:r>
      <w:r>
        <w:rPr>
          <w:spacing w:val="-43"/>
        </w:rPr>
        <w:t xml:space="preserve"> </w:t>
      </w:r>
      <w:r>
        <w:rPr>
          <w:spacing w:val="-2"/>
        </w:rPr>
        <w:t>和</w:t>
      </w:r>
      <w:r>
        <w:rPr>
          <w:spacing w:val="-40"/>
        </w:rPr>
        <w:t xml:space="preserve"> </w:t>
      </w:r>
      <w:r>
        <w:rPr>
          <w:spacing w:val="-2"/>
        </w:rPr>
        <w:t>50.6，连续十二个月处于</w:t>
      </w:r>
      <w:r>
        <w:rPr>
          <w:spacing w:val="-41"/>
        </w:rPr>
        <w:t xml:space="preserve"> </w:t>
      </w:r>
      <w:r>
        <w:rPr>
          <w:spacing w:val="-2"/>
        </w:rPr>
        <w:t>50</w:t>
      </w:r>
      <w:r>
        <w:rPr>
          <w:spacing w:val="-39"/>
        </w:rPr>
        <w:t xml:space="preserve"> </w:t>
      </w:r>
      <w:r>
        <w:rPr>
          <w:spacing w:val="-2"/>
        </w:rPr>
        <w:t xml:space="preserve">荣枯线之 </w:t>
      </w:r>
      <w:r>
        <w:rPr>
          <w:spacing w:val="-1"/>
        </w:rPr>
        <w:t>上，但低于三季度的均值</w:t>
      </w:r>
      <w:r>
        <w:rPr>
          <w:spacing w:val="-15"/>
        </w:rPr>
        <w:t xml:space="preserve"> </w:t>
      </w:r>
      <w:r>
        <w:rPr>
          <w:spacing w:val="-1"/>
        </w:rPr>
        <w:t>53.6。美国制造业</w:t>
      </w:r>
      <w:r>
        <w:rPr>
          <w:spacing w:val="-26"/>
        </w:rPr>
        <w:t xml:space="preserve"> </w:t>
      </w:r>
      <w:r>
        <w:rPr>
          <w:spacing w:val="-1"/>
        </w:rPr>
        <w:t>PMI</w:t>
      </w:r>
      <w:r>
        <w:rPr>
          <w:spacing w:val="-25"/>
        </w:rPr>
        <w:t xml:space="preserve"> </w:t>
      </w:r>
      <w:r>
        <w:rPr>
          <w:spacing w:val="-1"/>
        </w:rPr>
        <w:t xml:space="preserve">创下互联网泡沫危机以来最近二十年最长 </w:t>
      </w:r>
      <w:r>
        <w:rPr>
          <w:spacing w:val="-2"/>
        </w:rPr>
        <w:t>的萎缩周期；非制造业</w:t>
      </w:r>
      <w:r>
        <w:rPr>
          <w:spacing w:val="-43"/>
        </w:rPr>
        <w:t xml:space="preserve"> </w:t>
      </w:r>
      <w:r>
        <w:rPr>
          <w:spacing w:val="-2"/>
        </w:rPr>
        <w:t>PMI</w:t>
      </w:r>
      <w:r>
        <w:rPr>
          <w:spacing w:val="-42"/>
        </w:rPr>
        <w:t xml:space="preserve"> </w:t>
      </w:r>
      <w:r>
        <w:rPr>
          <w:spacing w:val="-2"/>
        </w:rPr>
        <w:t>持续处于扩张区间，支撑美国经济增长。10-11</w:t>
      </w:r>
      <w:r>
        <w:rPr>
          <w:spacing w:val="-41"/>
        </w:rPr>
        <w:t xml:space="preserve"> </w:t>
      </w:r>
      <w:r>
        <w:rPr>
          <w:spacing w:val="-2"/>
        </w:rPr>
        <w:t xml:space="preserve">月，美国个人收 </w:t>
      </w:r>
      <w:r>
        <w:rPr>
          <w:spacing w:val="-3"/>
        </w:rPr>
        <w:t>入同比增速分别为</w:t>
      </w:r>
      <w:r>
        <w:rPr>
          <w:spacing w:val="-45"/>
        </w:rPr>
        <w:t xml:space="preserve"> </w:t>
      </w:r>
      <w:r>
        <w:rPr>
          <w:spacing w:val="-3"/>
        </w:rPr>
        <w:t>4.3%和</w:t>
      </w:r>
      <w:r>
        <w:rPr>
          <w:spacing w:val="-48"/>
        </w:rPr>
        <w:t xml:space="preserve"> </w:t>
      </w:r>
      <w:r>
        <w:rPr>
          <w:spacing w:val="-3"/>
        </w:rPr>
        <w:t>4.6%，美国个人消费支出同比增速分别为</w:t>
      </w:r>
      <w:r>
        <w:rPr>
          <w:spacing w:val="-39"/>
        </w:rPr>
        <w:t xml:space="preserve"> </w:t>
      </w:r>
      <w:r>
        <w:rPr>
          <w:spacing w:val="-3"/>
        </w:rPr>
        <w:t>5.0%和</w:t>
      </w:r>
      <w:r>
        <w:rPr>
          <w:spacing w:val="-40"/>
        </w:rPr>
        <w:t xml:space="preserve"> </w:t>
      </w:r>
      <w:r>
        <w:rPr>
          <w:spacing w:val="-3"/>
        </w:rPr>
        <w:t>5.4%，个人</w:t>
      </w:r>
      <w:r>
        <w:rPr>
          <w:spacing w:val="-4"/>
        </w:rPr>
        <w:t xml:space="preserve">收入 </w:t>
      </w:r>
      <w:r>
        <w:rPr>
          <w:spacing w:val="2"/>
        </w:rPr>
        <w:t>与消费支出的增速稳中趋降。收入增速已接近疫情前水平，支出增速仍高于</w:t>
      </w:r>
      <w:r>
        <w:rPr>
          <w:spacing w:val="1"/>
        </w:rPr>
        <w:t>疫情前水平。</w:t>
      </w:r>
      <w:r>
        <w:t xml:space="preserve">  </w:t>
      </w:r>
      <w:r>
        <w:rPr>
          <w:spacing w:val="-3"/>
        </w:rPr>
        <w:t>2023</w:t>
      </w:r>
      <w:r>
        <w:rPr>
          <w:spacing w:val="-34"/>
        </w:rPr>
        <w:t xml:space="preserve"> </w:t>
      </w:r>
      <w:r>
        <w:rPr>
          <w:spacing w:val="-3"/>
        </w:rPr>
        <w:t>年 12</w:t>
      </w:r>
      <w:r>
        <w:rPr>
          <w:spacing w:val="-29"/>
        </w:rPr>
        <w:t xml:space="preserve"> </w:t>
      </w:r>
      <w:r>
        <w:rPr>
          <w:spacing w:val="-3"/>
        </w:rPr>
        <w:t>月，美国失业率环比持平在</w:t>
      </w:r>
      <w:r>
        <w:rPr>
          <w:spacing w:val="-33"/>
        </w:rPr>
        <w:t xml:space="preserve"> </w:t>
      </w:r>
      <w:r>
        <w:rPr>
          <w:spacing w:val="-3"/>
        </w:rPr>
        <w:t>3.7%，劳动参与率环比下降</w:t>
      </w:r>
      <w:r>
        <w:rPr>
          <w:spacing w:val="-32"/>
        </w:rPr>
        <w:t xml:space="preserve"> </w:t>
      </w:r>
      <w:r>
        <w:rPr>
          <w:spacing w:val="-3"/>
        </w:rPr>
        <w:t>0.3</w:t>
      </w:r>
      <w:r>
        <w:rPr>
          <w:spacing w:val="-35"/>
        </w:rPr>
        <w:t xml:space="preserve"> </w:t>
      </w:r>
      <w:r>
        <w:rPr>
          <w:spacing w:val="-3"/>
        </w:rPr>
        <w:t>个百分点至</w:t>
      </w:r>
      <w:r>
        <w:rPr>
          <w:spacing w:val="-32"/>
        </w:rPr>
        <w:t xml:space="preserve"> </w:t>
      </w:r>
      <w:r>
        <w:rPr>
          <w:spacing w:val="-3"/>
        </w:rPr>
        <w:t>62.5%。</w:t>
      </w:r>
      <w:r>
        <w:t xml:space="preserve"> </w:t>
      </w:r>
      <w:r>
        <w:rPr>
          <w:spacing w:val="-5"/>
        </w:rPr>
        <w:t>整体来看，</w:t>
      </w:r>
      <w:r>
        <w:rPr>
          <w:spacing w:val="-40"/>
        </w:rPr>
        <w:t xml:space="preserve"> </w:t>
      </w:r>
      <w:r>
        <w:rPr>
          <w:spacing w:val="-5"/>
        </w:rPr>
        <w:t>美国劳动力市场依然紧张，但紧张程度有所放</w:t>
      </w:r>
      <w:r>
        <w:rPr>
          <w:spacing w:val="-6"/>
        </w:rPr>
        <w:t>缓，</w:t>
      </w:r>
      <w:r>
        <w:rPr>
          <w:spacing w:val="-42"/>
        </w:rPr>
        <w:t xml:space="preserve"> </w:t>
      </w:r>
      <w:r>
        <w:rPr>
          <w:spacing w:val="-6"/>
        </w:rPr>
        <w:t>且非农数据可能“夸大”了美</w:t>
      </w:r>
    </w:p>
    <w:p>
      <w:pPr>
        <w:pStyle w:val="BodyText"/>
        <w:spacing w:before="1" w:line="220" w:lineRule="auto"/>
        <w:ind w:left="57"/>
      </w:pPr>
      <w:r>
        <w:rPr>
          <w:spacing w:val="-3"/>
        </w:rPr>
        <w:t>国劳动力市场的强劲程度。</w:t>
      </w:r>
    </w:p>
    <w:p>
      <w:pPr>
        <w:pStyle w:val="BodyText"/>
        <w:spacing w:before="294" w:line="343" w:lineRule="auto"/>
        <w:ind w:left="37" w:right="71" w:firstLine="429"/>
        <w:jc w:val="both"/>
      </w:pPr>
      <w:r>
        <w:rPr>
          <w:b/>
          <w:bCs/>
          <w:spacing w:val="-2"/>
        </w:rPr>
        <w:t>欧元区经济复苏进程堪忧，通胀水平再次回升。</w:t>
      </w:r>
      <w:r>
        <w:rPr>
          <w:spacing w:val="-2"/>
        </w:rPr>
        <w:t>2</w:t>
      </w:r>
      <w:r>
        <w:rPr>
          <w:spacing w:val="-3"/>
        </w:rPr>
        <w:t>023</w:t>
      </w:r>
      <w:r>
        <w:rPr>
          <w:spacing w:val="-36"/>
        </w:rPr>
        <w:t xml:space="preserve"> </w:t>
      </w:r>
      <w:r>
        <w:rPr>
          <w:spacing w:val="-3"/>
        </w:rPr>
        <w:t>年</w:t>
      </w:r>
      <w:r>
        <w:rPr>
          <w:spacing w:val="-18"/>
        </w:rPr>
        <w:t xml:space="preserve"> </w:t>
      </w:r>
      <w:r>
        <w:rPr>
          <w:spacing w:val="-3"/>
        </w:rPr>
        <w:t>10-12</w:t>
      </w:r>
      <w:r>
        <w:rPr>
          <w:spacing w:val="-32"/>
        </w:rPr>
        <w:t xml:space="preserve"> </w:t>
      </w:r>
      <w:r>
        <w:rPr>
          <w:spacing w:val="-3"/>
        </w:rPr>
        <w:t>月，欧元区综合</w:t>
      </w:r>
      <w:r>
        <w:rPr>
          <w:spacing w:val="-38"/>
        </w:rPr>
        <w:t xml:space="preserve"> </w:t>
      </w:r>
      <w:r>
        <w:rPr>
          <w:spacing w:val="-3"/>
        </w:rPr>
        <w:t>PMI</w:t>
      </w:r>
      <w:r>
        <w:rPr>
          <w:spacing w:val="-32"/>
        </w:rPr>
        <w:t xml:space="preserve"> </w:t>
      </w:r>
      <w:r>
        <w:rPr>
          <w:spacing w:val="-3"/>
        </w:rPr>
        <w:t>继</w:t>
      </w:r>
      <w:r>
        <w:t xml:space="preserve"> </w:t>
      </w:r>
      <w:r>
        <w:rPr>
          <w:spacing w:val="-4"/>
        </w:rPr>
        <w:t>续在低位徘徊，</w:t>
      </w:r>
      <w:r>
        <w:rPr>
          <w:spacing w:val="-19"/>
        </w:rPr>
        <w:t xml:space="preserve"> </w:t>
      </w:r>
      <w:r>
        <w:rPr>
          <w:spacing w:val="-4"/>
        </w:rPr>
        <w:t>季度均值为</w:t>
      </w:r>
      <w:r>
        <w:rPr>
          <w:spacing w:val="-45"/>
        </w:rPr>
        <w:t xml:space="preserve"> </w:t>
      </w:r>
      <w:r>
        <w:rPr>
          <w:spacing w:val="-4"/>
        </w:rPr>
        <w:t>47.2，较三季度</w:t>
      </w:r>
      <w:r>
        <w:rPr>
          <w:spacing w:val="-45"/>
        </w:rPr>
        <w:t xml:space="preserve"> </w:t>
      </w:r>
      <w:r>
        <w:rPr>
          <w:spacing w:val="-4"/>
        </w:rPr>
        <w:t>47.5</w:t>
      </w:r>
      <w:r>
        <w:rPr>
          <w:spacing w:val="-28"/>
        </w:rPr>
        <w:t xml:space="preserve"> </w:t>
      </w:r>
      <w:r>
        <w:rPr>
          <w:spacing w:val="-4"/>
        </w:rPr>
        <w:t>的季度均值进一步下行，该地区整体经济</w:t>
      </w:r>
      <w:r>
        <w:t xml:space="preserve"> </w:t>
      </w:r>
      <w:r>
        <w:rPr>
          <w:spacing w:val="-2"/>
        </w:rPr>
        <w:t>活动仍处于萎缩状态。制造业</w:t>
      </w:r>
      <w:r>
        <w:rPr>
          <w:spacing w:val="-28"/>
        </w:rPr>
        <w:t xml:space="preserve"> </w:t>
      </w:r>
      <w:r>
        <w:rPr>
          <w:spacing w:val="-2"/>
        </w:rPr>
        <w:t>PMI</w:t>
      </w:r>
      <w:r>
        <w:rPr>
          <w:spacing w:val="-24"/>
        </w:rPr>
        <w:t xml:space="preserve"> </w:t>
      </w:r>
      <w:r>
        <w:rPr>
          <w:spacing w:val="-2"/>
        </w:rPr>
        <w:t>连续十</w:t>
      </w:r>
      <w:r>
        <w:rPr>
          <w:spacing w:val="-3"/>
        </w:rPr>
        <w:t>八个月位于荣枯线以下，</w:t>
      </w:r>
      <w:r>
        <w:rPr>
          <w:spacing w:val="-22"/>
        </w:rPr>
        <w:t xml:space="preserve"> </w:t>
      </w:r>
      <w:r>
        <w:rPr>
          <w:spacing w:val="-3"/>
        </w:rPr>
        <w:t>均值为</w:t>
      </w:r>
      <w:r>
        <w:rPr>
          <w:spacing w:val="-23"/>
        </w:rPr>
        <w:t xml:space="preserve"> </w:t>
      </w:r>
      <w:r>
        <w:rPr>
          <w:spacing w:val="-3"/>
        </w:rPr>
        <w:t>43.9，虽然好于</w:t>
      </w:r>
      <w:r>
        <w:t xml:space="preserve"> </w:t>
      </w:r>
      <w:r>
        <w:rPr>
          <w:spacing w:val="-3"/>
        </w:rPr>
        <w:t>上一季度的</w:t>
      </w:r>
      <w:r>
        <w:rPr>
          <w:spacing w:val="-44"/>
        </w:rPr>
        <w:t xml:space="preserve"> </w:t>
      </w:r>
      <w:r>
        <w:rPr>
          <w:spacing w:val="-3"/>
        </w:rPr>
        <w:t>43.2，但仍处于较低水平，服务业</w:t>
      </w:r>
      <w:r>
        <w:rPr>
          <w:spacing w:val="-48"/>
        </w:rPr>
        <w:t xml:space="preserve"> </w:t>
      </w:r>
      <w:r>
        <w:rPr>
          <w:spacing w:val="-3"/>
        </w:rPr>
        <w:t>PMI</w:t>
      </w:r>
      <w:r>
        <w:rPr>
          <w:spacing w:val="-45"/>
        </w:rPr>
        <w:t xml:space="preserve"> </w:t>
      </w:r>
      <w:r>
        <w:rPr>
          <w:spacing w:val="-3"/>
        </w:rPr>
        <w:t>均值为</w:t>
      </w:r>
      <w:r>
        <w:rPr>
          <w:spacing w:val="-45"/>
        </w:rPr>
        <w:t xml:space="preserve"> </w:t>
      </w:r>
      <w:r>
        <w:rPr>
          <w:spacing w:val="-3"/>
        </w:rPr>
        <w:t>48.4，较三季度的</w:t>
      </w:r>
      <w:r>
        <w:rPr>
          <w:spacing w:val="-47"/>
        </w:rPr>
        <w:t xml:space="preserve"> </w:t>
      </w:r>
      <w:r>
        <w:rPr>
          <w:spacing w:val="-3"/>
        </w:rPr>
        <w:t>49.2</w:t>
      </w:r>
      <w:r>
        <w:rPr>
          <w:spacing w:val="-47"/>
        </w:rPr>
        <w:t xml:space="preserve"> </w:t>
      </w:r>
      <w:r>
        <w:rPr>
          <w:spacing w:val="-3"/>
        </w:rPr>
        <w:t>进一步下</w:t>
      </w:r>
      <w:r>
        <w:t xml:space="preserve"> </w:t>
      </w:r>
      <w:r>
        <w:rPr>
          <w:spacing w:val="-4"/>
        </w:rPr>
        <w:t>滑，</w:t>
      </w:r>
      <w:r>
        <w:rPr>
          <w:spacing w:val="-21"/>
        </w:rPr>
        <w:t xml:space="preserve"> </w:t>
      </w:r>
      <w:r>
        <w:rPr>
          <w:spacing w:val="-4"/>
        </w:rPr>
        <w:t>连续两个季度处于收缩区间。2023</w:t>
      </w:r>
      <w:r>
        <w:rPr>
          <w:spacing w:val="-45"/>
        </w:rPr>
        <w:t xml:space="preserve"> </w:t>
      </w:r>
      <w:r>
        <w:rPr>
          <w:spacing w:val="-4"/>
        </w:rPr>
        <w:t>年</w:t>
      </w:r>
      <w:r>
        <w:rPr>
          <w:spacing w:val="-28"/>
        </w:rPr>
        <w:t xml:space="preserve"> </w:t>
      </w:r>
      <w:r>
        <w:rPr>
          <w:spacing w:val="-4"/>
        </w:rPr>
        <w:t>12</w:t>
      </w:r>
      <w:r>
        <w:rPr>
          <w:spacing w:val="-39"/>
        </w:rPr>
        <w:t xml:space="preserve"> </w:t>
      </w:r>
      <w:r>
        <w:rPr>
          <w:spacing w:val="-4"/>
        </w:rPr>
        <w:t>月欧元区消费者调和价格指数（HICP）同比增</w:t>
      </w:r>
      <w:r>
        <w:t xml:space="preserve"> </w:t>
      </w:r>
      <w:r>
        <w:rPr>
          <w:spacing w:val="-4"/>
        </w:rPr>
        <w:t>长</w:t>
      </w:r>
      <w:r>
        <w:rPr>
          <w:spacing w:val="-42"/>
        </w:rPr>
        <w:t xml:space="preserve"> </w:t>
      </w:r>
      <w:r>
        <w:rPr>
          <w:spacing w:val="-4"/>
        </w:rPr>
        <w:t>2.9%，较</w:t>
      </w:r>
      <w:r>
        <w:rPr>
          <w:spacing w:val="-22"/>
        </w:rPr>
        <w:t xml:space="preserve"> </w:t>
      </w:r>
      <w:r>
        <w:rPr>
          <w:spacing w:val="-4"/>
        </w:rPr>
        <w:t>11</w:t>
      </w:r>
      <w:r>
        <w:rPr>
          <w:spacing w:val="-41"/>
        </w:rPr>
        <w:t xml:space="preserve"> </w:t>
      </w:r>
      <w:r>
        <w:rPr>
          <w:spacing w:val="-4"/>
        </w:rPr>
        <w:t>月上升了</w:t>
      </w:r>
      <w:r>
        <w:rPr>
          <w:spacing w:val="-42"/>
        </w:rPr>
        <w:t xml:space="preserve"> </w:t>
      </w:r>
      <w:r>
        <w:rPr>
          <w:spacing w:val="-4"/>
        </w:rPr>
        <w:t>0.5</w:t>
      </w:r>
      <w:r>
        <w:rPr>
          <w:spacing w:val="-44"/>
        </w:rPr>
        <w:t xml:space="preserve"> </w:t>
      </w:r>
      <w:r>
        <w:rPr>
          <w:spacing w:val="-4"/>
        </w:rPr>
        <w:t>个百分点，</w:t>
      </w:r>
      <w:r>
        <w:rPr>
          <w:spacing w:val="-31"/>
        </w:rPr>
        <w:t xml:space="preserve"> </w:t>
      </w:r>
      <w:r>
        <w:rPr>
          <w:spacing w:val="-4"/>
        </w:rPr>
        <w:t>是连续七</w:t>
      </w:r>
      <w:r>
        <w:rPr>
          <w:spacing w:val="-5"/>
        </w:rPr>
        <w:t>个月下降后的首次回升。各国政府能源补</w:t>
      </w:r>
      <w:r>
        <w:t xml:space="preserve"> </w:t>
      </w:r>
      <w:r>
        <w:rPr>
          <w:spacing w:val="-2"/>
        </w:rPr>
        <w:t>贴措施的逐步退出成为此次通胀回升的主要推动</w:t>
      </w:r>
      <w:r>
        <w:rPr>
          <w:spacing w:val="-3"/>
        </w:rPr>
        <w:t>力。食品、酒精和烟草价格涨幅度最大，同</w:t>
      </w:r>
      <w:r>
        <w:t xml:space="preserve"> </w:t>
      </w:r>
      <w:r>
        <w:rPr>
          <w:spacing w:val="-3"/>
        </w:rPr>
        <w:t>比上涨</w:t>
      </w:r>
      <w:r>
        <w:rPr>
          <w:spacing w:val="-28"/>
        </w:rPr>
        <w:t xml:space="preserve"> </w:t>
      </w:r>
      <w:r>
        <w:rPr>
          <w:spacing w:val="-3"/>
        </w:rPr>
        <w:t>6.1%。其次是服务价格， 同比上涨</w:t>
      </w:r>
      <w:r>
        <w:rPr>
          <w:spacing w:val="-42"/>
        </w:rPr>
        <w:t xml:space="preserve"> </w:t>
      </w:r>
      <w:r>
        <w:rPr>
          <w:spacing w:val="-3"/>
        </w:rPr>
        <w:t>4.0%，与前一个月持平。剔除了波动较大的食品</w:t>
      </w:r>
      <w:r>
        <w:t xml:space="preserve"> </w:t>
      </w:r>
      <w:r>
        <w:rPr>
          <w:spacing w:val="-3"/>
        </w:rPr>
        <w:t>和能源价格后， 欧元区核心</w:t>
      </w:r>
      <w:r>
        <w:rPr>
          <w:spacing w:val="-44"/>
        </w:rPr>
        <w:t xml:space="preserve"> </w:t>
      </w:r>
      <w:r>
        <w:rPr>
          <w:spacing w:val="-3"/>
        </w:rPr>
        <w:t>HICP</w:t>
      </w:r>
      <w:r>
        <w:rPr>
          <w:spacing w:val="-21"/>
        </w:rPr>
        <w:t xml:space="preserve"> </w:t>
      </w:r>
      <w:r>
        <w:rPr>
          <w:spacing w:val="-3"/>
        </w:rPr>
        <w:t>同比增速仍处于下行通道，达到</w:t>
      </w:r>
      <w:r>
        <w:rPr>
          <w:spacing w:val="-4"/>
        </w:rPr>
        <w:t>二十一个月以来的最低水</w:t>
      </w:r>
    </w:p>
    <w:p>
      <w:pPr>
        <w:pStyle w:val="BodyText"/>
        <w:spacing w:line="224" w:lineRule="auto"/>
        <w:ind w:left="36"/>
        <w:sectPr>
          <w:headerReference w:type="default" r:id="rId16"/>
          <w:footerReference w:type="default" r:id="rId17"/>
          <w:pgSz w:w="11907" w:h="16839"/>
          <w:pgMar w:top="1099" w:right="1721" w:bottom="1359" w:left="1771" w:header="877" w:footer="1201" w:gutter="0"/>
          <w:pgNumType w:start="8"/>
          <w:cols w:space="708"/>
        </w:sectPr>
      </w:pPr>
      <w:r>
        <w:rPr>
          <w:spacing w:val="-4"/>
        </w:rPr>
        <w:t>平。</w:t>
      </w:r>
    </w:p>
    <w:p>
      <w:pPr>
        <w:pStyle w:val="BodyText"/>
        <w:spacing w:before="291" w:line="343" w:lineRule="auto"/>
        <w:ind w:left="33" w:right="74" w:firstLine="462"/>
        <w:jc w:val="both"/>
      </w:pPr>
      <w:r>
        <w:rPr>
          <w:b/>
          <w:bCs/>
          <w:spacing w:val="-4"/>
        </w:rPr>
        <w:t>日本经济恢复力度边际衰减，经济韧性有待增强。</w:t>
      </w:r>
      <w:r>
        <w:rPr>
          <w:spacing w:val="-4"/>
        </w:rPr>
        <w:t>2023</w:t>
      </w:r>
      <w:r>
        <w:rPr>
          <w:spacing w:val="-26"/>
        </w:rPr>
        <w:t xml:space="preserve"> </w:t>
      </w:r>
      <w:r>
        <w:rPr>
          <w:spacing w:val="-4"/>
        </w:rPr>
        <w:t>年</w:t>
      </w:r>
      <w:r>
        <w:rPr>
          <w:spacing w:val="-21"/>
        </w:rPr>
        <w:t xml:space="preserve"> </w:t>
      </w:r>
      <w:r>
        <w:rPr>
          <w:spacing w:val="-4"/>
        </w:rPr>
        <w:t>10</w:t>
      </w:r>
      <w:r>
        <w:rPr>
          <w:spacing w:val="-32"/>
        </w:rPr>
        <w:t xml:space="preserve"> </w:t>
      </w:r>
      <w:r>
        <w:rPr>
          <w:spacing w:val="-4"/>
        </w:rPr>
        <w:t>月和</w:t>
      </w:r>
      <w:r>
        <w:rPr>
          <w:spacing w:val="-21"/>
        </w:rPr>
        <w:t xml:space="preserve"> </w:t>
      </w:r>
      <w:r>
        <w:rPr>
          <w:spacing w:val="-4"/>
        </w:rPr>
        <w:t>11</w:t>
      </w:r>
      <w:r>
        <w:rPr>
          <w:spacing w:val="-32"/>
        </w:rPr>
        <w:t xml:space="preserve"> </w:t>
      </w:r>
      <w:r>
        <w:rPr>
          <w:spacing w:val="-4"/>
        </w:rPr>
        <w:t>月，日本制造业</w:t>
      </w:r>
      <w:r>
        <w:t xml:space="preserve"> </w:t>
      </w:r>
      <w:r>
        <w:rPr>
          <w:spacing w:val="-2"/>
        </w:rPr>
        <w:t>PMI</w:t>
      </w:r>
      <w:r>
        <w:rPr>
          <w:spacing w:val="-34"/>
        </w:rPr>
        <w:t xml:space="preserve"> </w:t>
      </w:r>
      <w:r>
        <w:rPr>
          <w:spacing w:val="-2"/>
        </w:rPr>
        <w:t>分别为</w:t>
      </w:r>
      <w:r>
        <w:rPr>
          <w:spacing w:val="-47"/>
        </w:rPr>
        <w:t xml:space="preserve"> </w:t>
      </w:r>
      <w:r>
        <w:rPr>
          <w:spacing w:val="-2"/>
        </w:rPr>
        <w:t>48.7</w:t>
      </w:r>
      <w:r>
        <w:rPr>
          <w:spacing w:val="-43"/>
        </w:rPr>
        <w:t xml:space="preserve"> </w:t>
      </w:r>
      <w:r>
        <w:rPr>
          <w:spacing w:val="-2"/>
        </w:rPr>
        <w:t>和</w:t>
      </w:r>
      <w:r>
        <w:rPr>
          <w:spacing w:val="-45"/>
        </w:rPr>
        <w:t xml:space="preserve"> </w:t>
      </w:r>
      <w:r>
        <w:rPr>
          <w:spacing w:val="-2"/>
        </w:rPr>
        <w:t>48.3，继续低于荣枯线，两个月的均值为</w:t>
      </w:r>
      <w:r>
        <w:rPr>
          <w:spacing w:val="-45"/>
        </w:rPr>
        <w:t xml:space="preserve"> </w:t>
      </w:r>
      <w:r>
        <w:rPr>
          <w:spacing w:val="-2"/>
        </w:rPr>
        <w:t>48.5，重心继续下移。前三季</w:t>
      </w:r>
      <w:r>
        <w:t xml:space="preserve"> </w:t>
      </w:r>
      <w:r>
        <w:rPr>
          <w:spacing w:val="-2"/>
        </w:rPr>
        <w:t>度日本制造业</w:t>
      </w:r>
      <w:r>
        <w:rPr>
          <w:spacing w:val="-36"/>
        </w:rPr>
        <w:t xml:space="preserve"> </w:t>
      </w:r>
      <w:r>
        <w:rPr>
          <w:spacing w:val="-2"/>
        </w:rPr>
        <w:t>PMI</w:t>
      </w:r>
      <w:r>
        <w:rPr>
          <w:spacing w:val="-41"/>
        </w:rPr>
        <w:t xml:space="preserve"> </w:t>
      </w:r>
      <w:r>
        <w:rPr>
          <w:spacing w:val="-2"/>
        </w:rPr>
        <w:t>分别为</w:t>
      </w:r>
      <w:r>
        <w:rPr>
          <w:spacing w:val="-47"/>
        </w:rPr>
        <w:t xml:space="preserve"> </w:t>
      </w:r>
      <w:r>
        <w:rPr>
          <w:spacing w:val="-2"/>
        </w:rPr>
        <w:t>48.6、50.1</w:t>
      </w:r>
      <w:r>
        <w:rPr>
          <w:spacing w:val="-45"/>
        </w:rPr>
        <w:t xml:space="preserve"> </w:t>
      </w:r>
      <w:r>
        <w:rPr>
          <w:spacing w:val="-2"/>
        </w:rPr>
        <w:t>和</w:t>
      </w:r>
      <w:r>
        <w:rPr>
          <w:spacing w:val="-45"/>
        </w:rPr>
        <w:t xml:space="preserve"> </w:t>
      </w:r>
      <w:r>
        <w:rPr>
          <w:spacing w:val="-2"/>
        </w:rPr>
        <w:t>49.2，第四季度均值低于第三季度和第二季度平均</w:t>
      </w:r>
    </w:p>
    <w:p>
      <w:pPr>
        <w:pStyle w:val="BodyText"/>
        <w:spacing w:before="1" w:line="219" w:lineRule="auto"/>
        <w:ind w:left="39"/>
      </w:pPr>
      <w:r>
        <w:rPr>
          <w:spacing w:val="-3"/>
        </w:rPr>
        <w:t>水平。日本服务业同样表现出边际转弱的态势。2023</w:t>
      </w:r>
      <w:r>
        <w:rPr>
          <w:spacing w:val="-19"/>
        </w:rPr>
        <w:t xml:space="preserve"> </w:t>
      </w:r>
      <w:r>
        <w:rPr>
          <w:spacing w:val="-3"/>
        </w:rPr>
        <w:t>年 10-12</w:t>
      </w:r>
      <w:r>
        <w:rPr>
          <w:spacing w:val="-30"/>
        </w:rPr>
        <w:t xml:space="preserve"> </w:t>
      </w:r>
      <w:r>
        <w:rPr>
          <w:spacing w:val="-3"/>
        </w:rPr>
        <w:t>月，</w:t>
      </w:r>
      <w:r>
        <w:rPr>
          <w:spacing w:val="-61"/>
        </w:rPr>
        <w:t xml:space="preserve"> </w:t>
      </w:r>
      <w:r>
        <w:rPr>
          <w:spacing w:val="-3"/>
        </w:rPr>
        <w:t>日本服务业</w:t>
      </w:r>
      <w:r>
        <w:rPr>
          <w:spacing w:val="-35"/>
        </w:rPr>
        <w:t xml:space="preserve"> </w:t>
      </w:r>
      <w:r>
        <w:rPr>
          <w:spacing w:val="-3"/>
        </w:rPr>
        <w:t>PMI</w:t>
      </w:r>
      <w:r>
        <w:rPr>
          <w:spacing w:val="-29"/>
        </w:rPr>
        <w:t xml:space="preserve"> </w:t>
      </w:r>
      <w:r>
        <w:rPr>
          <w:spacing w:val="-3"/>
        </w:rPr>
        <w:t>分别为</w:t>
      </w:r>
    </w:p>
    <w:p>
      <w:pPr>
        <w:spacing w:line="219" w:lineRule="auto"/>
        <w:sectPr>
          <w:headerReference w:type="default" r:id="rId18"/>
          <w:footerReference w:type="default" r:id="rId19"/>
          <w:type w:val="nextPage"/>
          <w:pgSz w:w="11907" w:h="16839"/>
          <w:pgMar w:top="1099" w:right="1721" w:bottom="1359" w:left="1771" w:header="877" w:footer="1201" w:gutter="0"/>
          <w:pgNumType w:start="9"/>
          <w:cols w:space="708"/>
          <w:titlePg w:val="0"/>
        </w:sectPr>
      </w:pPr>
    </w:p>
    <w:p>
      <w:pPr>
        <w:spacing w:line="359" w:lineRule="auto"/>
        <w:rPr>
          <w:rFonts w:ascii="Arial"/>
          <w:sz w:val="21"/>
        </w:rPr>
      </w:pPr>
    </w:p>
    <w:p>
      <w:pPr>
        <w:pStyle w:val="BodyText"/>
        <w:spacing w:before="69" w:line="343" w:lineRule="auto"/>
        <w:ind w:left="35" w:right="52" w:firstLine="5"/>
        <w:jc w:val="both"/>
      </w:pPr>
      <w:r>
        <w:t>51.6、50.8</w:t>
      </w:r>
      <w:r>
        <w:rPr>
          <w:spacing w:val="-41"/>
        </w:rPr>
        <w:t xml:space="preserve"> </w:t>
      </w:r>
      <w:r>
        <w:t>和</w:t>
      </w:r>
      <w:r>
        <w:rPr>
          <w:spacing w:val="-35"/>
        </w:rPr>
        <w:t xml:space="preserve"> </w:t>
      </w:r>
      <w:r>
        <w:t>52.0，虽然继续</w:t>
      </w:r>
      <w:r>
        <w:rPr>
          <w:spacing w:val="-1"/>
        </w:rPr>
        <w:t>位于荣枯线之上，但较前三个季度而言已经显出弱势。从制</w:t>
      </w:r>
      <w:r>
        <w:t xml:space="preserve"> </w:t>
      </w:r>
      <w:r>
        <w:rPr>
          <w:spacing w:val="-3"/>
        </w:rPr>
        <w:t>造业</w:t>
      </w:r>
      <w:r>
        <w:rPr>
          <w:spacing w:val="-36"/>
        </w:rPr>
        <w:t xml:space="preserve"> </w:t>
      </w:r>
      <w:r>
        <w:rPr>
          <w:spacing w:val="-3"/>
        </w:rPr>
        <w:t>PMI</w:t>
      </w:r>
      <w:r>
        <w:rPr>
          <w:spacing w:val="-33"/>
        </w:rPr>
        <w:t xml:space="preserve"> </w:t>
      </w:r>
      <w:r>
        <w:rPr>
          <w:spacing w:val="-3"/>
        </w:rPr>
        <w:t>和服务业</w:t>
      </w:r>
      <w:r>
        <w:rPr>
          <w:spacing w:val="-36"/>
        </w:rPr>
        <w:t xml:space="preserve"> </w:t>
      </w:r>
      <w:r>
        <w:rPr>
          <w:spacing w:val="-3"/>
        </w:rPr>
        <w:t>PMI 的走势来看，</w:t>
      </w:r>
      <w:r>
        <w:rPr>
          <w:spacing w:val="-20"/>
        </w:rPr>
        <w:t xml:space="preserve"> </w:t>
      </w:r>
      <w:r>
        <w:rPr>
          <w:spacing w:val="-3"/>
        </w:rPr>
        <w:t>2023</w:t>
      </w:r>
      <w:r>
        <w:rPr>
          <w:spacing w:val="-34"/>
        </w:rPr>
        <w:t xml:space="preserve"> </w:t>
      </w:r>
      <w:r>
        <w:rPr>
          <w:spacing w:val="-3"/>
        </w:rPr>
        <w:t>年日本经济在</w:t>
      </w:r>
      <w:r>
        <w:rPr>
          <w:spacing w:val="-4"/>
        </w:rPr>
        <w:t>四个季度中呈现出相对低开、阶段</w:t>
      </w:r>
      <w:r>
        <w:t xml:space="preserve"> </w:t>
      </w:r>
      <w:r>
        <w:rPr>
          <w:spacing w:val="-7"/>
        </w:rPr>
        <w:t>走高、中幅回落以及显著下跌四个阶段。</w:t>
      </w:r>
      <w:r>
        <w:rPr>
          <w:spacing w:val="-19"/>
        </w:rPr>
        <w:t xml:space="preserve"> </w:t>
      </w:r>
      <w:r>
        <w:rPr>
          <w:spacing w:val="-7"/>
        </w:rPr>
        <w:t>四季度， 日本消费金额实际同比增速依然为负，为</w:t>
      </w:r>
      <w:r>
        <w:t xml:space="preserve"> </w:t>
      </w:r>
      <w:r>
        <w:t>-2.5%。这一跌幅较三季度有所收窄，但依然难言乐观，食品价格上涨对日本百姓日常生活</w:t>
      </w:r>
    </w:p>
    <w:p>
      <w:pPr>
        <w:pStyle w:val="BodyText"/>
        <w:spacing w:line="220" w:lineRule="auto"/>
        <w:ind w:left="54"/>
      </w:pPr>
      <w:r>
        <w:rPr>
          <w:spacing w:val="-3"/>
        </w:rPr>
        <w:t>的影响十分显著。</w:t>
      </w:r>
    </w:p>
    <w:p>
      <w:pPr>
        <w:pStyle w:val="BodyText"/>
        <w:spacing w:before="292" w:line="343" w:lineRule="auto"/>
        <w:ind w:left="36" w:firstLine="423"/>
      </w:pPr>
      <w:r>
        <w:rPr>
          <w:spacing w:val="-6"/>
        </w:rPr>
        <w:t>从新兴市场表现来看，</w:t>
      </w:r>
      <w:r>
        <w:rPr>
          <w:b/>
          <w:bCs/>
          <w:spacing w:val="-6"/>
        </w:rPr>
        <w:t>俄罗斯经济短期韧性明显。</w:t>
      </w:r>
      <w:r>
        <w:rPr>
          <w:spacing w:val="-6"/>
        </w:rPr>
        <w:t>2023</w:t>
      </w:r>
      <w:r>
        <w:rPr>
          <w:spacing w:val="-25"/>
        </w:rPr>
        <w:t xml:space="preserve"> </w:t>
      </w:r>
      <w:r>
        <w:rPr>
          <w:spacing w:val="-6"/>
        </w:rPr>
        <w:t>年</w:t>
      </w:r>
      <w:r>
        <w:rPr>
          <w:spacing w:val="-31"/>
        </w:rPr>
        <w:t xml:space="preserve"> </w:t>
      </w:r>
      <w:r>
        <w:rPr>
          <w:spacing w:val="-6"/>
        </w:rPr>
        <w:t>10-12</w:t>
      </w:r>
      <w:r>
        <w:rPr>
          <w:spacing w:val="-39"/>
        </w:rPr>
        <w:t xml:space="preserve"> </w:t>
      </w:r>
      <w:r>
        <w:rPr>
          <w:spacing w:val="-6"/>
        </w:rPr>
        <w:t>月，俄罗斯综合</w:t>
      </w:r>
      <w:r>
        <w:rPr>
          <w:spacing w:val="-47"/>
        </w:rPr>
        <w:t xml:space="preserve"> </w:t>
      </w:r>
      <w:r>
        <w:rPr>
          <w:spacing w:val="-6"/>
        </w:rPr>
        <w:t>PMI</w:t>
      </w:r>
      <w:r>
        <w:rPr>
          <w:spacing w:val="-43"/>
        </w:rPr>
        <w:t xml:space="preserve"> </w:t>
      </w:r>
      <w:r>
        <w:rPr>
          <w:spacing w:val="-6"/>
        </w:rPr>
        <w:t>分</w:t>
      </w:r>
      <w:r>
        <w:t xml:space="preserve"> </w:t>
      </w:r>
      <w:r>
        <w:rPr>
          <w:spacing w:val="-6"/>
        </w:rPr>
        <w:t>别为</w:t>
      </w:r>
      <w:r>
        <w:rPr>
          <w:spacing w:val="-40"/>
        </w:rPr>
        <w:t xml:space="preserve"> </w:t>
      </w:r>
      <w:r>
        <w:rPr>
          <w:spacing w:val="-6"/>
        </w:rPr>
        <w:t>53.6、52.4</w:t>
      </w:r>
      <w:r>
        <w:rPr>
          <w:spacing w:val="-45"/>
        </w:rPr>
        <w:t xml:space="preserve"> </w:t>
      </w:r>
      <w:r>
        <w:rPr>
          <w:spacing w:val="-6"/>
        </w:rPr>
        <w:t>和</w:t>
      </w:r>
      <w:r>
        <w:rPr>
          <w:spacing w:val="-40"/>
        </w:rPr>
        <w:t xml:space="preserve"> </w:t>
      </w:r>
      <w:r>
        <w:rPr>
          <w:spacing w:val="-6"/>
        </w:rPr>
        <w:t>55.7，制造业</w:t>
      </w:r>
      <w:r>
        <w:rPr>
          <w:spacing w:val="-47"/>
        </w:rPr>
        <w:t xml:space="preserve"> </w:t>
      </w:r>
      <w:r>
        <w:rPr>
          <w:spacing w:val="-6"/>
        </w:rPr>
        <w:t>PMI</w:t>
      </w:r>
      <w:r>
        <w:rPr>
          <w:spacing w:val="-44"/>
        </w:rPr>
        <w:t xml:space="preserve"> </w:t>
      </w:r>
      <w:r>
        <w:rPr>
          <w:spacing w:val="-6"/>
        </w:rPr>
        <w:t>分别为</w:t>
      </w:r>
      <w:r>
        <w:rPr>
          <w:spacing w:val="-40"/>
        </w:rPr>
        <w:t xml:space="preserve"> </w:t>
      </w:r>
      <w:r>
        <w:rPr>
          <w:spacing w:val="-6"/>
        </w:rPr>
        <w:t>53.6、52.2</w:t>
      </w:r>
      <w:r>
        <w:rPr>
          <w:spacing w:val="-43"/>
        </w:rPr>
        <w:t xml:space="preserve"> </w:t>
      </w:r>
      <w:r>
        <w:rPr>
          <w:spacing w:val="-6"/>
        </w:rPr>
        <w:t>和</w:t>
      </w:r>
      <w:r>
        <w:rPr>
          <w:spacing w:val="-42"/>
        </w:rPr>
        <w:t xml:space="preserve"> </w:t>
      </w:r>
      <w:r>
        <w:rPr>
          <w:spacing w:val="-6"/>
        </w:rPr>
        <w:t>56.2，服务业</w:t>
      </w:r>
      <w:r>
        <w:rPr>
          <w:spacing w:val="-48"/>
        </w:rPr>
        <w:t xml:space="preserve"> </w:t>
      </w:r>
      <w:r>
        <w:rPr>
          <w:spacing w:val="-6"/>
        </w:rPr>
        <w:t>P</w:t>
      </w:r>
      <w:r>
        <w:rPr>
          <w:spacing w:val="-7"/>
        </w:rPr>
        <w:t>MI</w:t>
      </w:r>
      <w:r>
        <w:rPr>
          <w:spacing w:val="-44"/>
        </w:rPr>
        <w:t xml:space="preserve"> </w:t>
      </w:r>
      <w:r>
        <w:rPr>
          <w:spacing w:val="-7"/>
        </w:rPr>
        <w:t>分别为</w:t>
      </w:r>
      <w:r>
        <w:rPr>
          <w:spacing w:val="-39"/>
        </w:rPr>
        <w:t xml:space="preserve"> </w:t>
      </w:r>
      <w:r>
        <w:rPr>
          <w:spacing w:val="-7"/>
        </w:rPr>
        <w:t>53.8、</w:t>
      </w:r>
      <w:r>
        <w:t xml:space="preserve"> </w:t>
      </w:r>
      <w:r>
        <w:rPr>
          <w:spacing w:val="-3"/>
        </w:rPr>
        <w:t>53.8</w:t>
      </w:r>
      <w:r>
        <w:rPr>
          <w:spacing w:val="-45"/>
        </w:rPr>
        <w:t xml:space="preserve"> </w:t>
      </w:r>
      <w:r>
        <w:rPr>
          <w:spacing w:val="-3"/>
        </w:rPr>
        <w:t>和</w:t>
      </w:r>
      <w:r>
        <w:rPr>
          <w:spacing w:val="-40"/>
        </w:rPr>
        <w:t xml:space="preserve"> </w:t>
      </w:r>
      <w:r>
        <w:rPr>
          <w:spacing w:val="-3"/>
        </w:rPr>
        <w:t>54.6，俄罗斯经济景气度较</w:t>
      </w:r>
      <w:r>
        <w:rPr>
          <w:spacing w:val="-4"/>
        </w:rPr>
        <w:t>高。2023</w:t>
      </w:r>
      <w:r>
        <w:rPr>
          <w:spacing w:val="-46"/>
        </w:rPr>
        <w:t xml:space="preserve"> </w:t>
      </w:r>
      <w:r>
        <w:rPr>
          <w:spacing w:val="-4"/>
        </w:rPr>
        <w:t>年</w:t>
      </w:r>
      <w:r>
        <w:rPr>
          <w:spacing w:val="-28"/>
        </w:rPr>
        <w:t xml:space="preserve"> </w:t>
      </w:r>
      <w:r>
        <w:rPr>
          <w:spacing w:val="-4"/>
        </w:rPr>
        <w:t>10-11</w:t>
      </w:r>
      <w:r>
        <w:rPr>
          <w:spacing w:val="-39"/>
        </w:rPr>
        <w:t xml:space="preserve"> </w:t>
      </w:r>
      <w:r>
        <w:rPr>
          <w:spacing w:val="-4"/>
        </w:rPr>
        <w:t>月，俄罗斯失业率进一步降至</w:t>
      </w:r>
      <w:r>
        <w:rPr>
          <w:spacing w:val="-41"/>
        </w:rPr>
        <w:t xml:space="preserve"> </w:t>
      </w:r>
      <w:r>
        <w:rPr>
          <w:spacing w:val="-4"/>
        </w:rPr>
        <w:t>2.9%的</w:t>
      </w:r>
      <w:r>
        <w:t xml:space="preserve"> </w:t>
      </w:r>
      <w:r>
        <w:rPr>
          <w:spacing w:val="-2"/>
        </w:rPr>
        <w:t>极低水平，反映了乌克兰危机以来俄罗斯人才外流与征</w:t>
      </w:r>
      <w:r>
        <w:rPr>
          <w:spacing w:val="-3"/>
        </w:rPr>
        <w:t>兵造成的劳动力短缺。据俄罗斯央行</w:t>
      </w:r>
      <w:r>
        <w:t xml:space="preserve"> </w:t>
      </w:r>
      <w:r>
        <w:rPr>
          <w:spacing w:val="-4"/>
        </w:rPr>
        <w:t>数据统计，2023</w:t>
      </w:r>
      <w:r>
        <w:rPr>
          <w:spacing w:val="-34"/>
        </w:rPr>
        <w:t xml:space="preserve"> </w:t>
      </w:r>
      <w:r>
        <w:rPr>
          <w:spacing w:val="-4"/>
        </w:rPr>
        <w:t>年 1-11</w:t>
      </w:r>
      <w:r>
        <w:rPr>
          <w:spacing w:val="-29"/>
        </w:rPr>
        <w:t xml:space="preserve"> </w:t>
      </w:r>
      <w:r>
        <w:rPr>
          <w:spacing w:val="-4"/>
        </w:rPr>
        <w:t>月，俄罗斯贸易顺差大幅下降至 1090</w:t>
      </w:r>
      <w:r>
        <w:rPr>
          <w:spacing w:val="-33"/>
        </w:rPr>
        <w:t xml:space="preserve"> </w:t>
      </w:r>
      <w:r>
        <w:rPr>
          <w:spacing w:val="-4"/>
        </w:rPr>
        <w:t>亿美元，</w:t>
      </w:r>
      <w:r>
        <w:rPr>
          <w:spacing w:val="-23"/>
        </w:rPr>
        <w:t xml:space="preserve"> </w:t>
      </w:r>
      <w:r>
        <w:rPr>
          <w:spacing w:val="-4"/>
        </w:rPr>
        <w:t>远低于上年</w:t>
      </w:r>
      <w:r>
        <w:rPr>
          <w:spacing w:val="-5"/>
        </w:rPr>
        <w:t>同期的</w:t>
      </w:r>
      <w:r>
        <w:t xml:space="preserve"> </w:t>
      </w:r>
      <w:r>
        <w:rPr>
          <w:spacing w:val="-2"/>
        </w:rPr>
        <w:t>2900 亿美元，俄罗斯经济虽然重回增长，</w:t>
      </w:r>
      <w:r>
        <w:rPr>
          <w:spacing w:val="-24"/>
        </w:rPr>
        <w:t xml:space="preserve"> </w:t>
      </w:r>
      <w:r>
        <w:rPr>
          <w:spacing w:val="-2"/>
        </w:rPr>
        <w:t>但长期增长仍面临较大挑战。</w:t>
      </w:r>
      <w:r>
        <w:rPr>
          <w:b/>
          <w:bCs/>
          <w:spacing w:val="-3"/>
        </w:rPr>
        <w:t>巴西经济继续缓慢</w:t>
      </w:r>
      <w:r>
        <w:t xml:space="preserve"> </w:t>
      </w:r>
      <w:r>
        <w:rPr>
          <w:b/>
          <w:bCs/>
          <w:spacing w:val="-3"/>
        </w:rPr>
        <w:t>复苏。</w:t>
      </w:r>
      <w:r>
        <w:rPr>
          <w:spacing w:val="-3"/>
        </w:rPr>
        <w:t>2023</w:t>
      </w:r>
      <w:r>
        <w:rPr>
          <w:spacing w:val="-26"/>
        </w:rPr>
        <w:t xml:space="preserve"> </w:t>
      </w:r>
      <w:r>
        <w:rPr>
          <w:spacing w:val="-3"/>
        </w:rPr>
        <w:t>年</w:t>
      </w:r>
      <w:r>
        <w:rPr>
          <w:spacing w:val="-31"/>
        </w:rPr>
        <w:t xml:space="preserve"> </w:t>
      </w:r>
      <w:r>
        <w:rPr>
          <w:spacing w:val="-3"/>
        </w:rPr>
        <w:t>10-12</w:t>
      </w:r>
      <w:r>
        <w:rPr>
          <w:spacing w:val="-41"/>
        </w:rPr>
        <w:t xml:space="preserve"> </w:t>
      </w:r>
      <w:r>
        <w:rPr>
          <w:spacing w:val="-3"/>
        </w:rPr>
        <w:t>月，巴西制造业</w:t>
      </w:r>
      <w:r>
        <w:rPr>
          <w:spacing w:val="-48"/>
        </w:rPr>
        <w:t xml:space="preserve"> </w:t>
      </w:r>
      <w:r>
        <w:rPr>
          <w:spacing w:val="-3"/>
        </w:rPr>
        <w:t>PMI</w:t>
      </w:r>
      <w:r>
        <w:rPr>
          <w:spacing w:val="-41"/>
        </w:rPr>
        <w:t xml:space="preserve"> </w:t>
      </w:r>
      <w:r>
        <w:rPr>
          <w:spacing w:val="-3"/>
        </w:rPr>
        <w:t>分别为</w:t>
      </w:r>
      <w:r>
        <w:rPr>
          <w:spacing w:val="-45"/>
        </w:rPr>
        <w:t xml:space="preserve"> </w:t>
      </w:r>
      <w:r>
        <w:rPr>
          <w:spacing w:val="-3"/>
        </w:rPr>
        <w:t>48.6、49.4</w:t>
      </w:r>
      <w:r>
        <w:rPr>
          <w:spacing w:val="-43"/>
        </w:rPr>
        <w:t xml:space="preserve"> </w:t>
      </w:r>
      <w:r>
        <w:rPr>
          <w:spacing w:val="-3"/>
        </w:rPr>
        <w:t>和</w:t>
      </w:r>
      <w:r>
        <w:rPr>
          <w:spacing w:val="-45"/>
        </w:rPr>
        <w:t xml:space="preserve"> </w:t>
      </w:r>
      <w:r>
        <w:rPr>
          <w:spacing w:val="-3"/>
        </w:rPr>
        <w:t>48.4，较三季度显著下降；</w:t>
      </w:r>
      <w:r>
        <w:t xml:space="preserve"> </w:t>
      </w:r>
      <w:r>
        <w:rPr>
          <w:spacing w:val="-1"/>
        </w:rPr>
        <w:t>服务业</w:t>
      </w:r>
      <w:r>
        <w:rPr>
          <w:spacing w:val="-29"/>
        </w:rPr>
        <w:t xml:space="preserve"> </w:t>
      </w:r>
      <w:r>
        <w:rPr>
          <w:spacing w:val="-1"/>
        </w:rPr>
        <w:t>PMI</w:t>
      </w:r>
      <w:r>
        <w:rPr>
          <w:spacing w:val="-44"/>
        </w:rPr>
        <w:t xml:space="preserve"> </w:t>
      </w:r>
      <w:r>
        <w:rPr>
          <w:spacing w:val="-1"/>
        </w:rPr>
        <w:t>较三季度有所增强。根据巴西国家地理与统计局的调查数据显示，2023</w:t>
      </w:r>
      <w:r>
        <w:rPr>
          <w:spacing w:val="-43"/>
        </w:rPr>
        <w:t xml:space="preserve"> </w:t>
      </w:r>
      <w:r>
        <w:rPr>
          <w:spacing w:val="-1"/>
        </w:rPr>
        <w:t>年</w:t>
      </w:r>
      <w:r>
        <w:rPr>
          <w:spacing w:val="-41"/>
        </w:rPr>
        <w:t xml:space="preserve"> </w:t>
      </w:r>
      <w:r>
        <w:rPr>
          <w:spacing w:val="-1"/>
        </w:rPr>
        <w:t>9-11</w:t>
      </w:r>
      <w:r>
        <w:t xml:space="preserve"> </w:t>
      </w:r>
      <w:r>
        <w:rPr>
          <w:spacing w:val="-6"/>
        </w:rPr>
        <w:t>月， 巴西失业率分别为</w:t>
      </w:r>
      <w:r>
        <w:rPr>
          <w:spacing w:val="-20"/>
        </w:rPr>
        <w:t xml:space="preserve"> </w:t>
      </w:r>
      <w:r>
        <w:rPr>
          <w:spacing w:val="-6"/>
        </w:rPr>
        <w:t>7.7%、7.6%、7.5%，小幅下降， 已经达到</w:t>
      </w:r>
      <w:r>
        <w:rPr>
          <w:spacing w:val="-42"/>
        </w:rPr>
        <w:t xml:space="preserve"> </w:t>
      </w:r>
      <w:r>
        <w:rPr>
          <w:spacing w:val="-6"/>
        </w:rPr>
        <w:t>2015</w:t>
      </w:r>
      <w:r>
        <w:rPr>
          <w:spacing w:val="-45"/>
        </w:rPr>
        <w:t xml:space="preserve"> </w:t>
      </w:r>
      <w:r>
        <w:rPr>
          <w:spacing w:val="-6"/>
        </w:rPr>
        <w:t>年以来的低点。2023</w:t>
      </w:r>
      <w:r>
        <w:t xml:space="preserve"> </w:t>
      </w:r>
      <w:r>
        <w:rPr>
          <w:spacing w:val="-6"/>
        </w:rPr>
        <w:t>年</w:t>
      </w:r>
      <w:r>
        <w:rPr>
          <w:spacing w:val="-52"/>
        </w:rPr>
        <w:t xml:space="preserve"> </w:t>
      </w:r>
      <w:r>
        <w:rPr>
          <w:spacing w:val="-6"/>
        </w:rPr>
        <w:t>11</w:t>
      </w:r>
      <w:r>
        <w:rPr>
          <w:spacing w:val="-63"/>
        </w:rPr>
        <w:t xml:space="preserve"> </w:t>
      </w:r>
      <w:r>
        <w:rPr>
          <w:spacing w:val="-6"/>
        </w:rPr>
        <w:t>月和</w:t>
      </w:r>
      <w:r>
        <w:rPr>
          <w:spacing w:val="-55"/>
        </w:rPr>
        <w:t xml:space="preserve"> </w:t>
      </w:r>
      <w:r>
        <w:rPr>
          <w:spacing w:val="-6"/>
        </w:rPr>
        <w:t>12月，巴西央行再次降息两次，分别降息50</w:t>
      </w:r>
      <w:r>
        <w:rPr>
          <w:spacing w:val="-7"/>
        </w:rPr>
        <w:t>个基点，将利率从</w:t>
      </w:r>
      <w:r>
        <w:rPr>
          <w:spacing w:val="-52"/>
        </w:rPr>
        <w:t xml:space="preserve"> </w:t>
      </w:r>
      <w:r>
        <w:rPr>
          <w:spacing w:val="-7"/>
        </w:rPr>
        <w:t>12.75%降至</w:t>
      </w:r>
      <w:r>
        <w:rPr>
          <w:spacing w:val="-54"/>
        </w:rPr>
        <w:t xml:space="preserve"> </w:t>
      </w:r>
      <w:r>
        <w:rPr>
          <w:spacing w:val="-7"/>
        </w:rPr>
        <w:t>11.75%。</w:t>
      </w:r>
      <w:r>
        <w:t xml:space="preserve"> </w:t>
      </w:r>
      <w:r>
        <w:rPr>
          <w:spacing w:val="-7"/>
        </w:rPr>
        <w:t xml:space="preserve">降息将进一步加大巴西的通胀压力。 </w:t>
      </w:r>
      <w:r>
        <w:rPr>
          <w:b/>
          <w:bCs/>
          <w:spacing w:val="-7"/>
        </w:rPr>
        <w:t>印度经济继续稳步增长。</w:t>
      </w:r>
      <w:r>
        <w:rPr>
          <w:spacing w:val="43"/>
        </w:rPr>
        <w:t xml:space="preserve"> </w:t>
      </w:r>
      <w:r>
        <w:rPr>
          <w:spacing w:val="-7"/>
        </w:rPr>
        <w:t>2023</w:t>
      </w:r>
      <w:r>
        <w:rPr>
          <w:spacing w:val="-27"/>
        </w:rPr>
        <w:t xml:space="preserve"> </w:t>
      </w:r>
      <w:r>
        <w:rPr>
          <w:spacing w:val="-7"/>
        </w:rPr>
        <w:t>年 10-1</w:t>
      </w:r>
      <w:r>
        <w:rPr>
          <w:spacing w:val="-8"/>
        </w:rPr>
        <w:t>2</w:t>
      </w:r>
      <w:r>
        <w:rPr>
          <w:spacing w:val="-24"/>
        </w:rPr>
        <w:t xml:space="preserve"> </w:t>
      </w:r>
      <w:r>
        <w:rPr>
          <w:spacing w:val="-8"/>
        </w:rPr>
        <w:t>月，印度失业</w:t>
      </w:r>
      <w:r>
        <w:t xml:space="preserve"> </w:t>
      </w:r>
      <w:r>
        <w:rPr>
          <w:spacing w:val="-4"/>
        </w:rPr>
        <w:t>率分别为</w:t>
      </w:r>
      <w:r>
        <w:rPr>
          <w:spacing w:val="-28"/>
        </w:rPr>
        <w:t xml:space="preserve"> </w:t>
      </w:r>
      <w:r>
        <w:rPr>
          <w:spacing w:val="-4"/>
        </w:rPr>
        <w:t>10.1%、9.2%和</w:t>
      </w:r>
      <w:r>
        <w:rPr>
          <w:spacing w:val="-43"/>
        </w:rPr>
        <w:t xml:space="preserve"> </w:t>
      </w:r>
      <w:r>
        <w:rPr>
          <w:spacing w:val="-4"/>
        </w:rPr>
        <w:t>8.7%，较三季度明显上升，表明印度就</w:t>
      </w:r>
      <w:r>
        <w:rPr>
          <w:spacing w:val="-5"/>
        </w:rPr>
        <w:t>业改善仍不稳定，</w:t>
      </w:r>
      <w:r>
        <w:rPr>
          <w:spacing w:val="-40"/>
        </w:rPr>
        <w:t xml:space="preserve"> </w:t>
      </w:r>
      <w:r>
        <w:rPr>
          <w:spacing w:val="-5"/>
        </w:rPr>
        <w:t>劳动力市</w:t>
      </w:r>
      <w:r>
        <w:t xml:space="preserve"> </w:t>
      </w:r>
      <w:r>
        <w:rPr>
          <w:spacing w:val="-3"/>
        </w:rPr>
        <w:t>场还有较大的恢复空间。</w:t>
      </w:r>
      <w:r>
        <w:rPr>
          <w:spacing w:val="-28"/>
        </w:rPr>
        <w:t xml:space="preserve"> </w:t>
      </w:r>
      <w:r>
        <w:rPr>
          <w:spacing w:val="-3"/>
        </w:rPr>
        <w:t>2023</w:t>
      </w:r>
      <w:r>
        <w:rPr>
          <w:spacing w:val="-43"/>
        </w:rPr>
        <w:t xml:space="preserve"> </w:t>
      </w:r>
      <w:r>
        <w:rPr>
          <w:spacing w:val="-3"/>
        </w:rPr>
        <w:t>年</w:t>
      </w:r>
      <w:r>
        <w:rPr>
          <w:spacing w:val="-26"/>
        </w:rPr>
        <w:t xml:space="preserve"> </w:t>
      </w:r>
      <w:r>
        <w:rPr>
          <w:spacing w:val="-3"/>
        </w:rPr>
        <w:t>10-12</w:t>
      </w:r>
      <w:r>
        <w:rPr>
          <w:spacing w:val="-36"/>
        </w:rPr>
        <w:t xml:space="preserve"> </w:t>
      </w:r>
      <w:r>
        <w:rPr>
          <w:spacing w:val="-3"/>
        </w:rPr>
        <w:t>月，印度制造业</w:t>
      </w:r>
      <w:r>
        <w:rPr>
          <w:spacing w:val="-48"/>
        </w:rPr>
        <w:t xml:space="preserve"> </w:t>
      </w:r>
      <w:r>
        <w:rPr>
          <w:spacing w:val="-3"/>
        </w:rPr>
        <w:t>PMI</w:t>
      </w:r>
      <w:r>
        <w:rPr>
          <w:spacing w:val="-41"/>
        </w:rPr>
        <w:t xml:space="preserve"> </w:t>
      </w:r>
      <w:r>
        <w:rPr>
          <w:spacing w:val="-3"/>
        </w:rPr>
        <w:t>分别为</w:t>
      </w:r>
      <w:r>
        <w:rPr>
          <w:spacing w:val="-40"/>
        </w:rPr>
        <w:t xml:space="preserve"> </w:t>
      </w:r>
      <w:r>
        <w:rPr>
          <w:spacing w:val="-3"/>
        </w:rPr>
        <w:t>55.5、5</w:t>
      </w:r>
      <w:r>
        <w:rPr>
          <w:spacing w:val="-4"/>
        </w:rPr>
        <w:t>6.0、54.9，服</w:t>
      </w:r>
      <w:r>
        <w:t xml:space="preserve"> </w:t>
      </w:r>
      <w:r>
        <w:rPr>
          <w:spacing w:val="-1"/>
        </w:rPr>
        <w:t>务业</w:t>
      </w:r>
      <w:r>
        <w:rPr>
          <w:spacing w:val="-47"/>
        </w:rPr>
        <w:t xml:space="preserve"> </w:t>
      </w:r>
      <w:r>
        <w:rPr>
          <w:spacing w:val="-1"/>
        </w:rPr>
        <w:t>PMI</w:t>
      </w:r>
      <w:r>
        <w:rPr>
          <w:spacing w:val="-42"/>
        </w:rPr>
        <w:t xml:space="preserve"> </w:t>
      </w:r>
      <w:r>
        <w:rPr>
          <w:spacing w:val="-1"/>
        </w:rPr>
        <w:t>分别为</w:t>
      </w:r>
      <w:r>
        <w:rPr>
          <w:spacing w:val="-40"/>
        </w:rPr>
        <w:t xml:space="preserve"> </w:t>
      </w:r>
      <w:r>
        <w:rPr>
          <w:spacing w:val="-1"/>
        </w:rPr>
        <w:t>58.4、56.9、59.0，综合</w:t>
      </w:r>
      <w:r>
        <w:rPr>
          <w:spacing w:val="-35"/>
        </w:rPr>
        <w:t xml:space="preserve"> </w:t>
      </w:r>
      <w:r>
        <w:rPr>
          <w:spacing w:val="-1"/>
        </w:rPr>
        <w:t>PMI</w:t>
      </w:r>
      <w:r>
        <w:rPr>
          <w:spacing w:val="-39"/>
        </w:rPr>
        <w:t xml:space="preserve"> </w:t>
      </w:r>
      <w:r>
        <w:rPr>
          <w:spacing w:val="-1"/>
        </w:rPr>
        <w:t>分别为</w:t>
      </w:r>
      <w:r>
        <w:rPr>
          <w:spacing w:val="-37"/>
        </w:rPr>
        <w:t xml:space="preserve"> </w:t>
      </w:r>
      <w:r>
        <w:rPr>
          <w:spacing w:val="-1"/>
        </w:rPr>
        <w:t>58.4、57</w:t>
      </w:r>
      <w:r>
        <w:rPr>
          <w:spacing w:val="-2"/>
        </w:rPr>
        <w:t>.4、58.5，均较三季度明显</w:t>
      </w:r>
      <w:r>
        <w:t xml:space="preserve"> </w:t>
      </w:r>
      <w:r>
        <w:rPr>
          <w:spacing w:val="-5"/>
        </w:rPr>
        <w:t>下降，但仍处于高景气区间。2023</w:t>
      </w:r>
      <w:r>
        <w:rPr>
          <w:spacing w:val="-46"/>
        </w:rPr>
        <w:t xml:space="preserve"> </w:t>
      </w:r>
      <w:r>
        <w:rPr>
          <w:spacing w:val="-5"/>
        </w:rPr>
        <w:t>年</w:t>
      </w:r>
      <w:r>
        <w:rPr>
          <w:spacing w:val="-43"/>
        </w:rPr>
        <w:t xml:space="preserve"> </w:t>
      </w:r>
      <w:r>
        <w:rPr>
          <w:spacing w:val="-5"/>
        </w:rPr>
        <w:t>9-11</w:t>
      </w:r>
      <w:r>
        <w:rPr>
          <w:spacing w:val="-41"/>
        </w:rPr>
        <w:t xml:space="preserve"> </w:t>
      </w:r>
      <w:r>
        <w:rPr>
          <w:spacing w:val="-5"/>
        </w:rPr>
        <w:t>月，</w:t>
      </w:r>
      <w:r>
        <w:rPr>
          <w:spacing w:val="-48"/>
        </w:rPr>
        <w:t xml:space="preserve"> </w:t>
      </w:r>
      <w:r>
        <w:rPr>
          <w:spacing w:val="-5"/>
        </w:rPr>
        <w:t>印度</w:t>
      </w:r>
      <w:r>
        <w:rPr>
          <w:spacing w:val="-48"/>
        </w:rPr>
        <w:t xml:space="preserve"> </w:t>
      </w:r>
      <w:r>
        <w:rPr>
          <w:spacing w:val="-5"/>
        </w:rPr>
        <w:t>CPI</w:t>
      </w:r>
      <w:r>
        <w:rPr>
          <w:spacing w:val="-23"/>
        </w:rPr>
        <w:t xml:space="preserve"> </w:t>
      </w:r>
      <w:r>
        <w:rPr>
          <w:spacing w:val="-5"/>
        </w:rPr>
        <w:t>同比分</w:t>
      </w:r>
      <w:r>
        <w:rPr>
          <w:spacing w:val="-6"/>
        </w:rPr>
        <w:t>别增长</w:t>
      </w:r>
      <w:r>
        <w:rPr>
          <w:spacing w:val="-40"/>
        </w:rPr>
        <w:t xml:space="preserve"> </w:t>
      </w:r>
      <w:r>
        <w:rPr>
          <w:spacing w:val="-6"/>
        </w:rPr>
        <w:t>5.0%、4.9%和</w:t>
      </w:r>
      <w:r>
        <w:rPr>
          <w:spacing w:val="-42"/>
        </w:rPr>
        <w:t xml:space="preserve"> </w:t>
      </w:r>
      <w:r>
        <w:rPr>
          <w:spacing w:val="-6"/>
        </w:rPr>
        <w:t>5.6%，</w:t>
      </w:r>
      <w:r>
        <w:t xml:space="preserve"> </w:t>
      </w:r>
      <w:r>
        <w:rPr>
          <w:spacing w:val="-4"/>
        </w:rPr>
        <w:t>较</w:t>
      </w:r>
      <w:r>
        <w:rPr>
          <w:spacing w:val="-26"/>
        </w:rPr>
        <w:t xml:space="preserve"> </w:t>
      </w:r>
      <w:r>
        <w:rPr>
          <w:spacing w:val="-4"/>
        </w:rPr>
        <w:t>6-8</w:t>
      </w:r>
      <w:r>
        <w:rPr>
          <w:spacing w:val="-41"/>
        </w:rPr>
        <w:t xml:space="preserve"> </w:t>
      </w:r>
      <w:r>
        <w:rPr>
          <w:spacing w:val="-4"/>
        </w:rPr>
        <w:t>月小幅下降，再次进入印度央行设定的</w:t>
      </w:r>
      <w:r>
        <w:rPr>
          <w:spacing w:val="-42"/>
        </w:rPr>
        <w:t xml:space="preserve"> </w:t>
      </w:r>
      <w:r>
        <w:rPr>
          <w:spacing w:val="-4"/>
        </w:rPr>
        <w:t>2%-6%的通胀区间，</w:t>
      </w:r>
      <w:r>
        <w:rPr>
          <w:spacing w:val="-39"/>
        </w:rPr>
        <w:t xml:space="preserve"> </w:t>
      </w:r>
      <w:r>
        <w:rPr>
          <w:spacing w:val="-4"/>
        </w:rPr>
        <w:t>但下降幅度放缓。</w:t>
      </w:r>
      <w:r>
        <w:rPr>
          <w:b/>
          <w:bCs/>
          <w:spacing w:val="-4"/>
        </w:rPr>
        <w:t>南非经</w:t>
      </w:r>
      <w:r>
        <w:t xml:space="preserve"> </w:t>
      </w:r>
      <w:r>
        <w:rPr>
          <w:b/>
          <w:bCs/>
          <w:spacing w:val="-3"/>
        </w:rPr>
        <w:t>济出现下滑。</w:t>
      </w:r>
      <w:r>
        <w:rPr>
          <w:spacing w:val="-3"/>
        </w:rPr>
        <w:t>2023</w:t>
      </w:r>
      <w:r>
        <w:rPr>
          <w:spacing w:val="-43"/>
        </w:rPr>
        <w:t xml:space="preserve"> </w:t>
      </w:r>
      <w:r>
        <w:rPr>
          <w:spacing w:val="-3"/>
        </w:rPr>
        <w:t>年</w:t>
      </w:r>
      <w:r>
        <w:rPr>
          <w:spacing w:val="-42"/>
        </w:rPr>
        <w:t xml:space="preserve"> </w:t>
      </w:r>
      <w:r>
        <w:rPr>
          <w:spacing w:val="-3"/>
        </w:rPr>
        <w:t>9-11</w:t>
      </w:r>
      <w:r>
        <w:rPr>
          <w:spacing w:val="-39"/>
        </w:rPr>
        <w:t xml:space="preserve"> </w:t>
      </w:r>
      <w:r>
        <w:rPr>
          <w:spacing w:val="-3"/>
        </w:rPr>
        <w:t>月，</w:t>
      </w:r>
      <w:r>
        <w:rPr>
          <w:spacing w:val="-26"/>
        </w:rPr>
        <w:t xml:space="preserve"> </w:t>
      </w:r>
      <w:r>
        <w:rPr>
          <w:spacing w:val="-3"/>
        </w:rPr>
        <w:t>南非制造业</w:t>
      </w:r>
      <w:r>
        <w:rPr>
          <w:spacing w:val="-50"/>
        </w:rPr>
        <w:t xml:space="preserve"> </w:t>
      </w:r>
      <w:r>
        <w:rPr>
          <w:spacing w:val="-3"/>
        </w:rPr>
        <w:t>PMI</w:t>
      </w:r>
      <w:r>
        <w:rPr>
          <w:spacing w:val="-41"/>
        </w:rPr>
        <w:t xml:space="preserve"> </w:t>
      </w:r>
      <w:r>
        <w:rPr>
          <w:spacing w:val="-3"/>
        </w:rPr>
        <w:t>分别为</w:t>
      </w:r>
      <w:r>
        <w:rPr>
          <w:spacing w:val="-45"/>
        </w:rPr>
        <w:t xml:space="preserve"> </w:t>
      </w:r>
      <w:r>
        <w:rPr>
          <w:spacing w:val="-3"/>
        </w:rPr>
        <w:t>46.6、48.7</w:t>
      </w:r>
      <w:r>
        <w:rPr>
          <w:spacing w:val="-43"/>
        </w:rPr>
        <w:t xml:space="preserve"> </w:t>
      </w:r>
      <w:r>
        <w:rPr>
          <w:spacing w:val="-4"/>
        </w:rPr>
        <w:t>和</w:t>
      </w:r>
      <w:r>
        <w:rPr>
          <w:spacing w:val="-42"/>
        </w:rPr>
        <w:t xml:space="preserve"> </w:t>
      </w:r>
      <w:r>
        <w:rPr>
          <w:spacing w:val="-4"/>
        </w:rPr>
        <w:t>54.9，较此前有所改</w:t>
      </w:r>
      <w:r>
        <w:t xml:space="preserve"> </w:t>
      </w:r>
      <w:r>
        <w:rPr>
          <w:spacing w:val="-1"/>
        </w:rPr>
        <w:t>善。</w:t>
      </w:r>
      <w:r>
        <w:rPr>
          <w:spacing w:val="-30"/>
        </w:rPr>
        <w:t xml:space="preserve"> </w:t>
      </w:r>
      <w:r>
        <w:rPr>
          <w:spacing w:val="-1"/>
        </w:rPr>
        <w:t>9-11</w:t>
      </w:r>
      <w:r>
        <w:rPr>
          <w:spacing w:val="-34"/>
        </w:rPr>
        <w:t xml:space="preserve"> </w:t>
      </w:r>
      <w:r>
        <w:rPr>
          <w:spacing w:val="-1"/>
        </w:rPr>
        <w:t>月，南非出口金额分别同比增长-</w:t>
      </w:r>
      <w:r>
        <w:rPr>
          <w:spacing w:val="-2"/>
        </w:rPr>
        <w:t>6.6%、2.8%和</w:t>
      </w:r>
      <w:r>
        <w:rPr>
          <w:spacing w:val="-39"/>
        </w:rPr>
        <w:t xml:space="preserve"> </w:t>
      </w:r>
      <w:r>
        <w:rPr>
          <w:spacing w:val="-2"/>
        </w:rPr>
        <w:t>8.2%，进口金额同比增长-2.9%、</w:t>
      </w:r>
      <w:r>
        <w:t xml:space="preserve"> </w:t>
      </w:r>
      <w:r>
        <w:rPr>
          <w:spacing w:val="-5"/>
        </w:rPr>
        <w:t>11.0%和</w:t>
      </w:r>
      <w:r>
        <w:rPr>
          <w:spacing w:val="-36"/>
        </w:rPr>
        <w:t xml:space="preserve"> </w:t>
      </w:r>
      <w:r>
        <w:rPr>
          <w:spacing w:val="-5"/>
        </w:rPr>
        <w:t>0.1%，高于</w:t>
      </w:r>
      <w:r>
        <w:rPr>
          <w:spacing w:val="-42"/>
        </w:rPr>
        <w:t xml:space="preserve"> </w:t>
      </w:r>
      <w:r>
        <w:rPr>
          <w:spacing w:val="-5"/>
        </w:rPr>
        <w:t>6-8</w:t>
      </w:r>
      <w:r>
        <w:rPr>
          <w:spacing w:val="-41"/>
        </w:rPr>
        <w:t xml:space="preserve"> </w:t>
      </w:r>
      <w:r>
        <w:rPr>
          <w:spacing w:val="-5"/>
        </w:rPr>
        <w:t>月的平均增速，南非进出口增速有所上升。9-11</w:t>
      </w:r>
      <w:r>
        <w:rPr>
          <w:spacing w:val="-41"/>
        </w:rPr>
        <w:t xml:space="preserve"> </w:t>
      </w:r>
      <w:r>
        <w:rPr>
          <w:spacing w:val="-5"/>
        </w:rPr>
        <w:t>月，</w:t>
      </w:r>
      <w:r>
        <w:rPr>
          <w:spacing w:val="-50"/>
        </w:rPr>
        <w:t xml:space="preserve"> </w:t>
      </w:r>
      <w:r>
        <w:rPr>
          <w:spacing w:val="-5"/>
        </w:rPr>
        <w:t>南非</w:t>
      </w:r>
      <w:r>
        <w:rPr>
          <w:spacing w:val="-45"/>
        </w:rPr>
        <w:t xml:space="preserve"> </w:t>
      </w:r>
      <w:r>
        <w:rPr>
          <w:spacing w:val="-5"/>
        </w:rPr>
        <w:t>CPI</w:t>
      </w:r>
      <w:r>
        <w:rPr>
          <w:spacing w:val="-24"/>
        </w:rPr>
        <w:t xml:space="preserve"> </w:t>
      </w:r>
      <w:r>
        <w:rPr>
          <w:spacing w:val="-5"/>
        </w:rPr>
        <w:t>同比</w:t>
      </w:r>
      <w:r>
        <w:t xml:space="preserve"> </w:t>
      </w:r>
      <w:r>
        <w:t>增速分别为</w:t>
      </w:r>
      <w:r>
        <w:rPr>
          <w:spacing w:val="-38"/>
        </w:rPr>
        <w:t xml:space="preserve"> </w:t>
      </w:r>
      <w:r>
        <w:t>5.5%、6.1%和</w:t>
      </w:r>
      <w:r>
        <w:rPr>
          <w:spacing w:val="-37"/>
        </w:rPr>
        <w:t xml:space="preserve"> </w:t>
      </w:r>
      <w:r>
        <w:t>5.6%，较此前三个</w:t>
      </w:r>
      <w:r>
        <w:rPr>
          <w:spacing w:val="-1"/>
        </w:rPr>
        <w:t>月有所上升。分项来看，交通与工业产成品通</w:t>
      </w:r>
    </w:p>
    <w:p>
      <w:pPr>
        <w:pStyle w:val="BodyText"/>
        <w:spacing w:line="220" w:lineRule="auto"/>
        <w:ind w:left="36"/>
      </w:pPr>
      <w:r>
        <w:rPr>
          <w:spacing w:val="-1"/>
        </w:rPr>
        <w:t>胀显著上升，是通胀回升的主要带动因素。</w:t>
      </w:r>
    </w:p>
    <w:p>
      <w:pPr>
        <w:pStyle w:val="BodyText"/>
        <w:spacing w:before="280" w:line="220" w:lineRule="auto"/>
        <w:ind w:left="55"/>
        <w:outlineLvl w:val="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1.1.2</w:t>
      </w:r>
      <w:r>
        <w:rPr>
          <w:spacing w:val="-3"/>
          <w:sz w:val="24"/>
          <w:szCs w:val="24"/>
        </w:rPr>
        <w:t xml:space="preserve">  </w:t>
      </w:r>
      <w:r>
        <w:rPr>
          <w:b/>
          <w:bCs/>
          <w:spacing w:val="-3"/>
          <w:sz w:val="24"/>
          <w:szCs w:val="24"/>
        </w:rPr>
        <w:t>我国经济运行持续回升向好</w:t>
      </w:r>
    </w:p>
    <w:p>
      <w:pPr>
        <w:pStyle w:val="BodyText"/>
        <w:spacing w:before="274" w:line="343" w:lineRule="auto"/>
        <w:ind w:left="36" w:right="55" w:firstLine="423"/>
        <w:sectPr>
          <w:headerReference w:type="default" r:id="rId20"/>
          <w:footerReference w:type="default" r:id="rId21"/>
          <w:pgSz w:w="11907" w:h="16839"/>
          <w:pgMar w:top="1099" w:right="1740" w:bottom="1362" w:left="1771" w:header="877" w:footer="1201" w:gutter="0"/>
          <w:pgNumType w:start="10"/>
          <w:cols w:space="708"/>
        </w:sectPr>
      </w:pPr>
      <w:r>
        <w:rPr>
          <w:spacing w:val="-6"/>
        </w:rPr>
        <w:t>2023</w:t>
      </w:r>
      <w:r>
        <w:rPr>
          <w:spacing w:val="-31"/>
        </w:rPr>
        <w:t xml:space="preserve"> </w:t>
      </w:r>
      <w:r>
        <w:rPr>
          <w:spacing w:val="-6"/>
        </w:rPr>
        <w:t>年，</w:t>
      </w:r>
      <w:r>
        <w:rPr>
          <w:spacing w:val="-41"/>
        </w:rPr>
        <w:t xml:space="preserve"> </w:t>
      </w:r>
      <w:r>
        <w:rPr>
          <w:spacing w:val="-6"/>
        </w:rPr>
        <w:t>国家着力扩大内需、优化结构，经济运行持续回升向好，高质量发展取得新成</w:t>
      </w:r>
      <w:r>
        <w:t xml:space="preserve"> </w:t>
      </w:r>
      <w:r>
        <w:rPr>
          <w:spacing w:val="-5"/>
        </w:rPr>
        <w:t>效。</w:t>
      </w:r>
      <w:r>
        <w:rPr>
          <w:spacing w:val="-23"/>
        </w:rPr>
        <w:t xml:space="preserve"> </w:t>
      </w:r>
      <w:r>
        <w:rPr>
          <w:spacing w:val="-5"/>
        </w:rPr>
        <w:t>2023</w:t>
      </w:r>
      <w:r>
        <w:rPr>
          <w:spacing w:val="-44"/>
        </w:rPr>
        <w:t xml:space="preserve"> </w:t>
      </w:r>
      <w:r>
        <w:rPr>
          <w:spacing w:val="-5"/>
        </w:rPr>
        <w:t>年，</w:t>
      </w:r>
      <w:r>
        <w:rPr>
          <w:spacing w:val="-24"/>
        </w:rPr>
        <w:t xml:space="preserve"> </w:t>
      </w:r>
      <w:r>
        <w:rPr>
          <w:spacing w:val="-5"/>
        </w:rPr>
        <w:t>我国</w:t>
      </w:r>
      <w:r>
        <w:rPr>
          <w:spacing w:val="-44"/>
        </w:rPr>
        <w:t xml:space="preserve"> </w:t>
      </w:r>
      <w:r>
        <w:rPr>
          <w:spacing w:val="-5"/>
        </w:rPr>
        <w:t>GDP</w:t>
      </w:r>
      <w:r>
        <w:rPr>
          <w:spacing w:val="-41"/>
        </w:rPr>
        <w:t xml:space="preserve"> </w:t>
      </w:r>
      <w:r>
        <w:rPr>
          <w:spacing w:val="-5"/>
        </w:rPr>
        <w:t>为</w:t>
      </w:r>
      <w:r>
        <w:rPr>
          <w:spacing w:val="-29"/>
        </w:rPr>
        <w:t xml:space="preserve"> </w:t>
      </w:r>
      <w:r>
        <w:rPr>
          <w:spacing w:val="-5"/>
        </w:rPr>
        <w:t>1260582</w:t>
      </w:r>
      <w:r>
        <w:rPr>
          <w:spacing w:val="-43"/>
        </w:rPr>
        <w:t xml:space="preserve"> </w:t>
      </w:r>
      <w:r>
        <w:rPr>
          <w:spacing w:val="-5"/>
        </w:rPr>
        <w:t>亿元，按不变价格计算，比上年增长</w:t>
      </w:r>
      <w:r>
        <w:rPr>
          <w:spacing w:val="-37"/>
        </w:rPr>
        <w:t xml:space="preserve"> </w:t>
      </w:r>
      <w:r>
        <w:rPr>
          <w:spacing w:val="-5"/>
        </w:rPr>
        <w:t>5.2%。分产业看，</w:t>
      </w:r>
      <w:r>
        <w:t xml:space="preserve"> </w:t>
      </w:r>
      <w:r>
        <w:t>第一产业增加值 89755 亿元，增长 4.1%，对经济增长的贡献率为 5.9%；第二产业增加值</w:t>
      </w:r>
      <w:r>
        <w:rPr>
          <w:spacing w:val="6"/>
        </w:rPr>
        <w:t xml:space="preserve"> </w:t>
      </w:r>
      <w:r>
        <w:rPr>
          <w:spacing w:val="-3"/>
        </w:rPr>
        <w:t>482589</w:t>
      </w:r>
      <w:r>
        <w:rPr>
          <w:spacing w:val="-43"/>
        </w:rPr>
        <w:t xml:space="preserve"> </w:t>
      </w:r>
      <w:r>
        <w:rPr>
          <w:spacing w:val="-3"/>
        </w:rPr>
        <w:t>亿元，</w:t>
      </w:r>
      <w:r>
        <w:rPr>
          <w:spacing w:val="-32"/>
        </w:rPr>
        <w:t xml:space="preserve"> </w:t>
      </w:r>
      <w:r>
        <w:rPr>
          <w:spacing w:val="-3"/>
        </w:rPr>
        <w:t>增长</w:t>
      </w:r>
      <w:r>
        <w:rPr>
          <w:spacing w:val="-45"/>
        </w:rPr>
        <w:t xml:space="preserve"> </w:t>
      </w:r>
      <w:r>
        <w:rPr>
          <w:spacing w:val="-3"/>
        </w:rPr>
        <w:t>4.7%，对经济增长的贡献率为</w:t>
      </w:r>
      <w:r>
        <w:rPr>
          <w:spacing w:val="-39"/>
        </w:rPr>
        <w:t xml:space="preserve"> </w:t>
      </w:r>
      <w:r>
        <w:rPr>
          <w:spacing w:val="-3"/>
        </w:rPr>
        <w:t>3</w:t>
      </w:r>
      <w:r>
        <w:rPr>
          <w:spacing w:val="-4"/>
        </w:rPr>
        <w:t>3.9%；第三产业增加值</w:t>
      </w:r>
      <w:r>
        <w:rPr>
          <w:spacing w:val="-43"/>
        </w:rPr>
        <w:t xml:space="preserve"> </w:t>
      </w:r>
      <w:r>
        <w:rPr>
          <w:spacing w:val="-4"/>
        </w:rPr>
        <w:t>688238</w:t>
      </w:r>
      <w:r>
        <w:rPr>
          <w:spacing w:val="-42"/>
        </w:rPr>
        <w:t xml:space="preserve"> </w:t>
      </w:r>
      <w:r>
        <w:rPr>
          <w:spacing w:val="-4"/>
        </w:rPr>
        <w:t>亿元，增</w:t>
      </w:r>
      <w:r>
        <w:t xml:space="preserve"> </w:t>
      </w:r>
      <w:r>
        <w:rPr>
          <w:spacing w:val="-2"/>
        </w:rPr>
        <w:t>长</w:t>
      </w:r>
      <w:r>
        <w:rPr>
          <w:spacing w:val="-40"/>
        </w:rPr>
        <w:t xml:space="preserve"> </w:t>
      </w:r>
      <w:r>
        <w:rPr>
          <w:spacing w:val="-2"/>
        </w:rPr>
        <w:t>5.8%，对经济增长的贡献率为</w:t>
      </w:r>
      <w:r>
        <w:rPr>
          <w:spacing w:val="-42"/>
        </w:rPr>
        <w:t xml:space="preserve"> </w:t>
      </w:r>
      <w:r>
        <w:rPr>
          <w:spacing w:val="-2"/>
        </w:rPr>
        <w:t>60.2%。三次产业增加值占</w:t>
      </w:r>
      <w:r>
        <w:rPr>
          <w:spacing w:val="-47"/>
        </w:rPr>
        <w:t xml:space="preserve"> </w:t>
      </w:r>
      <w:r>
        <w:rPr>
          <w:spacing w:val="-2"/>
        </w:rPr>
        <w:t>GDP</w:t>
      </w:r>
      <w:r>
        <w:rPr>
          <w:spacing w:val="-29"/>
        </w:rPr>
        <w:t xml:space="preserve"> </w:t>
      </w:r>
      <w:r>
        <w:rPr>
          <w:spacing w:val="-2"/>
        </w:rPr>
        <w:t>的比重分</w:t>
      </w:r>
      <w:r>
        <w:rPr>
          <w:spacing w:val="-3"/>
        </w:rPr>
        <w:t>别为</w:t>
      </w:r>
      <w:r>
        <w:rPr>
          <w:spacing w:val="-40"/>
        </w:rPr>
        <w:t xml:space="preserve"> </w:t>
      </w:r>
      <w:r>
        <w:rPr>
          <w:spacing w:val="-3"/>
        </w:rPr>
        <w:t>7.1%、38.3%</w:t>
      </w:r>
      <w:r>
        <w:t xml:space="preserve"> </w:t>
      </w:r>
      <w:r>
        <w:rPr>
          <w:spacing w:val="-2"/>
        </w:rPr>
        <w:t>和 54.6%。2023 年四季度，我国 GDP 为 347890 亿元，按不变价格计算，比上年同期增长</w:t>
      </w:r>
    </w:p>
    <w:p>
      <w:pPr>
        <w:pStyle w:val="BodyText"/>
        <w:spacing w:line="220" w:lineRule="auto"/>
        <w:ind w:left="41"/>
      </w:pPr>
      <w:r>
        <w:rPr>
          <w:spacing w:val="-3"/>
        </w:rPr>
        <w:t>5.2%，较三季度提高</w:t>
      </w:r>
      <w:r>
        <w:rPr>
          <w:spacing w:val="-33"/>
        </w:rPr>
        <w:t xml:space="preserve"> </w:t>
      </w:r>
      <w:r>
        <w:rPr>
          <w:spacing w:val="-3"/>
        </w:rPr>
        <w:t>0.3</w:t>
      </w:r>
      <w:r>
        <w:rPr>
          <w:spacing w:val="-34"/>
        </w:rPr>
        <w:t xml:space="preserve"> </w:t>
      </w:r>
      <w:r>
        <w:rPr>
          <w:spacing w:val="-3"/>
        </w:rPr>
        <w:t>个百分点。其中，第一产业增加值</w:t>
      </w:r>
      <w:r>
        <w:rPr>
          <w:spacing w:val="-28"/>
        </w:rPr>
        <w:t xml:space="preserve"> </w:t>
      </w:r>
      <w:r>
        <w:rPr>
          <w:spacing w:val="-3"/>
        </w:rPr>
        <w:t>33425</w:t>
      </w:r>
      <w:r>
        <w:rPr>
          <w:spacing w:val="-31"/>
        </w:rPr>
        <w:t xml:space="preserve"> </w:t>
      </w:r>
      <w:r>
        <w:rPr>
          <w:spacing w:val="-3"/>
        </w:rPr>
        <w:t>亿元，</w:t>
      </w:r>
      <w:r>
        <w:rPr>
          <w:spacing w:val="-22"/>
        </w:rPr>
        <w:t xml:space="preserve"> </w:t>
      </w:r>
      <w:r>
        <w:rPr>
          <w:spacing w:val="-3"/>
        </w:rPr>
        <w:t>增长</w:t>
      </w:r>
      <w:r>
        <w:rPr>
          <w:spacing w:val="-32"/>
        </w:rPr>
        <w:t xml:space="preserve"> </w:t>
      </w:r>
      <w:r>
        <w:rPr>
          <w:spacing w:val="-4"/>
        </w:rPr>
        <w:t>4.2%；第二</w:t>
      </w:r>
    </w:p>
    <w:p>
      <w:pPr>
        <w:spacing w:line="220" w:lineRule="auto"/>
        <w:sectPr>
          <w:headerReference w:type="default" r:id="rId22"/>
          <w:footerReference w:type="default" r:id="rId23"/>
          <w:type w:val="nextPage"/>
          <w:pgSz w:w="11907" w:h="16839"/>
          <w:pgMar w:top="1099" w:right="1740" w:bottom="1362" w:left="1771" w:header="877" w:footer="1201" w:gutter="0"/>
          <w:pgNumType w:start="11"/>
          <w:cols w:space="708"/>
          <w:titlePg w:val="0"/>
        </w:sectPr>
      </w:pPr>
    </w:p>
    <w:p>
      <w:pPr>
        <w:spacing w:line="344" w:lineRule="auto"/>
        <w:rPr>
          <w:rFonts w:ascii="Arial"/>
          <w:sz w:val="21"/>
        </w:rPr>
      </w:pPr>
    </w:p>
    <w:p>
      <w:pPr>
        <w:pStyle w:val="BodyText"/>
        <w:spacing w:before="65" w:line="363" w:lineRule="auto"/>
        <w:ind w:left="39" w:right="20"/>
        <w:jc w:val="both"/>
        <w:rPr>
          <w:sz w:val="20"/>
          <w:szCs w:val="20"/>
        </w:rPr>
      </w:pPr>
      <w:r>
        <w:rPr>
          <w:spacing w:val="16"/>
          <w:sz w:val="20"/>
          <w:szCs w:val="20"/>
        </w:rPr>
        <w:t>产业增加值133703亿元，增长5.5%;第三产业增加值180762亿元，增长5.3%。三次产业</w:t>
      </w:r>
      <w:r>
        <w:rPr>
          <w:spacing w:val="18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增加值占</w:t>
      </w:r>
      <w:r>
        <w:rPr>
          <w:rFonts w:ascii="Times New Roman" w:eastAsia="Times New Roman" w:hAnsi="Times New Roman" w:cs="Times New Roman"/>
          <w:sz w:val="20"/>
          <w:szCs w:val="20"/>
        </w:rPr>
        <w:t>GDP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的比重分别为9.6%、38.4%和52.0%,对经济增长</w:t>
      </w:r>
      <w:r>
        <w:rPr>
          <w:spacing w:val="8"/>
          <w:sz w:val="20"/>
          <w:szCs w:val="20"/>
        </w:rPr>
        <w:t>的贡献率分别为8.2%、40.0%</w:t>
      </w:r>
      <w:r>
        <w:rPr>
          <w:sz w:val="20"/>
          <w:szCs w:val="20"/>
        </w:rPr>
        <w:t xml:space="preserve"> </w:t>
      </w:r>
      <w:r>
        <w:rPr>
          <w:spacing w:val="13"/>
          <w:sz w:val="20"/>
          <w:szCs w:val="20"/>
        </w:rPr>
        <w:t>和51.7%,三次产业协同发力推动我国经济持续恢</w:t>
      </w:r>
      <w:r>
        <w:rPr>
          <w:spacing w:val="12"/>
          <w:sz w:val="20"/>
          <w:szCs w:val="20"/>
        </w:rPr>
        <w:t>复向好。从环比看，经季节因素调整后，</w:t>
      </w:r>
    </w:p>
    <w:p>
      <w:pPr>
        <w:pStyle w:val="BodyText"/>
        <w:spacing w:line="219" w:lineRule="auto"/>
        <w:ind w:left="39"/>
        <w:rPr>
          <w:sz w:val="20"/>
          <w:szCs w:val="20"/>
        </w:rPr>
      </w:pPr>
      <w:r>
        <w:rPr>
          <w:spacing w:val="9"/>
          <w:sz w:val="20"/>
          <w:szCs w:val="20"/>
        </w:rPr>
        <w:t>四季度</w:t>
      </w:r>
      <w:r>
        <w:rPr>
          <w:rFonts w:ascii="Times New Roman" w:eastAsia="Times New Roman" w:hAnsi="Times New Roman" w:cs="Times New Roman"/>
          <w:sz w:val="20"/>
          <w:szCs w:val="20"/>
        </w:rPr>
        <w:t>GDP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环比增长1.0%。环比增速连续六个季度增长，经济总体呈现恢复向好态势。</w:t>
      </w:r>
    </w:p>
    <w:p>
      <w:pPr>
        <w:spacing w:line="243" w:lineRule="auto"/>
        <w:rPr>
          <w:rFonts w:ascii="Arial"/>
          <w:sz w:val="21"/>
        </w:rPr>
      </w:pPr>
    </w:p>
    <w:p>
      <w:pPr>
        <w:pStyle w:val="BodyText"/>
        <w:spacing w:before="65" w:line="219" w:lineRule="auto"/>
        <w:ind w:left="1332"/>
        <w:rPr>
          <w:sz w:val="20"/>
          <w:szCs w:val="20"/>
        </w:rPr>
      </w:pPr>
      <w:r>
        <w:rPr>
          <w:b/>
          <w:bCs/>
          <w:spacing w:val="-16"/>
          <w:sz w:val="20"/>
          <w:szCs w:val="20"/>
        </w:rPr>
        <w:t>图</w:t>
      </w:r>
      <w:r>
        <w:rPr>
          <w:spacing w:val="-16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1</w:t>
      </w:r>
      <w:r>
        <w:rPr>
          <w:spacing w:val="75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2022年二季度-2023年四季度我国国内生产总值同比及</w:t>
      </w:r>
      <w:r>
        <w:rPr>
          <w:b/>
          <w:bCs/>
          <w:spacing w:val="-17"/>
          <w:sz w:val="20"/>
          <w:szCs w:val="20"/>
        </w:rPr>
        <w:t>环比增长率</w:t>
      </w:r>
    </w:p>
    <w:p>
      <w:pPr>
        <w:spacing w:before="47" w:line="4680" w:lineRule="exact"/>
      </w:pPr>
      <w:r>
        <w:rPr>
          <w:position w:val="-93"/>
        </w:rPr>
        <w:drawing>
          <wp:inline distT="0" distB="0" distL="0" distR="0">
            <wp:extent cx="5327649" cy="2971802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7649" cy="2971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1" w:lineRule="auto"/>
        <w:rPr>
          <w:rFonts w:ascii="Arial"/>
          <w:sz w:val="21"/>
        </w:rPr>
      </w:pPr>
    </w:p>
    <w:p>
      <w:pPr>
        <w:pStyle w:val="BodyText"/>
        <w:spacing w:before="65" w:line="219" w:lineRule="auto"/>
        <w:ind w:left="409"/>
        <w:rPr>
          <w:sz w:val="20"/>
          <w:szCs w:val="20"/>
        </w:rPr>
      </w:pPr>
      <w:r>
        <w:rPr>
          <w:spacing w:val="-19"/>
          <w:sz w:val="20"/>
          <w:szCs w:val="20"/>
        </w:rPr>
        <w:t>数据来源：国家统计局</w:t>
      </w:r>
    </w:p>
    <w:p>
      <w:pPr>
        <w:pStyle w:val="BodyText"/>
        <w:spacing w:before="289" w:line="360" w:lineRule="auto"/>
        <w:ind w:left="39" w:right="49" w:firstLine="432"/>
        <w:rPr>
          <w:sz w:val="20"/>
          <w:szCs w:val="20"/>
        </w:rPr>
      </w:pPr>
      <w:r>
        <w:rPr>
          <w:b/>
          <w:bCs/>
          <w:spacing w:val="8"/>
          <w:sz w:val="20"/>
          <w:szCs w:val="20"/>
        </w:rPr>
        <w:t>生产形势总体较好，服务业支撑作用增强。</w:t>
      </w:r>
      <w:r>
        <w:rPr>
          <w:spacing w:val="8"/>
          <w:sz w:val="20"/>
          <w:szCs w:val="20"/>
        </w:rPr>
        <w:t>2023 年，农林牧渔业生产形势较好，增加</w:t>
      </w:r>
      <w:r>
        <w:rPr>
          <w:spacing w:val="1"/>
          <w:sz w:val="20"/>
          <w:szCs w:val="20"/>
        </w:rPr>
        <w:t xml:space="preserve"> </w:t>
      </w:r>
      <w:r>
        <w:rPr>
          <w:spacing w:val="16"/>
          <w:sz w:val="20"/>
          <w:szCs w:val="20"/>
        </w:rPr>
        <w:t>值比上年增长4.2%,拉动经济增长0.3个百分点。工业、建筑业生产恢复加快，工业增加</w:t>
      </w:r>
      <w:r>
        <w:rPr>
          <w:spacing w:val="2"/>
          <w:sz w:val="20"/>
          <w:szCs w:val="20"/>
        </w:rPr>
        <w:t xml:space="preserve"> </w:t>
      </w:r>
      <w:r>
        <w:rPr>
          <w:spacing w:val="18"/>
          <w:sz w:val="20"/>
          <w:szCs w:val="20"/>
        </w:rPr>
        <w:t>值比上年增长4.2%,拉动经济增长1.3个百分点，其中制造业增加值比上年增长</w:t>
      </w:r>
      <w:r>
        <w:rPr>
          <w:spacing w:val="17"/>
          <w:sz w:val="20"/>
          <w:szCs w:val="20"/>
        </w:rPr>
        <w:t>4.4%,拉</w:t>
      </w:r>
      <w:r>
        <w:rPr>
          <w:sz w:val="20"/>
          <w:szCs w:val="20"/>
        </w:rPr>
        <w:t xml:space="preserve"> </w:t>
      </w:r>
      <w:r>
        <w:rPr>
          <w:spacing w:val="18"/>
          <w:sz w:val="20"/>
          <w:szCs w:val="20"/>
        </w:rPr>
        <w:t>动经济增长1.2个百分点；建筑业增加值比上年增长7.1%</w:t>
      </w:r>
      <w:r>
        <w:rPr>
          <w:spacing w:val="17"/>
          <w:sz w:val="20"/>
          <w:szCs w:val="20"/>
        </w:rPr>
        <w:t>,拉动经济增长0.5个百分点。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服务业保持较快增长，批发和零售业，交通运输、仓储和邮政业以及住宿和餐饮业等接触型</w:t>
      </w:r>
      <w:r>
        <w:rPr>
          <w:spacing w:val="12"/>
          <w:sz w:val="20"/>
          <w:szCs w:val="20"/>
        </w:rPr>
        <w:t xml:space="preserve"> </w:t>
      </w:r>
      <w:r>
        <w:rPr>
          <w:spacing w:val="13"/>
          <w:sz w:val="20"/>
          <w:szCs w:val="20"/>
        </w:rPr>
        <w:t>聚集型服务业恢复较快，增加值分别同比增长6.2%、8.0%和14.5%</w:t>
      </w:r>
      <w:r>
        <w:rPr>
          <w:spacing w:val="12"/>
          <w:sz w:val="20"/>
          <w:szCs w:val="20"/>
        </w:rPr>
        <w:t>,合计拉动经济增长1.1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个百分点；信息传输、软件和信息技术服务业，租赁和商务服务业发展保持较好势头，增加</w:t>
      </w:r>
    </w:p>
    <w:p>
      <w:pPr>
        <w:pStyle w:val="BodyText"/>
        <w:spacing w:before="1" w:line="216" w:lineRule="auto"/>
        <w:ind w:left="39"/>
        <w:rPr>
          <w:sz w:val="20"/>
          <w:szCs w:val="20"/>
        </w:rPr>
      </w:pPr>
      <w:r>
        <w:rPr>
          <w:spacing w:val="16"/>
          <w:sz w:val="20"/>
          <w:szCs w:val="20"/>
        </w:rPr>
        <w:t>值分别同比增长11.9%和9.3%,合计拉动经济增长0.8</w:t>
      </w:r>
      <w:r>
        <w:rPr>
          <w:spacing w:val="15"/>
          <w:sz w:val="20"/>
          <w:szCs w:val="20"/>
        </w:rPr>
        <w:t>个百分点。</w:t>
      </w:r>
    </w:p>
    <w:p>
      <w:pPr>
        <w:pStyle w:val="BodyText"/>
        <w:spacing w:before="305" w:line="360" w:lineRule="auto"/>
        <w:ind w:left="39" w:right="54" w:firstLine="440"/>
        <w:rPr>
          <w:sz w:val="20"/>
          <w:szCs w:val="20"/>
        </w:rPr>
        <w:sectPr>
          <w:headerReference w:type="default" r:id="rId25"/>
          <w:footerReference w:type="default" r:id="rId26"/>
          <w:pgSz w:w="11910" w:h="16840"/>
          <w:pgMar w:top="1106" w:right="1769" w:bottom="1343" w:left="1750" w:header="870" w:footer="1225" w:gutter="0"/>
          <w:pgNumType w:start="12"/>
          <w:cols w:space="708"/>
        </w:sectPr>
      </w:pPr>
      <w:r>
        <w:rPr>
          <w:spacing w:val="6"/>
          <w:sz w:val="20"/>
          <w:szCs w:val="20"/>
        </w:rPr>
        <w:t>内需稳步扩大，国内大循环主体地位进一步巩固。</w:t>
      </w:r>
      <w:r>
        <w:rPr>
          <w:b/>
          <w:bCs/>
          <w:spacing w:val="6"/>
          <w:sz w:val="20"/>
          <w:szCs w:val="20"/>
        </w:rPr>
        <w:t>消费持续恢复向好。</w:t>
      </w:r>
      <w:r>
        <w:rPr>
          <w:spacing w:val="6"/>
          <w:sz w:val="20"/>
          <w:szCs w:val="20"/>
        </w:rPr>
        <w:t>2023</w:t>
      </w:r>
      <w:r>
        <w:rPr>
          <w:spacing w:val="66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年以来，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随着经济社会全面恢复常态化运行，促消费政策发力显效，消费潜力不断释放，服务消费加</w:t>
      </w:r>
      <w:r>
        <w:rPr>
          <w:spacing w:val="14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速复苏，消费拉动经济增长的基础性作用进一步增强。2023 年，最终消费支出对经济增长</w:t>
      </w:r>
      <w:r>
        <w:rPr>
          <w:spacing w:val="10"/>
          <w:sz w:val="20"/>
          <w:szCs w:val="20"/>
        </w:rPr>
        <w:t xml:space="preserve"> </w:t>
      </w:r>
      <w:r>
        <w:rPr>
          <w:spacing w:val="12"/>
          <w:sz w:val="20"/>
          <w:szCs w:val="20"/>
        </w:rPr>
        <w:t>的贡献率为82.5%,拉动</w:t>
      </w:r>
      <w:r>
        <w:rPr>
          <w:spacing w:val="-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GDP</w:t>
      </w:r>
      <w:r>
        <w:rPr>
          <w:rFonts w:ascii="Times New Roman" w:eastAsia="Times New Roman" w:hAnsi="Times New Roman" w:cs="Times New Roman"/>
          <w:spacing w:val="-16"/>
          <w:sz w:val="20"/>
          <w:szCs w:val="20"/>
        </w:rPr>
        <w:t xml:space="preserve"> </w:t>
      </w:r>
      <w:r>
        <w:rPr>
          <w:spacing w:val="12"/>
          <w:sz w:val="20"/>
          <w:szCs w:val="20"/>
        </w:rPr>
        <w:t>增长4.3个百分点。其中，四季度最终消费支出对经济增长的</w:t>
      </w:r>
      <w:r>
        <w:rPr>
          <w:sz w:val="20"/>
          <w:szCs w:val="20"/>
        </w:rPr>
        <w:t xml:space="preserve"> </w:t>
      </w:r>
    </w:p>
    <w:p>
      <w:pPr>
        <w:pStyle w:val="BodyText"/>
        <w:spacing w:before="305" w:line="360" w:lineRule="auto"/>
        <w:ind w:left="39" w:right="54" w:firstLine="440"/>
        <w:rPr>
          <w:sz w:val="20"/>
          <w:szCs w:val="20"/>
        </w:rPr>
      </w:pPr>
      <w:r>
        <w:rPr>
          <w:spacing w:val="13"/>
          <w:sz w:val="20"/>
          <w:szCs w:val="20"/>
        </w:rPr>
        <w:t>贡献率为80.0%,拉动</w:t>
      </w:r>
      <w:r>
        <w:rPr>
          <w:rFonts w:ascii="Times New Roman" w:eastAsia="Times New Roman" w:hAnsi="Times New Roman" w:cs="Times New Roman"/>
          <w:sz w:val="20"/>
          <w:szCs w:val="20"/>
        </w:rPr>
        <w:t>GDP</w:t>
      </w:r>
      <w:r>
        <w:rPr>
          <w:rFonts w:ascii="Times New Roman" w:eastAsia="Times New Roman" w:hAnsi="Times New Roman" w:cs="Times New Roman"/>
          <w:spacing w:val="-15"/>
          <w:sz w:val="20"/>
          <w:szCs w:val="20"/>
        </w:rPr>
        <w:t xml:space="preserve"> </w:t>
      </w:r>
      <w:r>
        <w:rPr>
          <w:spacing w:val="13"/>
          <w:sz w:val="20"/>
          <w:szCs w:val="20"/>
        </w:rPr>
        <w:t>增长4.2个百分点。</w:t>
      </w:r>
      <w:r>
        <w:rPr>
          <w:b/>
          <w:bCs/>
          <w:spacing w:val="13"/>
          <w:sz w:val="20"/>
          <w:szCs w:val="20"/>
        </w:rPr>
        <w:t>投资呈现较强韧性。</w:t>
      </w:r>
      <w:r>
        <w:rPr>
          <w:spacing w:val="13"/>
          <w:sz w:val="20"/>
          <w:szCs w:val="20"/>
        </w:rPr>
        <w:t>重大项目、重点工程建</w:t>
      </w:r>
      <w:r>
        <w:rPr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设加快推进，有效投资规模不断扩大，对稳增长的关键作用持续发挥。2023年</w:t>
      </w:r>
      <w:r>
        <w:rPr>
          <w:spacing w:val="5"/>
          <w:sz w:val="20"/>
          <w:szCs w:val="20"/>
        </w:rPr>
        <w:t>，资本形成总</w:t>
      </w:r>
      <w:r>
        <w:rPr>
          <w:sz w:val="20"/>
          <w:szCs w:val="20"/>
        </w:rPr>
        <w:t xml:space="preserve"> </w:t>
      </w:r>
      <w:r>
        <w:rPr>
          <w:spacing w:val="14"/>
          <w:sz w:val="20"/>
          <w:szCs w:val="20"/>
        </w:rPr>
        <w:t>额对经济增长的贡献率为28.9%,拉动</w:t>
      </w:r>
      <w:r>
        <w:rPr>
          <w:rFonts w:ascii="Times New Roman" w:eastAsia="Times New Roman" w:hAnsi="Times New Roman" w:cs="Times New Roman"/>
          <w:sz w:val="20"/>
          <w:szCs w:val="20"/>
        </w:rPr>
        <w:t>GDP</w:t>
      </w:r>
      <w:r>
        <w:rPr>
          <w:rFonts w:ascii="Times New Roman" w:eastAsia="Times New Roman" w:hAnsi="Times New Roman" w:cs="Times New Roman"/>
          <w:spacing w:val="-17"/>
          <w:sz w:val="20"/>
          <w:szCs w:val="20"/>
        </w:rPr>
        <w:t xml:space="preserve"> </w:t>
      </w:r>
      <w:r>
        <w:rPr>
          <w:spacing w:val="14"/>
          <w:sz w:val="20"/>
          <w:szCs w:val="20"/>
        </w:rPr>
        <w:t>增</w:t>
      </w:r>
      <w:r>
        <w:rPr>
          <w:spacing w:val="13"/>
          <w:sz w:val="20"/>
          <w:szCs w:val="20"/>
        </w:rPr>
        <w:t>长1.5个百分点。其中，四季度资本形成总额</w:t>
      </w:r>
    </w:p>
    <w:p>
      <w:pPr>
        <w:pStyle w:val="BodyText"/>
        <w:spacing w:before="1" w:line="216" w:lineRule="auto"/>
        <w:ind w:left="39"/>
        <w:rPr>
          <w:sz w:val="20"/>
          <w:szCs w:val="20"/>
        </w:rPr>
      </w:pPr>
      <w:r>
        <w:rPr>
          <w:spacing w:val="13"/>
          <w:sz w:val="20"/>
          <w:szCs w:val="20"/>
        </w:rPr>
        <w:t>对经济增长的贡献率为23.1%,拉动</w:t>
      </w:r>
      <w:r>
        <w:rPr>
          <w:rFonts w:ascii="Times New Roman" w:eastAsia="Times New Roman" w:hAnsi="Times New Roman" w:cs="Times New Roman"/>
          <w:sz w:val="20"/>
          <w:szCs w:val="20"/>
        </w:rPr>
        <w:t>GDP</w:t>
      </w:r>
      <w:r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>
        <w:rPr>
          <w:spacing w:val="13"/>
          <w:sz w:val="20"/>
          <w:szCs w:val="20"/>
        </w:rPr>
        <w:t>增长1.2个百分点。</w:t>
      </w:r>
      <w:r>
        <w:rPr>
          <w:b/>
          <w:bCs/>
          <w:spacing w:val="13"/>
          <w:sz w:val="20"/>
          <w:szCs w:val="20"/>
        </w:rPr>
        <w:t>净出口持续承压。</w:t>
      </w:r>
      <w:r>
        <w:rPr>
          <w:spacing w:val="13"/>
          <w:sz w:val="20"/>
          <w:szCs w:val="20"/>
        </w:rPr>
        <w:t>世界经济复</w:t>
      </w:r>
    </w:p>
    <w:p>
      <w:pPr>
        <w:spacing w:line="216" w:lineRule="auto"/>
        <w:rPr>
          <w:sz w:val="20"/>
          <w:szCs w:val="20"/>
        </w:rPr>
        <w:sectPr>
          <w:headerReference w:type="default" r:id="rId27"/>
          <w:footerReference w:type="default" r:id="rId28"/>
          <w:type w:val="nextPage"/>
          <w:pgSz w:w="11910" w:h="16840"/>
          <w:pgMar w:top="1106" w:right="1769" w:bottom="1343" w:left="1750" w:header="870" w:footer="1225" w:gutter="0"/>
          <w:pgNumType w:start="13"/>
          <w:cols w:space="708"/>
          <w:titlePg w:val="0"/>
        </w:sectPr>
      </w:pPr>
    </w:p>
    <w:p>
      <w:pPr>
        <w:spacing w:line="358" w:lineRule="auto"/>
        <w:rPr>
          <w:rFonts w:ascii="Arial"/>
          <w:sz w:val="21"/>
        </w:rPr>
      </w:pPr>
    </w:p>
    <w:p>
      <w:pPr>
        <w:pStyle w:val="BodyText"/>
        <w:spacing w:before="69" w:line="343" w:lineRule="auto"/>
        <w:ind w:left="37" w:right="69" w:firstLine="3"/>
        <w:jc w:val="both"/>
      </w:pPr>
      <w:r>
        <w:rPr>
          <w:spacing w:val="-6"/>
        </w:rPr>
        <w:t>苏乏力，外部需求增长放缓，</w:t>
      </w:r>
      <w:r>
        <w:rPr>
          <w:spacing w:val="-27"/>
        </w:rPr>
        <w:t xml:space="preserve"> </w:t>
      </w:r>
      <w:r>
        <w:rPr>
          <w:spacing w:val="-6"/>
        </w:rPr>
        <w:t>货物贸易顺差同比收窄，</w:t>
      </w:r>
      <w:r>
        <w:rPr>
          <w:spacing w:val="-45"/>
        </w:rPr>
        <w:t xml:space="preserve"> </w:t>
      </w:r>
      <w:r>
        <w:rPr>
          <w:spacing w:val="-6"/>
        </w:rPr>
        <w:t>跨境旅行、国际运输等服务贸易稳步</w:t>
      </w:r>
      <w:r>
        <w:t xml:space="preserve"> </w:t>
      </w:r>
      <w:r>
        <w:rPr>
          <w:spacing w:val="-4"/>
        </w:rPr>
        <w:t>恢复，服务贸易逆差同比扩大，货物和服务净出口对经济增长拉动作用减弱。2023</w:t>
      </w:r>
      <w:r>
        <w:rPr>
          <w:spacing w:val="-37"/>
        </w:rPr>
        <w:t xml:space="preserve"> </w:t>
      </w:r>
      <w:r>
        <w:rPr>
          <w:spacing w:val="-4"/>
        </w:rPr>
        <w:t>年，货物</w:t>
      </w:r>
      <w:r>
        <w:t xml:space="preserve"> </w:t>
      </w:r>
      <w:r>
        <w:rPr>
          <w:spacing w:val="-2"/>
        </w:rPr>
        <w:t>和服务净出口对经济增长的贡献率为-11.4%，向</w:t>
      </w:r>
      <w:r>
        <w:rPr>
          <w:spacing w:val="-3"/>
        </w:rPr>
        <w:t>下拉动</w:t>
      </w:r>
      <w:r>
        <w:rPr>
          <w:spacing w:val="-46"/>
        </w:rPr>
        <w:t xml:space="preserve"> </w:t>
      </w:r>
      <w:r>
        <w:rPr>
          <w:spacing w:val="-3"/>
        </w:rPr>
        <w:t>GDP 0.6</w:t>
      </w:r>
      <w:r>
        <w:rPr>
          <w:spacing w:val="-44"/>
        </w:rPr>
        <w:t xml:space="preserve"> </w:t>
      </w:r>
      <w:r>
        <w:rPr>
          <w:spacing w:val="-3"/>
        </w:rPr>
        <w:t>个百分点。其中，四季度货</w:t>
      </w:r>
    </w:p>
    <w:p>
      <w:pPr>
        <w:pStyle w:val="BodyText"/>
        <w:spacing w:line="220" w:lineRule="auto"/>
        <w:ind w:left="37"/>
      </w:pPr>
      <w:r>
        <w:rPr>
          <w:spacing w:val="-1"/>
        </w:rPr>
        <w:t>物和服务净出口对经济增长的贡献率为-3.1%，向下拉动</w:t>
      </w:r>
      <w:r>
        <w:rPr>
          <w:spacing w:val="-42"/>
        </w:rPr>
        <w:t xml:space="preserve"> </w:t>
      </w:r>
      <w:r>
        <w:rPr>
          <w:spacing w:val="-1"/>
        </w:rPr>
        <w:t>GDP 0.2</w:t>
      </w:r>
      <w:r>
        <w:rPr>
          <w:spacing w:val="-44"/>
        </w:rPr>
        <w:t xml:space="preserve"> </w:t>
      </w:r>
      <w:r>
        <w:rPr>
          <w:spacing w:val="-1"/>
        </w:rPr>
        <w:t>个百分点。</w:t>
      </w:r>
    </w:p>
    <w:p>
      <w:pPr>
        <w:pStyle w:val="BodyText"/>
        <w:spacing w:before="294" w:line="343" w:lineRule="auto"/>
        <w:ind w:left="36" w:firstLine="423"/>
        <w:jc w:val="both"/>
      </w:pPr>
      <w:r>
        <w:rPr>
          <w:b/>
          <w:bCs/>
          <w:spacing w:val="-10"/>
        </w:rPr>
        <w:t>创新发展动能增强，</w:t>
      </w:r>
      <w:r>
        <w:rPr>
          <w:spacing w:val="-10"/>
        </w:rPr>
        <w:t xml:space="preserve"> </w:t>
      </w:r>
      <w:r>
        <w:rPr>
          <w:b/>
          <w:bCs/>
          <w:spacing w:val="-10"/>
        </w:rPr>
        <w:t>转型升级成效显著。</w:t>
      </w:r>
      <w:r>
        <w:rPr>
          <w:spacing w:val="-10"/>
        </w:rPr>
        <w:t>重点领域投资力度加大，新动能领域增长较快。</w:t>
      </w:r>
      <w:r>
        <w:rPr>
          <w:spacing w:val="15"/>
        </w:rPr>
        <w:t xml:space="preserve"> </w:t>
      </w:r>
      <w:r>
        <w:rPr>
          <w:spacing w:val="-3"/>
        </w:rPr>
        <w:t>2023</w:t>
      </w:r>
      <w:r>
        <w:rPr>
          <w:spacing w:val="-24"/>
        </w:rPr>
        <w:t xml:space="preserve"> </w:t>
      </w:r>
      <w:r>
        <w:rPr>
          <w:spacing w:val="-3"/>
        </w:rPr>
        <w:t>年，</w:t>
      </w:r>
      <w:r>
        <w:rPr>
          <w:spacing w:val="-20"/>
        </w:rPr>
        <w:t xml:space="preserve"> </w:t>
      </w:r>
      <w:r>
        <w:rPr>
          <w:spacing w:val="-3"/>
        </w:rPr>
        <w:t>高技术制造业和高技术服务业投资分别比上年增长</w:t>
      </w:r>
      <w:r>
        <w:rPr>
          <w:spacing w:val="-24"/>
        </w:rPr>
        <w:t xml:space="preserve"> </w:t>
      </w:r>
      <w:r>
        <w:rPr>
          <w:spacing w:val="-3"/>
        </w:rPr>
        <w:t>9.9%和 11.4%</w:t>
      </w:r>
      <w:r>
        <w:rPr>
          <w:spacing w:val="-4"/>
        </w:rPr>
        <w:t xml:space="preserve">，分别高于全部 </w:t>
      </w:r>
      <w:r>
        <w:rPr>
          <w:spacing w:val="-3"/>
        </w:rPr>
        <w:t>固定资产投资增速</w:t>
      </w:r>
      <w:r>
        <w:rPr>
          <w:spacing w:val="-42"/>
        </w:rPr>
        <w:t xml:space="preserve"> </w:t>
      </w:r>
      <w:r>
        <w:rPr>
          <w:spacing w:val="-3"/>
        </w:rPr>
        <w:t>6.9</w:t>
      </w:r>
      <w:r>
        <w:rPr>
          <w:spacing w:val="-45"/>
        </w:rPr>
        <w:t xml:space="preserve"> </w:t>
      </w:r>
      <w:r>
        <w:rPr>
          <w:spacing w:val="-3"/>
        </w:rPr>
        <w:t>和</w:t>
      </w:r>
      <w:r>
        <w:rPr>
          <w:spacing w:val="-46"/>
        </w:rPr>
        <w:t xml:space="preserve"> </w:t>
      </w:r>
      <w:r>
        <w:rPr>
          <w:spacing w:val="-3"/>
        </w:rPr>
        <w:t>8.4</w:t>
      </w:r>
      <w:r>
        <w:rPr>
          <w:spacing w:val="-44"/>
        </w:rPr>
        <w:t xml:space="preserve"> </w:t>
      </w:r>
      <w:r>
        <w:rPr>
          <w:spacing w:val="-3"/>
        </w:rPr>
        <w:t>个百分点，持续推动高技术</w:t>
      </w:r>
      <w:r>
        <w:rPr>
          <w:spacing w:val="-4"/>
        </w:rPr>
        <w:t xml:space="preserve">产业转型升级。规模以上装备制造 </w:t>
      </w:r>
      <w:r>
        <w:rPr>
          <w:spacing w:val="-1"/>
        </w:rPr>
        <w:t>业增加值比上年增长</w:t>
      </w:r>
      <w:r>
        <w:rPr>
          <w:spacing w:val="-21"/>
        </w:rPr>
        <w:t xml:space="preserve"> </w:t>
      </w:r>
      <w:r>
        <w:rPr>
          <w:spacing w:val="-1"/>
        </w:rPr>
        <w:t>6.8%，增速高于全部规模以上工业增加值</w:t>
      </w:r>
      <w:r>
        <w:rPr>
          <w:spacing w:val="-20"/>
        </w:rPr>
        <w:t xml:space="preserve"> </w:t>
      </w:r>
      <w:r>
        <w:rPr>
          <w:spacing w:val="-1"/>
        </w:rPr>
        <w:t>2.2</w:t>
      </w:r>
      <w:r>
        <w:rPr>
          <w:spacing w:val="-23"/>
        </w:rPr>
        <w:t xml:space="preserve"> </w:t>
      </w:r>
      <w:r>
        <w:rPr>
          <w:spacing w:val="-1"/>
        </w:rPr>
        <w:t>个百分点，规</w:t>
      </w:r>
      <w:r>
        <w:rPr>
          <w:spacing w:val="-2"/>
        </w:rPr>
        <w:t xml:space="preserve">模以上高 </w:t>
      </w:r>
      <w:r>
        <w:rPr>
          <w:spacing w:val="-2"/>
        </w:rPr>
        <w:t>技术制造业中的航空、航天器及设备制造业增加值同比增长</w:t>
      </w:r>
      <w:r>
        <w:rPr>
          <w:spacing w:val="-11"/>
        </w:rPr>
        <w:t xml:space="preserve"> </w:t>
      </w:r>
      <w:r>
        <w:rPr>
          <w:spacing w:val="-2"/>
        </w:rPr>
        <w:t>17.7%，增速高于全部规模以上</w:t>
      </w:r>
    </w:p>
    <w:p>
      <w:pPr>
        <w:pStyle w:val="BodyText"/>
        <w:spacing w:line="220" w:lineRule="auto"/>
        <w:ind w:left="39"/>
      </w:pPr>
      <w:r>
        <w:rPr>
          <w:spacing w:val="-3"/>
        </w:rPr>
        <w:t>工业增加值</w:t>
      </w:r>
      <w:r>
        <w:rPr>
          <w:spacing w:val="-29"/>
        </w:rPr>
        <w:t xml:space="preserve"> </w:t>
      </w:r>
      <w:r>
        <w:rPr>
          <w:spacing w:val="-3"/>
        </w:rPr>
        <w:t>13.1</w:t>
      </w:r>
      <w:r>
        <w:rPr>
          <w:spacing w:val="-44"/>
        </w:rPr>
        <w:t xml:space="preserve"> </w:t>
      </w:r>
      <w:r>
        <w:rPr>
          <w:spacing w:val="-3"/>
        </w:rPr>
        <w:t>个百分点。</w:t>
      </w:r>
    </w:p>
    <w:p>
      <w:pPr>
        <w:pStyle w:val="BodyText"/>
        <w:spacing w:before="294" w:line="343" w:lineRule="auto"/>
        <w:ind w:left="37" w:right="69" w:firstLine="425"/>
      </w:pPr>
      <w:r>
        <w:rPr>
          <w:b/>
          <w:bCs/>
          <w:spacing w:val="-5"/>
        </w:rPr>
        <w:t>消费新业态持续活跃，新兴服务业快速增长。</w:t>
      </w:r>
      <w:r>
        <w:rPr>
          <w:spacing w:val="50"/>
        </w:rPr>
        <w:t xml:space="preserve"> </w:t>
      </w:r>
      <w:r>
        <w:rPr>
          <w:spacing w:val="-5"/>
        </w:rPr>
        <w:t>2023 年，实物商品网上零售额比上年增</w:t>
      </w:r>
      <w:r>
        <w:t xml:space="preserve"> </w:t>
      </w:r>
      <w:r>
        <w:rPr>
          <w:spacing w:val="-1"/>
        </w:rPr>
        <w:t>长</w:t>
      </w:r>
      <w:r>
        <w:rPr>
          <w:spacing w:val="-32"/>
        </w:rPr>
        <w:t xml:space="preserve"> </w:t>
      </w:r>
      <w:r>
        <w:rPr>
          <w:spacing w:val="-1"/>
        </w:rPr>
        <w:t>8.4%，占社会消费品零售总额的比重为</w:t>
      </w:r>
      <w:r>
        <w:rPr>
          <w:spacing w:val="-32"/>
        </w:rPr>
        <w:t xml:space="preserve"> </w:t>
      </w:r>
      <w:r>
        <w:rPr>
          <w:spacing w:val="-1"/>
        </w:rPr>
        <w:t>27.6%，较上年提高</w:t>
      </w:r>
      <w:r>
        <w:rPr>
          <w:spacing w:val="-33"/>
        </w:rPr>
        <w:t xml:space="preserve"> </w:t>
      </w:r>
      <w:r>
        <w:rPr>
          <w:spacing w:val="-1"/>
        </w:rPr>
        <w:t>0.4</w:t>
      </w:r>
      <w:r>
        <w:rPr>
          <w:spacing w:val="-32"/>
        </w:rPr>
        <w:t xml:space="preserve"> </w:t>
      </w:r>
      <w:r>
        <w:rPr>
          <w:spacing w:val="-1"/>
        </w:rPr>
        <w:t>个百分点。1-11</w:t>
      </w:r>
      <w:r>
        <w:rPr>
          <w:spacing w:val="-29"/>
        </w:rPr>
        <w:t xml:space="preserve"> </w:t>
      </w:r>
      <w:r>
        <w:rPr>
          <w:spacing w:val="-1"/>
        </w:rPr>
        <w:t>月份，</w:t>
      </w:r>
      <w:r>
        <w:t xml:space="preserve"> </w:t>
      </w:r>
      <w:r>
        <w:rPr>
          <w:spacing w:val="-2"/>
        </w:rPr>
        <w:t>重点领域服务业企业营业收入保持增长，规模以上</w:t>
      </w:r>
      <w:r>
        <w:rPr>
          <w:spacing w:val="-3"/>
        </w:rPr>
        <w:t>高技术服务业、科技服务业企业营业收入</w:t>
      </w:r>
    </w:p>
    <w:p>
      <w:pPr>
        <w:pStyle w:val="BodyText"/>
        <w:spacing w:before="1" w:line="220" w:lineRule="auto"/>
        <w:ind w:left="57"/>
      </w:pPr>
      <w:r>
        <w:rPr>
          <w:spacing w:val="-3"/>
        </w:rPr>
        <w:t>同比增速分别高于全部规模以上服务业企业</w:t>
      </w:r>
      <w:r>
        <w:rPr>
          <w:spacing w:val="-25"/>
        </w:rPr>
        <w:t xml:space="preserve"> </w:t>
      </w:r>
      <w:r>
        <w:rPr>
          <w:spacing w:val="-3"/>
        </w:rPr>
        <w:t>2.7</w:t>
      </w:r>
      <w:r>
        <w:rPr>
          <w:spacing w:val="-46"/>
        </w:rPr>
        <w:t xml:space="preserve"> </w:t>
      </w:r>
      <w:r>
        <w:rPr>
          <w:spacing w:val="-3"/>
        </w:rPr>
        <w:t>和</w:t>
      </w:r>
      <w:r>
        <w:rPr>
          <w:spacing w:val="-43"/>
        </w:rPr>
        <w:t xml:space="preserve"> </w:t>
      </w:r>
      <w:r>
        <w:rPr>
          <w:spacing w:val="-3"/>
        </w:rPr>
        <w:t>2.9</w:t>
      </w:r>
      <w:r>
        <w:rPr>
          <w:spacing w:val="-44"/>
        </w:rPr>
        <w:t xml:space="preserve"> </w:t>
      </w:r>
      <w:r>
        <w:rPr>
          <w:spacing w:val="-3"/>
        </w:rPr>
        <w:t>个百分点。</w:t>
      </w:r>
    </w:p>
    <w:p>
      <w:pPr>
        <w:pStyle w:val="BodyText"/>
        <w:spacing w:before="281" w:line="219" w:lineRule="auto"/>
        <w:ind w:left="55"/>
        <w:outlineLvl w:val="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1.1.3</w:t>
      </w:r>
      <w:r>
        <w:rPr>
          <w:spacing w:val="-3"/>
          <w:sz w:val="24"/>
          <w:szCs w:val="24"/>
        </w:rPr>
        <w:t xml:space="preserve">  </w:t>
      </w:r>
      <w:r>
        <w:rPr>
          <w:b/>
          <w:bCs/>
          <w:spacing w:val="-3"/>
          <w:sz w:val="24"/>
          <w:szCs w:val="24"/>
        </w:rPr>
        <w:t>宏观经济环境促进医药行业健康发展</w:t>
      </w:r>
    </w:p>
    <w:p>
      <w:pPr>
        <w:pStyle w:val="BodyText"/>
        <w:spacing w:before="277" w:line="343" w:lineRule="auto"/>
        <w:ind w:left="37" w:right="69" w:firstLine="421"/>
        <w:jc w:val="both"/>
      </w:pPr>
      <w:r>
        <w:rPr>
          <w:spacing w:val="-6"/>
        </w:rPr>
        <w:t>从行业周期类型看，</w:t>
      </w:r>
      <w:r>
        <w:rPr>
          <w:spacing w:val="-40"/>
        </w:rPr>
        <w:t xml:space="preserve"> </w:t>
      </w:r>
      <w:r>
        <w:rPr>
          <w:spacing w:val="-6"/>
        </w:rPr>
        <w:t>医药行业是典型的非周期型行业，</w:t>
      </w:r>
      <w:r>
        <w:rPr>
          <w:spacing w:val="-42"/>
        </w:rPr>
        <w:t xml:space="preserve"> </w:t>
      </w:r>
      <w:r>
        <w:rPr>
          <w:spacing w:val="-6"/>
        </w:rPr>
        <w:t>刚性的需求原则、创新及轻资产</w:t>
      </w:r>
      <w:r>
        <w:t xml:space="preserve"> </w:t>
      </w:r>
      <w:r>
        <w:rPr>
          <w:spacing w:val="-2"/>
        </w:rPr>
        <w:t>的特征决定了医药行业对宏观调控具有一定的防御</w:t>
      </w:r>
      <w:r>
        <w:rPr>
          <w:spacing w:val="-3"/>
        </w:rPr>
        <w:t>性，受宏观经济波动的影响相对较小。但</w:t>
      </w:r>
      <w:r>
        <w:t xml:space="preserve"> </w:t>
      </w:r>
      <w:r>
        <w:rPr>
          <w:spacing w:val="-4"/>
        </w:rPr>
        <w:t>作为国民经济的重要组成部分，</w:t>
      </w:r>
      <w:r>
        <w:rPr>
          <w:spacing w:val="-43"/>
        </w:rPr>
        <w:t xml:space="preserve"> </w:t>
      </w:r>
      <w:r>
        <w:rPr>
          <w:spacing w:val="-4"/>
        </w:rPr>
        <w:t>宏观经济发展形势对医药行业稳定、健康发展具有重要的影</w:t>
      </w:r>
    </w:p>
    <w:p>
      <w:pPr>
        <w:pStyle w:val="BodyText"/>
        <w:spacing w:line="220" w:lineRule="auto"/>
        <w:ind w:left="47"/>
      </w:pPr>
      <w:r>
        <w:rPr>
          <w:spacing w:val="-3"/>
        </w:rPr>
        <w:t>响作用。具体来看，</w:t>
      </w:r>
      <w:r>
        <w:rPr>
          <w:spacing w:val="-23"/>
        </w:rPr>
        <w:t xml:space="preserve"> </w:t>
      </w:r>
      <w:r>
        <w:rPr>
          <w:spacing w:val="-3"/>
        </w:rPr>
        <w:t>宏观经济运行的以下指标</w:t>
      </w:r>
      <w:r>
        <w:rPr>
          <w:spacing w:val="-4"/>
        </w:rPr>
        <w:t>对医药行业产生不同程度的影响：</w:t>
      </w:r>
    </w:p>
    <w:p>
      <w:pPr>
        <w:pStyle w:val="BodyText"/>
        <w:spacing w:before="294" w:line="343" w:lineRule="auto"/>
        <w:ind w:left="36" w:right="69" w:firstLine="430"/>
      </w:pPr>
      <w:r>
        <w:rPr>
          <w:spacing w:val="-3"/>
        </w:rPr>
        <w:t>医药行业作为典型的消费驱动型行业，医药产品需求情况与收入水平呈正相关。总体来</w:t>
      </w:r>
      <w:r>
        <w:rPr>
          <w:spacing w:val="7"/>
        </w:rPr>
        <w:t xml:space="preserve"> </w:t>
      </w:r>
      <w:r>
        <w:rPr>
          <w:spacing w:val="-8"/>
        </w:rPr>
        <w:t>看， 2023</w:t>
      </w:r>
      <w:r>
        <w:rPr>
          <w:spacing w:val="-38"/>
        </w:rPr>
        <w:t xml:space="preserve"> </w:t>
      </w:r>
      <w:r>
        <w:rPr>
          <w:spacing w:val="-8"/>
        </w:rPr>
        <w:t>年，居民收入与经济增长基本同步</w:t>
      </w:r>
      <w:r>
        <w:rPr>
          <w:spacing w:val="-9"/>
        </w:rPr>
        <w:t>， 消费支出加快恢复。</w:t>
      </w:r>
      <w:r>
        <w:rPr>
          <w:spacing w:val="-29"/>
        </w:rPr>
        <w:t xml:space="preserve"> </w:t>
      </w:r>
      <w:r>
        <w:rPr>
          <w:spacing w:val="-9"/>
        </w:rPr>
        <w:t>2023</w:t>
      </w:r>
      <w:r>
        <w:rPr>
          <w:spacing w:val="-40"/>
        </w:rPr>
        <w:t xml:space="preserve"> </w:t>
      </w:r>
      <w:r>
        <w:rPr>
          <w:spacing w:val="-9"/>
        </w:rPr>
        <w:t>年，</w:t>
      </w:r>
      <w:r>
        <w:rPr>
          <w:spacing w:val="-27"/>
        </w:rPr>
        <w:t xml:space="preserve"> </w:t>
      </w:r>
      <w:r>
        <w:rPr>
          <w:spacing w:val="-9"/>
        </w:rPr>
        <w:t>全国居民人均</w:t>
      </w:r>
      <w:r>
        <w:t xml:space="preserve"> </w:t>
      </w:r>
      <w:r>
        <w:rPr>
          <w:spacing w:val="-3"/>
        </w:rPr>
        <w:t>可支配收入</w:t>
      </w:r>
      <w:r>
        <w:rPr>
          <w:spacing w:val="-40"/>
        </w:rPr>
        <w:t xml:space="preserve"> </w:t>
      </w:r>
      <w:r>
        <w:rPr>
          <w:spacing w:val="-3"/>
        </w:rPr>
        <w:t>39218</w:t>
      </w:r>
      <w:r>
        <w:rPr>
          <w:spacing w:val="-40"/>
        </w:rPr>
        <w:t xml:space="preserve"> </w:t>
      </w:r>
      <w:r>
        <w:rPr>
          <w:spacing w:val="-3"/>
        </w:rPr>
        <w:t>元，比上年名义增长</w:t>
      </w:r>
      <w:r>
        <w:rPr>
          <w:spacing w:val="-39"/>
        </w:rPr>
        <w:t xml:space="preserve"> </w:t>
      </w:r>
      <w:r>
        <w:rPr>
          <w:spacing w:val="-3"/>
        </w:rPr>
        <w:t>6.3%；扣除价格因素， 实际增长</w:t>
      </w:r>
      <w:r>
        <w:rPr>
          <w:spacing w:val="-43"/>
        </w:rPr>
        <w:t xml:space="preserve"> </w:t>
      </w:r>
      <w:r>
        <w:rPr>
          <w:spacing w:val="-3"/>
        </w:rPr>
        <w:t>6.1</w:t>
      </w:r>
      <w:r>
        <w:rPr>
          <w:spacing w:val="-4"/>
        </w:rPr>
        <w:t>%，名义和实际</w:t>
      </w:r>
      <w:r>
        <w:t xml:space="preserve"> </w:t>
      </w:r>
      <w:r>
        <w:rPr>
          <w:spacing w:val="-5"/>
        </w:rPr>
        <w:t>增速分别比上年快</w:t>
      </w:r>
      <w:r>
        <w:rPr>
          <w:spacing w:val="-26"/>
        </w:rPr>
        <w:t xml:space="preserve"> </w:t>
      </w:r>
      <w:r>
        <w:rPr>
          <w:spacing w:val="-5"/>
        </w:rPr>
        <w:t>1.3</w:t>
      </w:r>
      <w:r>
        <w:rPr>
          <w:spacing w:val="-45"/>
        </w:rPr>
        <w:t xml:space="preserve"> </w:t>
      </w:r>
      <w:r>
        <w:rPr>
          <w:spacing w:val="-5"/>
        </w:rPr>
        <w:t>和</w:t>
      </w:r>
      <w:r>
        <w:rPr>
          <w:spacing w:val="-43"/>
        </w:rPr>
        <w:t xml:space="preserve"> </w:t>
      </w:r>
      <w:r>
        <w:rPr>
          <w:spacing w:val="-5"/>
        </w:rPr>
        <w:t>3.2</w:t>
      </w:r>
      <w:r>
        <w:rPr>
          <w:spacing w:val="-43"/>
        </w:rPr>
        <w:t xml:space="preserve"> </w:t>
      </w:r>
      <w:r>
        <w:rPr>
          <w:spacing w:val="-5"/>
        </w:rPr>
        <w:t>个百分点。分城乡看，城镇居民人均可支配收入</w:t>
      </w:r>
      <w:r>
        <w:rPr>
          <w:spacing w:val="-42"/>
        </w:rPr>
        <w:t xml:space="preserve"> </w:t>
      </w:r>
      <w:r>
        <w:rPr>
          <w:spacing w:val="-5"/>
        </w:rPr>
        <w:t>51821</w:t>
      </w:r>
      <w:r>
        <w:rPr>
          <w:spacing w:val="-45"/>
        </w:rPr>
        <w:t xml:space="preserve"> </w:t>
      </w:r>
      <w:r>
        <w:rPr>
          <w:spacing w:val="-5"/>
        </w:rPr>
        <w:t>元，</w:t>
      </w:r>
      <w:r>
        <w:rPr>
          <w:spacing w:val="-57"/>
        </w:rPr>
        <w:t xml:space="preserve"> </w:t>
      </w:r>
      <w:r>
        <w:rPr>
          <w:spacing w:val="-5"/>
        </w:rPr>
        <w:t>增</w:t>
      </w:r>
      <w:r>
        <w:t xml:space="preserve"> </w:t>
      </w:r>
      <w:r>
        <w:rPr>
          <w:spacing w:val="-5"/>
        </w:rPr>
        <w:t>长（以下如无特别说明，均为同比名义增长）5.1%，扣除价格因素，</w:t>
      </w:r>
      <w:r>
        <w:rPr>
          <w:spacing w:val="-42"/>
        </w:rPr>
        <w:t xml:space="preserve"> </w:t>
      </w:r>
      <w:r>
        <w:rPr>
          <w:spacing w:val="-5"/>
        </w:rPr>
        <w:t>实际增长</w:t>
      </w:r>
      <w:r>
        <w:rPr>
          <w:spacing w:val="-45"/>
        </w:rPr>
        <w:t xml:space="preserve"> </w:t>
      </w:r>
      <w:r>
        <w:rPr>
          <w:spacing w:val="-5"/>
        </w:rPr>
        <w:t>4.8%</w:t>
      </w:r>
      <w:r>
        <w:rPr>
          <w:spacing w:val="-6"/>
        </w:rPr>
        <w:t>；农村居</w:t>
      </w:r>
      <w:r>
        <w:t xml:space="preserve"> </w:t>
      </w:r>
      <w:r>
        <w:rPr>
          <w:spacing w:val="-3"/>
        </w:rPr>
        <w:t>民人均可支配收入</w:t>
      </w:r>
      <w:r>
        <w:rPr>
          <w:spacing w:val="-39"/>
        </w:rPr>
        <w:t xml:space="preserve"> </w:t>
      </w:r>
      <w:r>
        <w:rPr>
          <w:spacing w:val="-3"/>
        </w:rPr>
        <w:t>21691</w:t>
      </w:r>
      <w:r>
        <w:rPr>
          <w:spacing w:val="-42"/>
        </w:rPr>
        <w:t xml:space="preserve"> </w:t>
      </w:r>
      <w:r>
        <w:rPr>
          <w:spacing w:val="-3"/>
        </w:rPr>
        <w:t>元，增长</w:t>
      </w:r>
      <w:r>
        <w:rPr>
          <w:spacing w:val="-36"/>
        </w:rPr>
        <w:t xml:space="preserve"> </w:t>
      </w:r>
      <w:r>
        <w:rPr>
          <w:spacing w:val="-3"/>
        </w:rPr>
        <w:t>7.7%，扣除价格因素， 实际增长</w:t>
      </w:r>
      <w:r>
        <w:rPr>
          <w:spacing w:val="-39"/>
        </w:rPr>
        <w:t xml:space="preserve"> </w:t>
      </w:r>
      <w:r>
        <w:rPr>
          <w:spacing w:val="-4"/>
        </w:rPr>
        <w:t>7.6%。消费支出方面，</w:t>
      </w:r>
      <w:r>
        <w:t xml:space="preserve"> </w:t>
      </w:r>
      <w:r>
        <w:rPr>
          <w:spacing w:val="-4"/>
        </w:rPr>
        <w:t>随着经济持续好转，促消费政策效果不断显现，消费潜力不断释放。2023</w:t>
      </w:r>
      <w:r>
        <w:rPr>
          <w:spacing w:val="-38"/>
        </w:rPr>
        <w:t xml:space="preserve"> </w:t>
      </w:r>
      <w:r>
        <w:rPr>
          <w:spacing w:val="-4"/>
        </w:rPr>
        <w:t>年，全国居民人均</w:t>
      </w:r>
      <w:r>
        <w:t xml:space="preserve"> </w:t>
      </w:r>
      <w:r>
        <w:rPr>
          <w:spacing w:val="-3"/>
        </w:rPr>
        <w:t>消费支出</w:t>
      </w:r>
      <w:r>
        <w:rPr>
          <w:spacing w:val="-39"/>
        </w:rPr>
        <w:t xml:space="preserve"> </w:t>
      </w:r>
      <w:r>
        <w:rPr>
          <w:spacing w:val="-3"/>
        </w:rPr>
        <w:t>26796</w:t>
      </w:r>
      <w:r>
        <w:rPr>
          <w:spacing w:val="-42"/>
        </w:rPr>
        <w:t xml:space="preserve"> </w:t>
      </w:r>
      <w:r>
        <w:rPr>
          <w:spacing w:val="-3"/>
        </w:rPr>
        <w:t>元， 比上年名义增长</w:t>
      </w:r>
      <w:r>
        <w:rPr>
          <w:spacing w:val="-43"/>
        </w:rPr>
        <w:t xml:space="preserve"> </w:t>
      </w:r>
      <w:r>
        <w:rPr>
          <w:spacing w:val="-3"/>
        </w:rPr>
        <w:t>9.2%，扣除价格因素，实际增长</w:t>
      </w:r>
      <w:r>
        <w:rPr>
          <w:spacing w:val="-41"/>
        </w:rPr>
        <w:t xml:space="preserve"> </w:t>
      </w:r>
      <w:r>
        <w:rPr>
          <w:spacing w:val="-3"/>
        </w:rPr>
        <w:t>9.0%，名义</w:t>
      </w:r>
      <w:r>
        <w:rPr>
          <w:spacing w:val="-4"/>
        </w:rPr>
        <w:t>和实际增</w:t>
      </w:r>
      <w:r>
        <w:t xml:space="preserve"> </w:t>
      </w:r>
      <w:r>
        <w:rPr>
          <w:spacing w:val="-6"/>
        </w:rPr>
        <w:t>速分别快于上年</w:t>
      </w:r>
      <w:r>
        <w:rPr>
          <w:spacing w:val="-39"/>
        </w:rPr>
        <w:t xml:space="preserve"> </w:t>
      </w:r>
      <w:r>
        <w:rPr>
          <w:spacing w:val="-6"/>
        </w:rPr>
        <w:t>7.4</w:t>
      </w:r>
      <w:r>
        <w:rPr>
          <w:spacing w:val="-46"/>
        </w:rPr>
        <w:t xml:space="preserve"> </w:t>
      </w:r>
      <w:r>
        <w:rPr>
          <w:spacing w:val="-6"/>
        </w:rPr>
        <w:t>和</w:t>
      </w:r>
      <w:r>
        <w:rPr>
          <w:spacing w:val="-42"/>
        </w:rPr>
        <w:t xml:space="preserve"> </w:t>
      </w:r>
      <w:r>
        <w:rPr>
          <w:spacing w:val="-6"/>
        </w:rPr>
        <w:t>9.2</w:t>
      </w:r>
      <w:r>
        <w:rPr>
          <w:spacing w:val="-44"/>
        </w:rPr>
        <w:t xml:space="preserve"> </w:t>
      </w:r>
      <w:r>
        <w:rPr>
          <w:spacing w:val="-6"/>
        </w:rPr>
        <w:t>个百分点。分城乡看，</w:t>
      </w:r>
      <w:r>
        <w:rPr>
          <w:spacing w:val="-54"/>
        </w:rPr>
        <w:t xml:space="preserve"> </w:t>
      </w:r>
      <w:r>
        <w:rPr>
          <w:spacing w:val="-7"/>
        </w:rPr>
        <w:t>城镇居民人均消费支出</w:t>
      </w:r>
      <w:r>
        <w:rPr>
          <w:spacing w:val="-40"/>
        </w:rPr>
        <w:t xml:space="preserve"> </w:t>
      </w:r>
      <w:r>
        <w:rPr>
          <w:spacing w:val="-7"/>
        </w:rPr>
        <w:t>32994</w:t>
      </w:r>
      <w:r>
        <w:rPr>
          <w:spacing w:val="-42"/>
        </w:rPr>
        <w:t xml:space="preserve"> </w:t>
      </w:r>
      <w:r>
        <w:rPr>
          <w:spacing w:val="-7"/>
        </w:rPr>
        <w:t>元，</w:t>
      </w:r>
      <w:r>
        <w:rPr>
          <w:spacing w:val="-35"/>
        </w:rPr>
        <w:t xml:space="preserve"> </w:t>
      </w:r>
      <w:r>
        <w:rPr>
          <w:spacing w:val="-7"/>
        </w:rPr>
        <w:t>比上年</w:t>
      </w:r>
      <w:r>
        <w:t xml:space="preserve"> </w:t>
      </w:r>
      <w:r>
        <w:rPr>
          <w:spacing w:val="-4"/>
        </w:rPr>
        <w:t>名义增长</w:t>
      </w:r>
      <w:r>
        <w:rPr>
          <w:spacing w:val="-43"/>
        </w:rPr>
        <w:t xml:space="preserve"> </w:t>
      </w:r>
      <w:r>
        <w:rPr>
          <w:spacing w:val="-4"/>
        </w:rPr>
        <w:t>8.6%，扣除价格因素， 实际增速由上年的下降</w:t>
      </w:r>
      <w:r>
        <w:rPr>
          <w:spacing w:val="-28"/>
        </w:rPr>
        <w:t xml:space="preserve"> </w:t>
      </w:r>
      <w:r>
        <w:rPr>
          <w:spacing w:val="-4"/>
        </w:rPr>
        <w:t>1.7%提高到增</w:t>
      </w:r>
      <w:r>
        <w:rPr>
          <w:spacing w:val="-5"/>
        </w:rPr>
        <w:t>长</w:t>
      </w:r>
      <w:r>
        <w:rPr>
          <w:spacing w:val="-43"/>
        </w:rPr>
        <w:t xml:space="preserve"> </w:t>
      </w:r>
      <w:r>
        <w:rPr>
          <w:spacing w:val="-5"/>
        </w:rPr>
        <w:t>8.3%；农村居民人</w:t>
      </w:r>
      <w:r>
        <w:t xml:space="preserve"> </w:t>
      </w:r>
      <w:r>
        <w:rPr>
          <w:spacing w:val="-3"/>
        </w:rPr>
        <w:t>均消费支出</w:t>
      </w:r>
      <w:r>
        <w:rPr>
          <w:spacing w:val="-29"/>
        </w:rPr>
        <w:t xml:space="preserve"> </w:t>
      </w:r>
      <w:r>
        <w:rPr>
          <w:spacing w:val="-3"/>
        </w:rPr>
        <w:t>18175</w:t>
      </w:r>
      <w:r>
        <w:rPr>
          <w:spacing w:val="-40"/>
        </w:rPr>
        <w:t xml:space="preserve"> </w:t>
      </w:r>
      <w:r>
        <w:rPr>
          <w:spacing w:val="-3"/>
        </w:rPr>
        <w:t>元，比上年名义增长</w:t>
      </w:r>
      <w:r>
        <w:rPr>
          <w:spacing w:val="-40"/>
        </w:rPr>
        <w:t xml:space="preserve"> </w:t>
      </w:r>
      <w:r>
        <w:rPr>
          <w:spacing w:val="-3"/>
        </w:rPr>
        <w:t>9.3%，扣除价格因素</w:t>
      </w:r>
      <w:r>
        <w:rPr>
          <w:spacing w:val="-4"/>
        </w:rPr>
        <w:t>， 实际增长</w:t>
      </w:r>
      <w:r>
        <w:rPr>
          <w:spacing w:val="-43"/>
        </w:rPr>
        <w:t xml:space="preserve"> </w:t>
      </w:r>
      <w:r>
        <w:rPr>
          <w:spacing w:val="-4"/>
        </w:rPr>
        <w:t>9.2%。其中，人均</w:t>
      </w:r>
    </w:p>
    <w:p>
      <w:pPr>
        <w:pStyle w:val="BodyText"/>
        <w:spacing w:line="221" w:lineRule="auto"/>
        <w:ind w:left="46"/>
        <w:sectPr>
          <w:headerReference w:type="default" r:id="rId29"/>
          <w:footerReference w:type="default" r:id="rId30"/>
          <w:pgSz w:w="11907" w:h="16839"/>
          <w:pgMar w:top="1099" w:right="1723" w:bottom="1362" w:left="1771" w:header="877" w:footer="1201" w:gutter="0"/>
          <w:pgNumType w:start="14"/>
          <w:cols w:space="708"/>
        </w:sectPr>
      </w:pPr>
      <w:r>
        <w:rPr>
          <w:spacing w:val="-2"/>
        </w:rPr>
        <w:t>医疗保健消费支出</w:t>
      </w:r>
      <w:r>
        <w:rPr>
          <w:spacing w:val="-35"/>
        </w:rPr>
        <w:t xml:space="preserve"> </w:t>
      </w:r>
      <w:r>
        <w:rPr>
          <w:spacing w:val="-2"/>
        </w:rPr>
        <w:t>2460</w:t>
      </w:r>
      <w:r>
        <w:rPr>
          <w:spacing w:val="-44"/>
        </w:rPr>
        <w:t xml:space="preserve"> </w:t>
      </w:r>
      <w:r>
        <w:rPr>
          <w:spacing w:val="-2"/>
        </w:rPr>
        <w:t>元，增长</w:t>
      </w:r>
      <w:r>
        <w:rPr>
          <w:spacing w:val="-29"/>
        </w:rPr>
        <w:t xml:space="preserve"> </w:t>
      </w:r>
      <w:r>
        <w:rPr>
          <w:spacing w:val="-2"/>
        </w:rPr>
        <w:t>16.0%，占人均消费支出的比重为</w:t>
      </w:r>
      <w:r>
        <w:rPr>
          <w:spacing w:val="-43"/>
        </w:rPr>
        <w:t xml:space="preserve"> </w:t>
      </w:r>
      <w:r>
        <w:rPr>
          <w:spacing w:val="-2"/>
        </w:rPr>
        <w:t>9.2%。</w:t>
      </w:r>
    </w:p>
    <w:p>
      <w:pPr>
        <w:spacing w:line="247" w:lineRule="auto"/>
        <w:rPr>
          <w:rFonts w:ascii="Arial"/>
          <w:sz w:val="21"/>
        </w:rPr>
      </w:pPr>
    </w:p>
    <w:p>
      <w:pPr>
        <w:pStyle w:val="BodyText"/>
        <w:spacing w:before="60" w:line="220" w:lineRule="auto"/>
        <w:ind w:left="2648"/>
        <w:rPr>
          <w:sz w:val="18"/>
          <w:szCs w:val="18"/>
        </w:rPr>
      </w:pPr>
      <w:r>
        <w:rPr>
          <w:b/>
          <w:bCs/>
          <w:spacing w:val="-3"/>
          <w:sz w:val="18"/>
          <w:szCs w:val="18"/>
        </w:rPr>
        <w:t>图</w:t>
      </w:r>
      <w:r>
        <w:rPr>
          <w:spacing w:val="-3"/>
          <w:sz w:val="18"/>
          <w:szCs w:val="18"/>
        </w:rPr>
        <w:t xml:space="preserve"> </w:t>
      </w:r>
      <w:r>
        <w:rPr>
          <w:b/>
          <w:bCs/>
          <w:spacing w:val="-3"/>
          <w:sz w:val="18"/>
          <w:szCs w:val="18"/>
        </w:rPr>
        <w:t>2</w:t>
      </w:r>
      <w:r>
        <w:rPr>
          <w:spacing w:val="-3"/>
          <w:sz w:val="18"/>
          <w:szCs w:val="18"/>
        </w:rPr>
        <w:t xml:space="preserve">  </w:t>
      </w:r>
      <w:r>
        <w:rPr>
          <w:b/>
          <w:bCs/>
          <w:spacing w:val="-3"/>
          <w:sz w:val="18"/>
          <w:szCs w:val="18"/>
        </w:rPr>
        <w:t>2023</w:t>
      </w:r>
      <w:r>
        <w:rPr>
          <w:spacing w:val="-30"/>
          <w:sz w:val="18"/>
          <w:szCs w:val="18"/>
        </w:rPr>
        <w:t xml:space="preserve"> </w:t>
      </w:r>
      <w:r>
        <w:rPr>
          <w:b/>
          <w:bCs/>
          <w:spacing w:val="-3"/>
          <w:sz w:val="18"/>
          <w:szCs w:val="18"/>
        </w:rPr>
        <w:t>年居民人均消费支出及构成</w:t>
      </w:r>
    </w:p>
    <w:p>
      <w:pPr>
        <w:spacing w:line="220" w:lineRule="auto"/>
        <w:rPr>
          <w:sz w:val="18"/>
          <w:szCs w:val="18"/>
        </w:rPr>
        <w:sectPr>
          <w:headerReference w:type="default" r:id="rId31"/>
          <w:footerReference w:type="default" r:id="rId32"/>
          <w:type w:val="nextPage"/>
          <w:pgSz w:w="11907" w:h="16839"/>
          <w:pgMar w:top="1099" w:right="1723" w:bottom="1362" w:left="1771" w:header="877" w:footer="1201" w:gutter="0"/>
          <w:pgNumType w:start="15"/>
          <w:cols w:space="708"/>
          <w:titlePg w:val="0"/>
        </w:sectPr>
      </w:pPr>
    </w:p>
    <w:p>
      <w:pPr>
        <w:spacing w:before="3"/>
      </w:pPr>
      <w:r>
        <w:pict>
          <v:rect id="_x0000_s1025" style="width:416.55pt;height:0.55pt;margin-top:698.5pt;margin-left:88.5pt;mso-position-horizontal-relative:page;mso-position-vertical-relative:page;position:absolute;z-index:251659264" o:allowincell="f" filled="t" fillcolor="black" stroked="f"/>
        </w:pict>
      </w:r>
    </w:p>
    <w:p>
      <w:pPr>
        <w:spacing w:before="3"/>
      </w:pPr>
    </w:p>
    <w:p>
      <w:pPr>
        <w:spacing w:before="3"/>
      </w:pPr>
    </w:p>
    <w:p>
      <w:pPr>
        <w:sectPr>
          <w:headerReference w:type="default" r:id="rId33"/>
          <w:footerReference w:type="default" r:id="rId34"/>
          <w:pgSz w:w="11910" w:h="16840"/>
          <w:pgMar w:top="1105" w:right="1750" w:bottom="1338" w:left="1740" w:header="917" w:footer="1199" w:gutter="0"/>
          <w:pgNumType w:start="16"/>
          <w:cols w:num="1" w:space="708" w:equalWidth="0">
            <w:col w:w="8420" w:space="0"/>
          </w:cols>
        </w:sectPr>
      </w:pPr>
    </w:p>
    <w:p>
      <w:pPr>
        <w:spacing w:line="367" w:lineRule="auto"/>
        <w:rPr>
          <w:rFonts w:ascii="Arial"/>
          <w:sz w:val="21"/>
        </w:rPr>
      </w:pPr>
    </w:p>
    <w:p>
      <w:pPr>
        <w:pStyle w:val="BodyText"/>
        <w:spacing w:before="59" w:line="228" w:lineRule="auto"/>
        <w:ind w:left="2838" w:right="19" w:hanging="499"/>
        <w:rPr>
          <w:sz w:val="18"/>
          <w:szCs w:val="18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-500870</wp:posOffset>
            </wp:positionV>
            <wp:extent cx="5346632" cy="2997253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46632" cy="29972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8"/>
          <w:szCs w:val="18"/>
        </w:rPr>
        <w:t>医疗保健2460元，</w:t>
      </w:r>
      <w:r>
        <w:rPr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9.2%</w:t>
      </w:r>
    </w:p>
    <w:p>
      <w:pPr>
        <w:spacing w:line="313" w:lineRule="auto"/>
        <w:rPr>
          <w:rFonts w:ascii="Arial"/>
          <w:sz w:val="21"/>
        </w:rPr>
      </w:pPr>
    </w:p>
    <w:p>
      <w:pPr>
        <w:spacing w:before="59" w:line="251" w:lineRule="exact"/>
        <w:ind w:left="1669"/>
        <w:rPr>
          <w:rFonts w:ascii="SimHei" w:eastAsia="SimHei" w:hAnsi="SimHei" w:cs="SimHei"/>
          <w:sz w:val="18"/>
          <w:szCs w:val="18"/>
        </w:rPr>
      </w:pPr>
      <w:r>
        <w:rPr>
          <w:rFonts w:ascii="SimHei" w:eastAsia="SimHei" w:hAnsi="SimHei" w:cs="SimHei"/>
          <w:position w:val="5"/>
          <w:sz w:val="18"/>
          <w:szCs w:val="18"/>
        </w:rPr>
        <w:t>教育文化娱乐一</w:t>
      </w:r>
    </w:p>
    <w:p>
      <w:pPr>
        <w:pStyle w:val="BodyText"/>
        <w:spacing w:line="184" w:lineRule="auto"/>
        <w:ind w:left="1659"/>
        <w:rPr>
          <w:sz w:val="18"/>
          <w:szCs w:val="18"/>
        </w:rPr>
      </w:pPr>
      <w:r>
        <w:rPr>
          <w:spacing w:val="-4"/>
          <w:sz w:val="18"/>
          <w:szCs w:val="18"/>
        </w:rPr>
        <w:t>2904元，10.8%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5" w:line="252" w:lineRule="exact"/>
        <w:rPr>
          <w:rFonts w:ascii="SimHei" w:eastAsia="SimHei" w:hAnsi="SimHei" w:cs="SimHei"/>
          <w:sz w:val="18"/>
          <w:szCs w:val="18"/>
        </w:rPr>
      </w:pPr>
      <w:r>
        <w:rPr>
          <w:rFonts w:ascii="SimHei" w:eastAsia="SimHei" w:hAnsi="SimHei" w:cs="SimHei"/>
          <w:spacing w:val="-2"/>
          <w:position w:val="5"/>
          <w:sz w:val="18"/>
          <w:szCs w:val="18"/>
        </w:rPr>
        <w:t>其他用品及服务</w:t>
      </w:r>
    </w:p>
    <w:p>
      <w:pPr>
        <w:pStyle w:val="BodyText"/>
        <w:spacing w:line="220" w:lineRule="auto"/>
        <w:ind w:left="149"/>
        <w:rPr>
          <w:sz w:val="18"/>
          <w:szCs w:val="18"/>
        </w:rPr>
      </w:pPr>
      <w:r>
        <w:rPr>
          <w:spacing w:val="-5"/>
          <w:sz w:val="18"/>
          <w:szCs w:val="18"/>
        </w:rPr>
        <w:t>697元，2.6%</w:t>
      </w:r>
    </w:p>
    <w:p>
      <w:pPr>
        <w:spacing w:line="404" w:lineRule="auto"/>
        <w:rPr>
          <w:rFonts w:ascii="Arial"/>
          <w:sz w:val="21"/>
        </w:rPr>
      </w:pPr>
    </w:p>
    <w:p>
      <w:pPr>
        <w:pStyle w:val="BodyText"/>
        <w:spacing w:before="58" w:line="240" w:lineRule="exact"/>
        <w:ind w:left="2099"/>
        <w:rPr>
          <w:sz w:val="18"/>
          <w:szCs w:val="18"/>
        </w:rPr>
      </w:pPr>
      <w:r>
        <w:rPr>
          <w:spacing w:val="2"/>
          <w:position w:val="4"/>
          <w:sz w:val="18"/>
          <w:szCs w:val="18"/>
        </w:rPr>
        <w:t>.食品烟酒7983</w:t>
      </w:r>
    </w:p>
    <w:p>
      <w:pPr>
        <w:pStyle w:val="BodyText"/>
        <w:spacing w:line="220" w:lineRule="auto"/>
        <w:ind w:left="2319"/>
        <w:rPr>
          <w:sz w:val="18"/>
          <w:szCs w:val="18"/>
        </w:rPr>
      </w:pPr>
      <w:r>
        <w:rPr>
          <w:spacing w:val="-6"/>
          <w:sz w:val="18"/>
          <w:szCs w:val="18"/>
        </w:rPr>
        <w:t>元，29.8%</w:t>
      </w:r>
    </w:p>
    <w:p>
      <w:pPr>
        <w:spacing w:line="220" w:lineRule="auto"/>
        <w:rPr>
          <w:sz w:val="18"/>
          <w:szCs w:val="18"/>
        </w:rPr>
        <w:sectPr>
          <w:headerReference w:type="default" r:id="rId36"/>
          <w:footerReference w:type="default" r:id="rId37"/>
          <w:type w:val="continuous"/>
          <w:pgSz w:w="11910" w:h="16840"/>
          <w:pgMar w:top="1105" w:right="1750" w:bottom="1338" w:left="1740" w:header="917" w:footer="1199" w:gutter="0"/>
          <w:pgNumType w:start="17"/>
          <w:cols w:num="2" w:space="708" w:equalWidth="0">
            <w:col w:w="3850" w:space="100"/>
            <w:col w:w="4470" w:space="0"/>
          </w:cols>
        </w:sect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pStyle w:val="BodyText"/>
        <w:spacing w:before="59" w:line="211" w:lineRule="auto"/>
        <w:ind w:left="1589"/>
        <w:rPr>
          <w:sz w:val="18"/>
          <w:szCs w:val="18"/>
        </w:rPr>
      </w:pPr>
      <w:r>
        <w:rPr>
          <w:spacing w:val="16"/>
          <w:sz w:val="18"/>
          <w:szCs w:val="18"/>
        </w:rPr>
        <w:t>交通通信3652</w:t>
      </w:r>
    </w:p>
    <w:p>
      <w:pPr>
        <w:spacing w:line="190" w:lineRule="auto"/>
        <w:ind w:left="1789"/>
        <w:rPr>
          <w:rFonts w:ascii="YouYuan" w:eastAsia="YouYuan" w:hAnsi="YouYuan" w:cs="YouYuan"/>
          <w:sz w:val="23"/>
          <w:szCs w:val="23"/>
        </w:rPr>
      </w:pPr>
      <w:r>
        <w:rPr>
          <w:rFonts w:ascii="YouYuan" w:eastAsia="YouYuan" w:hAnsi="YouYuan" w:cs="YouYuan"/>
          <w:spacing w:val="-22"/>
          <w:w w:val="89"/>
          <w:sz w:val="23"/>
          <w:szCs w:val="23"/>
        </w:rPr>
        <w:t>元，13.6%</w:t>
      </w:r>
    </w:p>
    <w:p>
      <w:pPr>
        <w:pStyle w:val="BodyText"/>
        <w:spacing w:before="1" w:line="231" w:lineRule="auto"/>
        <w:ind w:left="6299" w:right="1319" w:hanging="320"/>
        <w:rPr>
          <w:sz w:val="18"/>
          <w:szCs w:val="18"/>
        </w:rPr>
      </w:pPr>
      <w:r>
        <w:rPr>
          <w:rFonts w:ascii="SimHei" w:eastAsia="SimHei" w:hAnsi="SimHei" w:cs="SimHei"/>
          <w:spacing w:val="5"/>
          <w:sz w:val="18"/>
          <w:szCs w:val="18"/>
        </w:rPr>
        <w:t>衣着1479元，</w:t>
      </w:r>
      <w:r>
        <w:rPr>
          <w:rFonts w:ascii="SimHei" w:eastAsia="SimHei" w:hAnsi="SimHei" w:cs="SimHei"/>
          <w:sz w:val="18"/>
          <w:szCs w:val="18"/>
        </w:rPr>
        <w:t xml:space="preserve"> </w:t>
      </w:r>
      <w:r>
        <w:rPr>
          <w:spacing w:val="-3"/>
          <w:sz w:val="18"/>
          <w:szCs w:val="18"/>
        </w:rPr>
        <w:t>5.5%</w:t>
      </w:r>
    </w:p>
    <w:p>
      <w:pPr>
        <w:pStyle w:val="BodyText"/>
        <w:spacing w:before="155" w:line="177" w:lineRule="auto"/>
        <w:ind w:left="2049"/>
        <w:rPr>
          <w:sz w:val="18"/>
          <w:szCs w:val="18"/>
        </w:rPr>
      </w:pPr>
      <w:r>
        <w:rPr>
          <w:spacing w:val="2"/>
          <w:sz w:val="18"/>
          <w:szCs w:val="18"/>
        </w:rPr>
        <w:t>生活用品及服务/</w:t>
      </w:r>
    </w:p>
    <w:p>
      <w:pPr>
        <w:spacing w:line="162" w:lineRule="auto"/>
        <w:ind w:left="2149"/>
        <w:rPr>
          <w:rFonts w:ascii="SimHei" w:eastAsia="SimHei" w:hAnsi="SimHei" w:cs="SimHei"/>
          <w:sz w:val="18"/>
          <w:szCs w:val="18"/>
        </w:rPr>
      </w:pPr>
      <w:r>
        <w:rPr>
          <w:rFonts w:ascii="SimHei" w:eastAsia="SimHei" w:hAnsi="SimHei" w:cs="SimHei"/>
          <w:spacing w:val="-5"/>
          <w:sz w:val="18"/>
          <w:szCs w:val="18"/>
        </w:rPr>
        <w:t>1526元，5.7%</w:t>
      </w:r>
    </w:p>
    <w:p>
      <w:pPr>
        <w:spacing w:before="1" w:line="198" w:lineRule="auto"/>
        <w:ind w:left="5209"/>
        <w:rPr>
          <w:rFonts w:ascii="YouYuan" w:eastAsia="YouYuan" w:hAnsi="YouYuan" w:cs="YouYuan"/>
          <w:sz w:val="18"/>
          <w:szCs w:val="18"/>
        </w:rPr>
      </w:pPr>
      <w:r>
        <w:rPr>
          <w:rFonts w:ascii="YouYuan" w:eastAsia="YouYuan" w:hAnsi="YouYuan" w:cs="YouYuan"/>
          <w:spacing w:val="1"/>
          <w:sz w:val="18"/>
          <w:szCs w:val="18"/>
        </w:rPr>
        <w:t>居住6095元，22.7%</w:t>
      </w:r>
    </w:p>
    <w:p>
      <w:pPr>
        <w:pStyle w:val="BodyText"/>
        <w:spacing w:before="216" w:line="219" w:lineRule="auto"/>
        <w:ind w:left="419"/>
        <w:rPr>
          <w:sz w:val="18"/>
          <w:szCs w:val="18"/>
        </w:rPr>
      </w:pPr>
      <w:r>
        <w:rPr>
          <w:spacing w:val="-1"/>
          <w:sz w:val="18"/>
          <w:szCs w:val="18"/>
        </w:rPr>
        <w:t>数据来源：国家统计局</w:t>
      </w:r>
    </w:p>
    <w:p>
      <w:pPr>
        <w:spacing w:line="247" w:lineRule="auto"/>
        <w:rPr>
          <w:rFonts w:ascii="Arial"/>
          <w:sz w:val="21"/>
        </w:rPr>
      </w:pPr>
    </w:p>
    <w:p>
      <w:pPr>
        <w:pStyle w:val="BodyText"/>
        <w:spacing w:before="59" w:line="385" w:lineRule="auto"/>
        <w:ind w:left="59" w:right="61" w:firstLine="440"/>
        <w:jc w:val="both"/>
        <w:rPr>
          <w:sz w:val="18"/>
          <w:szCs w:val="18"/>
        </w:rPr>
      </w:pPr>
      <w:r>
        <w:rPr>
          <w:spacing w:val="27"/>
          <w:sz w:val="18"/>
          <w:szCs w:val="18"/>
        </w:rPr>
        <w:t>此外，我国医药需求不仅包括医疗需求，还包括公共卫生方面的需</w:t>
      </w:r>
      <w:r>
        <w:rPr>
          <w:spacing w:val="26"/>
          <w:sz w:val="18"/>
          <w:szCs w:val="18"/>
        </w:rPr>
        <w:t>求。因此，医药需求</w:t>
      </w:r>
      <w:r>
        <w:rPr>
          <w:sz w:val="18"/>
          <w:szCs w:val="18"/>
        </w:rPr>
        <w:t xml:space="preserve"> </w:t>
      </w:r>
      <w:r>
        <w:rPr>
          <w:spacing w:val="27"/>
          <w:sz w:val="18"/>
          <w:szCs w:val="18"/>
        </w:rPr>
        <w:t>的释放有赖于政府层面在卫生健康方面的持续投入。根据财政部数据显示，2023 年，全国</w:t>
      </w:r>
      <w:r>
        <w:rPr>
          <w:spacing w:val="13"/>
          <w:sz w:val="18"/>
          <w:szCs w:val="18"/>
        </w:rPr>
        <w:t xml:space="preserve"> </w:t>
      </w:r>
      <w:r>
        <w:rPr>
          <w:spacing w:val="27"/>
          <w:sz w:val="18"/>
          <w:szCs w:val="18"/>
        </w:rPr>
        <w:t>一</w:t>
      </w:r>
      <w:r>
        <w:rPr>
          <w:spacing w:val="-54"/>
          <w:sz w:val="18"/>
          <w:szCs w:val="18"/>
        </w:rPr>
        <w:t xml:space="preserve"> </w:t>
      </w:r>
      <w:r>
        <w:rPr>
          <w:spacing w:val="27"/>
          <w:sz w:val="18"/>
          <w:szCs w:val="18"/>
        </w:rPr>
        <w:t>般公共预算支出274574亿元，同比增长5</w:t>
      </w:r>
      <w:r>
        <w:rPr>
          <w:spacing w:val="-48"/>
          <w:sz w:val="18"/>
          <w:szCs w:val="18"/>
        </w:rPr>
        <w:t xml:space="preserve"> </w:t>
      </w:r>
      <w:r>
        <w:rPr>
          <w:spacing w:val="27"/>
          <w:sz w:val="18"/>
          <w:szCs w:val="18"/>
        </w:rPr>
        <w:t>.</w:t>
      </w:r>
      <w:r>
        <w:rPr>
          <w:spacing w:val="-54"/>
          <w:sz w:val="18"/>
          <w:szCs w:val="18"/>
        </w:rPr>
        <w:t xml:space="preserve"> </w:t>
      </w:r>
      <w:r>
        <w:rPr>
          <w:spacing w:val="27"/>
          <w:sz w:val="18"/>
          <w:szCs w:val="18"/>
        </w:rPr>
        <w:t>4%。其中，卫</w:t>
      </w:r>
      <w:r>
        <w:rPr>
          <w:spacing w:val="26"/>
          <w:sz w:val="18"/>
          <w:szCs w:val="18"/>
        </w:rPr>
        <w:t>生健康支出22393亿元，同比下</w:t>
      </w:r>
    </w:p>
    <w:p>
      <w:pPr>
        <w:pStyle w:val="BodyText"/>
        <w:spacing w:line="216" w:lineRule="auto"/>
        <w:ind w:left="59"/>
        <w:rPr>
          <w:sz w:val="18"/>
          <w:szCs w:val="18"/>
        </w:rPr>
      </w:pPr>
      <w:r>
        <w:rPr>
          <w:spacing w:val="25"/>
          <w:sz w:val="18"/>
          <w:szCs w:val="18"/>
        </w:rPr>
        <w:t>降0</w:t>
      </w:r>
      <w:r>
        <w:rPr>
          <w:spacing w:val="-44"/>
          <w:sz w:val="18"/>
          <w:szCs w:val="18"/>
        </w:rPr>
        <w:t xml:space="preserve"> </w:t>
      </w:r>
      <w:r>
        <w:rPr>
          <w:spacing w:val="25"/>
          <w:sz w:val="18"/>
          <w:szCs w:val="18"/>
        </w:rPr>
        <w:t>.</w:t>
      </w:r>
      <w:r>
        <w:rPr>
          <w:spacing w:val="-48"/>
          <w:sz w:val="18"/>
          <w:szCs w:val="18"/>
        </w:rPr>
        <w:t xml:space="preserve"> </w:t>
      </w:r>
      <w:r>
        <w:rPr>
          <w:spacing w:val="25"/>
          <w:sz w:val="18"/>
          <w:szCs w:val="18"/>
        </w:rPr>
        <w:t>6%。卫生健康支出占全国</w:t>
      </w:r>
      <w:r>
        <w:rPr>
          <w:spacing w:val="-47"/>
          <w:sz w:val="18"/>
          <w:szCs w:val="18"/>
        </w:rPr>
        <w:t xml:space="preserve"> </w:t>
      </w:r>
      <w:r>
        <w:rPr>
          <w:spacing w:val="25"/>
          <w:sz w:val="18"/>
          <w:szCs w:val="18"/>
        </w:rPr>
        <w:t>一</w:t>
      </w:r>
      <w:r>
        <w:rPr>
          <w:spacing w:val="-50"/>
          <w:sz w:val="18"/>
          <w:szCs w:val="18"/>
        </w:rPr>
        <w:t xml:space="preserve"> </w:t>
      </w:r>
      <w:r>
        <w:rPr>
          <w:spacing w:val="25"/>
          <w:sz w:val="18"/>
          <w:szCs w:val="18"/>
        </w:rPr>
        <w:t>般公共财政预算支出的比重为8</w:t>
      </w:r>
      <w:r>
        <w:rPr>
          <w:spacing w:val="-44"/>
          <w:sz w:val="18"/>
          <w:szCs w:val="18"/>
        </w:rPr>
        <w:t xml:space="preserve"> </w:t>
      </w:r>
      <w:r>
        <w:rPr>
          <w:spacing w:val="24"/>
          <w:sz w:val="18"/>
          <w:szCs w:val="18"/>
        </w:rPr>
        <w:t>.</w:t>
      </w:r>
      <w:r>
        <w:rPr>
          <w:spacing w:val="-47"/>
          <w:sz w:val="18"/>
          <w:szCs w:val="18"/>
        </w:rPr>
        <w:t xml:space="preserve"> </w:t>
      </w:r>
      <w:r>
        <w:rPr>
          <w:spacing w:val="24"/>
          <w:sz w:val="18"/>
          <w:szCs w:val="18"/>
        </w:rPr>
        <w:t>2%,较上年同期下降0</w:t>
      </w:r>
      <w:r>
        <w:rPr>
          <w:spacing w:val="-45"/>
          <w:sz w:val="18"/>
          <w:szCs w:val="18"/>
        </w:rPr>
        <w:t xml:space="preserve"> </w:t>
      </w:r>
      <w:r>
        <w:rPr>
          <w:spacing w:val="24"/>
          <w:sz w:val="18"/>
          <w:szCs w:val="18"/>
        </w:rPr>
        <w:t>.</w:t>
      </w:r>
      <w:r>
        <w:rPr>
          <w:spacing w:val="-50"/>
          <w:sz w:val="18"/>
          <w:szCs w:val="18"/>
        </w:rPr>
        <w:t xml:space="preserve"> </w:t>
      </w:r>
      <w:r>
        <w:rPr>
          <w:spacing w:val="24"/>
          <w:sz w:val="18"/>
          <w:szCs w:val="18"/>
        </w:rPr>
        <w:t>4</w:t>
      </w:r>
    </w:p>
    <w:p>
      <w:pPr>
        <w:pStyle w:val="BodyText"/>
        <w:spacing w:before="222" w:line="219" w:lineRule="auto"/>
        <w:ind w:left="59"/>
        <w:rPr>
          <w:sz w:val="18"/>
          <w:szCs w:val="18"/>
        </w:rPr>
      </w:pPr>
      <w:r>
        <w:rPr>
          <w:spacing w:val="14"/>
          <w:sz w:val="18"/>
          <w:szCs w:val="18"/>
        </w:rPr>
        <w:t>个百分点。</w:t>
      </w:r>
    </w:p>
    <w:p>
      <w:pPr>
        <w:spacing w:line="253" w:lineRule="auto"/>
        <w:rPr>
          <w:rFonts w:ascii="Arial"/>
          <w:sz w:val="21"/>
        </w:rPr>
      </w:pPr>
    </w:p>
    <w:p>
      <w:pPr>
        <w:pStyle w:val="BodyText"/>
        <w:spacing w:before="60" w:line="219" w:lineRule="auto"/>
        <w:ind w:left="1572"/>
        <w:rPr>
          <w:sz w:val="18"/>
          <w:szCs w:val="18"/>
        </w:rPr>
        <w:sectPr>
          <w:headerReference w:type="default" r:id="rId38"/>
          <w:footerReference w:type="default" r:id="rId39"/>
          <w:type w:val="continuous"/>
          <w:pgSz w:w="11910" w:h="16840"/>
          <w:pgMar w:top="1105" w:right="1750" w:bottom="1338" w:left="1740" w:header="917" w:footer="1199" w:gutter="0"/>
          <w:pgNumType w:start="18"/>
          <w:cols w:num="1" w:space="708" w:equalWidth="0">
            <w:col w:w="8420" w:space="0"/>
          </w:cols>
        </w:sectPr>
      </w:pPr>
      <w:r>
        <w:rPr>
          <w:b/>
          <w:bCs/>
          <w:spacing w:val="6"/>
          <w:sz w:val="18"/>
          <w:szCs w:val="18"/>
        </w:rPr>
        <w:t>图</w:t>
      </w:r>
      <w:r>
        <w:rPr>
          <w:spacing w:val="6"/>
          <w:sz w:val="18"/>
          <w:szCs w:val="18"/>
        </w:rPr>
        <w:t xml:space="preserve"> </w:t>
      </w:r>
      <w:r>
        <w:rPr>
          <w:b/>
          <w:bCs/>
          <w:spacing w:val="6"/>
          <w:sz w:val="18"/>
          <w:szCs w:val="18"/>
        </w:rPr>
        <w:t>3</w:t>
      </w:r>
      <w:r>
        <w:rPr>
          <w:spacing w:val="81"/>
          <w:sz w:val="18"/>
          <w:szCs w:val="18"/>
        </w:rPr>
        <w:t xml:space="preserve"> </w:t>
      </w:r>
      <w:r>
        <w:rPr>
          <w:b/>
          <w:bCs/>
          <w:spacing w:val="6"/>
          <w:sz w:val="18"/>
          <w:szCs w:val="18"/>
        </w:rPr>
        <w:t>2022年8月-2023年12月卫生健康支出占财政支出比重走势</w:t>
      </w:r>
    </w:p>
    <w:p>
      <w:pPr>
        <w:spacing w:before="71" w:line="4690" w:lineRule="exact"/>
        <w:ind w:firstLine="10"/>
      </w:pPr>
      <w:r>
        <w:rPr>
          <w:position w:val="-93"/>
        </w:rPr>
        <w:drawing>
          <wp:inline distT="0" distB="0" distL="0" distR="0">
            <wp:extent cx="5334002" cy="2978218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2" cy="297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7" w:lineRule="auto"/>
        <w:rPr>
          <w:rFonts w:ascii="Arial"/>
          <w:sz w:val="21"/>
        </w:rPr>
      </w:pPr>
    </w:p>
    <w:p>
      <w:pPr>
        <w:pStyle w:val="BodyText"/>
        <w:spacing w:before="59" w:line="184" w:lineRule="auto"/>
        <w:ind w:left="419"/>
        <w:rPr>
          <w:sz w:val="18"/>
          <w:szCs w:val="18"/>
        </w:rPr>
      </w:pPr>
      <w:r>
        <w:rPr>
          <w:spacing w:val="-1"/>
          <w:sz w:val="18"/>
          <w:szCs w:val="18"/>
        </w:rPr>
        <w:t>数据来源：财政部</w:t>
      </w:r>
    </w:p>
    <w:p>
      <w:pPr>
        <w:spacing w:line="184" w:lineRule="auto"/>
        <w:rPr>
          <w:sz w:val="18"/>
          <w:szCs w:val="18"/>
        </w:rPr>
        <w:sectPr>
          <w:headerReference w:type="default" r:id="rId41"/>
          <w:footerReference w:type="default" r:id="rId42"/>
          <w:type w:val="nextPage"/>
          <w:pgSz w:w="11910" w:h="16840"/>
          <w:pgMar w:top="1105" w:right="1750" w:bottom="1338" w:left="1740" w:header="917" w:footer="1199" w:gutter="0"/>
          <w:pgNumType w:start="19"/>
          <w:cols w:num="1" w:space="708" w:equalWidth="0">
            <w:col w:w="8420" w:space="0"/>
          </w:cols>
          <w:titlePg w:val="0"/>
        </w:sectPr>
      </w:pPr>
    </w:p>
    <w:p>
      <w:pPr>
        <w:spacing w:line="419" w:lineRule="auto"/>
        <w:rPr>
          <w:rFonts w:ascii="Arial"/>
          <w:sz w:val="21"/>
        </w:rPr>
      </w:pPr>
    </w:p>
    <w:p>
      <w:pPr>
        <w:pStyle w:val="BodyText"/>
        <w:spacing w:before="91" w:line="220" w:lineRule="auto"/>
        <w:ind w:left="60"/>
        <w:outlineLvl w:val="6"/>
        <w:rPr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1.2</w:t>
      </w:r>
      <w:r>
        <w:rPr>
          <w:spacing w:val="-4"/>
          <w:sz w:val="28"/>
          <w:szCs w:val="28"/>
        </w:rPr>
        <w:t xml:space="preserve">  </w:t>
      </w:r>
      <w:r>
        <w:rPr>
          <w:b/>
          <w:bCs/>
          <w:spacing w:val="-4"/>
          <w:sz w:val="28"/>
          <w:szCs w:val="28"/>
        </w:rPr>
        <w:t>产业政策环境分析</w:t>
      </w:r>
    </w:p>
    <w:p>
      <w:pPr>
        <w:spacing w:line="293" w:lineRule="auto"/>
        <w:rPr>
          <w:rFonts w:ascii="Arial"/>
          <w:sz w:val="21"/>
        </w:rPr>
      </w:pPr>
    </w:p>
    <w:p>
      <w:pPr>
        <w:pStyle w:val="BodyText"/>
        <w:spacing w:before="68" w:line="343" w:lineRule="auto"/>
        <w:ind w:left="37" w:right="74" w:firstLine="421"/>
        <w:jc w:val="both"/>
      </w:pPr>
      <w:r>
        <w:t>2023 年四季度医药行业政策主要集中在以下几个方面：第一，药品监督与管理逐步趋</w:t>
      </w:r>
      <w:r>
        <w:rPr>
          <w:spacing w:val="2"/>
        </w:rPr>
        <w:t xml:space="preserve"> </w:t>
      </w:r>
      <w:r>
        <w:rPr>
          <w:spacing w:val="-4"/>
        </w:rPr>
        <w:t>严，</w:t>
      </w:r>
      <w:r>
        <w:rPr>
          <w:spacing w:val="-43"/>
        </w:rPr>
        <w:t xml:space="preserve"> </w:t>
      </w:r>
      <w:r>
        <w:rPr>
          <w:spacing w:val="-4"/>
        </w:rPr>
        <w:t>国家药监局明确无参比制剂品种仿制研究要求，药品上市许可持有人委托生产监督管理</w:t>
      </w:r>
      <w:r>
        <w:t xml:space="preserve"> </w:t>
      </w:r>
      <w:r>
        <w:rPr>
          <w:spacing w:val="-5"/>
        </w:rPr>
        <w:t>工作加强，药物临床试验机构督查办法发布；第二，</w:t>
      </w:r>
      <w:r>
        <w:rPr>
          <w:spacing w:val="-49"/>
        </w:rPr>
        <w:t xml:space="preserve"> </w:t>
      </w:r>
      <w:r>
        <w:rPr>
          <w:spacing w:val="-5"/>
        </w:rPr>
        <w:t>医疗服务政策逐步完善</w:t>
      </w:r>
      <w:r>
        <w:rPr>
          <w:spacing w:val="-6"/>
        </w:rPr>
        <w:t>，2023</w:t>
      </w:r>
      <w:r>
        <w:rPr>
          <w:spacing w:val="-42"/>
        </w:rPr>
        <w:t xml:space="preserve"> </w:t>
      </w:r>
      <w:r>
        <w:rPr>
          <w:spacing w:val="-6"/>
        </w:rPr>
        <w:t>年医疗服</w:t>
      </w:r>
      <w:r>
        <w:t xml:space="preserve"> </w:t>
      </w:r>
      <w:r>
        <w:rPr>
          <w:spacing w:val="2"/>
        </w:rPr>
        <w:t>务与保障能力提升补助资金下达，国家卫健委印发《突发事件医疗应急工作管理办法（试</w:t>
      </w:r>
      <w:r>
        <w:rPr>
          <w:spacing w:val="15"/>
        </w:rPr>
        <w:t xml:space="preserve"> </w:t>
      </w:r>
      <w:r>
        <w:rPr>
          <w:spacing w:val="-9"/>
        </w:rPr>
        <w:t>行）》；第三，</w:t>
      </w:r>
      <w:r>
        <w:rPr>
          <w:spacing w:val="-44"/>
        </w:rPr>
        <w:t xml:space="preserve"> </w:t>
      </w:r>
      <w:r>
        <w:rPr>
          <w:spacing w:val="-9"/>
        </w:rPr>
        <w:t>新版国家医保药品目录发布，越来越多的创新药产品通过以价换量的方式进入</w:t>
      </w:r>
      <w:r>
        <w:t xml:space="preserve"> </w:t>
      </w:r>
      <w:r>
        <w:rPr>
          <w:spacing w:val="-9"/>
        </w:rPr>
        <w:t>医保， 更好地惠及到更多患者； 第四，《医疗器械经营质量</w:t>
      </w:r>
      <w:r>
        <w:rPr>
          <w:spacing w:val="-10"/>
        </w:rPr>
        <w:t>管理规范》出台，</w:t>
      </w:r>
      <w:r>
        <w:rPr>
          <w:spacing w:val="-21"/>
        </w:rPr>
        <w:t xml:space="preserve"> </w:t>
      </w:r>
      <w:r>
        <w:rPr>
          <w:spacing w:val="-10"/>
        </w:rPr>
        <w:t>促进医疗器械</w:t>
      </w:r>
    </w:p>
    <w:p>
      <w:pPr>
        <w:pStyle w:val="BodyText"/>
        <w:spacing w:line="221" w:lineRule="auto"/>
        <w:ind w:left="40"/>
      </w:pPr>
      <w:r>
        <w:rPr>
          <w:spacing w:val="-1"/>
        </w:rPr>
        <w:t>行业的规范发展。</w:t>
      </w:r>
    </w:p>
    <w:p>
      <w:pPr>
        <w:pStyle w:val="BodyText"/>
        <w:spacing w:before="277" w:line="220" w:lineRule="auto"/>
        <w:ind w:left="55"/>
        <w:outlineLvl w:val="6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1.2.1</w:t>
      </w:r>
      <w:r>
        <w:rPr>
          <w:spacing w:val="-3"/>
          <w:sz w:val="24"/>
          <w:szCs w:val="24"/>
        </w:rPr>
        <w:t xml:space="preserve">  </w:t>
      </w:r>
      <w:r>
        <w:rPr>
          <w:b/>
          <w:bCs/>
          <w:spacing w:val="-3"/>
          <w:sz w:val="24"/>
          <w:szCs w:val="24"/>
        </w:rPr>
        <w:t>药品监督与管理逐步趋严</w:t>
      </w:r>
    </w:p>
    <w:p>
      <w:pPr>
        <w:pStyle w:val="BodyText"/>
        <w:spacing w:before="276" w:line="220" w:lineRule="auto"/>
        <w:ind w:left="472"/>
      </w:pPr>
      <w:hyperlink r:id="rId43" w:history="1">
        <w:r>
          <w:rPr>
            <w:spacing w:val="-1"/>
          </w:rPr>
          <w:t>1.2.1.1</w:t>
        </w:r>
      </w:hyperlink>
      <w:r>
        <w:rPr>
          <w:spacing w:val="-1"/>
        </w:rPr>
        <w:t xml:space="preserve">  国家药监局明确无参比制剂品种仿制研究要求</w:t>
      </w:r>
    </w:p>
    <w:p>
      <w:pPr>
        <w:pStyle w:val="BodyText"/>
        <w:spacing w:before="296" w:line="343" w:lineRule="auto"/>
        <w:ind w:left="36" w:right="74" w:firstLine="423"/>
        <w:jc w:val="both"/>
      </w:pPr>
      <w:r>
        <w:rPr>
          <w:spacing w:val="-8"/>
        </w:rPr>
        <w:t>2023</w:t>
      </w:r>
      <w:r>
        <w:rPr>
          <w:spacing w:val="-45"/>
        </w:rPr>
        <w:t xml:space="preserve"> </w:t>
      </w:r>
      <w:r>
        <w:rPr>
          <w:spacing w:val="-8"/>
        </w:rPr>
        <w:t>年</w:t>
      </w:r>
      <w:r>
        <w:rPr>
          <w:spacing w:val="-29"/>
        </w:rPr>
        <w:t xml:space="preserve"> </w:t>
      </w:r>
      <w:r>
        <w:rPr>
          <w:spacing w:val="-8"/>
        </w:rPr>
        <w:t>10</w:t>
      </w:r>
      <w:r>
        <w:rPr>
          <w:spacing w:val="-41"/>
        </w:rPr>
        <w:t xml:space="preserve"> </w:t>
      </w:r>
      <w:r>
        <w:rPr>
          <w:spacing w:val="-8"/>
        </w:rPr>
        <w:t>月</w:t>
      </w:r>
      <w:r>
        <w:rPr>
          <w:spacing w:val="-28"/>
        </w:rPr>
        <w:t xml:space="preserve"> </w:t>
      </w:r>
      <w:r>
        <w:rPr>
          <w:spacing w:val="-8"/>
        </w:rPr>
        <w:t>13 日，</w:t>
      </w:r>
      <w:r>
        <w:rPr>
          <w:spacing w:val="-38"/>
        </w:rPr>
        <w:t xml:space="preserve"> </w:t>
      </w:r>
      <w:r>
        <w:rPr>
          <w:spacing w:val="-8"/>
        </w:rPr>
        <w:t>国家药监局发布《关于无参比制剂品种仿制研究的公</w:t>
      </w:r>
      <w:r>
        <w:rPr>
          <w:spacing w:val="-9"/>
        </w:rPr>
        <w:t>告》（以下简</w:t>
      </w:r>
      <w:r>
        <w:t xml:space="preserve"> </w:t>
      </w:r>
      <w:r>
        <w:rPr>
          <w:spacing w:val="-6"/>
        </w:rPr>
        <w:t>称《公告》</w:t>
      </w:r>
      <w:r>
        <w:rPr>
          <w:spacing w:val="-35"/>
        </w:rPr>
        <w:t>），</w:t>
      </w:r>
      <w:r>
        <w:rPr>
          <w:spacing w:val="-6"/>
        </w:rPr>
        <w:t>明确无参比制剂品种仿制申报路径和相关技术要求。按照《公告</w:t>
      </w:r>
      <w:r>
        <w:rPr>
          <w:spacing w:val="-7"/>
        </w:rPr>
        <w:t>》，对于无参</w:t>
      </w:r>
      <w:r>
        <w:rPr>
          <w:spacing w:val="1"/>
        </w:rPr>
        <w:t xml:space="preserve"> </w:t>
      </w:r>
      <w:r>
        <w:rPr>
          <w:spacing w:val="-2"/>
        </w:rPr>
        <w:t>比制剂品种，经评估如有预期临床价值，申请人可开展</w:t>
      </w:r>
      <w:r>
        <w:rPr>
          <w:spacing w:val="-3"/>
        </w:rPr>
        <w:t>仿制研究，参照现行仿制药注册分类</w:t>
      </w:r>
    </w:p>
    <w:p>
      <w:pPr>
        <w:pStyle w:val="BodyText"/>
        <w:spacing w:before="1" w:line="220" w:lineRule="auto"/>
        <w:ind w:left="37"/>
      </w:pPr>
      <w:r>
        <w:rPr>
          <w:spacing w:val="-3"/>
        </w:rPr>
        <w:t>提出上市申请。</w:t>
      </w:r>
    </w:p>
    <w:p>
      <w:pPr>
        <w:pStyle w:val="BodyText"/>
        <w:spacing w:before="293" w:line="343" w:lineRule="auto"/>
        <w:ind w:left="37" w:firstLine="420"/>
        <w:jc w:val="both"/>
      </w:pPr>
      <w:r>
        <w:rPr>
          <w:spacing w:val="-4"/>
        </w:rPr>
        <w:t>《公告》要求，所仿制的品种应符合当前科学认识和临床诊疗需求及实践，</w:t>
      </w:r>
      <w:r>
        <w:rPr>
          <w:spacing w:val="-53"/>
        </w:rPr>
        <w:t xml:space="preserve"> </w:t>
      </w:r>
      <w:r>
        <w:rPr>
          <w:spacing w:val="-4"/>
        </w:rPr>
        <w:t>作</w:t>
      </w:r>
      <w:r>
        <w:rPr>
          <w:spacing w:val="-5"/>
        </w:rPr>
        <w:t xml:space="preserve">为主流药 </w:t>
      </w:r>
      <w:r>
        <w:rPr>
          <w:spacing w:val="-1"/>
        </w:rPr>
        <w:t>品被广泛使用，且具备不可替代性特征，同时有足够临床试验数据支持临床获益大于风险。</w:t>
      </w:r>
      <w:r>
        <w:rPr>
          <w:spacing w:val="16"/>
        </w:rPr>
        <w:t xml:space="preserve"> </w:t>
      </w:r>
      <w:r>
        <w:rPr>
          <w:spacing w:val="-3"/>
        </w:rPr>
        <w:t xml:space="preserve">申请人应充分评估拟申报品种的预期临床价值，并通过良好设计的临床试验证明其预期临床 </w:t>
      </w:r>
      <w:r>
        <w:rPr>
          <w:spacing w:val="-6"/>
        </w:rPr>
        <w:t>价值。申请人应基于现行技术要求开展仿制研究，并对已上市同品种药品开展全面质量评估。</w:t>
      </w:r>
    </w:p>
    <w:p>
      <w:pPr>
        <w:pStyle w:val="BodyText"/>
        <w:spacing w:before="1" w:line="219" w:lineRule="auto"/>
        <w:jc w:val="right"/>
      </w:pPr>
      <w:r>
        <w:rPr>
          <w:spacing w:val="-1"/>
        </w:rPr>
        <w:t>仿制药品质量不低于研究充分、上市基础好或在相应治疗领域市场份额较大的已上市品种。</w:t>
      </w:r>
    </w:p>
    <w:p>
      <w:pPr>
        <w:pStyle w:val="BodyText"/>
        <w:spacing w:before="297" w:line="343" w:lineRule="auto"/>
        <w:ind w:left="36" w:right="74" w:firstLine="422"/>
        <w:jc w:val="both"/>
      </w:pPr>
      <w:r>
        <w:rPr>
          <w:spacing w:val="-3"/>
        </w:rPr>
        <w:t>《公告》明确，开展临床研究的无参比制剂品种仿制药批准上市后纳入《新批准上市以</w:t>
      </w:r>
      <w:r>
        <w:rPr>
          <w:spacing w:val="15"/>
        </w:rPr>
        <w:t xml:space="preserve"> </w:t>
      </w:r>
      <w:r>
        <w:rPr>
          <w:spacing w:val="-2"/>
        </w:rPr>
        <w:t>及通过仿制药质量和疗效一致性评价的化学药品目录</w:t>
      </w:r>
      <w:r>
        <w:rPr>
          <w:spacing w:val="-3"/>
        </w:rPr>
        <w:t>集》。无参比制剂品种的已上市仿制药</w:t>
      </w:r>
    </w:p>
    <w:p>
      <w:pPr>
        <w:pStyle w:val="BodyText"/>
        <w:spacing w:line="219" w:lineRule="auto"/>
        <w:ind w:left="40"/>
      </w:pPr>
      <w:r>
        <w:rPr>
          <w:spacing w:val="-3"/>
        </w:rPr>
        <w:t>不属于一致性评价范畴，</w:t>
      </w:r>
      <w:r>
        <w:rPr>
          <w:spacing w:val="-23"/>
        </w:rPr>
        <w:t xml:space="preserve"> </w:t>
      </w:r>
      <w:r>
        <w:rPr>
          <w:spacing w:val="-3"/>
        </w:rPr>
        <w:t>相关补充申请批准后不适用一致性评价</w:t>
      </w:r>
      <w:r>
        <w:rPr>
          <w:spacing w:val="-4"/>
        </w:rPr>
        <w:t>有关政策。</w:t>
      </w:r>
    </w:p>
    <w:p>
      <w:pPr>
        <w:pStyle w:val="BodyText"/>
        <w:spacing w:before="295" w:line="343" w:lineRule="auto"/>
        <w:ind w:left="37" w:right="16" w:firstLine="421"/>
      </w:pPr>
      <w:r>
        <w:rPr>
          <w:spacing w:val="-3"/>
        </w:rPr>
        <w:t>无参比制剂品种是我国仿制药发展中独有的历史遗留问题。在实施化学药品注册分类改</w:t>
      </w:r>
      <w:r>
        <w:rPr>
          <w:spacing w:val="15"/>
        </w:rPr>
        <w:t xml:space="preserve"> </w:t>
      </w:r>
      <w:r>
        <w:rPr>
          <w:spacing w:val="-5"/>
        </w:rPr>
        <w:t>革前， 我国既往的仿制药研发是“仿已有国家标准的药品”，未要求以原研药品作为对照进</w:t>
      </w:r>
      <w:r>
        <w:rPr>
          <w:spacing w:val="2"/>
        </w:rPr>
        <w:t xml:space="preserve"> </w:t>
      </w:r>
      <w:r>
        <w:rPr>
          <w:spacing w:val="-6"/>
        </w:rPr>
        <w:t>行仿制研究，因此存在一部分对非原研药品仿制的品种，这部分无参比制剂品种上市时</w:t>
      </w:r>
      <w:r>
        <w:rPr>
          <w:spacing w:val="-7"/>
        </w:rPr>
        <w:t>间早，</w:t>
      </w:r>
      <w:r>
        <w:t xml:space="preserve"> </w:t>
      </w:r>
      <w:r>
        <w:rPr>
          <w:spacing w:val="-7"/>
        </w:rPr>
        <w:t>缺少完整充分的安全性有效性证据、产品质量低、</w:t>
      </w:r>
      <w:r>
        <w:rPr>
          <w:spacing w:val="-8"/>
        </w:rPr>
        <w:t>缺乏循证医学证据，特别是临床价值存疑，</w:t>
      </w:r>
      <w:r>
        <w:t xml:space="preserve"> </w:t>
      </w:r>
      <w:r>
        <w:rPr>
          <w:spacing w:val="-2"/>
        </w:rPr>
        <w:t>既无法实现与原研药品开展质量和疗效一致性评价，</w:t>
      </w:r>
      <w:r>
        <w:rPr>
          <w:spacing w:val="-3"/>
        </w:rPr>
        <w:t>也无法为其找到仿制标杆，也是我国仿</w:t>
      </w:r>
      <w:r>
        <w:t xml:space="preserve"> </w:t>
      </w:r>
      <w:r>
        <w:rPr>
          <w:spacing w:val="-2"/>
        </w:rPr>
        <w:t>制药发展中出现的独有历史遗留问题。《公告》的</w:t>
      </w:r>
      <w:r>
        <w:rPr>
          <w:spacing w:val="-3"/>
        </w:rPr>
        <w:t>发布，将明确无参比制剂品种仿制研究要</w:t>
      </w:r>
    </w:p>
    <w:p>
      <w:pPr>
        <w:pStyle w:val="BodyText"/>
        <w:spacing w:before="1" w:line="220" w:lineRule="auto"/>
        <w:ind w:left="38"/>
        <w:sectPr>
          <w:headerReference w:type="default" r:id="rId44"/>
          <w:footerReference w:type="default" r:id="rId45"/>
          <w:pgSz w:w="11907" w:h="16839"/>
          <w:pgMar w:top="1099" w:right="1718" w:bottom="1362" w:left="1771" w:header="877" w:footer="1201" w:gutter="0"/>
          <w:pgNumType w:start="20"/>
          <w:cols w:space="708"/>
        </w:sectPr>
      </w:pPr>
      <w:r>
        <w:rPr>
          <w:spacing w:val="-1"/>
        </w:rPr>
        <w:t>求，有望带动仿制药市场的扩容，并为仿制药开发外包行业带来新的业务增量。</w:t>
      </w:r>
    </w:p>
    <w:p>
      <w:pPr>
        <w:pStyle w:val="BodyText"/>
        <w:spacing w:before="296" w:line="221" w:lineRule="auto"/>
        <w:ind w:left="472"/>
      </w:pPr>
      <w:hyperlink r:id="rId46" w:history="1">
        <w:r>
          <w:rPr>
            <w:spacing w:val="-1"/>
          </w:rPr>
          <w:t>1.2.1.2</w:t>
        </w:r>
      </w:hyperlink>
      <w:r>
        <w:rPr>
          <w:spacing w:val="-1"/>
        </w:rPr>
        <w:t xml:space="preserve">  药品上市许可持有人委托生产监督管理工作加强</w:t>
      </w:r>
    </w:p>
    <w:p>
      <w:pPr>
        <w:pStyle w:val="BodyText"/>
        <w:spacing w:before="294" w:line="220" w:lineRule="auto"/>
        <w:ind w:left="459"/>
      </w:pPr>
      <w:r>
        <w:rPr>
          <w:spacing w:val="-5"/>
        </w:rPr>
        <w:t>2023</w:t>
      </w:r>
      <w:r>
        <w:rPr>
          <w:spacing w:val="-17"/>
        </w:rPr>
        <w:t xml:space="preserve"> </w:t>
      </w:r>
      <w:r>
        <w:rPr>
          <w:spacing w:val="-5"/>
        </w:rPr>
        <w:t>年 10</w:t>
      </w:r>
      <w:r>
        <w:rPr>
          <w:spacing w:val="-29"/>
        </w:rPr>
        <w:t xml:space="preserve"> </w:t>
      </w:r>
      <w:r>
        <w:rPr>
          <w:spacing w:val="-5"/>
        </w:rPr>
        <w:t>月</w:t>
      </w:r>
      <w:r>
        <w:rPr>
          <w:spacing w:val="-29"/>
        </w:rPr>
        <w:t xml:space="preserve"> </w:t>
      </w:r>
      <w:r>
        <w:rPr>
          <w:spacing w:val="-5"/>
        </w:rPr>
        <w:t>23 日，</w:t>
      </w:r>
      <w:r>
        <w:rPr>
          <w:spacing w:val="-23"/>
        </w:rPr>
        <w:t xml:space="preserve"> </w:t>
      </w:r>
      <w:r>
        <w:rPr>
          <w:spacing w:val="-5"/>
        </w:rPr>
        <w:t>国家药监局发布《关于加强药品上市许可持有人委托生产监督管</w:t>
      </w:r>
    </w:p>
    <w:p>
      <w:pPr>
        <w:spacing w:line="220" w:lineRule="auto"/>
        <w:sectPr>
          <w:headerReference w:type="default" r:id="rId47"/>
          <w:footerReference w:type="default" r:id="rId48"/>
          <w:type w:val="nextPage"/>
          <w:pgSz w:w="11907" w:h="16839"/>
          <w:pgMar w:top="1099" w:right="1718" w:bottom="1362" w:left="1771" w:header="877" w:footer="1201" w:gutter="0"/>
          <w:pgNumType w:start="21"/>
          <w:cols w:space="708"/>
          <w:titlePg w:val="0"/>
        </w:sectPr>
      </w:pPr>
    </w:p>
    <w:p>
      <w:pPr>
        <w:spacing w:line="360" w:lineRule="auto"/>
        <w:rPr>
          <w:rFonts w:ascii="Arial"/>
          <w:sz w:val="21"/>
        </w:rPr>
      </w:pPr>
    </w:p>
    <w:p>
      <w:pPr>
        <w:pStyle w:val="BodyText"/>
        <w:spacing w:before="68" w:line="343" w:lineRule="auto"/>
        <w:ind w:left="38" w:right="24"/>
        <w:jc w:val="both"/>
      </w:pPr>
      <w:r>
        <w:rPr>
          <w:spacing w:val="-5"/>
        </w:rPr>
        <w:t>理工作的公告》（以下简称《公告》</w:t>
      </w:r>
      <w:r>
        <w:rPr>
          <w:spacing w:val="-54"/>
          <w:w w:val="98"/>
        </w:rPr>
        <w:t>），</w:t>
      </w:r>
      <w:r>
        <w:rPr>
          <w:spacing w:val="-5"/>
        </w:rPr>
        <w:t>以针对性加强药品上市许可持有人（以下简称“</w:t>
      </w:r>
      <w:r>
        <w:rPr>
          <w:spacing w:val="-6"/>
        </w:rPr>
        <w:t>持有</w:t>
      </w:r>
      <w:r>
        <w:rPr>
          <w:spacing w:val="3"/>
        </w:rPr>
        <w:t xml:space="preserve"> </w:t>
      </w:r>
      <w:r>
        <w:rPr>
          <w:spacing w:val="-9"/>
        </w:rPr>
        <w:t>人”）委托生产的监督管理。《公告》明确提出，</w:t>
      </w:r>
      <w:r>
        <w:rPr>
          <w:spacing w:val="-41"/>
        </w:rPr>
        <w:t xml:space="preserve"> </w:t>
      </w:r>
      <w:r>
        <w:rPr>
          <w:spacing w:val="-9"/>
        </w:rPr>
        <w:t>严格委托生产的许可管理、强化</w:t>
      </w:r>
      <w:r>
        <w:rPr>
          <w:spacing w:val="-10"/>
        </w:rPr>
        <w:t>委托生产的</w:t>
      </w:r>
    </w:p>
    <w:p>
      <w:pPr>
        <w:pStyle w:val="BodyText"/>
        <w:spacing w:line="220" w:lineRule="auto"/>
        <w:ind w:left="37"/>
      </w:pPr>
      <w:r>
        <w:rPr>
          <w:spacing w:val="-1"/>
        </w:rPr>
        <w:t>质量管理、强化委托生产的监督管理。</w:t>
      </w:r>
    </w:p>
    <w:p>
      <w:pPr>
        <w:pStyle w:val="BodyText"/>
        <w:spacing w:before="293" w:line="343" w:lineRule="auto"/>
        <w:ind w:left="37" w:right="23" w:firstLine="419"/>
        <w:jc w:val="both"/>
      </w:pPr>
      <w:r>
        <w:rPr>
          <w:spacing w:val="-3"/>
        </w:rPr>
        <w:t>对于无菌制剂、生物制品、中药注射剂、多组分生化药等重点品种，《公告》不仅提出</w:t>
      </w:r>
      <w:r>
        <w:rPr>
          <w:spacing w:val="15"/>
        </w:rPr>
        <w:t xml:space="preserve"> </w:t>
      </w:r>
      <w:r>
        <w:rPr>
          <w:spacing w:val="-2"/>
        </w:rPr>
        <w:t>了对关键岗位的人员资质、质量管理体系建设和运行</w:t>
      </w:r>
      <w:r>
        <w:rPr>
          <w:spacing w:val="-3"/>
        </w:rPr>
        <w:t>情况等重点环节和内容的明确要求，还</w:t>
      </w:r>
      <w:r>
        <w:t xml:space="preserve"> </w:t>
      </w:r>
      <w:r>
        <w:rPr>
          <w:spacing w:val="-2"/>
        </w:rPr>
        <w:t>明确了持有人履行质量安全主体责任应加强的重点工</w:t>
      </w:r>
      <w:r>
        <w:rPr>
          <w:spacing w:val="-3"/>
        </w:rPr>
        <w:t>作。《公告》要求，委托生产无菌药品</w:t>
      </w:r>
      <w:r>
        <w:t xml:space="preserve"> </w:t>
      </w:r>
      <w:r>
        <w:rPr>
          <w:spacing w:val="-4"/>
        </w:rPr>
        <w:t>的，</w:t>
      </w:r>
      <w:r>
        <w:rPr>
          <w:spacing w:val="-42"/>
        </w:rPr>
        <w:t xml:space="preserve"> </w:t>
      </w:r>
      <w:r>
        <w:rPr>
          <w:spacing w:val="-4"/>
        </w:rPr>
        <w:t>持有人的生产负责人、质量负责人、质量受权人均应当具有至少五年从事药品生产和质</w:t>
      </w:r>
      <w:r>
        <w:t xml:space="preserve"> </w:t>
      </w:r>
      <w:r>
        <w:rPr>
          <w:spacing w:val="-2"/>
        </w:rPr>
        <w:t>量管理的实践经验，其中至少三年无菌药品生产和质</w:t>
      </w:r>
      <w:r>
        <w:rPr>
          <w:spacing w:val="-3"/>
        </w:rPr>
        <w:t>量管理的实践经验；委托生产中药注射</w:t>
      </w:r>
      <w:r>
        <w:t xml:space="preserve"> </w:t>
      </w:r>
      <w:r>
        <w:rPr>
          <w:spacing w:val="-2"/>
        </w:rPr>
        <w:t>剂、多组分生化药的，持有人的生产负责人、质量</w:t>
      </w:r>
      <w:r>
        <w:rPr>
          <w:spacing w:val="-3"/>
        </w:rPr>
        <w:t>负责人、质量受权人应当具备同类型制剂</w:t>
      </w:r>
      <w:r>
        <w:t xml:space="preserve"> </w:t>
      </w:r>
      <w:r>
        <w:rPr>
          <w:spacing w:val="-2"/>
        </w:rPr>
        <w:t>产品三年以上生产和质量管理的实践经验；产品应当</w:t>
      </w:r>
      <w:r>
        <w:rPr>
          <w:spacing w:val="-3"/>
        </w:rPr>
        <w:t>具有近五年连续生产销售记录，且未发</w:t>
      </w:r>
      <w:r>
        <w:t xml:space="preserve"> </w:t>
      </w:r>
      <w:r>
        <w:rPr>
          <w:spacing w:val="-2"/>
        </w:rPr>
        <w:t>生过严重不良反应和抽检不合格的情况；受托生产企</w:t>
      </w:r>
      <w:r>
        <w:rPr>
          <w:spacing w:val="-3"/>
        </w:rPr>
        <w:t>业应当具备同类型制剂产品近三年连续</w:t>
      </w:r>
    </w:p>
    <w:p>
      <w:pPr>
        <w:pStyle w:val="BodyText"/>
        <w:spacing w:line="220" w:lineRule="auto"/>
        <w:ind w:left="38"/>
      </w:pPr>
      <w:r>
        <w:rPr>
          <w:spacing w:val="-2"/>
        </w:rPr>
        <w:t>生产的记录。</w:t>
      </w:r>
    </w:p>
    <w:p>
      <w:pPr>
        <w:pStyle w:val="BodyText"/>
        <w:spacing w:before="295" w:line="343" w:lineRule="auto"/>
        <w:ind w:left="38" w:right="24" w:firstLine="419"/>
        <w:jc w:val="both"/>
      </w:pPr>
      <w:r>
        <w:rPr>
          <w:spacing w:val="-3"/>
        </w:rPr>
        <w:t>《公告》提出，拟委托生产的中药注射剂或者多组分生化药的，持有人应当按照现行技</w:t>
      </w:r>
      <w:r>
        <w:rPr>
          <w:spacing w:val="15"/>
        </w:rPr>
        <w:t xml:space="preserve"> </w:t>
      </w:r>
      <w:r>
        <w:rPr>
          <w:spacing w:val="-2"/>
        </w:rPr>
        <w:t>术要求，开展化学成分研究、定性定量分析方法</w:t>
      </w:r>
      <w:r>
        <w:rPr>
          <w:spacing w:val="-3"/>
        </w:rPr>
        <w:t>研究、生物学质控方法研究、持续稳定性考</w:t>
      </w:r>
    </w:p>
    <w:p>
      <w:pPr>
        <w:pStyle w:val="BodyText"/>
        <w:spacing w:before="1" w:line="219" w:lineRule="auto"/>
        <w:ind w:left="39"/>
      </w:pPr>
      <w:r>
        <w:rPr>
          <w:spacing w:val="-2"/>
        </w:rPr>
        <w:t>察研究、全面毒理学研究和药品上市后研究。</w:t>
      </w:r>
    </w:p>
    <w:p>
      <w:pPr>
        <w:pStyle w:val="BodyText"/>
        <w:spacing w:before="296" w:line="343" w:lineRule="auto"/>
        <w:ind w:left="36" w:right="23" w:firstLine="419"/>
        <w:jc w:val="both"/>
      </w:pPr>
      <w:r>
        <w:rPr>
          <w:spacing w:val="-1"/>
        </w:rPr>
        <w:t>近年来，国内创新药加速上市，药品委托生产日益活跃，CMO</w:t>
      </w:r>
      <w:r>
        <w:rPr>
          <w:spacing w:val="-2"/>
        </w:rPr>
        <w:t>、CDMO</w:t>
      </w:r>
      <w:r>
        <w:rPr>
          <w:spacing w:val="-45"/>
        </w:rPr>
        <w:t xml:space="preserve"> </w:t>
      </w:r>
      <w:r>
        <w:rPr>
          <w:spacing w:val="-2"/>
        </w:rPr>
        <w:t>等医药外包行业市</w:t>
      </w:r>
      <w:r>
        <w:t xml:space="preserve"> </w:t>
      </w:r>
      <w:r>
        <w:rPr>
          <w:spacing w:val="-4"/>
        </w:rPr>
        <w:t>场规模迅速扩大。据统计，自 2019</w:t>
      </w:r>
      <w:r>
        <w:rPr>
          <w:spacing w:val="-34"/>
        </w:rPr>
        <w:t xml:space="preserve"> </w:t>
      </w:r>
      <w:r>
        <w:rPr>
          <w:spacing w:val="-4"/>
        </w:rPr>
        <w:t>年</w:t>
      </w:r>
      <w:r>
        <w:rPr>
          <w:spacing w:val="-21"/>
        </w:rPr>
        <w:t xml:space="preserve"> </w:t>
      </w:r>
      <w:r>
        <w:rPr>
          <w:spacing w:val="-4"/>
        </w:rPr>
        <w:t>12</w:t>
      </w:r>
      <w:r>
        <w:rPr>
          <w:spacing w:val="-31"/>
        </w:rPr>
        <w:t xml:space="preserve"> </w:t>
      </w:r>
      <w:r>
        <w:rPr>
          <w:spacing w:val="-4"/>
        </w:rPr>
        <w:t>月</w:t>
      </w:r>
      <w:r>
        <w:rPr>
          <w:spacing w:val="-5"/>
        </w:rPr>
        <w:t>我国全面实施持有人制度以来，</w:t>
      </w:r>
      <w:r>
        <w:rPr>
          <w:spacing w:val="-24"/>
        </w:rPr>
        <w:t xml:space="preserve"> </w:t>
      </w:r>
      <w:r>
        <w:rPr>
          <w:spacing w:val="-5"/>
        </w:rPr>
        <w:t>截至</w:t>
      </w:r>
      <w:r>
        <w:rPr>
          <w:spacing w:val="-34"/>
        </w:rPr>
        <w:t xml:space="preserve"> </w:t>
      </w:r>
      <w:r>
        <w:rPr>
          <w:spacing w:val="-5"/>
        </w:rPr>
        <w:t>2023</w:t>
      </w:r>
      <w:r>
        <w:rPr>
          <w:spacing w:val="-33"/>
        </w:rPr>
        <w:t xml:space="preserve"> </w:t>
      </w:r>
      <w:r>
        <w:rPr>
          <w:spacing w:val="-5"/>
        </w:rPr>
        <w:t>年</w:t>
      </w:r>
      <w:r>
        <w:rPr>
          <w:spacing w:val="-36"/>
        </w:rPr>
        <w:t xml:space="preserve"> </w:t>
      </w:r>
      <w:r>
        <w:rPr>
          <w:spacing w:val="-5"/>
        </w:rPr>
        <w:t>9</w:t>
      </w:r>
      <w:r>
        <w:t xml:space="preserve"> </w:t>
      </w:r>
      <w:r>
        <w:rPr>
          <w:spacing w:val="-5"/>
        </w:rPr>
        <w:t>月，已有纯委托生产（纯</w:t>
      </w:r>
      <w:r>
        <w:rPr>
          <w:spacing w:val="-35"/>
        </w:rPr>
        <w:t xml:space="preserve"> </w:t>
      </w:r>
      <w:r>
        <w:rPr>
          <w:spacing w:val="-5"/>
        </w:rPr>
        <w:t>B</w:t>
      </w:r>
      <w:r>
        <w:rPr>
          <w:spacing w:val="-41"/>
        </w:rPr>
        <w:t xml:space="preserve"> </w:t>
      </w:r>
      <w:r>
        <w:rPr>
          <w:spacing w:val="-5"/>
        </w:rPr>
        <w:t>证）</w:t>
      </w:r>
      <w:r>
        <w:rPr>
          <w:spacing w:val="-40"/>
        </w:rPr>
        <w:t xml:space="preserve"> </w:t>
      </w:r>
      <w:r>
        <w:rPr>
          <w:spacing w:val="-5"/>
        </w:rPr>
        <w:t>持有人</w:t>
      </w:r>
      <w:r>
        <w:rPr>
          <w:spacing w:val="-26"/>
        </w:rPr>
        <w:t xml:space="preserve"> </w:t>
      </w:r>
      <w:r>
        <w:rPr>
          <w:spacing w:val="-5"/>
        </w:rPr>
        <w:t>1000</w:t>
      </w:r>
      <w:r>
        <w:rPr>
          <w:spacing w:val="-41"/>
        </w:rPr>
        <w:t xml:space="preserve"> </w:t>
      </w:r>
      <w:r>
        <w:rPr>
          <w:spacing w:val="-5"/>
        </w:rPr>
        <w:t>余家。委托生产活动日趋活跃，</w:t>
      </w:r>
      <w:r>
        <w:rPr>
          <w:spacing w:val="-23"/>
        </w:rPr>
        <w:t xml:space="preserve"> </w:t>
      </w:r>
      <w:r>
        <w:rPr>
          <w:spacing w:val="-5"/>
        </w:rPr>
        <w:t>对持有人、受</w:t>
      </w:r>
      <w:r>
        <w:t xml:space="preserve"> </w:t>
      </w:r>
      <w:r>
        <w:rPr>
          <w:spacing w:val="-2"/>
        </w:rPr>
        <w:t>托方、监管机构等的质量风险防控能力也提出了挑战。</w:t>
      </w:r>
      <w:r>
        <w:rPr>
          <w:spacing w:val="-3"/>
        </w:rPr>
        <w:t>国家加强对药品上市许可持有人委托</w:t>
      </w:r>
      <w:r>
        <w:t xml:space="preserve"> </w:t>
      </w:r>
      <w:r>
        <w:rPr>
          <w:spacing w:val="-2"/>
        </w:rPr>
        <w:t>生产监督管理工作，有利于进一步落实药品上市许可持</w:t>
      </w:r>
      <w:r>
        <w:rPr>
          <w:spacing w:val="-3"/>
        </w:rPr>
        <w:t>有人和受托生产企业的权责要求，真</w:t>
      </w:r>
      <w:r>
        <w:t xml:space="preserve"> </w:t>
      </w:r>
      <w:r>
        <w:rPr>
          <w:spacing w:val="-2"/>
        </w:rPr>
        <w:t>正实现让两者各自发挥所长，促进药品生产环节的质量</w:t>
      </w:r>
      <w:r>
        <w:rPr>
          <w:spacing w:val="-3"/>
        </w:rPr>
        <w:t>提升。同时也对药品上市许可持有人</w:t>
      </w:r>
      <w:r>
        <w:t xml:space="preserve"> </w:t>
      </w:r>
      <w:r>
        <w:rPr>
          <w:spacing w:val="-2"/>
        </w:rPr>
        <w:t>和受托生产企业提出了更高的要求，</w:t>
      </w:r>
      <w:r>
        <w:rPr>
          <w:spacing w:val="-21"/>
        </w:rPr>
        <w:t xml:space="preserve"> </w:t>
      </w:r>
      <w:r>
        <w:rPr>
          <w:spacing w:val="-2"/>
        </w:rPr>
        <w:t>监管趋严有望</w:t>
      </w:r>
      <w:r>
        <w:rPr>
          <w:spacing w:val="-3"/>
        </w:rPr>
        <w:t>加速药品上市许可持有人和</w:t>
      </w:r>
      <w:r>
        <w:rPr>
          <w:spacing w:val="-41"/>
        </w:rPr>
        <w:t xml:space="preserve"> </w:t>
      </w:r>
      <w:r>
        <w:rPr>
          <w:spacing w:val="-3"/>
        </w:rPr>
        <w:t>CDMO</w:t>
      </w:r>
      <w:r>
        <w:rPr>
          <w:spacing w:val="-38"/>
        </w:rPr>
        <w:t xml:space="preserve"> </w:t>
      </w:r>
      <w:r>
        <w:rPr>
          <w:spacing w:val="-3"/>
        </w:rPr>
        <w:t>企业的</w:t>
      </w:r>
    </w:p>
    <w:p>
      <w:pPr>
        <w:pStyle w:val="BodyText"/>
        <w:spacing w:line="220" w:lineRule="auto"/>
        <w:ind w:left="36"/>
      </w:pPr>
      <w:r>
        <w:rPr>
          <w:spacing w:val="-8"/>
        </w:rPr>
        <w:t>洗牌。</w:t>
      </w:r>
    </w:p>
    <w:p>
      <w:pPr>
        <w:pStyle w:val="BodyText"/>
        <w:spacing w:before="294" w:line="220" w:lineRule="auto"/>
        <w:ind w:left="472"/>
      </w:pPr>
      <w:hyperlink r:id="rId49" w:history="1">
        <w:r>
          <w:rPr>
            <w:spacing w:val="-1"/>
          </w:rPr>
          <w:t>1.2.1.3</w:t>
        </w:r>
      </w:hyperlink>
      <w:r>
        <w:rPr>
          <w:spacing w:val="-1"/>
        </w:rPr>
        <w:t xml:space="preserve">  药物临床试验机构督查办法发布</w:t>
      </w:r>
    </w:p>
    <w:p>
      <w:pPr>
        <w:pStyle w:val="BodyText"/>
        <w:spacing w:before="297" w:line="343" w:lineRule="auto"/>
        <w:ind w:left="41" w:right="24" w:firstLine="418"/>
        <w:jc w:val="both"/>
      </w:pPr>
      <w:r>
        <w:rPr>
          <w:spacing w:val="-9"/>
        </w:rPr>
        <w:t>2023</w:t>
      </w:r>
      <w:r>
        <w:rPr>
          <w:spacing w:val="-37"/>
        </w:rPr>
        <w:t xml:space="preserve"> </w:t>
      </w:r>
      <w:r>
        <w:rPr>
          <w:spacing w:val="-9"/>
        </w:rPr>
        <w:t>年</w:t>
      </w:r>
      <w:r>
        <w:rPr>
          <w:spacing w:val="-29"/>
        </w:rPr>
        <w:t xml:space="preserve"> </w:t>
      </w:r>
      <w:r>
        <w:rPr>
          <w:spacing w:val="-9"/>
        </w:rPr>
        <w:t>11</w:t>
      </w:r>
      <w:r>
        <w:rPr>
          <w:spacing w:val="-41"/>
        </w:rPr>
        <w:t xml:space="preserve"> </w:t>
      </w:r>
      <w:r>
        <w:rPr>
          <w:spacing w:val="-9"/>
        </w:rPr>
        <w:t>月</w:t>
      </w:r>
      <w:r>
        <w:rPr>
          <w:spacing w:val="-40"/>
        </w:rPr>
        <w:t xml:space="preserve"> </w:t>
      </w:r>
      <w:r>
        <w:rPr>
          <w:spacing w:val="-9"/>
        </w:rPr>
        <w:t>3 日，国家药监局印发《药物临床试验机构监督检查办法（试行）》（以下</w:t>
      </w:r>
      <w:r>
        <w:t xml:space="preserve"> </w:t>
      </w:r>
      <w:r>
        <w:rPr>
          <w:spacing w:val="-5"/>
        </w:rPr>
        <w:t>简称《办法》</w:t>
      </w:r>
      <w:r>
        <w:rPr>
          <w:spacing w:val="-55"/>
        </w:rPr>
        <w:t>），</w:t>
      </w:r>
      <w:r>
        <w:rPr>
          <w:spacing w:val="-5"/>
        </w:rPr>
        <w:t>要求进一步规范药物临床试验机构监督检查工作。《办法</w:t>
      </w:r>
      <w:r>
        <w:rPr>
          <w:spacing w:val="-6"/>
        </w:rPr>
        <w:t>》明确，对试验机</w:t>
      </w:r>
    </w:p>
    <w:p>
      <w:pPr>
        <w:pStyle w:val="BodyText"/>
        <w:spacing w:before="1" w:line="220" w:lineRule="auto"/>
        <w:ind w:left="39"/>
      </w:pPr>
      <w:r>
        <w:rPr>
          <w:spacing w:val="-3"/>
        </w:rPr>
        <w:t>构开展的检查分为日常监督检查、有因检查、其他检查， 不同类型检查</w:t>
      </w:r>
      <w:r>
        <w:rPr>
          <w:spacing w:val="-4"/>
        </w:rPr>
        <w:t>可以结合进行。</w:t>
      </w:r>
    </w:p>
    <w:p>
      <w:pPr>
        <w:pStyle w:val="BodyText"/>
        <w:spacing w:before="295" w:line="343" w:lineRule="auto"/>
        <w:ind w:left="37" w:right="24" w:firstLine="421"/>
        <w:sectPr>
          <w:headerReference w:type="default" r:id="rId50"/>
          <w:footerReference w:type="default" r:id="rId51"/>
          <w:pgSz w:w="11907" w:h="16839"/>
          <w:pgMar w:top="1099" w:right="1769" w:bottom="1362" w:left="1771" w:header="877" w:footer="1201" w:gutter="0"/>
          <w:pgNumType w:start="22"/>
          <w:cols w:space="708"/>
        </w:sectPr>
      </w:pPr>
      <w:r>
        <w:rPr>
          <w:spacing w:val="-3"/>
        </w:rPr>
        <w:t>《办法》强调，试验机构和研究者应当切实履行药物临床试验相关责任，授权其他人员</w:t>
      </w:r>
      <w:r>
        <w:rPr>
          <w:spacing w:val="15"/>
        </w:rPr>
        <w:t xml:space="preserve"> </w:t>
      </w:r>
      <w:r>
        <w:rPr>
          <w:spacing w:val="-2"/>
        </w:rPr>
        <w:t>承担临床试验有关工作时，应建立相应管理程</w:t>
      </w:r>
      <w:r>
        <w:rPr>
          <w:spacing w:val="-3"/>
        </w:rPr>
        <w:t>序，并采取措施实施质量管理，加强相关信息</w:t>
      </w:r>
      <w:r>
        <w:t xml:space="preserve"> </w:t>
      </w:r>
      <w:r>
        <w:rPr>
          <w:spacing w:val="-7"/>
        </w:rPr>
        <w:t>化建设。研究者应监督所有授权人员依法依规</w:t>
      </w:r>
      <w:r>
        <w:rPr>
          <w:spacing w:val="-8"/>
        </w:rPr>
        <w:t>开展临床试验，执行试验方案、履行工作职责，</w:t>
      </w:r>
      <w:r>
        <w:t xml:space="preserve"> </w:t>
      </w:r>
    </w:p>
    <w:p>
      <w:pPr>
        <w:pStyle w:val="BodyText"/>
        <w:spacing w:before="295" w:line="343" w:lineRule="auto"/>
        <w:ind w:left="37" w:right="24" w:firstLine="421"/>
      </w:pPr>
      <w:r>
        <w:rPr>
          <w:spacing w:val="-2"/>
        </w:rPr>
        <w:t>保护受试者的权益和安全，保障试验数据和结果真</w:t>
      </w:r>
      <w:r>
        <w:rPr>
          <w:spacing w:val="-3"/>
        </w:rPr>
        <w:t>实、准确、完整、可靠。《办法》规定了</w:t>
      </w:r>
      <w:r>
        <w:t xml:space="preserve"> </w:t>
      </w:r>
      <w:r>
        <w:rPr>
          <w:spacing w:val="-2"/>
        </w:rPr>
        <w:t>不同检查结果的处理方式。其中，对综合评定结论</w:t>
      </w:r>
      <w:r>
        <w:rPr>
          <w:spacing w:val="-3"/>
        </w:rPr>
        <w:t>为“不符合要求”的试验机构或者试验专</w:t>
      </w:r>
    </w:p>
    <w:p>
      <w:pPr>
        <w:pStyle w:val="BodyText"/>
        <w:spacing w:line="220" w:lineRule="auto"/>
        <w:ind w:left="36"/>
      </w:pPr>
      <w:r>
        <w:rPr>
          <w:spacing w:val="-2"/>
        </w:rPr>
        <w:t>业，药监部门要求其暂停新开展药物临床试验；对不符合</w:t>
      </w:r>
      <w:r>
        <w:rPr>
          <w:spacing w:val="-3"/>
        </w:rPr>
        <w:t xml:space="preserve"> GCP（《药物临床试验质量管理规</w:t>
      </w:r>
    </w:p>
    <w:p>
      <w:pPr>
        <w:spacing w:line="220" w:lineRule="auto"/>
        <w:sectPr>
          <w:headerReference w:type="default" r:id="rId52"/>
          <w:footerReference w:type="default" r:id="rId53"/>
          <w:type w:val="nextPage"/>
          <w:pgSz w:w="11907" w:h="16839"/>
          <w:pgMar w:top="1099" w:right="1769" w:bottom="1362" w:left="1771" w:header="877" w:footer="1201" w:gutter="0"/>
          <w:pgNumType w:start="23"/>
          <w:cols w:space="708"/>
          <w:titlePg w:val="0"/>
        </w:sectPr>
      </w:pPr>
    </w:p>
    <w:p>
      <w:pPr>
        <w:spacing w:line="360" w:lineRule="auto"/>
        <w:rPr>
          <w:rFonts w:ascii="Arial"/>
          <w:sz w:val="21"/>
        </w:rPr>
      </w:pPr>
    </w:p>
    <w:p>
      <w:pPr>
        <w:pStyle w:val="BodyText"/>
        <w:spacing w:before="68" w:line="389" w:lineRule="exact"/>
        <w:ind w:left="42"/>
      </w:pPr>
      <w:r>
        <w:rPr>
          <w:spacing w:val="-3"/>
          <w:position w:val="13"/>
        </w:rPr>
        <w:t>范》）以及其他不适宜继续承担药物临床试验的，取消其药物临床试验机构或者相关试验专</w:t>
      </w:r>
    </w:p>
    <w:p>
      <w:pPr>
        <w:pStyle w:val="BodyText"/>
        <w:spacing w:line="221" w:lineRule="auto"/>
        <w:ind w:left="36"/>
      </w:pPr>
      <w:r>
        <w:rPr>
          <w:spacing w:val="-4"/>
        </w:rPr>
        <w:t>业的备案。</w:t>
      </w:r>
    </w:p>
    <w:p>
      <w:pPr>
        <w:pStyle w:val="BodyText"/>
        <w:spacing w:before="293" w:line="343" w:lineRule="auto"/>
        <w:ind w:left="36" w:right="73" w:firstLine="422"/>
        <w:jc w:val="both"/>
      </w:pPr>
      <w:r>
        <w:rPr>
          <w:spacing w:val="-1"/>
        </w:rPr>
        <w:t>《办法》共</w:t>
      </w:r>
      <w:r>
        <w:rPr>
          <w:spacing w:val="-34"/>
        </w:rPr>
        <w:t xml:space="preserve"> </w:t>
      </w:r>
      <w:r>
        <w:rPr>
          <w:spacing w:val="-1"/>
        </w:rPr>
        <w:t>6</w:t>
      </w:r>
      <w:r>
        <w:rPr>
          <w:spacing w:val="-34"/>
        </w:rPr>
        <w:t xml:space="preserve"> </w:t>
      </w:r>
      <w:r>
        <w:rPr>
          <w:spacing w:val="-1"/>
        </w:rPr>
        <w:t>章</w:t>
      </w:r>
      <w:r>
        <w:rPr>
          <w:spacing w:val="-42"/>
        </w:rPr>
        <w:t xml:space="preserve"> </w:t>
      </w:r>
      <w:r>
        <w:rPr>
          <w:spacing w:val="-1"/>
        </w:rPr>
        <w:t>44</w:t>
      </w:r>
      <w:r>
        <w:rPr>
          <w:spacing w:val="-39"/>
        </w:rPr>
        <w:t xml:space="preserve"> </w:t>
      </w:r>
      <w:r>
        <w:rPr>
          <w:spacing w:val="-1"/>
        </w:rPr>
        <w:t>条，包括总则、药品检查机构</w:t>
      </w:r>
      <w:r>
        <w:rPr>
          <w:spacing w:val="-2"/>
        </w:rPr>
        <w:t>和人员、检查程序、检查有关工作衔</w:t>
      </w:r>
      <w:r>
        <w:t xml:space="preserve"> </w:t>
      </w:r>
      <w:r>
        <w:rPr>
          <w:spacing w:val="-3"/>
        </w:rPr>
        <w:t>接、检查结果的处理、附则，将自</w:t>
      </w:r>
      <w:r>
        <w:rPr>
          <w:spacing w:val="-33"/>
        </w:rPr>
        <w:t xml:space="preserve"> </w:t>
      </w:r>
      <w:r>
        <w:rPr>
          <w:spacing w:val="-3"/>
        </w:rPr>
        <w:t>2024</w:t>
      </w:r>
      <w:r>
        <w:rPr>
          <w:spacing w:val="-43"/>
        </w:rPr>
        <w:t xml:space="preserve"> </w:t>
      </w:r>
      <w:r>
        <w:rPr>
          <w:spacing w:val="-3"/>
        </w:rPr>
        <w:t>年</w:t>
      </w:r>
      <w:r>
        <w:rPr>
          <w:spacing w:val="-37"/>
        </w:rPr>
        <w:t xml:space="preserve"> </w:t>
      </w:r>
      <w:r>
        <w:rPr>
          <w:spacing w:val="-3"/>
        </w:rPr>
        <w:t>3</w:t>
      </w:r>
      <w:r>
        <w:rPr>
          <w:spacing w:val="-39"/>
        </w:rPr>
        <w:t xml:space="preserve"> </w:t>
      </w:r>
      <w:r>
        <w:rPr>
          <w:spacing w:val="-3"/>
        </w:rPr>
        <w:t>月</w:t>
      </w:r>
      <w:r>
        <w:rPr>
          <w:spacing w:val="-29"/>
        </w:rPr>
        <w:t xml:space="preserve"> </w:t>
      </w:r>
      <w:r>
        <w:rPr>
          <w:spacing w:val="-3"/>
        </w:rPr>
        <w:t>1 日起施行。该《办法》的发布和实施将有</w:t>
      </w:r>
      <w:r>
        <w:t xml:space="preserve"> </w:t>
      </w:r>
      <w:r>
        <w:rPr>
          <w:spacing w:val="-2"/>
        </w:rPr>
        <w:t>助于进一步加强药物临床试验管理，规范药物临床试</w:t>
      </w:r>
      <w:r>
        <w:rPr>
          <w:spacing w:val="-3"/>
        </w:rPr>
        <w:t>验机构监督检查工作，推动我国药物临</w:t>
      </w:r>
    </w:p>
    <w:p>
      <w:pPr>
        <w:pStyle w:val="BodyText"/>
        <w:spacing w:line="220" w:lineRule="auto"/>
        <w:ind w:left="35"/>
      </w:pPr>
      <w:r>
        <w:rPr>
          <w:spacing w:val="-3"/>
        </w:rPr>
        <w:t>床试验高质量发展。</w:t>
      </w:r>
    </w:p>
    <w:p>
      <w:pPr>
        <w:pStyle w:val="BodyText"/>
        <w:spacing w:before="280" w:line="220" w:lineRule="auto"/>
        <w:ind w:left="55"/>
        <w:outlineLvl w:val="6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1.2.2</w:t>
      </w:r>
      <w:r>
        <w:rPr>
          <w:spacing w:val="-3"/>
          <w:sz w:val="24"/>
          <w:szCs w:val="24"/>
        </w:rPr>
        <w:t xml:space="preserve">  </w:t>
      </w:r>
      <w:r>
        <w:rPr>
          <w:b/>
          <w:bCs/>
          <w:spacing w:val="-3"/>
          <w:sz w:val="24"/>
          <w:szCs w:val="24"/>
        </w:rPr>
        <w:t>医疗服务政策逐步完善</w:t>
      </w:r>
    </w:p>
    <w:p>
      <w:pPr>
        <w:pStyle w:val="BodyText"/>
        <w:spacing w:before="275" w:line="221" w:lineRule="auto"/>
        <w:ind w:left="472"/>
      </w:pPr>
      <w:hyperlink r:id="rId54" w:history="1">
        <w:r>
          <w:rPr>
            <w:spacing w:val="-1"/>
          </w:rPr>
          <w:t>1.2.2.1</w:t>
        </w:r>
      </w:hyperlink>
      <w:r>
        <w:rPr>
          <w:spacing w:val="-1"/>
        </w:rPr>
        <w:t xml:space="preserve">  2023</w:t>
      </w:r>
      <w:r>
        <w:rPr>
          <w:spacing w:val="-41"/>
        </w:rPr>
        <w:t xml:space="preserve"> </w:t>
      </w:r>
      <w:r>
        <w:rPr>
          <w:spacing w:val="-1"/>
        </w:rPr>
        <w:t>年医疗服务与保障能力提升补助资金下达</w:t>
      </w:r>
    </w:p>
    <w:p>
      <w:pPr>
        <w:pStyle w:val="BodyText"/>
        <w:spacing w:before="295" w:line="343" w:lineRule="auto"/>
        <w:ind w:left="36" w:firstLine="423"/>
        <w:jc w:val="both"/>
      </w:pPr>
      <w:r>
        <w:rPr>
          <w:spacing w:val="-8"/>
        </w:rPr>
        <w:t>为提高预算完整性，</w:t>
      </w:r>
      <w:r>
        <w:rPr>
          <w:spacing w:val="-22"/>
        </w:rPr>
        <w:t xml:space="preserve"> </w:t>
      </w:r>
      <w:r>
        <w:rPr>
          <w:spacing w:val="-8"/>
        </w:rPr>
        <w:t>加快支出进度， 2023</w:t>
      </w:r>
      <w:r>
        <w:rPr>
          <w:spacing w:val="-34"/>
        </w:rPr>
        <w:t xml:space="preserve"> </w:t>
      </w:r>
      <w:r>
        <w:rPr>
          <w:spacing w:val="-8"/>
        </w:rPr>
        <w:t xml:space="preserve">年 </w:t>
      </w:r>
      <w:r>
        <w:rPr>
          <w:spacing w:val="-9"/>
        </w:rPr>
        <w:t>10</w:t>
      </w:r>
      <w:r>
        <w:rPr>
          <w:spacing w:val="-27"/>
        </w:rPr>
        <w:t xml:space="preserve"> </w:t>
      </w:r>
      <w:r>
        <w:rPr>
          <w:spacing w:val="-9"/>
        </w:rPr>
        <w:t>月</w:t>
      </w:r>
      <w:r>
        <w:rPr>
          <w:spacing w:val="-32"/>
        </w:rPr>
        <w:t xml:space="preserve"> </w:t>
      </w:r>
      <w:r>
        <w:rPr>
          <w:spacing w:val="-9"/>
        </w:rPr>
        <w:t>27 日，</w:t>
      </w:r>
      <w:r>
        <w:rPr>
          <w:spacing w:val="-43"/>
        </w:rPr>
        <w:t xml:space="preserve"> </w:t>
      </w:r>
      <w:r>
        <w:rPr>
          <w:spacing w:val="-9"/>
        </w:rPr>
        <w:t xml:space="preserve">财政部、国家卫生健康委下 </w:t>
      </w:r>
      <w:r>
        <w:rPr>
          <w:spacing w:val="-4"/>
        </w:rPr>
        <w:t>达《2023</w:t>
      </w:r>
      <w:r>
        <w:rPr>
          <w:spacing w:val="-40"/>
        </w:rPr>
        <w:t xml:space="preserve"> </w:t>
      </w:r>
      <w:r>
        <w:rPr>
          <w:spacing w:val="-4"/>
        </w:rPr>
        <w:t xml:space="preserve">年医疗服务与保障能力提升（医疗卫生机构能力建设）补助资金（第二批）预算的 </w:t>
      </w:r>
      <w:r>
        <w:rPr>
          <w:spacing w:val="-10"/>
        </w:rPr>
        <w:t>通知》（以下简称《通知》）。根据《通知》</w:t>
      </w:r>
      <w:r>
        <w:rPr>
          <w:spacing w:val="-11"/>
        </w:rPr>
        <w:t>，该项资金主要用于支持西部地区距离县城较远、</w:t>
      </w:r>
      <w:r>
        <w:t xml:space="preserve"> </w:t>
      </w:r>
      <w:r>
        <w:rPr>
          <w:spacing w:val="-3"/>
        </w:rPr>
        <w:t xml:space="preserve">服务人口较多、诊疗条件有待提升的乡镇卫生院配置升级医疗设备。该项资金重点用于以下 </w:t>
      </w:r>
      <w:r>
        <w:rPr>
          <w:spacing w:val="-4"/>
        </w:rPr>
        <w:t>方面：一是提升基本诊疗能力。支持乡镇卫生院配置和升级医疗设备，包括</w:t>
      </w:r>
      <w:r>
        <w:rPr>
          <w:spacing w:val="-44"/>
        </w:rPr>
        <w:t xml:space="preserve"> </w:t>
      </w:r>
      <w:r>
        <w:rPr>
          <w:spacing w:val="-4"/>
        </w:rPr>
        <w:t xml:space="preserve">CT（电子计算机 </w:t>
      </w:r>
      <w:r>
        <w:rPr>
          <w:spacing w:val="-8"/>
        </w:rPr>
        <w:t>断层扫描）、DR（直接数字化</w:t>
      </w:r>
      <w:r>
        <w:rPr>
          <w:spacing w:val="-34"/>
        </w:rPr>
        <w:t xml:space="preserve"> </w:t>
      </w:r>
      <w:r>
        <w:rPr>
          <w:spacing w:val="-8"/>
        </w:rPr>
        <w:t>X</w:t>
      </w:r>
      <w:r>
        <w:rPr>
          <w:spacing w:val="-44"/>
        </w:rPr>
        <w:t xml:space="preserve"> </w:t>
      </w:r>
      <w:r>
        <w:rPr>
          <w:spacing w:val="-8"/>
        </w:rPr>
        <w:t xml:space="preserve">射线摄影）、彩超、全自动生化分析仪等医疗设备。二是提升 </w:t>
      </w:r>
      <w:r>
        <w:rPr>
          <w:spacing w:val="-3"/>
        </w:rPr>
        <w:t xml:space="preserve">急诊急救能力。支持乡镇卫生院配备院前及院内急救设备，包括除颤仪、心电监护仪、心肺 </w:t>
      </w:r>
      <w:r>
        <w:rPr>
          <w:spacing w:val="-2"/>
        </w:rPr>
        <w:t>复苏仪等。三是提升远程医疗能力。支持乡镇卫生院配置</w:t>
      </w:r>
      <w:r>
        <w:rPr>
          <w:spacing w:val="-3"/>
        </w:rPr>
        <w:t>远程医疗服务相关设备，推动与上</w:t>
      </w:r>
    </w:p>
    <w:p>
      <w:pPr>
        <w:pStyle w:val="BodyText"/>
        <w:spacing w:before="1" w:line="219" w:lineRule="auto"/>
        <w:ind w:left="40"/>
      </w:pPr>
      <w:r>
        <w:t>级医院开展远程会诊、远程检查、互联网复诊</w:t>
      </w:r>
      <w:r>
        <w:rPr>
          <w:spacing w:val="-1"/>
        </w:rPr>
        <w:t>等服务项目。</w:t>
      </w:r>
    </w:p>
    <w:p>
      <w:pPr>
        <w:pStyle w:val="BodyText"/>
        <w:spacing w:before="294" w:line="343" w:lineRule="auto"/>
        <w:ind w:left="37" w:right="73" w:firstLine="420"/>
      </w:pPr>
      <w:r>
        <w:rPr>
          <w:spacing w:val="-6"/>
        </w:rPr>
        <w:t>整体来看，近年来，</w:t>
      </w:r>
      <w:r>
        <w:rPr>
          <w:spacing w:val="26"/>
        </w:rPr>
        <w:t xml:space="preserve"> </w:t>
      </w:r>
      <w:r>
        <w:rPr>
          <w:spacing w:val="-6"/>
        </w:rPr>
        <w:t>国家为县级医院的设备配置提供了全新空间。根据《通知</w:t>
      </w:r>
      <w:r>
        <w:rPr>
          <w:spacing w:val="-7"/>
        </w:rPr>
        <w:t>》，此次</w:t>
      </w:r>
      <w:r>
        <w:t xml:space="preserve"> </w:t>
      </w:r>
      <w:r>
        <w:rPr>
          <w:spacing w:val="-5"/>
        </w:rPr>
        <w:t>下达的资金约达</w:t>
      </w:r>
      <w:r>
        <w:rPr>
          <w:spacing w:val="-40"/>
        </w:rPr>
        <w:t xml:space="preserve"> </w:t>
      </w:r>
      <w:r>
        <w:rPr>
          <w:spacing w:val="-5"/>
        </w:rPr>
        <w:t>30.4897</w:t>
      </w:r>
      <w:r>
        <w:rPr>
          <w:spacing w:val="-45"/>
        </w:rPr>
        <w:t xml:space="preserve"> </w:t>
      </w:r>
      <w:r>
        <w:rPr>
          <w:spacing w:val="-5"/>
        </w:rPr>
        <w:t>亿，覆盖全国超过</w:t>
      </w:r>
      <w:r>
        <w:rPr>
          <w:spacing w:val="-40"/>
        </w:rPr>
        <w:t xml:space="preserve"> </w:t>
      </w:r>
      <w:r>
        <w:rPr>
          <w:spacing w:val="-5"/>
        </w:rPr>
        <w:t>3</w:t>
      </w:r>
      <w:r>
        <w:rPr>
          <w:spacing w:val="-6"/>
        </w:rPr>
        <w:t>0</w:t>
      </w:r>
      <w:r>
        <w:rPr>
          <w:spacing w:val="-46"/>
        </w:rPr>
        <w:t xml:space="preserve"> </w:t>
      </w:r>
      <w:r>
        <w:rPr>
          <w:spacing w:val="-6"/>
        </w:rPr>
        <w:t>个省市，重点用于医疗服务与保障能力提升，</w:t>
      </w:r>
      <w:r>
        <w:t xml:space="preserve"> </w:t>
      </w:r>
      <w:r>
        <w:rPr>
          <w:spacing w:val="-2"/>
        </w:rPr>
        <w:t>包括医疗卫生机构能力建设和服务水平、卫生健康人</w:t>
      </w:r>
      <w:r>
        <w:rPr>
          <w:spacing w:val="-3"/>
        </w:rPr>
        <w:t>才培养等。预计在优质科技资源向卫生</w:t>
      </w:r>
      <w:r>
        <w:t xml:space="preserve"> </w:t>
      </w:r>
      <w:r>
        <w:rPr>
          <w:spacing w:val="-2"/>
        </w:rPr>
        <w:t>健康领域倾斜的大背景以及诸多利好政策的影响下，</w:t>
      </w:r>
      <w:r>
        <w:rPr>
          <w:spacing w:val="-3"/>
        </w:rPr>
        <w:t>再加上此次财政补助的重点支持，卫生</w:t>
      </w:r>
    </w:p>
    <w:p>
      <w:pPr>
        <w:pStyle w:val="BodyText"/>
        <w:spacing w:before="1" w:line="219" w:lineRule="auto"/>
        <w:ind w:left="37"/>
      </w:pPr>
      <w:r>
        <w:rPr>
          <w:spacing w:val="-1"/>
        </w:rPr>
        <w:t>监督机构能力的建设将迎来新一波信息化浪潮。</w:t>
      </w:r>
    </w:p>
    <w:p>
      <w:pPr>
        <w:pStyle w:val="BodyText"/>
        <w:spacing w:before="297" w:line="221" w:lineRule="auto"/>
        <w:ind w:left="472"/>
      </w:pPr>
      <w:hyperlink r:id="rId55" w:history="1">
        <w:r>
          <w:rPr>
            <w:spacing w:val="-4"/>
          </w:rPr>
          <w:t>1.2.2.2</w:t>
        </w:r>
      </w:hyperlink>
      <w:r>
        <w:rPr>
          <w:spacing w:val="-4"/>
        </w:rPr>
        <w:t xml:space="preserve">  国家卫健委印发《突发事件医疗应急工作管理办法（试行）》</w:t>
      </w:r>
    </w:p>
    <w:p>
      <w:pPr>
        <w:pStyle w:val="BodyText"/>
        <w:spacing w:before="295" w:line="343" w:lineRule="auto"/>
        <w:ind w:left="37" w:right="74" w:firstLine="422"/>
        <w:jc w:val="both"/>
      </w:pPr>
      <w:r>
        <w:rPr>
          <w:spacing w:val="-4"/>
        </w:rPr>
        <w:t>为进一步规范突发事件医疗应急工作，2023</w:t>
      </w:r>
      <w:r>
        <w:rPr>
          <w:spacing w:val="-43"/>
        </w:rPr>
        <w:t xml:space="preserve"> </w:t>
      </w:r>
      <w:r>
        <w:rPr>
          <w:spacing w:val="-4"/>
        </w:rPr>
        <w:t>年</w:t>
      </w:r>
      <w:r>
        <w:rPr>
          <w:spacing w:val="-30"/>
        </w:rPr>
        <w:t xml:space="preserve"> </w:t>
      </w:r>
      <w:r>
        <w:rPr>
          <w:spacing w:val="-4"/>
        </w:rPr>
        <w:t>12</w:t>
      </w:r>
      <w:r>
        <w:rPr>
          <w:spacing w:val="-41"/>
        </w:rPr>
        <w:t xml:space="preserve"> </w:t>
      </w:r>
      <w:r>
        <w:rPr>
          <w:spacing w:val="-4"/>
        </w:rPr>
        <w:t>月</w:t>
      </w:r>
      <w:r>
        <w:rPr>
          <w:spacing w:val="-44"/>
        </w:rPr>
        <w:t xml:space="preserve"> </w:t>
      </w:r>
      <w:r>
        <w:rPr>
          <w:spacing w:val="-4"/>
        </w:rPr>
        <w:t>8 日，国家卫健委研究制定</w:t>
      </w:r>
      <w:r>
        <w:rPr>
          <w:spacing w:val="-5"/>
        </w:rPr>
        <w:t>了《突</w:t>
      </w:r>
      <w:r>
        <w:t xml:space="preserve"> </w:t>
      </w:r>
      <w:r>
        <w:rPr>
          <w:spacing w:val="-12"/>
        </w:rPr>
        <w:t>发事件医疗应急工作管理办法（试行）》（以下简称《办法》）</w:t>
      </w:r>
      <w:r>
        <w:rPr>
          <w:spacing w:val="-13"/>
        </w:rPr>
        <w:t>。《办法》对突发事件医疗应急</w:t>
      </w:r>
      <w:r>
        <w:t xml:space="preserve"> </w:t>
      </w:r>
      <w:r>
        <w:rPr>
          <w:spacing w:val="-2"/>
        </w:rPr>
        <w:t>信息发现和报告、医疗应急处置和保障全流程进行了</w:t>
      </w:r>
      <w:r>
        <w:rPr>
          <w:spacing w:val="-3"/>
        </w:rPr>
        <w:t>规范和要求，明确了有关部门、机构的</w:t>
      </w:r>
    </w:p>
    <w:p>
      <w:pPr>
        <w:pStyle w:val="BodyText"/>
        <w:spacing w:before="1" w:line="219" w:lineRule="auto"/>
        <w:ind w:left="39"/>
      </w:pPr>
      <w:r>
        <w:rPr>
          <w:spacing w:val="-9"/>
        </w:rPr>
        <w:t>工作职责， 分为四章二十六条。</w:t>
      </w:r>
    </w:p>
    <w:p>
      <w:pPr>
        <w:pStyle w:val="BodyText"/>
        <w:spacing w:before="295" w:line="343" w:lineRule="auto"/>
        <w:ind w:left="37" w:right="74" w:firstLine="419"/>
        <w:jc w:val="both"/>
        <w:sectPr>
          <w:headerReference w:type="default" r:id="rId56"/>
          <w:footerReference w:type="default" r:id="rId57"/>
          <w:pgSz w:w="11907" w:h="16839"/>
          <w:pgMar w:top="1099" w:right="1719" w:bottom="1362" w:left="1771" w:header="877" w:footer="1201" w:gutter="0"/>
          <w:pgNumType w:start="24"/>
          <w:cols w:space="708"/>
        </w:sectPr>
      </w:pPr>
      <w:r>
        <w:rPr>
          <w:spacing w:val="-3"/>
        </w:rPr>
        <w:t>在总则部分。明确了《办法》的法律依据、工作原则、突发事件定义和适用范围。在突</w:t>
      </w:r>
      <w:r>
        <w:rPr>
          <w:spacing w:val="17"/>
        </w:rPr>
        <w:t xml:space="preserve"> </w:t>
      </w:r>
      <w:r>
        <w:rPr>
          <w:spacing w:val="-2"/>
        </w:rPr>
        <w:t>发事件医疗应急信息的发现和报告部分。《办法》</w:t>
      </w:r>
      <w:r>
        <w:rPr>
          <w:spacing w:val="-3"/>
        </w:rPr>
        <w:t>明确了信息报告单位和人员、责任报告单</w:t>
      </w:r>
      <w:r>
        <w:t xml:space="preserve"> </w:t>
      </w:r>
    </w:p>
    <w:p>
      <w:pPr>
        <w:pStyle w:val="BodyText"/>
        <w:spacing w:before="295" w:line="343" w:lineRule="auto"/>
        <w:ind w:left="37" w:right="74" w:firstLine="419"/>
        <w:jc w:val="both"/>
      </w:pPr>
      <w:r>
        <w:rPr>
          <w:spacing w:val="-2"/>
        </w:rPr>
        <w:t>位、信息报告流程和报告具体要求，着重强调了突发</w:t>
      </w:r>
      <w:r>
        <w:rPr>
          <w:spacing w:val="-3"/>
        </w:rPr>
        <w:t>事件信息分级报告的时限要求和报告内</w:t>
      </w:r>
      <w:r>
        <w:t xml:space="preserve"> </w:t>
      </w:r>
      <w:r>
        <w:rPr>
          <w:spacing w:val="-2"/>
        </w:rPr>
        <w:t>容。在突发事件医疗应急处置部分。《办法》提出</w:t>
      </w:r>
      <w:r>
        <w:rPr>
          <w:spacing w:val="-3"/>
        </w:rPr>
        <w:t>了各级卫生健康行政部门开展医疗应急的</w:t>
      </w:r>
    </w:p>
    <w:p>
      <w:pPr>
        <w:pStyle w:val="BodyText"/>
        <w:spacing w:line="220" w:lineRule="auto"/>
        <w:ind w:left="39"/>
      </w:pPr>
      <w:r>
        <w:rPr>
          <w:spacing w:val="-7"/>
        </w:rPr>
        <w:t>工作原则和责任， 按照“快速响应、高效处置”的原则，</w:t>
      </w:r>
      <w:r>
        <w:rPr>
          <w:spacing w:val="-8"/>
        </w:rPr>
        <w:t xml:space="preserve"> 明确了医疗应急现场处置规范、检</w:t>
      </w:r>
    </w:p>
    <w:p>
      <w:pPr>
        <w:spacing w:line="220" w:lineRule="auto"/>
        <w:sectPr>
          <w:headerReference w:type="default" r:id="rId58"/>
          <w:footerReference w:type="default" r:id="rId59"/>
          <w:type w:val="nextPage"/>
          <w:pgSz w:w="11907" w:h="16839"/>
          <w:pgMar w:top="1099" w:right="1719" w:bottom="1362" w:left="1771" w:header="877" w:footer="1201" w:gutter="0"/>
          <w:pgNumType w:start="25"/>
          <w:cols w:space="708"/>
          <w:titlePg w:val="0"/>
        </w:sectPr>
      </w:pPr>
    </w:p>
    <w:p>
      <w:pPr>
        <w:spacing w:line="360" w:lineRule="auto"/>
        <w:rPr>
          <w:rFonts w:ascii="Arial"/>
          <w:sz w:val="21"/>
        </w:rPr>
      </w:pPr>
    </w:p>
    <w:p>
      <w:pPr>
        <w:pStyle w:val="BodyText"/>
        <w:spacing w:before="68" w:line="343" w:lineRule="auto"/>
        <w:ind w:left="37" w:right="74"/>
        <w:jc w:val="both"/>
      </w:pPr>
      <w:r>
        <w:rPr>
          <w:spacing w:val="-2"/>
        </w:rPr>
        <w:t>伤分类、伤员后送和伤病员救治相关要求。在突发</w:t>
      </w:r>
      <w:r>
        <w:rPr>
          <w:spacing w:val="-3"/>
        </w:rPr>
        <w:t>事件医疗应急保障部分。《办法》对医疗</w:t>
      </w:r>
      <w:r>
        <w:t xml:space="preserve"> </w:t>
      </w:r>
      <w:r>
        <w:rPr>
          <w:spacing w:val="-2"/>
        </w:rPr>
        <w:t>应急队伍和基地建设管理、医疗应急专家库建设、</w:t>
      </w:r>
      <w:r>
        <w:rPr>
          <w:spacing w:val="-3"/>
        </w:rPr>
        <w:t>医疗应急预案制定、医药物资储备、培训</w:t>
      </w:r>
    </w:p>
    <w:p>
      <w:pPr>
        <w:pStyle w:val="BodyText"/>
        <w:spacing w:line="219" w:lineRule="auto"/>
        <w:ind w:left="37"/>
      </w:pPr>
      <w:r>
        <w:rPr>
          <w:spacing w:val="-1"/>
        </w:rPr>
        <w:t>演练、科普宣教、科研创新、工作人员保障及奖惩制度等工作进行了规定。</w:t>
      </w:r>
    </w:p>
    <w:p>
      <w:pPr>
        <w:pStyle w:val="BodyText"/>
        <w:spacing w:before="295" w:line="343" w:lineRule="auto"/>
        <w:ind w:left="36" w:right="73" w:firstLine="422"/>
        <w:jc w:val="both"/>
      </w:pPr>
      <w:r>
        <w:rPr>
          <w:spacing w:val="-3"/>
        </w:rPr>
        <w:t>《办法》的出台将有助于进一步指导和规范全国突发事件医疗应急工作，提升紧急医学</w:t>
      </w:r>
      <w:r>
        <w:rPr>
          <w:spacing w:val="15"/>
        </w:rPr>
        <w:t xml:space="preserve"> </w:t>
      </w:r>
      <w:r>
        <w:rPr>
          <w:spacing w:val="-2"/>
        </w:rPr>
        <w:t>救援能力，维护人民群众生命安全和身体健康。与此同</w:t>
      </w:r>
      <w:r>
        <w:rPr>
          <w:spacing w:val="-3"/>
        </w:rPr>
        <w:t>时，也将有利于有效减轻各类突发事</w:t>
      </w:r>
      <w:r>
        <w:t xml:space="preserve"> </w:t>
      </w:r>
      <w:r>
        <w:rPr>
          <w:spacing w:val="-2"/>
        </w:rPr>
        <w:t>件对人民群众身心健康和生命安全的危害，维护人民群</w:t>
      </w:r>
      <w:r>
        <w:rPr>
          <w:spacing w:val="-3"/>
        </w:rPr>
        <w:t>众健康权益，保障社会和谐稳定与经</w:t>
      </w:r>
    </w:p>
    <w:p>
      <w:pPr>
        <w:pStyle w:val="BodyText"/>
        <w:spacing w:line="220" w:lineRule="auto"/>
        <w:ind w:left="37"/>
      </w:pPr>
      <w:r>
        <w:rPr>
          <w:spacing w:val="-1"/>
        </w:rPr>
        <w:t>济平稳发展。</w:t>
      </w:r>
    </w:p>
    <w:p>
      <w:pPr>
        <w:pStyle w:val="BodyText"/>
        <w:spacing w:before="278" w:line="219" w:lineRule="auto"/>
        <w:ind w:left="55"/>
        <w:outlineLvl w:val="6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1.2.3</w:t>
      </w:r>
      <w:r>
        <w:rPr>
          <w:spacing w:val="-3"/>
          <w:sz w:val="24"/>
          <w:szCs w:val="24"/>
        </w:rPr>
        <w:t xml:space="preserve">  </w:t>
      </w:r>
      <w:r>
        <w:rPr>
          <w:b/>
          <w:bCs/>
          <w:spacing w:val="-3"/>
          <w:sz w:val="24"/>
          <w:szCs w:val="24"/>
        </w:rPr>
        <w:t>新版国家医保药品目录发布</w:t>
      </w:r>
    </w:p>
    <w:p>
      <w:pPr>
        <w:pStyle w:val="BodyText"/>
        <w:spacing w:before="277" w:line="343" w:lineRule="auto"/>
        <w:ind w:left="36" w:right="2" w:firstLine="423"/>
        <w:jc w:val="both"/>
      </w:pPr>
      <w:r>
        <w:rPr>
          <w:spacing w:val="-6"/>
        </w:rPr>
        <w:t>2023</w:t>
      </w:r>
      <w:r>
        <w:rPr>
          <w:spacing w:val="-36"/>
        </w:rPr>
        <w:t xml:space="preserve"> </w:t>
      </w:r>
      <w:r>
        <w:rPr>
          <w:spacing w:val="-6"/>
        </w:rPr>
        <w:t>年 12</w:t>
      </w:r>
      <w:r>
        <w:rPr>
          <w:spacing w:val="-32"/>
        </w:rPr>
        <w:t xml:space="preserve"> </w:t>
      </w:r>
      <w:r>
        <w:rPr>
          <w:spacing w:val="-6"/>
        </w:rPr>
        <w:t>月 13 日，国家医保局召开新闻发</w:t>
      </w:r>
      <w:r>
        <w:rPr>
          <w:spacing w:val="-7"/>
        </w:rPr>
        <w:t>布会，</w:t>
      </w:r>
      <w:r>
        <w:rPr>
          <w:spacing w:val="-22"/>
        </w:rPr>
        <w:t xml:space="preserve"> </w:t>
      </w:r>
      <w:r>
        <w:rPr>
          <w:spacing w:val="-7"/>
        </w:rPr>
        <w:t>介绍了</w:t>
      </w:r>
      <w:r>
        <w:rPr>
          <w:spacing w:val="-32"/>
        </w:rPr>
        <w:t xml:space="preserve"> </w:t>
      </w:r>
      <w:r>
        <w:rPr>
          <w:spacing w:val="-7"/>
        </w:rPr>
        <w:t>2023</w:t>
      </w:r>
      <w:r>
        <w:rPr>
          <w:spacing w:val="-36"/>
        </w:rPr>
        <w:t xml:space="preserve"> </w:t>
      </w:r>
      <w:r>
        <w:rPr>
          <w:spacing w:val="-7"/>
        </w:rPr>
        <w:t>年国家基本医疗保险、</w:t>
      </w:r>
      <w:r>
        <w:t xml:space="preserve"> </w:t>
      </w:r>
      <w:r>
        <w:rPr>
          <w:spacing w:val="-3"/>
        </w:rPr>
        <w:t>工伤保险、生育保险药品目录调整结果。本次医保目录调整，共</w:t>
      </w:r>
      <w:r>
        <w:rPr>
          <w:spacing w:val="-4"/>
        </w:rPr>
        <w:t>有</w:t>
      </w:r>
      <w:r>
        <w:rPr>
          <w:spacing w:val="-28"/>
        </w:rPr>
        <w:t xml:space="preserve"> </w:t>
      </w:r>
      <w:r>
        <w:rPr>
          <w:spacing w:val="-4"/>
        </w:rPr>
        <w:t>126</w:t>
      </w:r>
      <w:r>
        <w:rPr>
          <w:spacing w:val="-46"/>
        </w:rPr>
        <w:t xml:space="preserve"> </w:t>
      </w:r>
      <w:r>
        <w:rPr>
          <w:spacing w:val="-4"/>
        </w:rPr>
        <w:t xml:space="preserve">个药品新增进入国家 </w:t>
      </w:r>
      <w:r>
        <w:rPr>
          <w:spacing w:val="-6"/>
        </w:rPr>
        <w:t>医保药品目录， 1</w:t>
      </w:r>
      <w:r>
        <w:rPr>
          <w:spacing w:val="-30"/>
        </w:rPr>
        <w:t xml:space="preserve"> </w:t>
      </w:r>
      <w:r>
        <w:rPr>
          <w:spacing w:val="-6"/>
        </w:rPr>
        <w:t>个药品被调出目录。143</w:t>
      </w:r>
      <w:r>
        <w:rPr>
          <w:spacing w:val="-42"/>
        </w:rPr>
        <w:t xml:space="preserve"> </w:t>
      </w:r>
      <w:r>
        <w:rPr>
          <w:spacing w:val="-6"/>
        </w:rPr>
        <w:t>个目录外药品参加谈判或竞价，</w:t>
      </w:r>
      <w:r>
        <w:rPr>
          <w:spacing w:val="-21"/>
        </w:rPr>
        <w:t xml:space="preserve"> </w:t>
      </w:r>
      <w:r>
        <w:rPr>
          <w:spacing w:val="-6"/>
        </w:rPr>
        <w:t>其中</w:t>
      </w:r>
      <w:r>
        <w:rPr>
          <w:spacing w:val="-26"/>
        </w:rPr>
        <w:t xml:space="preserve"> </w:t>
      </w:r>
      <w:r>
        <w:rPr>
          <w:spacing w:val="-6"/>
        </w:rPr>
        <w:t>121</w:t>
      </w:r>
      <w:r>
        <w:rPr>
          <w:spacing w:val="-41"/>
        </w:rPr>
        <w:t xml:space="preserve"> </w:t>
      </w:r>
      <w:r>
        <w:rPr>
          <w:spacing w:val="-6"/>
        </w:rPr>
        <w:t xml:space="preserve">个药品 </w:t>
      </w:r>
      <w:r>
        <w:rPr>
          <w:spacing w:val="-3"/>
        </w:rPr>
        <w:t>谈判或竞价成功，谈判成功率为</w:t>
      </w:r>
      <w:r>
        <w:rPr>
          <w:spacing w:val="-43"/>
        </w:rPr>
        <w:t xml:space="preserve"> </w:t>
      </w:r>
      <w:r>
        <w:rPr>
          <w:spacing w:val="-3"/>
        </w:rPr>
        <w:t>84.6%，平均降价</w:t>
      </w:r>
      <w:r>
        <w:rPr>
          <w:spacing w:val="-45"/>
        </w:rPr>
        <w:t xml:space="preserve"> </w:t>
      </w:r>
      <w:r>
        <w:rPr>
          <w:spacing w:val="-3"/>
        </w:rPr>
        <w:t>61.7%，成功率和价格降幅均与</w:t>
      </w:r>
      <w:r>
        <w:rPr>
          <w:spacing w:val="-41"/>
        </w:rPr>
        <w:t xml:space="preserve"> </w:t>
      </w:r>
      <w:r>
        <w:rPr>
          <w:spacing w:val="-3"/>
        </w:rPr>
        <w:t>202</w:t>
      </w:r>
      <w:r>
        <w:rPr>
          <w:spacing w:val="-4"/>
        </w:rPr>
        <w:t>2</w:t>
      </w:r>
      <w:r>
        <w:rPr>
          <w:spacing w:val="-45"/>
        </w:rPr>
        <w:t xml:space="preserve"> </w:t>
      </w:r>
      <w:r>
        <w:rPr>
          <w:spacing w:val="-4"/>
        </w:rPr>
        <w:t xml:space="preserve">年基 </w:t>
      </w:r>
      <w:r>
        <w:rPr>
          <w:spacing w:val="-4"/>
        </w:rPr>
        <w:t>本相当。本轮调整后，国家医保药品目录内药品</w:t>
      </w:r>
      <w:r>
        <w:rPr>
          <w:spacing w:val="-5"/>
        </w:rPr>
        <w:t>总数达到</w:t>
      </w:r>
      <w:r>
        <w:rPr>
          <w:spacing w:val="-40"/>
        </w:rPr>
        <w:t xml:space="preserve"> </w:t>
      </w:r>
      <w:r>
        <w:rPr>
          <w:spacing w:val="-5"/>
        </w:rPr>
        <w:t>3088</w:t>
      </w:r>
      <w:r>
        <w:rPr>
          <w:spacing w:val="-44"/>
        </w:rPr>
        <w:t xml:space="preserve"> </w:t>
      </w:r>
      <w:r>
        <w:rPr>
          <w:spacing w:val="-5"/>
        </w:rPr>
        <w:t>种。其中，</w:t>
      </w:r>
      <w:r>
        <w:rPr>
          <w:spacing w:val="-34"/>
        </w:rPr>
        <w:t xml:space="preserve"> </w:t>
      </w:r>
      <w:r>
        <w:rPr>
          <w:spacing w:val="-5"/>
        </w:rPr>
        <w:t>西药</w:t>
      </w:r>
      <w:r>
        <w:rPr>
          <w:spacing w:val="-28"/>
        </w:rPr>
        <w:t xml:space="preserve"> </w:t>
      </w:r>
      <w:r>
        <w:rPr>
          <w:spacing w:val="-5"/>
        </w:rPr>
        <w:t>1698</w:t>
      </w:r>
      <w:r>
        <w:rPr>
          <w:spacing w:val="-44"/>
        </w:rPr>
        <w:t xml:space="preserve"> </w:t>
      </w:r>
      <w:r>
        <w:rPr>
          <w:spacing w:val="-5"/>
        </w:rPr>
        <w:t>种，中</w:t>
      </w:r>
    </w:p>
    <w:p>
      <w:pPr>
        <w:pStyle w:val="BodyText"/>
        <w:spacing w:before="1" w:line="220" w:lineRule="auto"/>
        <w:ind w:left="38"/>
      </w:pPr>
      <w:r>
        <w:rPr>
          <w:spacing w:val="-9"/>
        </w:rPr>
        <w:t>成药</w:t>
      </w:r>
      <w:r>
        <w:rPr>
          <w:spacing w:val="-20"/>
        </w:rPr>
        <w:t xml:space="preserve"> </w:t>
      </w:r>
      <w:r>
        <w:rPr>
          <w:spacing w:val="-9"/>
        </w:rPr>
        <w:t>1390</w:t>
      </w:r>
      <w:r>
        <w:rPr>
          <w:spacing w:val="-46"/>
        </w:rPr>
        <w:t xml:space="preserve"> </w:t>
      </w:r>
      <w:r>
        <w:rPr>
          <w:spacing w:val="-9"/>
        </w:rPr>
        <w:t>种， 中药饮片仍为</w:t>
      </w:r>
      <w:r>
        <w:rPr>
          <w:spacing w:val="-43"/>
        </w:rPr>
        <w:t xml:space="preserve"> </w:t>
      </w:r>
      <w:r>
        <w:rPr>
          <w:spacing w:val="-9"/>
        </w:rPr>
        <w:t>892</w:t>
      </w:r>
      <w:r>
        <w:rPr>
          <w:spacing w:val="-47"/>
        </w:rPr>
        <w:t xml:space="preserve"> </w:t>
      </w:r>
      <w:r>
        <w:rPr>
          <w:spacing w:val="-9"/>
        </w:rPr>
        <w:t>种。</w:t>
      </w:r>
    </w:p>
    <w:p>
      <w:pPr>
        <w:pStyle w:val="BodyText"/>
        <w:spacing w:before="295" w:line="343" w:lineRule="auto"/>
        <w:ind w:left="37" w:right="73" w:firstLine="419"/>
        <w:jc w:val="both"/>
      </w:pPr>
      <w:r>
        <w:rPr>
          <w:spacing w:val="-3"/>
        </w:rPr>
        <w:t>本次目录调整健全了从评审到谈判全流程对创新药的倾斜机制。新药从获批上市到进入</w:t>
      </w:r>
      <w:r>
        <w:rPr>
          <w:spacing w:val="16"/>
        </w:rPr>
        <w:t xml:space="preserve"> </w:t>
      </w:r>
      <w:r>
        <w:rPr>
          <w:spacing w:val="-4"/>
        </w:rPr>
        <w:t>目录的平均时间，从原来的</w:t>
      </w:r>
      <w:r>
        <w:rPr>
          <w:spacing w:val="-37"/>
        </w:rPr>
        <w:t xml:space="preserve"> </w:t>
      </w:r>
      <w:r>
        <w:rPr>
          <w:spacing w:val="-4"/>
        </w:rPr>
        <w:t>5</w:t>
      </w:r>
      <w:r>
        <w:rPr>
          <w:spacing w:val="-43"/>
        </w:rPr>
        <w:t xml:space="preserve"> </w:t>
      </w:r>
      <w:r>
        <w:rPr>
          <w:spacing w:val="-4"/>
        </w:rPr>
        <w:t>年多缩短到现在的</w:t>
      </w:r>
      <w:r>
        <w:rPr>
          <w:spacing w:val="-26"/>
        </w:rPr>
        <w:t xml:space="preserve"> </w:t>
      </w:r>
      <w:r>
        <w:rPr>
          <w:spacing w:val="-4"/>
        </w:rPr>
        <w:t>1</w:t>
      </w:r>
      <w:r>
        <w:rPr>
          <w:spacing w:val="-43"/>
        </w:rPr>
        <w:t xml:space="preserve"> </w:t>
      </w:r>
      <w:r>
        <w:rPr>
          <w:spacing w:val="-4"/>
        </w:rPr>
        <w:t>年多， 80</w:t>
      </w:r>
      <w:r>
        <w:rPr>
          <w:spacing w:val="-5"/>
        </w:rPr>
        <w:t>%的新药能够在上市之后的</w:t>
      </w:r>
      <w:r>
        <w:rPr>
          <w:spacing w:val="-41"/>
        </w:rPr>
        <w:t xml:space="preserve"> </w:t>
      </w:r>
      <w:r>
        <w:rPr>
          <w:spacing w:val="-5"/>
        </w:rPr>
        <w:t>2</w:t>
      </w:r>
      <w:r>
        <w:rPr>
          <w:spacing w:val="-41"/>
        </w:rPr>
        <w:t xml:space="preserve"> </w:t>
      </w:r>
      <w:r>
        <w:rPr>
          <w:spacing w:val="-5"/>
        </w:rPr>
        <w:t>年</w:t>
      </w:r>
      <w:r>
        <w:t xml:space="preserve"> </w:t>
      </w:r>
      <w:r>
        <w:rPr>
          <w:spacing w:val="-2"/>
        </w:rPr>
        <w:t>内进入医保药品目录。2023</w:t>
      </w:r>
      <w:r>
        <w:rPr>
          <w:spacing w:val="-33"/>
        </w:rPr>
        <w:t xml:space="preserve"> </w:t>
      </w:r>
      <w:r>
        <w:rPr>
          <w:spacing w:val="-2"/>
        </w:rPr>
        <w:t>年，有</w:t>
      </w:r>
      <w:r>
        <w:rPr>
          <w:spacing w:val="-42"/>
        </w:rPr>
        <w:t xml:space="preserve"> </w:t>
      </w:r>
      <w:r>
        <w:rPr>
          <w:spacing w:val="-2"/>
        </w:rPr>
        <w:t>57</w:t>
      </w:r>
      <w:r>
        <w:rPr>
          <w:spacing w:val="-46"/>
        </w:rPr>
        <w:t xml:space="preserve"> </w:t>
      </w:r>
      <w:r>
        <w:rPr>
          <w:spacing w:val="-2"/>
        </w:rPr>
        <w:t>个品种实现了当年获批、当年纳入目录。例如，赛诺</w:t>
      </w:r>
      <w:r>
        <w:t xml:space="preserve"> </w:t>
      </w:r>
      <w:r>
        <w:rPr>
          <w:spacing w:val="-2"/>
        </w:rPr>
        <w:t xml:space="preserve">菲的甘精胰岛素利司那肚注射液（I）/（II）于 1 月获批上市，不到 1 </w:t>
      </w:r>
      <w:r>
        <w:rPr>
          <w:spacing w:val="-3"/>
        </w:rPr>
        <w:t>年时间就被纳入目</w:t>
      </w:r>
      <w:r>
        <w:t xml:space="preserve"> </w:t>
      </w:r>
      <w:r>
        <w:rPr>
          <w:spacing w:val="-2"/>
        </w:rPr>
        <w:t>录。还有多款此前已在医保目录内的创新药以新增</w:t>
      </w:r>
      <w:r>
        <w:rPr>
          <w:spacing w:val="-3"/>
        </w:rPr>
        <w:t>适应症、协议到期续约回到谈判桌前。例</w:t>
      </w:r>
      <w:r>
        <w:t xml:space="preserve"> </w:t>
      </w:r>
      <w:r>
        <w:rPr>
          <w:spacing w:val="-4"/>
        </w:rPr>
        <w:t>如，</w:t>
      </w:r>
      <w:r>
        <w:rPr>
          <w:spacing w:val="-43"/>
        </w:rPr>
        <w:t xml:space="preserve"> </w:t>
      </w:r>
      <w:r>
        <w:rPr>
          <w:spacing w:val="-4"/>
        </w:rPr>
        <w:t>恒瑞医药的卡瑞利珠单抗、百济神州的替雷利珠单抗、信达生物的信迪利单抗以及君实</w:t>
      </w:r>
      <w:r>
        <w:t xml:space="preserve"> </w:t>
      </w:r>
      <w:r>
        <w:rPr>
          <w:spacing w:val="-1"/>
        </w:rPr>
        <w:t>生物的特瑞普利单抗等四大国产</w:t>
      </w:r>
      <w:r>
        <w:rPr>
          <w:spacing w:val="-48"/>
        </w:rPr>
        <w:t xml:space="preserve"> </w:t>
      </w:r>
      <w:r>
        <w:rPr>
          <w:spacing w:val="-1"/>
        </w:rPr>
        <w:t>PD-1</w:t>
      </w:r>
      <w:r>
        <w:rPr>
          <w:spacing w:val="-43"/>
        </w:rPr>
        <w:t xml:space="preserve"> </w:t>
      </w:r>
      <w:r>
        <w:rPr>
          <w:spacing w:val="-1"/>
        </w:rPr>
        <w:t>均谈判成功。共计</w:t>
      </w:r>
      <w:r>
        <w:rPr>
          <w:spacing w:val="-26"/>
        </w:rPr>
        <w:t xml:space="preserve"> </w:t>
      </w:r>
      <w:r>
        <w:rPr>
          <w:spacing w:val="-1"/>
        </w:rPr>
        <w:t>15</w:t>
      </w:r>
      <w:r>
        <w:rPr>
          <w:spacing w:val="-44"/>
        </w:rPr>
        <w:t xml:space="preserve"> </w:t>
      </w:r>
      <w:r>
        <w:rPr>
          <w:spacing w:val="-1"/>
        </w:rPr>
        <w:t>个目录外罕见病用药谈判/竞价</w:t>
      </w:r>
      <w:r>
        <w:t xml:space="preserve"> </w:t>
      </w:r>
      <w:r>
        <w:rPr>
          <w:spacing w:val="-7"/>
        </w:rPr>
        <w:t>成功，</w:t>
      </w:r>
      <w:r>
        <w:rPr>
          <w:spacing w:val="-22"/>
        </w:rPr>
        <w:t xml:space="preserve"> </w:t>
      </w:r>
      <w:r>
        <w:rPr>
          <w:spacing w:val="-7"/>
        </w:rPr>
        <w:t>覆盖</w:t>
      </w:r>
      <w:r>
        <w:rPr>
          <w:spacing w:val="-31"/>
        </w:rPr>
        <w:t xml:space="preserve"> </w:t>
      </w:r>
      <w:r>
        <w:rPr>
          <w:spacing w:val="-7"/>
        </w:rPr>
        <w:t>16</w:t>
      </w:r>
      <w:r>
        <w:rPr>
          <w:spacing w:val="-44"/>
        </w:rPr>
        <w:t xml:space="preserve"> </w:t>
      </w:r>
      <w:r>
        <w:rPr>
          <w:spacing w:val="-7"/>
        </w:rPr>
        <w:t>个罕见病病种，</w:t>
      </w:r>
      <w:r>
        <w:rPr>
          <w:spacing w:val="-43"/>
        </w:rPr>
        <w:t xml:space="preserve"> </w:t>
      </w:r>
      <w:r>
        <w:rPr>
          <w:spacing w:val="-7"/>
        </w:rPr>
        <w:t>填补了</w:t>
      </w:r>
      <w:r>
        <w:rPr>
          <w:spacing w:val="-30"/>
        </w:rPr>
        <w:t xml:space="preserve"> </w:t>
      </w:r>
      <w:r>
        <w:rPr>
          <w:spacing w:val="-7"/>
        </w:rPr>
        <w:t>10</w:t>
      </w:r>
      <w:r>
        <w:rPr>
          <w:spacing w:val="-44"/>
        </w:rPr>
        <w:t xml:space="preserve"> </w:t>
      </w:r>
      <w:r>
        <w:rPr>
          <w:spacing w:val="-7"/>
        </w:rPr>
        <w:t>个病种的用</w:t>
      </w:r>
      <w:r>
        <w:rPr>
          <w:spacing w:val="-8"/>
        </w:rPr>
        <w:t>药保障空白。特别是戈谢病、重症肌无</w:t>
      </w:r>
    </w:p>
    <w:p>
      <w:pPr>
        <w:pStyle w:val="BodyText"/>
        <w:spacing w:before="1" w:line="219" w:lineRule="auto"/>
        <w:ind w:left="40"/>
      </w:pPr>
      <w:r>
        <w:rPr>
          <w:spacing w:val="-1"/>
        </w:rPr>
        <w:t>力等多年未得到解决、社会影响较大的疾病治疗用药被纳入目录。</w:t>
      </w:r>
    </w:p>
    <w:p>
      <w:pPr>
        <w:pStyle w:val="BodyText"/>
        <w:spacing w:before="294" w:line="343" w:lineRule="auto"/>
        <w:ind w:left="36" w:firstLine="455"/>
        <w:sectPr>
          <w:headerReference w:type="default" r:id="rId60"/>
          <w:footerReference w:type="default" r:id="rId61"/>
          <w:pgSz w:w="11907" w:h="16839"/>
          <w:pgMar w:top="1099" w:right="1719" w:bottom="1362" w:left="1771" w:header="877" w:footer="1201" w:gutter="0"/>
          <w:pgNumType w:start="26"/>
          <w:cols w:space="708"/>
        </w:sectPr>
      </w:pPr>
      <w:r>
        <w:rPr>
          <w:spacing w:val="-10"/>
        </w:rPr>
        <w:t>自</w:t>
      </w:r>
      <w:r>
        <w:rPr>
          <w:spacing w:val="-39"/>
        </w:rPr>
        <w:t xml:space="preserve"> </w:t>
      </w:r>
      <w:r>
        <w:rPr>
          <w:spacing w:val="-10"/>
        </w:rPr>
        <w:t>2017</w:t>
      </w:r>
      <w:r>
        <w:rPr>
          <w:spacing w:val="-43"/>
        </w:rPr>
        <w:t xml:space="preserve"> </w:t>
      </w:r>
      <w:r>
        <w:rPr>
          <w:spacing w:val="-10"/>
        </w:rPr>
        <w:t>年以来， 经过</w:t>
      </w:r>
      <w:r>
        <w:rPr>
          <w:spacing w:val="-40"/>
        </w:rPr>
        <w:t xml:space="preserve"> </w:t>
      </w:r>
      <w:r>
        <w:rPr>
          <w:spacing w:val="-10"/>
        </w:rPr>
        <w:t>6</w:t>
      </w:r>
      <w:r>
        <w:rPr>
          <w:spacing w:val="-44"/>
        </w:rPr>
        <w:t xml:space="preserve"> </w:t>
      </w:r>
      <w:r>
        <w:rPr>
          <w:spacing w:val="-10"/>
        </w:rPr>
        <w:t>轮调整，</w:t>
      </w:r>
      <w:r>
        <w:rPr>
          <w:spacing w:val="24"/>
        </w:rPr>
        <w:t xml:space="preserve"> </w:t>
      </w:r>
      <w:r>
        <w:rPr>
          <w:spacing w:val="-10"/>
        </w:rPr>
        <w:t>国家医保局累计将</w:t>
      </w:r>
      <w:r>
        <w:rPr>
          <w:spacing w:val="-39"/>
        </w:rPr>
        <w:t xml:space="preserve"> </w:t>
      </w:r>
      <w:r>
        <w:rPr>
          <w:spacing w:val="-10"/>
        </w:rPr>
        <w:t>744</w:t>
      </w:r>
      <w:r>
        <w:rPr>
          <w:spacing w:val="-44"/>
        </w:rPr>
        <w:t xml:space="preserve"> </w:t>
      </w:r>
      <w:r>
        <w:rPr>
          <w:spacing w:val="-10"/>
        </w:rPr>
        <w:t>个药</w:t>
      </w:r>
      <w:r>
        <w:rPr>
          <w:spacing w:val="-11"/>
        </w:rPr>
        <w:t xml:space="preserve">品新增进入医保目录， 其 </w:t>
      </w:r>
      <w:r>
        <w:rPr>
          <w:spacing w:val="-5"/>
        </w:rPr>
        <w:t>中谈判新增</w:t>
      </w:r>
      <w:r>
        <w:rPr>
          <w:spacing w:val="-42"/>
        </w:rPr>
        <w:t xml:space="preserve"> </w:t>
      </w:r>
      <w:r>
        <w:rPr>
          <w:spacing w:val="-5"/>
        </w:rPr>
        <w:t>446</w:t>
      </w:r>
      <w:r>
        <w:rPr>
          <w:spacing w:val="-46"/>
        </w:rPr>
        <w:t xml:space="preserve"> </w:t>
      </w:r>
      <w:r>
        <w:rPr>
          <w:spacing w:val="-5"/>
        </w:rPr>
        <w:t>个，覆盖了目录全部</w:t>
      </w:r>
      <w:r>
        <w:rPr>
          <w:spacing w:val="-40"/>
        </w:rPr>
        <w:t xml:space="preserve"> </w:t>
      </w:r>
      <w:r>
        <w:rPr>
          <w:spacing w:val="-5"/>
        </w:rPr>
        <w:t>31</w:t>
      </w:r>
      <w:r>
        <w:rPr>
          <w:spacing w:val="-46"/>
        </w:rPr>
        <w:t xml:space="preserve"> </w:t>
      </w:r>
      <w:r>
        <w:rPr>
          <w:spacing w:val="-5"/>
        </w:rPr>
        <w:t>个治疗领域。谈判准入的药品中，肿瘤用药达到</w:t>
      </w:r>
      <w:r>
        <w:rPr>
          <w:spacing w:val="-28"/>
        </w:rPr>
        <w:t xml:space="preserve"> </w:t>
      </w:r>
      <w:r>
        <w:rPr>
          <w:spacing w:val="-5"/>
        </w:rPr>
        <w:t xml:space="preserve">100 </w:t>
      </w:r>
      <w:r>
        <w:rPr>
          <w:spacing w:val="-1"/>
        </w:rPr>
        <w:t>个，高血压、糖尿病、精神病等慢性病用药</w:t>
      </w:r>
      <w:r>
        <w:rPr>
          <w:spacing w:val="-25"/>
        </w:rPr>
        <w:t xml:space="preserve"> </w:t>
      </w:r>
      <w:r>
        <w:rPr>
          <w:spacing w:val="-1"/>
        </w:rPr>
        <w:t>93</w:t>
      </w:r>
      <w:r>
        <w:rPr>
          <w:spacing w:val="-41"/>
        </w:rPr>
        <w:t xml:space="preserve"> </w:t>
      </w:r>
      <w:r>
        <w:rPr>
          <w:spacing w:val="-1"/>
        </w:rPr>
        <w:t xml:space="preserve">个。通过谈判纳入目录的药品，大部分是近 </w:t>
      </w:r>
      <w:r>
        <w:rPr>
          <w:spacing w:val="-3"/>
        </w:rPr>
        <w:t>年来新上市、临床价值高的药品，大量新机制、新靶</w:t>
      </w:r>
      <w:r>
        <w:rPr>
          <w:spacing w:val="-4"/>
        </w:rPr>
        <w:t>点药物被纳入目录。同时，</w:t>
      </w:r>
      <w:r>
        <w:rPr>
          <w:spacing w:val="-28"/>
        </w:rPr>
        <w:t xml:space="preserve"> </w:t>
      </w:r>
      <w:r>
        <w:rPr>
          <w:spacing w:val="-4"/>
        </w:rPr>
        <w:t>6</w:t>
      </w:r>
      <w:r>
        <w:rPr>
          <w:spacing w:val="-43"/>
        </w:rPr>
        <w:t xml:space="preserve"> </w:t>
      </w:r>
      <w:r>
        <w:rPr>
          <w:spacing w:val="-4"/>
        </w:rPr>
        <w:t xml:space="preserve">年累计调 </w:t>
      </w:r>
      <w:r>
        <w:rPr>
          <w:spacing w:val="-4"/>
        </w:rPr>
        <w:t>出了</w:t>
      </w:r>
      <w:r>
        <w:rPr>
          <w:spacing w:val="-40"/>
        </w:rPr>
        <w:t xml:space="preserve"> </w:t>
      </w:r>
      <w:r>
        <w:rPr>
          <w:spacing w:val="-4"/>
        </w:rPr>
        <w:t>395</w:t>
      </w:r>
      <w:r>
        <w:rPr>
          <w:spacing w:val="-44"/>
        </w:rPr>
        <w:t xml:space="preserve"> </w:t>
      </w:r>
      <w:r>
        <w:rPr>
          <w:spacing w:val="-4"/>
        </w:rPr>
        <w:t>个疗效不确切、容易临床上滥用以及临床被淘汰或者即</w:t>
      </w:r>
      <w:r>
        <w:rPr>
          <w:spacing w:val="-5"/>
        </w:rPr>
        <w:t>将退市的药品，</w:t>
      </w:r>
      <w:r>
        <w:rPr>
          <w:spacing w:val="-52"/>
        </w:rPr>
        <w:t xml:space="preserve"> </w:t>
      </w:r>
      <w:r>
        <w:rPr>
          <w:spacing w:val="-5"/>
        </w:rPr>
        <w:t xml:space="preserve">引领药品使 </w:t>
      </w:r>
      <w:r>
        <w:rPr>
          <w:spacing w:val="-4"/>
        </w:rPr>
        <w:t>用端发生深刻变化。整体来看， 随着</w:t>
      </w:r>
      <w:r>
        <w:rPr>
          <w:spacing w:val="-43"/>
        </w:rPr>
        <w:t xml:space="preserve"> </w:t>
      </w:r>
      <w:r>
        <w:rPr>
          <w:spacing w:val="-4"/>
        </w:rPr>
        <w:t>2023</w:t>
      </w:r>
      <w:r>
        <w:rPr>
          <w:spacing w:val="-46"/>
        </w:rPr>
        <w:t xml:space="preserve"> </w:t>
      </w:r>
      <w:r>
        <w:rPr>
          <w:spacing w:val="-4"/>
        </w:rPr>
        <w:t>年国家医保目录调整结果公布，2023</w:t>
      </w:r>
      <w:r>
        <w:rPr>
          <w:spacing w:val="-42"/>
        </w:rPr>
        <w:t xml:space="preserve"> </w:t>
      </w:r>
      <w:r>
        <w:rPr>
          <w:spacing w:val="-5"/>
        </w:rPr>
        <w:t xml:space="preserve">年国家医保 </w:t>
      </w:r>
      <w:r>
        <w:rPr>
          <w:spacing w:val="-6"/>
        </w:rPr>
        <w:t>谈判落下帷幕。本次的降幅和成功率与</w:t>
      </w:r>
      <w:r>
        <w:rPr>
          <w:spacing w:val="-42"/>
        </w:rPr>
        <w:t xml:space="preserve"> </w:t>
      </w:r>
      <w:r>
        <w:rPr>
          <w:spacing w:val="-6"/>
        </w:rPr>
        <w:t>2022</w:t>
      </w:r>
      <w:r>
        <w:rPr>
          <w:spacing w:val="-44"/>
        </w:rPr>
        <w:t xml:space="preserve"> </w:t>
      </w:r>
      <w:r>
        <w:rPr>
          <w:spacing w:val="-6"/>
        </w:rPr>
        <w:t>年基本相当，谈判的产品数目创下了历年之最。</w:t>
      </w:r>
      <w:r>
        <w:t xml:space="preserve">  </w:t>
      </w:r>
      <w:r>
        <w:rPr>
          <w:spacing w:val="-1"/>
        </w:rPr>
        <w:t>由此判断，越来越多的创新药产品通过以价换量的方式进入医保，更好地惠及到更多患者。</w:t>
      </w:r>
    </w:p>
    <w:p>
      <w:pPr>
        <w:pStyle w:val="BodyText"/>
        <w:spacing w:before="1" w:line="220" w:lineRule="auto"/>
        <w:ind w:left="57"/>
      </w:pPr>
      <w:r>
        <w:rPr>
          <w:spacing w:val="-2"/>
        </w:rPr>
        <w:t>同时也能观察到国家对创新药的支持力度。</w:t>
      </w:r>
    </w:p>
    <w:p>
      <w:pPr>
        <w:spacing w:line="220" w:lineRule="auto"/>
        <w:sectPr>
          <w:headerReference w:type="default" r:id="rId62"/>
          <w:footerReference w:type="default" r:id="rId63"/>
          <w:type w:val="nextPage"/>
          <w:pgSz w:w="11907" w:h="16839"/>
          <w:pgMar w:top="1099" w:right="1719" w:bottom="1362" w:left="1771" w:header="877" w:footer="1201" w:gutter="0"/>
          <w:pgNumType w:start="27"/>
          <w:cols w:space="708"/>
          <w:titlePg w:val="0"/>
        </w:sectPr>
      </w:pPr>
    </w:p>
    <w:p>
      <w:pPr>
        <w:spacing w:line="335" w:lineRule="auto"/>
        <w:rPr>
          <w:rFonts w:ascii="Arial"/>
          <w:sz w:val="21"/>
        </w:rPr>
      </w:pPr>
    </w:p>
    <w:p>
      <w:pPr>
        <w:pStyle w:val="BodyText"/>
        <w:spacing w:before="78" w:line="220" w:lineRule="auto"/>
        <w:ind w:left="55"/>
        <w:outlineLvl w:val="6"/>
        <w:rPr>
          <w:sz w:val="24"/>
          <w:szCs w:val="24"/>
        </w:rPr>
      </w:pPr>
      <w:r>
        <w:rPr>
          <w:b/>
          <w:bCs/>
          <w:spacing w:val="-7"/>
          <w:sz w:val="24"/>
          <w:szCs w:val="24"/>
        </w:rPr>
        <w:t>1.2.4</w:t>
      </w:r>
      <w:r>
        <w:rPr>
          <w:spacing w:val="30"/>
          <w:sz w:val="24"/>
          <w:szCs w:val="24"/>
        </w:rPr>
        <w:t xml:space="preserve">  </w:t>
      </w:r>
      <w:r>
        <w:rPr>
          <w:b/>
          <w:bCs/>
          <w:spacing w:val="-7"/>
          <w:sz w:val="24"/>
          <w:szCs w:val="24"/>
        </w:rPr>
        <w:t>《医疗器械经营质量管理规范》出台</w:t>
      </w:r>
    </w:p>
    <w:p>
      <w:pPr>
        <w:pStyle w:val="BodyText"/>
        <w:spacing w:before="275" w:line="343" w:lineRule="auto"/>
        <w:ind w:left="39" w:right="74" w:firstLine="419"/>
        <w:jc w:val="both"/>
      </w:pPr>
      <w:r>
        <w:rPr>
          <w:spacing w:val="-10"/>
        </w:rPr>
        <w:t>为加强医疗器械经营质量管理， 保障公众用械安全有效， 2023</w:t>
      </w:r>
      <w:r>
        <w:rPr>
          <w:spacing w:val="-46"/>
        </w:rPr>
        <w:t xml:space="preserve"> </w:t>
      </w:r>
      <w:r>
        <w:rPr>
          <w:spacing w:val="-10"/>
        </w:rPr>
        <w:t>年</w:t>
      </w:r>
      <w:r>
        <w:rPr>
          <w:spacing w:val="-28"/>
        </w:rPr>
        <w:t xml:space="preserve"> </w:t>
      </w:r>
      <w:r>
        <w:rPr>
          <w:spacing w:val="-10"/>
        </w:rPr>
        <w:t>12</w:t>
      </w:r>
      <w:r>
        <w:rPr>
          <w:spacing w:val="-39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7 日，</w:t>
      </w:r>
      <w:r>
        <w:rPr>
          <w:spacing w:val="-38"/>
        </w:rPr>
        <w:t xml:space="preserve"> </w:t>
      </w:r>
      <w:r>
        <w:rPr>
          <w:spacing w:val="-10"/>
        </w:rPr>
        <w:t>国</w:t>
      </w:r>
      <w:r>
        <w:rPr>
          <w:spacing w:val="-11"/>
        </w:rPr>
        <w:t>家药监</w:t>
      </w:r>
      <w:r>
        <w:t xml:space="preserve"> </w:t>
      </w:r>
      <w:r>
        <w:rPr>
          <w:spacing w:val="-10"/>
        </w:rPr>
        <w:t>局发布《医疗器械经营质量管理规范的公告（2023</w:t>
      </w:r>
      <w:r>
        <w:rPr>
          <w:spacing w:val="-24"/>
        </w:rPr>
        <w:t xml:space="preserve"> </w:t>
      </w:r>
      <w:r>
        <w:rPr>
          <w:spacing w:val="-10"/>
        </w:rPr>
        <w:t>年第 153 号）》（以下简称《</w:t>
      </w:r>
      <w:r>
        <w:rPr>
          <w:spacing w:val="-11"/>
        </w:rPr>
        <w:t>规范》</w:t>
      </w:r>
      <w:r>
        <w:rPr>
          <w:spacing w:val="-55"/>
        </w:rPr>
        <w:t>），</w:t>
      </w:r>
      <w:r>
        <w:rPr>
          <w:spacing w:val="-49"/>
        </w:rPr>
        <w:t xml:space="preserve"> </w:t>
      </w:r>
      <w:r>
        <w:rPr>
          <w:spacing w:val="-11"/>
        </w:rPr>
        <w:t>自</w:t>
      </w:r>
      <w:r>
        <w:t xml:space="preserve"> </w:t>
      </w:r>
      <w:r>
        <w:rPr>
          <w:spacing w:val="-5"/>
        </w:rPr>
        <w:t>2024</w:t>
      </w:r>
      <w:r>
        <w:rPr>
          <w:spacing w:val="-31"/>
        </w:rPr>
        <w:t xml:space="preserve"> </w:t>
      </w:r>
      <w:r>
        <w:rPr>
          <w:spacing w:val="-5"/>
        </w:rPr>
        <w:t>年</w:t>
      </w:r>
      <w:r>
        <w:rPr>
          <w:spacing w:val="-27"/>
        </w:rPr>
        <w:t xml:space="preserve"> </w:t>
      </w:r>
      <w:r>
        <w:rPr>
          <w:spacing w:val="-5"/>
        </w:rPr>
        <w:t>7</w:t>
      </w:r>
      <w:r>
        <w:rPr>
          <w:spacing w:val="-29"/>
        </w:rPr>
        <w:t xml:space="preserve"> </w:t>
      </w:r>
      <w:r>
        <w:rPr>
          <w:spacing w:val="-5"/>
        </w:rPr>
        <w:t>月 1 日起施行， 原国家食品药品监督管理总局《关于施行医疗器械经营质</w:t>
      </w:r>
      <w:r>
        <w:rPr>
          <w:spacing w:val="-6"/>
        </w:rPr>
        <w:t>量管理</w:t>
      </w:r>
    </w:p>
    <w:p>
      <w:pPr>
        <w:pStyle w:val="BodyText"/>
        <w:spacing w:line="219" w:lineRule="auto"/>
        <w:ind w:left="37"/>
      </w:pPr>
      <w:r>
        <w:rPr>
          <w:spacing w:val="-11"/>
        </w:rPr>
        <w:t>规范的公告》（2014</w:t>
      </w:r>
      <w:r>
        <w:rPr>
          <w:spacing w:val="-28"/>
        </w:rPr>
        <w:t xml:space="preserve"> </w:t>
      </w:r>
      <w:r>
        <w:rPr>
          <w:spacing w:val="-11"/>
        </w:rPr>
        <w:t>年第</w:t>
      </w:r>
      <w:r>
        <w:rPr>
          <w:spacing w:val="-42"/>
        </w:rPr>
        <w:t xml:space="preserve"> </w:t>
      </w:r>
      <w:r>
        <w:rPr>
          <w:spacing w:val="-11"/>
        </w:rPr>
        <w:t>58</w:t>
      </w:r>
      <w:r>
        <w:rPr>
          <w:spacing w:val="-39"/>
        </w:rPr>
        <w:t xml:space="preserve"> </w:t>
      </w:r>
      <w:r>
        <w:rPr>
          <w:spacing w:val="-11"/>
        </w:rPr>
        <w:t>号）</w:t>
      </w:r>
      <w:r>
        <w:rPr>
          <w:spacing w:val="-24"/>
        </w:rPr>
        <w:t xml:space="preserve"> </w:t>
      </w:r>
      <w:r>
        <w:rPr>
          <w:spacing w:val="-11"/>
        </w:rPr>
        <w:t>同时废止。</w:t>
      </w:r>
    </w:p>
    <w:p>
      <w:pPr>
        <w:pStyle w:val="BodyText"/>
        <w:spacing w:before="295" w:line="343" w:lineRule="auto"/>
        <w:ind w:left="37" w:right="73" w:firstLine="423"/>
        <w:jc w:val="both"/>
      </w:pPr>
      <w:r>
        <w:rPr>
          <w:spacing w:val="-10"/>
        </w:rPr>
        <w:t>首先，《规范》新增了“质量管理体系建立与改</w:t>
      </w:r>
      <w:r>
        <w:rPr>
          <w:spacing w:val="-11"/>
        </w:rPr>
        <w:t>进”章节， 完善器械企业质量管理。《规</w:t>
      </w:r>
      <w:r>
        <w:t xml:space="preserve"> </w:t>
      </w:r>
      <w:r>
        <w:rPr>
          <w:spacing w:val="-6"/>
        </w:rPr>
        <w:t>范》第二章“质量管理体系建立与改进”为新增章节，</w:t>
      </w:r>
      <w:r>
        <w:rPr>
          <w:spacing w:val="-38"/>
        </w:rPr>
        <w:t xml:space="preserve"> </w:t>
      </w:r>
      <w:r>
        <w:rPr>
          <w:spacing w:val="-6"/>
        </w:rPr>
        <w:t>共</w:t>
      </w:r>
      <w:r>
        <w:rPr>
          <w:spacing w:val="-42"/>
        </w:rPr>
        <w:t xml:space="preserve"> </w:t>
      </w:r>
      <w:r>
        <w:rPr>
          <w:spacing w:val="-6"/>
        </w:rPr>
        <w:t>5</w:t>
      </w:r>
      <w:r>
        <w:rPr>
          <w:spacing w:val="-42"/>
        </w:rPr>
        <w:t xml:space="preserve"> </w:t>
      </w:r>
      <w:r>
        <w:rPr>
          <w:spacing w:val="-6"/>
        </w:rPr>
        <w:t>条，</w:t>
      </w:r>
      <w:r>
        <w:rPr>
          <w:spacing w:val="-43"/>
        </w:rPr>
        <w:t xml:space="preserve"> </w:t>
      </w:r>
      <w:r>
        <w:rPr>
          <w:spacing w:val="-6"/>
        </w:rPr>
        <w:t>包括质量体</w:t>
      </w:r>
      <w:r>
        <w:rPr>
          <w:spacing w:val="-7"/>
        </w:rPr>
        <w:t>系建立、质量方</w:t>
      </w:r>
      <w:r>
        <w:t xml:space="preserve"> </w:t>
      </w:r>
      <w:r>
        <w:rPr>
          <w:spacing w:val="-2"/>
        </w:rPr>
        <w:t>针与目标、履行主体责任、体系自查、持续改进条款</w:t>
      </w:r>
      <w:r>
        <w:rPr>
          <w:spacing w:val="-3"/>
        </w:rPr>
        <w:t>内容。此章深化落实《医疗器械监督管</w:t>
      </w:r>
      <w:r>
        <w:t xml:space="preserve"> </w:t>
      </w:r>
      <w:r>
        <w:rPr>
          <w:spacing w:val="-2"/>
        </w:rPr>
        <w:t>理条例》“第四十四条从事医疗器械经营，应当依</w:t>
      </w:r>
      <w:r>
        <w:rPr>
          <w:spacing w:val="-3"/>
        </w:rPr>
        <w:t>照法律法规和国务院药品监督管理部门制</w:t>
      </w:r>
      <w:r>
        <w:t xml:space="preserve"> </w:t>
      </w:r>
      <w:r>
        <w:rPr>
          <w:spacing w:val="-2"/>
        </w:rPr>
        <w:t>定的医疗器械经营质量管理规范的要求，建立健全与</w:t>
      </w:r>
      <w:r>
        <w:rPr>
          <w:spacing w:val="-3"/>
        </w:rPr>
        <w:t>所经营医疗器械相适应的质量管理体系</w:t>
      </w:r>
      <w:r>
        <w:t xml:space="preserve"> </w:t>
      </w:r>
      <w:r>
        <w:rPr>
          <w:spacing w:val="-2"/>
        </w:rPr>
        <w:t>并保证其有效运行”的有关要求，进一步强化医疗器</w:t>
      </w:r>
      <w:r>
        <w:rPr>
          <w:spacing w:val="-3"/>
        </w:rPr>
        <w:t>械经营环节的质量管理体系理念，不断</w:t>
      </w:r>
    </w:p>
    <w:p>
      <w:pPr>
        <w:pStyle w:val="BodyText"/>
        <w:spacing w:line="220" w:lineRule="auto"/>
        <w:ind w:left="38"/>
      </w:pPr>
      <w:r>
        <w:rPr>
          <w:spacing w:val="-3"/>
        </w:rPr>
        <w:t>完善企业质量管理。</w:t>
      </w:r>
    </w:p>
    <w:p>
      <w:pPr>
        <w:pStyle w:val="BodyText"/>
        <w:spacing w:before="294" w:line="343" w:lineRule="auto"/>
        <w:ind w:left="36" w:right="73" w:firstLine="421"/>
        <w:jc w:val="both"/>
      </w:pPr>
      <w:r>
        <w:rPr>
          <w:spacing w:val="-5"/>
        </w:rPr>
        <w:t>其次，《规范》增加了对新业态和新经营方式识别，</w:t>
      </w:r>
      <w:r>
        <w:rPr>
          <w:spacing w:val="-16"/>
        </w:rPr>
        <w:t xml:space="preserve"> </w:t>
      </w:r>
      <w:r>
        <w:rPr>
          <w:spacing w:val="-5"/>
        </w:rPr>
        <w:t>新增自动售械机及多仓协调等管理</w:t>
      </w:r>
      <w:r>
        <w:t xml:space="preserve"> </w:t>
      </w:r>
      <w:r>
        <w:rPr>
          <w:spacing w:val="-7"/>
        </w:rPr>
        <w:t>内容。《规范》修订的主要内容： 一是对</w:t>
      </w:r>
      <w:r>
        <w:rPr>
          <w:spacing w:val="-41"/>
        </w:rPr>
        <w:t xml:space="preserve"> </w:t>
      </w:r>
      <w:r>
        <w:rPr>
          <w:spacing w:val="-8"/>
        </w:rPr>
        <w:t>2014</w:t>
      </w:r>
      <w:r>
        <w:rPr>
          <w:spacing w:val="-46"/>
        </w:rPr>
        <w:t xml:space="preserve"> </w:t>
      </w:r>
      <w:r>
        <w:rPr>
          <w:spacing w:val="-8"/>
        </w:rPr>
        <w:t>版《规范》在企业管理与监管实践中存在执行</w:t>
      </w:r>
      <w:r>
        <w:t xml:space="preserve"> </w:t>
      </w:r>
      <w:r>
        <w:rPr>
          <w:spacing w:val="-4"/>
        </w:rPr>
        <w:t>困难以及理解歧义的条款，进行适宜性修订，</w:t>
      </w:r>
      <w:r>
        <w:rPr>
          <w:spacing w:val="-41"/>
        </w:rPr>
        <w:t xml:space="preserve"> </w:t>
      </w:r>
      <w:r>
        <w:rPr>
          <w:spacing w:val="-4"/>
        </w:rPr>
        <w:t>以使规范内容更契合医疗器械经营环节的质量</w:t>
      </w:r>
      <w:r>
        <w:t xml:space="preserve"> </w:t>
      </w:r>
      <w:r>
        <w:rPr>
          <w:spacing w:val="-2"/>
        </w:rPr>
        <w:t>管理与监管实际情况。二是对新的监管要素进行识别与</w:t>
      </w:r>
      <w:r>
        <w:rPr>
          <w:spacing w:val="-3"/>
        </w:rPr>
        <w:t>补充，以适应新的监管方式。明确医</w:t>
      </w:r>
      <w:r>
        <w:t xml:space="preserve"> </w:t>
      </w:r>
      <w:r>
        <w:rPr>
          <w:spacing w:val="-2"/>
        </w:rPr>
        <w:t>疗器械唯一标识在产品验收、出库复核、计算机系统方</w:t>
      </w:r>
      <w:r>
        <w:rPr>
          <w:spacing w:val="-3"/>
        </w:rPr>
        <w:t>面的要求，明确电子证照与纸质证书</w:t>
      </w:r>
      <w:r>
        <w:t xml:space="preserve"> </w:t>
      </w:r>
      <w:r>
        <w:rPr>
          <w:spacing w:val="-2"/>
        </w:rPr>
        <w:t>具有同等法律效力，鼓励企业使用信息化技术传递和</w:t>
      </w:r>
      <w:r>
        <w:rPr>
          <w:spacing w:val="-3"/>
        </w:rPr>
        <w:t>存储电子证照资料等。三是针对出现的</w:t>
      </w:r>
      <w:r>
        <w:t xml:space="preserve"> </w:t>
      </w:r>
      <w:r>
        <w:rPr>
          <w:spacing w:val="-4"/>
        </w:rPr>
        <w:t>新业态和新经营方式进行识别，补充经营环节质量管理盲区。例如：</w:t>
      </w:r>
      <w:r>
        <w:rPr>
          <w:spacing w:val="-41"/>
        </w:rPr>
        <w:t xml:space="preserve"> </w:t>
      </w:r>
      <w:r>
        <w:rPr>
          <w:spacing w:val="-4"/>
        </w:rPr>
        <w:t>新增自动售械机质量管</w:t>
      </w:r>
    </w:p>
    <w:p>
      <w:pPr>
        <w:pStyle w:val="BodyText"/>
        <w:spacing w:line="220" w:lineRule="auto"/>
        <w:ind w:left="39"/>
      </w:pPr>
      <w:r>
        <w:rPr>
          <w:spacing w:val="-1"/>
        </w:rPr>
        <w:t>理、多仓协同的管理、直调的质量管理、临床确认后销售产品管理等内容。</w:t>
      </w:r>
    </w:p>
    <w:p>
      <w:pPr>
        <w:pStyle w:val="BodyText"/>
        <w:spacing w:before="294" w:line="343" w:lineRule="auto"/>
        <w:ind w:left="36" w:firstLine="421"/>
        <w:jc w:val="both"/>
      </w:pPr>
      <w:r>
        <w:rPr>
          <w:spacing w:val="-5"/>
        </w:rPr>
        <w:t>整体来看，《规范》作为指导医疗器械经营质量管理与监督</w:t>
      </w:r>
      <w:r>
        <w:rPr>
          <w:spacing w:val="-6"/>
        </w:rPr>
        <w:t xml:space="preserve">管理的重要规范性文件， 在 </w:t>
      </w:r>
      <w:r>
        <w:rPr>
          <w:spacing w:val="-4"/>
        </w:rPr>
        <w:t>修订的总体思路上，</w:t>
      </w:r>
      <w:r>
        <w:rPr>
          <w:spacing w:val="-45"/>
        </w:rPr>
        <w:t xml:space="preserve"> </w:t>
      </w:r>
      <w:r>
        <w:rPr>
          <w:spacing w:val="-4"/>
        </w:rPr>
        <w:t>主要把握了四点：一是适应上位法的新要求、新变化。对与现行政</w:t>
      </w:r>
      <w:r>
        <w:rPr>
          <w:spacing w:val="-5"/>
        </w:rPr>
        <w:t xml:space="preserve">策法 </w:t>
      </w:r>
      <w:r>
        <w:rPr>
          <w:spacing w:val="-4"/>
        </w:rPr>
        <w:t>规不相一致的内容进行修改，</w:t>
      </w:r>
      <w:r>
        <w:rPr>
          <w:spacing w:val="-39"/>
        </w:rPr>
        <w:t xml:space="preserve"> </w:t>
      </w:r>
      <w:r>
        <w:rPr>
          <w:spacing w:val="-4"/>
        </w:rPr>
        <w:t>补充完善相关规定。二是坚决贯彻“四个最</w:t>
      </w:r>
      <w:r>
        <w:rPr>
          <w:spacing w:val="-5"/>
        </w:rPr>
        <w:t xml:space="preserve">严”要求。以严控 </w:t>
      </w:r>
      <w:r>
        <w:rPr>
          <w:spacing w:val="-3"/>
        </w:rPr>
        <w:t>经营环节质量安全风险为导向， 对监管部门</w:t>
      </w:r>
      <w:r>
        <w:rPr>
          <w:spacing w:val="-4"/>
        </w:rPr>
        <w:t>与行业企业反映的突出问题进行针对性的补充，</w:t>
      </w:r>
      <w:r>
        <w:t xml:space="preserve"> </w:t>
      </w:r>
      <w:r>
        <w:rPr>
          <w:spacing w:val="-7"/>
        </w:rPr>
        <w:t>解决经营环节质量管理盲区，提高监管效能</w:t>
      </w:r>
      <w:r>
        <w:rPr>
          <w:spacing w:val="-8"/>
        </w:rPr>
        <w:t xml:space="preserve">。三是准确把握发展与安全的关系。深化推进“放 </w:t>
      </w:r>
      <w:r>
        <w:rPr>
          <w:spacing w:val="-4"/>
        </w:rPr>
        <w:t>管服”改革，促进医疗器械产业高质量发展，</w:t>
      </w:r>
      <w:r>
        <w:rPr>
          <w:spacing w:val="-48"/>
        </w:rPr>
        <w:t xml:space="preserve"> </w:t>
      </w:r>
      <w:r>
        <w:rPr>
          <w:spacing w:val="-4"/>
        </w:rPr>
        <w:t xml:space="preserve">释放市场创新活力。四是严格落实企业主体责 </w:t>
      </w:r>
      <w:r>
        <w:rPr>
          <w:spacing w:val="-1"/>
        </w:rPr>
        <w:t>任。通过强化质量管理体系要求，细化质量管理规范条款，明确落实企业各层级管理责任。</w:t>
      </w:r>
    </w:p>
    <w:p>
      <w:pPr>
        <w:pStyle w:val="BodyText"/>
        <w:spacing w:before="1" w:line="219" w:lineRule="auto"/>
        <w:jc w:val="right"/>
      </w:pPr>
      <w:r>
        <w:rPr>
          <w:spacing w:val="-1"/>
        </w:rPr>
        <w:t>该《规范》的落地将有助于推动医疗器械经营行为的规范，促进医疗器械行业的规范发展。</w:t>
      </w:r>
    </w:p>
    <w:p>
      <w:pPr>
        <w:spacing w:line="219" w:lineRule="auto"/>
        <w:sectPr>
          <w:headerReference w:type="default" r:id="rId64"/>
          <w:footerReference w:type="default" r:id="rId65"/>
          <w:pgSz w:w="11907" w:h="16839"/>
          <w:pgMar w:top="1099" w:right="1719" w:bottom="1362" w:left="1771" w:header="877" w:footer="1201" w:gutter="0"/>
          <w:pgNumType w:start="28"/>
          <w:cols w:space="708"/>
        </w:sectPr>
      </w:pPr>
    </w:p>
    <w:p>
      <w:pPr>
        <w:spacing w:line="401" w:lineRule="auto"/>
        <w:rPr>
          <w:rFonts w:ascii="Arial"/>
          <w:sz w:val="21"/>
        </w:rPr>
      </w:pPr>
    </w:p>
    <w:p>
      <w:pPr>
        <w:pStyle w:val="BodyText"/>
        <w:spacing w:before="94" w:line="771" w:lineRule="exact"/>
        <w:ind w:left="64"/>
        <w:rPr>
          <w:sz w:val="29"/>
          <w:szCs w:val="29"/>
        </w:rPr>
      </w:pPr>
      <w:r>
        <w:rPr>
          <w:b/>
          <w:bCs/>
          <w:spacing w:val="10"/>
          <w:position w:val="37"/>
          <w:sz w:val="29"/>
          <w:szCs w:val="29"/>
        </w:rPr>
        <w:t>2</w:t>
      </w:r>
      <w:r>
        <w:rPr>
          <w:spacing w:val="145"/>
          <w:position w:val="37"/>
          <w:sz w:val="29"/>
          <w:szCs w:val="29"/>
        </w:rPr>
        <w:t xml:space="preserve"> </w:t>
      </w:r>
      <w:r>
        <w:rPr>
          <w:b/>
          <w:bCs/>
          <w:spacing w:val="10"/>
          <w:position w:val="37"/>
          <w:sz w:val="29"/>
          <w:szCs w:val="29"/>
        </w:rPr>
        <w:t>2023年四季度医药行业运行情况分析</w:t>
      </w:r>
    </w:p>
    <w:p>
      <w:pPr>
        <w:pStyle w:val="BodyText"/>
        <w:spacing w:line="220" w:lineRule="auto"/>
        <w:ind w:left="64"/>
        <w:rPr>
          <w:sz w:val="29"/>
          <w:szCs w:val="29"/>
        </w:rPr>
      </w:pPr>
      <w:r>
        <w:rPr>
          <w:b/>
          <w:bCs/>
          <w:spacing w:val="-10"/>
          <w:sz w:val="29"/>
          <w:szCs w:val="29"/>
        </w:rPr>
        <w:t>2.1</w:t>
      </w:r>
      <w:r>
        <w:rPr>
          <w:spacing w:val="114"/>
          <w:sz w:val="29"/>
          <w:szCs w:val="29"/>
        </w:rPr>
        <w:t xml:space="preserve"> </w:t>
      </w:r>
      <w:r>
        <w:rPr>
          <w:b/>
          <w:bCs/>
          <w:spacing w:val="-10"/>
          <w:sz w:val="29"/>
          <w:szCs w:val="29"/>
        </w:rPr>
        <w:t>投资情况分析</w:t>
      </w:r>
    </w:p>
    <w:p>
      <w:pPr>
        <w:spacing w:line="310" w:lineRule="auto"/>
        <w:rPr>
          <w:rFonts w:ascii="Arial"/>
          <w:sz w:val="21"/>
        </w:rPr>
      </w:pPr>
    </w:p>
    <w:p>
      <w:pPr>
        <w:pStyle w:val="BodyText"/>
        <w:spacing w:before="62" w:line="385" w:lineRule="auto"/>
        <w:ind w:left="59" w:right="22" w:firstLine="430"/>
        <w:jc w:val="both"/>
        <w:rPr>
          <w:sz w:val="19"/>
          <w:szCs w:val="19"/>
        </w:rPr>
      </w:pPr>
      <w:r>
        <w:rPr>
          <w:spacing w:val="18"/>
          <w:sz w:val="19"/>
          <w:szCs w:val="19"/>
        </w:rPr>
        <w:t>2023</w:t>
      </w:r>
      <w:r>
        <w:rPr>
          <w:spacing w:val="54"/>
          <w:sz w:val="19"/>
          <w:szCs w:val="19"/>
        </w:rPr>
        <w:t xml:space="preserve"> </w:t>
      </w:r>
      <w:r>
        <w:rPr>
          <w:spacing w:val="18"/>
          <w:sz w:val="19"/>
          <w:szCs w:val="19"/>
        </w:rPr>
        <w:t>年四季度，国家积极扩大有效投资，持续调动民间投资积极性，投资</w:t>
      </w:r>
      <w:r>
        <w:rPr>
          <w:spacing w:val="17"/>
          <w:sz w:val="19"/>
          <w:szCs w:val="19"/>
        </w:rPr>
        <w:t>结构不断优</w:t>
      </w:r>
      <w:r>
        <w:rPr>
          <w:sz w:val="19"/>
          <w:szCs w:val="19"/>
        </w:rPr>
        <w:t xml:space="preserve"> </w:t>
      </w:r>
      <w:r>
        <w:rPr>
          <w:spacing w:val="20"/>
          <w:sz w:val="19"/>
          <w:szCs w:val="19"/>
        </w:rPr>
        <w:t>化，医药制造业固定资产投资额保持增长。国家</w:t>
      </w:r>
      <w:r>
        <w:rPr>
          <w:spacing w:val="19"/>
          <w:sz w:val="19"/>
          <w:szCs w:val="19"/>
        </w:rPr>
        <w:t>统计局数据显示，2023年1-12月，医药行</w:t>
      </w:r>
      <w:r>
        <w:rPr>
          <w:sz w:val="19"/>
          <w:szCs w:val="19"/>
        </w:rPr>
        <w:t xml:space="preserve"> </w:t>
      </w:r>
      <w:r>
        <w:rPr>
          <w:spacing w:val="22"/>
          <w:sz w:val="19"/>
          <w:szCs w:val="19"/>
        </w:rPr>
        <w:t>业固定资产投资同比增长1</w:t>
      </w:r>
      <w:r>
        <w:rPr>
          <w:spacing w:val="-45"/>
          <w:sz w:val="19"/>
          <w:szCs w:val="19"/>
        </w:rPr>
        <w:t xml:space="preserve"> </w:t>
      </w:r>
      <w:r>
        <w:rPr>
          <w:spacing w:val="22"/>
          <w:sz w:val="19"/>
          <w:szCs w:val="19"/>
        </w:rPr>
        <w:t>.8%,增速较上年同期下降4</w:t>
      </w:r>
      <w:r>
        <w:rPr>
          <w:spacing w:val="-57"/>
          <w:sz w:val="19"/>
          <w:szCs w:val="19"/>
        </w:rPr>
        <w:t xml:space="preserve"> </w:t>
      </w:r>
      <w:r>
        <w:rPr>
          <w:spacing w:val="22"/>
          <w:sz w:val="19"/>
          <w:szCs w:val="19"/>
        </w:rPr>
        <w:t>.</w:t>
      </w:r>
      <w:r>
        <w:rPr>
          <w:spacing w:val="-48"/>
          <w:sz w:val="19"/>
          <w:szCs w:val="19"/>
        </w:rPr>
        <w:t xml:space="preserve"> </w:t>
      </w:r>
      <w:r>
        <w:rPr>
          <w:spacing w:val="22"/>
          <w:sz w:val="19"/>
          <w:szCs w:val="19"/>
        </w:rPr>
        <w:t>1个百分点，2023年1-9月为同比</w:t>
      </w:r>
    </w:p>
    <w:p>
      <w:pPr>
        <w:pStyle w:val="BodyText"/>
        <w:spacing w:line="219" w:lineRule="auto"/>
        <w:ind w:left="59"/>
        <w:rPr>
          <w:sz w:val="19"/>
          <w:szCs w:val="19"/>
        </w:rPr>
      </w:pPr>
      <w:r>
        <w:rPr>
          <w:spacing w:val="12"/>
          <w:sz w:val="19"/>
          <w:szCs w:val="19"/>
        </w:rPr>
        <w:t>下降0.2%。</w:t>
      </w:r>
    </w:p>
    <w:p>
      <w:pPr>
        <w:pStyle w:val="BodyText"/>
        <w:spacing w:before="301" w:line="219" w:lineRule="auto"/>
        <w:ind w:left="1592"/>
        <w:rPr>
          <w:sz w:val="19"/>
          <w:szCs w:val="19"/>
        </w:rPr>
      </w:pPr>
      <w:r>
        <w:rPr>
          <w:b/>
          <w:bCs/>
          <w:spacing w:val="-1"/>
          <w:sz w:val="19"/>
          <w:szCs w:val="19"/>
        </w:rPr>
        <w:t>表</w:t>
      </w:r>
      <w:r>
        <w:rPr>
          <w:spacing w:val="-1"/>
          <w:sz w:val="19"/>
          <w:szCs w:val="19"/>
        </w:rPr>
        <w:t xml:space="preserve"> </w:t>
      </w:r>
      <w:r>
        <w:rPr>
          <w:b/>
          <w:bCs/>
          <w:spacing w:val="-1"/>
          <w:sz w:val="19"/>
          <w:szCs w:val="19"/>
        </w:rPr>
        <w:t>1</w:t>
      </w:r>
      <w:r>
        <w:rPr>
          <w:spacing w:val="82"/>
          <w:sz w:val="19"/>
          <w:szCs w:val="19"/>
        </w:rPr>
        <w:t xml:space="preserve"> </w:t>
      </w:r>
      <w:r>
        <w:rPr>
          <w:b/>
          <w:bCs/>
          <w:spacing w:val="-1"/>
          <w:sz w:val="19"/>
          <w:szCs w:val="19"/>
        </w:rPr>
        <w:t>2022年12月-2023年12月医药</w:t>
      </w:r>
      <w:r>
        <w:rPr>
          <w:b/>
          <w:bCs/>
          <w:spacing w:val="-2"/>
          <w:sz w:val="19"/>
          <w:szCs w:val="19"/>
        </w:rPr>
        <w:t>行业固定资产投资增速情况</w:t>
      </w:r>
    </w:p>
    <w:p>
      <w:pPr>
        <w:spacing w:line="75" w:lineRule="exact"/>
      </w:pPr>
    </w:p>
    <w:tbl>
      <w:tblPr>
        <w:tblStyle w:val="TableNormal0"/>
        <w:tblW w:w="6859" w:type="dxa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00"/>
        <w:gridCol w:w="918"/>
        <w:gridCol w:w="2941"/>
      </w:tblGrid>
      <w:tr>
        <w:tblPrEx>
          <w:tblW w:w="6859" w:type="dxa"/>
          <w:tblInd w:w="77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84"/>
        </w:trPr>
        <w:tc>
          <w:tcPr>
            <w:tcW w:w="3000" w:type="dxa"/>
            <w:vMerge w:val="restart"/>
            <w:tcBorders>
              <w:bottom w:val="nil"/>
            </w:tcBorders>
            <w:shd w:val="clear" w:color="auto" w:fill="295E7E"/>
            <w:vAlign w:val="top"/>
          </w:tcPr>
          <w:p>
            <w:pPr>
              <w:pStyle w:val="TableText"/>
              <w:spacing w:before="183" w:line="221" w:lineRule="auto"/>
              <w:ind w:left="1287"/>
            </w:pPr>
            <w:r>
              <w:rPr>
                <w:b/>
                <w:bCs/>
                <w:color w:val="FFFFFF"/>
                <w:spacing w:val="5"/>
              </w:rPr>
              <w:t>时间</w:t>
            </w:r>
          </w:p>
        </w:tc>
        <w:tc>
          <w:tcPr>
            <w:tcW w:w="3859" w:type="dxa"/>
            <w:gridSpan w:val="2"/>
            <w:shd w:val="clear" w:color="auto" w:fill="285E7E"/>
            <w:vAlign w:val="top"/>
          </w:tcPr>
          <w:p>
            <w:pPr>
              <w:pStyle w:val="TableText"/>
              <w:spacing w:before="40" w:line="205" w:lineRule="auto"/>
              <w:ind w:left="457"/>
            </w:pPr>
            <w:r>
              <w:rPr>
                <w:b/>
                <w:bCs/>
                <w:color w:val="FFFFFF"/>
                <w:spacing w:val="-2"/>
              </w:rPr>
              <w:t>固定资产投资额比上年同期增长</w:t>
            </w:r>
          </w:p>
        </w:tc>
      </w:tr>
      <w:tr>
        <w:tblPrEx>
          <w:tblW w:w="6859" w:type="dxa"/>
          <w:tblInd w:w="779" w:type="dxa"/>
          <w:tblLayout w:type="fixed"/>
        </w:tblPrEx>
        <w:trPr>
          <w:trHeight w:val="279"/>
        </w:trPr>
        <w:tc>
          <w:tcPr>
            <w:tcW w:w="300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59" w:type="dxa"/>
            <w:gridSpan w:val="2"/>
            <w:shd w:val="clear" w:color="auto" w:fill="295E7E"/>
            <w:vAlign w:val="top"/>
          </w:tcPr>
          <w:p>
            <w:pPr>
              <w:pStyle w:val="TableText"/>
              <w:spacing w:before="39" w:line="202" w:lineRule="auto"/>
              <w:ind w:left="1767"/>
            </w:pPr>
            <w:r>
              <w:rPr>
                <w:b/>
                <w:bCs/>
                <w:color w:val="FFFFFF"/>
                <w:spacing w:val="-13"/>
              </w:rPr>
              <w:t>(%)</w:t>
            </w:r>
          </w:p>
        </w:tc>
      </w:tr>
      <w:tr>
        <w:tblPrEx>
          <w:tblW w:w="6859" w:type="dxa"/>
          <w:tblInd w:w="779" w:type="dxa"/>
          <w:tblLayout w:type="fixed"/>
        </w:tblPrEx>
        <w:trPr>
          <w:trHeight w:val="279"/>
        </w:trPr>
        <w:tc>
          <w:tcPr>
            <w:tcW w:w="3000" w:type="dxa"/>
            <w:vAlign w:val="top"/>
          </w:tcPr>
          <w:p>
            <w:pPr>
              <w:pStyle w:val="TableText"/>
              <w:spacing w:before="40" w:line="201" w:lineRule="auto"/>
              <w:ind w:left="864"/>
            </w:pPr>
            <w:r>
              <w:rPr>
                <w:spacing w:val="4"/>
              </w:rPr>
              <w:t>2022年1-12月</w:t>
            </w:r>
          </w:p>
        </w:tc>
        <w:tc>
          <w:tcPr>
            <w:tcW w:w="9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41" w:type="dxa"/>
            <w:shd w:val="clear" w:color="auto" w:fill="346281"/>
            <w:vAlign w:val="top"/>
          </w:tcPr>
          <w:p>
            <w:pPr>
              <w:pStyle w:val="TableText"/>
              <w:spacing w:before="94" w:line="175" w:lineRule="exact"/>
              <w:ind w:right="17"/>
              <w:jc w:val="right"/>
            </w:pPr>
            <w:r>
              <w:rPr>
                <w:color w:val="FFFFFF"/>
                <w:spacing w:val="-3"/>
                <w:position w:val="-2"/>
              </w:rPr>
              <w:t>5.9</w:t>
            </w:r>
          </w:p>
        </w:tc>
      </w:tr>
      <w:tr>
        <w:tblPrEx>
          <w:tblW w:w="6859" w:type="dxa"/>
          <w:tblInd w:w="779" w:type="dxa"/>
          <w:tblLayout w:type="fixed"/>
        </w:tblPrEx>
        <w:trPr>
          <w:trHeight w:val="269"/>
        </w:trPr>
        <w:tc>
          <w:tcPr>
            <w:tcW w:w="3000" w:type="dxa"/>
            <w:vAlign w:val="top"/>
          </w:tcPr>
          <w:p>
            <w:pPr>
              <w:pStyle w:val="TableText"/>
              <w:spacing w:before="31" w:line="200" w:lineRule="auto"/>
              <w:ind w:left="914"/>
            </w:pPr>
            <w:r>
              <w:rPr>
                <w:spacing w:val="4"/>
              </w:rPr>
              <w:t>2023年1-2月</w:t>
            </w:r>
          </w:p>
        </w:tc>
        <w:tc>
          <w:tcPr>
            <w:tcW w:w="9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41" w:type="dxa"/>
            <w:vAlign w:val="top"/>
          </w:tcPr>
          <w:p>
            <w:pPr>
              <w:pStyle w:val="TableText"/>
              <w:spacing w:before="85" w:line="174" w:lineRule="exact"/>
              <w:ind w:right="8"/>
              <w:jc w:val="right"/>
            </w:pPr>
            <w:r>
              <w:rPr>
                <w:spacing w:val="-2"/>
                <w:position w:val="-2"/>
              </w:rPr>
              <w:t>-0.6</w:t>
            </w:r>
          </w:p>
        </w:tc>
      </w:tr>
      <w:tr>
        <w:tblPrEx>
          <w:tblW w:w="6859" w:type="dxa"/>
          <w:tblInd w:w="779" w:type="dxa"/>
          <w:tblLayout w:type="fixed"/>
        </w:tblPrEx>
        <w:trPr>
          <w:trHeight w:val="279"/>
        </w:trPr>
        <w:tc>
          <w:tcPr>
            <w:tcW w:w="3000" w:type="dxa"/>
            <w:vAlign w:val="top"/>
          </w:tcPr>
          <w:p>
            <w:pPr>
              <w:pStyle w:val="TableText"/>
              <w:spacing w:before="42" w:line="199" w:lineRule="auto"/>
              <w:ind w:left="914"/>
            </w:pPr>
            <w:r>
              <w:rPr>
                <w:spacing w:val="4"/>
              </w:rPr>
              <w:t>2023年1-3月</w:t>
            </w:r>
          </w:p>
        </w:tc>
        <w:tc>
          <w:tcPr>
            <w:tcW w:w="918" w:type="dxa"/>
            <w:shd w:val="clear" w:color="auto" w:fill="FF161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41" w:type="dxa"/>
            <w:vAlign w:val="top"/>
          </w:tcPr>
          <w:p>
            <w:pPr>
              <w:pStyle w:val="TableText"/>
              <w:spacing w:before="95" w:line="174" w:lineRule="exact"/>
              <w:ind w:right="8"/>
              <w:jc w:val="right"/>
            </w:pPr>
            <w:r>
              <w:rPr>
                <w:spacing w:val="-2"/>
                <w:position w:val="-2"/>
              </w:rPr>
              <w:t>-1.9</w:t>
            </w:r>
          </w:p>
        </w:tc>
      </w:tr>
      <w:tr>
        <w:tblPrEx>
          <w:tblW w:w="6859" w:type="dxa"/>
          <w:tblInd w:w="779" w:type="dxa"/>
          <w:tblLayout w:type="fixed"/>
        </w:tblPrEx>
        <w:trPr>
          <w:trHeight w:val="270"/>
        </w:trPr>
        <w:tc>
          <w:tcPr>
            <w:tcW w:w="3000" w:type="dxa"/>
            <w:vAlign w:val="top"/>
          </w:tcPr>
          <w:p>
            <w:pPr>
              <w:pStyle w:val="TableText"/>
              <w:spacing w:before="33" w:line="199" w:lineRule="auto"/>
              <w:ind w:left="914"/>
            </w:pPr>
            <w:r>
              <w:rPr>
                <w:spacing w:val="4"/>
              </w:rPr>
              <w:t>2023年1-4月</w:t>
            </w:r>
          </w:p>
        </w:tc>
        <w:tc>
          <w:tcPr>
            <w:tcW w:w="9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41" w:type="dxa"/>
            <w:vAlign w:val="top"/>
          </w:tcPr>
          <w:p>
            <w:pPr>
              <w:pStyle w:val="TableText"/>
              <w:spacing w:before="86" w:line="173" w:lineRule="exact"/>
              <w:ind w:right="24"/>
              <w:jc w:val="right"/>
            </w:pPr>
            <w:r>
              <w:rPr>
                <w:spacing w:val="-6"/>
                <w:position w:val="-2"/>
              </w:rPr>
              <w:t>1.2</w:t>
            </w:r>
          </w:p>
        </w:tc>
      </w:tr>
      <w:tr>
        <w:tblPrEx>
          <w:tblW w:w="6859" w:type="dxa"/>
          <w:tblInd w:w="779" w:type="dxa"/>
          <w:tblLayout w:type="fixed"/>
        </w:tblPrEx>
        <w:trPr>
          <w:trHeight w:val="269"/>
        </w:trPr>
        <w:tc>
          <w:tcPr>
            <w:tcW w:w="3000" w:type="dxa"/>
            <w:vAlign w:val="top"/>
          </w:tcPr>
          <w:p>
            <w:pPr>
              <w:pStyle w:val="TableText"/>
              <w:spacing w:before="33" w:line="198" w:lineRule="auto"/>
              <w:ind w:left="914"/>
            </w:pPr>
            <w:r>
              <w:rPr>
                <w:spacing w:val="4"/>
              </w:rPr>
              <w:t>2023年1-5月</w:t>
            </w:r>
          </w:p>
        </w:tc>
        <w:tc>
          <w:tcPr>
            <w:tcW w:w="9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41" w:type="dxa"/>
            <w:vAlign w:val="top"/>
          </w:tcPr>
          <w:p>
            <w:pPr>
              <w:pStyle w:val="TableText"/>
              <w:spacing w:before="87" w:line="172" w:lineRule="exact"/>
              <w:ind w:right="8"/>
              <w:jc w:val="right"/>
            </w:pPr>
            <w:r>
              <w:rPr>
                <w:spacing w:val="-2"/>
                <w:position w:val="-2"/>
              </w:rPr>
              <w:t>-0.6</w:t>
            </w:r>
          </w:p>
        </w:tc>
      </w:tr>
      <w:tr>
        <w:tblPrEx>
          <w:tblW w:w="6859" w:type="dxa"/>
          <w:tblInd w:w="779" w:type="dxa"/>
          <w:tblLayout w:type="fixed"/>
        </w:tblPrEx>
        <w:trPr>
          <w:trHeight w:val="270"/>
        </w:trPr>
        <w:tc>
          <w:tcPr>
            <w:tcW w:w="3000" w:type="dxa"/>
            <w:vAlign w:val="top"/>
          </w:tcPr>
          <w:p>
            <w:pPr>
              <w:pStyle w:val="TableText"/>
              <w:spacing w:before="34" w:line="198" w:lineRule="auto"/>
              <w:ind w:left="914"/>
            </w:pPr>
            <w:r>
              <w:rPr>
                <w:spacing w:val="4"/>
              </w:rPr>
              <w:t>2023年1-6月</w:t>
            </w:r>
          </w:p>
        </w:tc>
        <w:tc>
          <w:tcPr>
            <w:tcW w:w="9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41" w:type="dxa"/>
            <w:vAlign w:val="top"/>
          </w:tcPr>
          <w:p>
            <w:pPr>
              <w:pStyle w:val="TableText"/>
              <w:spacing w:before="87" w:line="172" w:lineRule="exact"/>
              <w:ind w:right="24"/>
              <w:jc w:val="right"/>
            </w:pPr>
            <w:r>
              <w:rPr>
                <w:spacing w:val="-6"/>
                <w:position w:val="-2"/>
              </w:rPr>
              <w:t>1.7</w:t>
            </w:r>
          </w:p>
        </w:tc>
      </w:tr>
      <w:tr>
        <w:tblPrEx>
          <w:tblW w:w="6859" w:type="dxa"/>
          <w:tblInd w:w="779" w:type="dxa"/>
          <w:tblLayout w:type="fixed"/>
        </w:tblPrEx>
        <w:trPr>
          <w:trHeight w:val="270"/>
        </w:trPr>
        <w:tc>
          <w:tcPr>
            <w:tcW w:w="3000" w:type="dxa"/>
            <w:vAlign w:val="top"/>
          </w:tcPr>
          <w:p>
            <w:pPr>
              <w:pStyle w:val="TableText"/>
              <w:spacing w:before="34" w:line="198" w:lineRule="auto"/>
              <w:ind w:left="914"/>
            </w:pPr>
            <w:r>
              <w:rPr>
                <w:spacing w:val="4"/>
              </w:rPr>
              <w:t>2023年1-7月</w:t>
            </w:r>
          </w:p>
        </w:tc>
        <w:tc>
          <w:tcPr>
            <w:tcW w:w="9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41" w:type="dxa"/>
            <w:vAlign w:val="top"/>
          </w:tcPr>
          <w:p>
            <w:pPr>
              <w:pStyle w:val="TableText"/>
              <w:spacing w:before="88" w:line="172" w:lineRule="exact"/>
              <w:ind w:right="15"/>
              <w:jc w:val="right"/>
            </w:pPr>
            <w:r>
              <w:rPr>
                <w:spacing w:val="-3"/>
                <w:position w:val="-2"/>
              </w:rPr>
              <w:t>0.6</w:t>
            </w:r>
          </w:p>
        </w:tc>
      </w:tr>
      <w:tr>
        <w:tblPrEx>
          <w:tblW w:w="6859" w:type="dxa"/>
          <w:tblInd w:w="779" w:type="dxa"/>
          <w:tblLayout w:type="fixed"/>
        </w:tblPrEx>
        <w:trPr>
          <w:trHeight w:val="279"/>
        </w:trPr>
        <w:tc>
          <w:tcPr>
            <w:tcW w:w="3000" w:type="dxa"/>
            <w:vAlign w:val="top"/>
          </w:tcPr>
          <w:p>
            <w:pPr>
              <w:pStyle w:val="TableText"/>
              <w:spacing w:before="43" w:line="198" w:lineRule="auto"/>
              <w:ind w:left="914"/>
            </w:pPr>
            <w:r>
              <w:rPr>
                <w:spacing w:val="4"/>
              </w:rPr>
              <w:t>2023年1-8月</w:t>
            </w:r>
          </w:p>
        </w:tc>
        <w:tc>
          <w:tcPr>
            <w:tcW w:w="9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41" w:type="dxa"/>
            <w:vAlign w:val="top"/>
          </w:tcPr>
          <w:p>
            <w:pPr>
              <w:pStyle w:val="TableText"/>
              <w:spacing w:before="98" w:line="171" w:lineRule="exact"/>
              <w:ind w:right="15"/>
              <w:jc w:val="right"/>
            </w:pPr>
            <w:r>
              <w:rPr>
                <w:spacing w:val="-3"/>
                <w:position w:val="-2"/>
              </w:rPr>
              <w:t>0.6</w:t>
            </w:r>
          </w:p>
        </w:tc>
      </w:tr>
      <w:tr>
        <w:tblPrEx>
          <w:tblW w:w="6859" w:type="dxa"/>
          <w:tblInd w:w="779" w:type="dxa"/>
          <w:tblLayout w:type="fixed"/>
        </w:tblPrEx>
        <w:trPr>
          <w:trHeight w:val="269"/>
        </w:trPr>
        <w:tc>
          <w:tcPr>
            <w:tcW w:w="3000" w:type="dxa"/>
            <w:vAlign w:val="top"/>
          </w:tcPr>
          <w:p>
            <w:pPr>
              <w:pStyle w:val="TableText"/>
              <w:spacing w:before="34" w:line="197" w:lineRule="auto"/>
              <w:ind w:left="914"/>
            </w:pPr>
            <w:r>
              <w:rPr>
                <w:spacing w:val="4"/>
              </w:rPr>
              <w:t>2023年1-9月</w:t>
            </w:r>
          </w:p>
        </w:tc>
        <w:tc>
          <w:tcPr>
            <w:tcW w:w="9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41" w:type="dxa"/>
            <w:vAlign w:val="top"/>
          </w:tcPr>
          <w:p>
            <w:pPr>
              <w:pStyle w:val="TableText"/>
              <w:spacing w:before="89" w:line="170" w:lineRule="exact"/>
              <w:ind w:right="8"/>
              <w:jc w:val="right"/>
            </w:pPr>
            <w:r>
              <w:rPr>
                <w:spacing w:val="-2"/>
                <w:position w:val="-2"/>
              </w:rPr>
              <w:t>-0.2</w:t>
            </w:r>
          </w:p>
        </w:tc>
      </w:tr>
      <w:tr>
        <w:tblPrEx>
          <w:tblW w:w="6859" w:type="dxa"/>
          <w:tblInd w:w="779" w:type="dxa"/>
          <w:tblLayout w:type="fixed"/>
        </w:tblPrEx>
        <w:trPr>
          <w:trHeight w:val="280"/>
        </w:trPr>
        <w:tc>
          <w:tcPr>
            <w:tcW w:w="3000" w:type="dxa"/>
            <w:vAlign w:val="top"/>
          </w:tcPr>
          <w:p>
            <w:pPr>
              <w:pStyle w:val="TableText"/>
              <w:spacing w:before="45" w:line="197" w:lineRule="auto"/>
              <w:ind w:left="864"/>
            </w:pPr>
            <w:r>
              <w:rPr>
                <w:spacing w:val="4"/>
              </w:rPr>
              <w:t>2023年1-10月</w:t>
            </w:r>
          </w:p>
        </w:tc>
        <w:tc>
          <w:tcPr>
            <w:tcW w:w="9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41" w:type="dxa"/>
            <w:vAlign w:val="top"/>
          </w:tcPr>
          <w:p>
            <w:pPr>
              <w:pStyle w:val="TableText"/>
              <w:spacing w:before="100" w:line="170" w:lineRule="exact"/>
              <w:ind w:right="15"/>
              <w:jc w:val="right"/>
            </w:pPr>
            <w:r>
              <w:rPr>
                <w:spacing w:val="-3"/>
                <w:position w:val="-2"/>
              </w:rPr>
              <w:t>0.9</w:t>
            </w:r>
          </w:p>
        </w:tc>
      </w:tr>
      <w:tr>
        <w:tblPrEx>
          <w:tblW w:w="6859" w:type="dxa"/>
          <w:tblInd w:w="779" w:type="dxa"/>
          <w:tblLayout w:type="fixed"/>
        </w:tblPrEx>
        <w:trPr>
          <w:trHeight w:val="279"/>
        </w:trPr>
        <w:tc>
          <w:tcPr>
            <w:tcW w:w="3000" w:type="dxa"/>
            <w:vAlign w:val="top"/>
          </w:tcPr>
          <w:p>
            <w:pPr>
              <w:pStyle w:val="TableText"/>
              <w:spacing w:before="46" w:line="196" w:lineRule="auto"/>
              <w:ind w:left="864"/>
            </w:pPr>
            <w:r>
              <w:rPr>
                <w:spacing w:val="4"/>
              </w:rPr>
              <w:t>2023年1-11月</w:t>
            </w:r>
          </w:p>
        </w:tc>
        <w:tc>
          <w:tcPr>
            <w:tcW w:w="9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41" w:type="dxa"/>
            <w:vAlign w:val="top"/>
          </w:tcPr>
          <w:p>
            <w:pPr>
              <w:pStyle w:val="TableText"/>
              <w:spacing w:before="99" w:line="170" w:lineRule="exact"/>
              <w:ind w:right="24"/>
              <w:jc w:val="right"/>
            </w:pPr>
            <w:r>
              <w:rPr>
                <w:spacing w:val="-6"/>
                <w:position w:val="-2"/>
              </w:rPr>
              <w:t>1.9</w:t>
            </w:r>
          </w:p>
        </w:tc>
      </w:tr>
      <w:tr>
        <w:tblPrEx>
          <w:tblW w:w="6859" w:type="dxa"/>
          <w:tblInd w:w="779" w:type="dxa"/>
          <w:tblLayout w:type="fixed"/>
        </w:tblPrEx>
        <w:trPr>
          <w:trHeight w:val="304"/>
        </w:trPr>
        <w:tc>
          <w:tcPr>
            <w:tcW w:w="3000" w:type="dxa"/>
            <w:vAlign w:val="top"/>
          </w:tcPr>
          <w:p>
            <w:pPr>
              <w:pStyle w:val="TableText"/>
              <w:spacing w:before="53" w:line="211" w:lineRule="auto"/>
              <w:ind w:left="867"/>
            </w:pPr>
            <w:r>
              <w:rPr>
                <w:b/>
                <w:bCs/>
                <w:spacing w:val="1"/>
              </w:rPr>
              <w:t>2023年1-12月</w:t>
            </w:r>
          </w:p>
        </w:tc>
        <w:tc>
          <w:tcPr>
            <w:tcW w:w="9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41" w:type="dxa"/>
            <w:vAlign w:val="top"/>
          </w:tcPr>
          <w:p>
            <w:pPr>
              <w:pStyle w:val="TableText"/>
              <w:spacing w:before="110" w:line="161" w:lineRule="auto"/>
              <w:ind w:right="24"/>
              <w:jc w:val="right"/>
            </w:pPr>
            <w:r>
              <w:rPr>
                <w:spacing w:val="-6"/>
              </w:rPr>
              <w:t>1.8</w:t>
            </w:r>
          </w:p>
        </w:tc>
      </w:tr>
    </w:tbl>
    <w:p>
      <w:pPr>
        <w:pStyle w:val="BodyText"/>
        <w:spacing w:before="83" w:line="219" w:lineRule="auto"/>
        <w:ind w:left="419"/>
        <w:rPr>
          <w:sz w:val="19"/>
          <w:szCs w:val="19"/>
        </w:rPr>
      </w:pPr>
      <w:r>
        <w:rPr>
          <w:spacing w:val="-10"/>
          <w:sz w:val="19"/>
          <w:szCs w:val="19"/>
        </w:rPr>
        <w:t>数据来源：国家统计局</w:t>
      </w:r>
    </w:p>
    <w:p>
      <w:pPr>
        <w:pStyle w:val="BodyText"/>
        <w:spacing w:before="261" w:line="219" w:lineRule="auto"/>
        <w:ind w:left="1642"/>
        <w:rPr>
          <w:sz w:val="19"/>
          <w:szCs w:val="19"/>
        </w:rPr>
        <w:sectPr>
          <w:headerReference w:type="default" r:id="rId66"/>
          <w:footerReference w:type="default" r:id="rId67"/>
          <w:pgSz w:w="11910" w:h="16840"/>
          <w:pgMar w:top="1109" w:right="1779" w:bottom="1338" w:left="1740" w:header="889" w:footer="1199" w:gutter="0"/>
          <w:pgNumType w:start="29"/>
          <w:cols w:space="708"/>
        </w:sectPr>
      </w:pPr>
      <w:r>
        <w:rPr>
          <w:b/>
          <w:bCs/>
          <w:spacing w:val="-1"/>
          <w:sz w:val="19"/>
          <w:szCs w:val="19"/>
        </w:rPr>
        <w:t>图</w:t>
      </w:r>
      <w:r>
        <w:rPr>
          <w:spacing w:val="-1"/>
          <w:sz w:val="19"/>
          <w:szCs w:val="19"/>
        </w:rPr>
        <w:t xml:space="preserve"> </w:t>
      </w:r>
      <w:r>
        <w:rPr>
          <w:b/>
          <w:bCs/>
          <w:spacing w:val="-1"/>
          <w:sz w:val="19"/>
          <w:szCs w:val="19"/>
        </w:rPr>
        <w:t>4</w:t>
      </w:r>
      <w:r>
        <w:rPr>
          <w:spacing w:val="74"/>
          <w:sz w:val="19"/>
          <w:szCs w:val="19"/>
        </w:rPr>
        <w:t xml:space="preserve"> </w:t>
      </w:r>
      <w:r>
        <w:rPr>
          <w:b/>
          <w:bCs/>
          <w:spacing w:val="-1"/>
          <w:sz w:val="19"/>
          <w:szCs w:val="19"/>
        </w:rPr>
        <w:t>2022年3月-2023年12月医药行业固定资产投资增速</w:t>
      </w:r>
      <w:r>
        <w:rPr>
          <w:b/>
          <w:bCs/>
          <w:spacing w:val="-2"/>
          <w:sz w:val="19"/>
          <w:szCs w:val="19"/>
        </w:rPr>
        <w:t>走势</w:t>
      </w:r>
    </w:p>
    <w:p>
      <w:pPr>
        <w:spacing w:before="50" w:line="5030" w:lineRule="exact"/>
      </w:pPr>
      <w:r>
        <w:rPr>
          <w:position w:val="-100"/>
        </w:rPr>
        <w:drawing>
          <wp:inline distT="0" distB="0" distL="0" distR="0">
            <wp:extent cx="5327650" cy="3194011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3194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8" w:line="219" w:lineRule="auto"/>
        <w:ind w:left="419"/>
        <w:rPr>
          <w:sz w:val="19"/>
          <w:szCs w:val="19"/>
        </w:rPr>
      </w:pPr>
      <w:r>
        <w:rPr>
          <w:spacing w:val="-10"/>
          <w:sz w:val="19"/>
          <w:szCs w:val="19"/>
        </w:rPr>
        <w:t>数据来源：国家统计局</w:t>
      </w:r>
    </w:p>
    <w:p>
      <w:pPr>
        <w:spacing w:line="219" w:lineRule="auto"/>
        <w:rPr>
          <w:sz w:val="19"/>
          <w:szCs w:val="19"/>
        </w:rPr>
      </w:pPr>
      <w:r>
        <w:rPr>
          <w:sz w:val="19"/>
          <w:szCs w:val="19"/>
        </w:rPr>
        <w:br/>
      </w:r>
      <w:r>
        <w:rPr>
          <w:sz w:val="19"/>
          <w:szCs w:val="19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https://d.book118.com/968025017135006041</w:t>
        </w:r>
      </w:hyperlink>
    </w:p>
    <w:p>
      <w:pPr>
        <w:spacing w:line="219" w:lineRule="auto"/>
        <w:rPr>
          <w:sz w:val="19"/>
          <w:szCs w:val="19"/>
        </w:rPr>
      </w:pPr>
    </w:p>
    <w:sectPr>
      <w:headerReference w:type="default" r:id="rId70"/>
      <w:footerReference w:type="default" r:id="rId71"/>
      <w:type w:val="nextPage"/>
      <w:pgSz w:w="11910" w:h="16840"/>
      <w:pgMar w:top="1109" w:right="1779" w:bottom="1338" w:left="1740" w:header="889" w:footer="1199" w:gutter="0"/>
      <w:pgNumType w:start="30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0" w:lineRule="auto"/>
      <w:ind w:left="4140"/>
      <w:rPr>
        <w:sz w:val="8"/>
        <w:szCs w:val="8"/>
      </w:rPr>
    </w:pPr>
    <w:r>
      <w:rPr>
        <w:sz w:val="8"/>
        <w:szCs w:val="8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0" w:lineRule="auto"/>
      <w:ind w:left="4140"/>
      <w:rPr>
        <w:sz w:val="8"/>
        <w:szCs w:val="8"/>
      </w:rPr>
    </w:pPr>
    <w:r>
      <w:rPr>
        <w:sz w:val="8"/>
        <w:szCs w:val="8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25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4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4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4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38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4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left="4144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5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left="4144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5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4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6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4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6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6" w:lineRule="auto"/>
      <w:ind w:left="4129"/>
      <w:rPr>
        <w:sz w:val="12"/>
        <w:szCs w:val="12"/>
      </w:rPr>
    </w:pPr>
    <w:r>
      <w:rPr>
        <w:sz w:val="12"/>
        <w:szCs w:val="12"/>
      </w:rPr>
      <w:t>7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6" w:lineRule="auto"/>
      <w:ind w:left="4129"/>
      <w:rPr>
        <w:sz w:val="12"/>
        <w:szCs w:val="12"/>
      </w:rPr>
    </w:pPr>
    <w:r>
      <w:rPr>
        <w:sz w:val="12"/>
        <w:szCs w:val="12"/>
      </w:rPr>
      <w:t>7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46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8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46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8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39"/>
      <w:rPr>
        <w:sz w:val="14"/>
        <w:szCs w:val="14"/>
      </w:rPr>
    </w:pPr>
    <w:r>
      <w:rPr>
        <w:color w:val="CE863E"/>
        <w:sz w:val="14"/>
        <w:szCs w:val="14"/>
      </w:rPr>
      <w:t>9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39"/>
      <w:rPr>
        <w:sz w:val="14"/>
        <w:szCs w:val="14"/>
      </w:rPr>
    </w:pPr>
    <w:r>
      <w:rPr>
        <w:color w:val="CE863E"/>
        <w:sz w:val="14"/>
        <w:szCs w:val="14"/>
      </w:rPr>
      <w:t>9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39"/>
      <w:rPr>
        <w:sz w:val="14"/>
        <w:szCs w:val="14"/>
      </w:rPr>
    </w:pPr>
    <w:r>
      <w:rPr>
        <w:color w:val="CE863E"/>
        <w:sz w:val="14"/>
        <w:szCs w:val="14"/>
      </w:rPr>
      <w:t>9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39"/>
      <w:rPr>
        <w:sz w:val="14"/>
        <w:szCs w:val="14"/>
      </w:rPr>
    </w:pPr>
    <w:r>
      <w:rPr>
        <w:color w:val="CE863E"/>
        <w:sz w:val="14"/>
        <w:szCs w:val="14"/>
      </w:rPr>
      <w:t>9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1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5"/>
        <w:sz w:val="18"/>
        <w:szCs w:val="18"/>
      </w:rPr>
      <w:t>10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1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5"/>
        <w:sz w:val="18"/>
        <w:szCs w:val="18"/>
      </w:rPr>
      <w:t>10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15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7"/>
        <w:sz w:val="18"/>
        <w:szCs w:val="18"/>
      </w:rPr>
      <w:t>11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15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7"/>
        <w:sz w:val="18"/>
        <w:szCs w:val="18"/>
      </w:rPr>
      <w:t>11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1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1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1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5"/>
        <w:sz w:val="18"/>
        <w:szCs w:val="18"/>
      </w:rPr>
      <w:t>13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1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5"/>
        <w:sz w:val="18"/>
        <w:szCs w:val="18"/>
      </w:rPr>
      <w:t>13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11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5"/>
        <w:sz w:val="18"/>
        <w:szCs w:val="18"/>
      </w:rPr>
      <w:t>14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4119"/>
      <w:rPr>
        <w:sz w:val="14"/>
        <w:szCs w:val="14"/>
      </w:rPr>
    </w:pPr>
    <w:r>
      <w:rPr>
        <w:spacing w:val="-4"/>
        <w:sz w:val="14"/>
        <w:szCs w:val="14"/>
      </w:rPr>
      <w:t>15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4119"/>
      <w:rPr>
        <w:sz w:val="14"/>
        <w:szCs w:val="14"/>
      </w:rPr>
    </w:pPr>
    <w:r>
      <w:rPr>
        <w:spacing w:val="-4"/>
        <w:sz w:val="14"/>
        <w:szCs w:val="14"/>
      </w:rPr>
      <w:t>15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8" w:lineRule="auto"/>
      <w:ind w:left="65"/>
      <w:rPr>
        <w:sz w:val="18"/>
        <w:szCs w:val="18"/>
      </w:rPr>
    </w:pPr>
    <w:r>
      <w:pict>
        <v:shape id="_x0000_s2049" style="width:418.3pt;height:0.75pt;margin-top:55.2pt;margin-left:88.58pt;mso-position-horizontal-relative:page;mso-position-vertical-relative:page;position:absolute;z-index:251659264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64.5pt;height:12.75pt;margin-top:-1pt;margin-left:352.71pt;position:absolute;z-index:251658240" filled="f" stroked="f">
          <o:lock v:ext="edit" aspectratio="f"/>
          <v:textbox inset="0,0,0,0">
            <w:txbxContent>
              <w:p>
                <w:pPr>
                  <w:pStyle w:val="BodyText"/>
                  <w:spacing w:before="19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2"/>
                    <w:sz w:val="18"/>
                    <w:szCs w:val="18"/>
                  </w:rPr>
                  <w:t>版权与免责声明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51" style="width:418.3pt;height:0.75pt;margin-top:54.24pt;margin-left:88.58pt;mso-position-horizontal-relative:page;mso-position-vertical-relative:page;position:absolute;z-index:251660288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7.95pt;height:12.85pt;margin-top:-0.99pt;margin-left:398.95pt;position:absolute;z-index:251661312" filled="f" stroked="f">
          <o:lock v:ext="edit" aspectratio="f"/>
          <v:textbox inset="0,0,0,0">
            <w:txbxContent>
              <w:p>
                <w:pPr>
                  <w:pStyle w:val="BodyText"/>
                  <w:spacing w:before="19" w:line="222" w:lineRule="auto"/>
                  <w:jc w:val="right"/>
                  <w:rPr>
                    <w:sz w:val="18"/>
                    <w:szCs w:val="18"/>
                  </w:rPr>
                </w:pPr>
                <w:r>
                  <w:rPr>
                    <w:spacing w:val="-33"/>
                    <w:sz w:val="18"/>
                    <w:szCs w:val="18"/>
                  </w:rPr>
                  <w:t>目</w:t>
                </w:r>
                <w:r>
                  <w:rPr>
                    <w:spacing w:val="-9"/>
                    <w:sz w:val="18"/>
                    <w:szCs w:val="18"/>
                  </w:rPr>
                  <w:t>录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53" style="width:418.3pt;height:0.75pt;margin-top:54.24pt;margin-left:88.58pt;mso-position-horizontal-relative:page;mso-position-vertical-relative:page;position:absolute;z-index:251662336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7.95pt;height:12.85pt;margin-top:-0.99pt;margin-left:398.95pt;position:absolute;z-index:251663360" filled="f" stroked="f">
          <o:lock v:ext="edit" aspectratio="f"/>
          <v:textbox inset="0,0,0,0">
            <w:txbxContent>
              <w:p>
                <w:pPr>
                  <w:pStyle w:val="BodyText"/>
                  <w:spacing w:before="19" w:line="222" w:lineRule="auto"/>
                  <w:jc w:val="right"/>
                  <w:rPr>
                    <w:sz w:val="18"/>
                    <w:szCs w:val="18"/>
                  </w:rPr>
                </w:pPr>
                <w:r>
                  <w:rPr>
                    <w:spacing w:val="-33"/>
                    <w:sz w:val="18"/>
                    <w:szCs w:val="18"/>
                  </w:rPr>
                  <w:t>目</w:t>
                </w:r>
                <w:r>
                  <w:rPr>
                    <w:spacing w:val="-9"/>
                    <w:sz w:val="18"/>
                    <w:szCs w:val="18"/>
                  </w:rPr>
                  <w:t>录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55" style="width:418.3pt;height:0.75pt;margin-top:54.24pt;margin-left:88.58pt;mso-position-horizontal-relative:page;mso-position-vertical-relative:page;position:absolute;z-index:251664384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7.95pt;height:12.85pt;margin-top:-0.99pt;margin-left:398.95pt;position:absolute;z-index:251665408" filled="f" stroked="f">
          <o:lock v:ext="edit" aspectratio="f"/>
          <v:textbox inset="0,0,0,0">
            <w:txbxContent>
              <w:p>
                <w:pPr>
                  <w:pStyle w:val="BodyText"/>
                  <w:spacing w:before="19" w:line="222" w:lineRule="auto"/>
                  <w:jc w:val="right"/>
                  <w:rPr>
                    <w:sz w:val="18"/>
                    <w:szCs w:val="18"/>
                  </w:rPr>
                </w:pPr>
                <w:r>
                  <w:rPr>
                    <w:spacing w:val="-33"/>
                    <w:sz w:val="18"/>
                    <w:szCs w:val="18"/>
                  </w:rPr>
                  <w:t>目</w:t>
                </w:r>
                <w:r>
                  <w:rPr>
                    <w:spacing w:val="-9"/>
                    <w:sz w:val="18"/>
                    <w:szCs w:val="18"/>
                  </w:rPr>
                  <w:t>录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57" style="width:418.3pt;height:0.75pt;margin-top:54.24pt;margin-left:88.58pt;mso-position-horizontal-relative:page;mso-position-vertical-relative:page;position:absolute;z-index:251667456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55.4pt;height:12.75pt;margin-top:-0.99pt;margin-left:356.81pt;position:absolute;z-index:251666432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2"/>
                    <w:sz w:val="18"/>
                    <w:szCs w:val="18"/>
                  </w:rPr>
                  <w:t>发展环境分析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59" style="width:418.3pt;height:0.75pt;margin-top:54.24pt;margin-left:88.58pt;mso-position-horizontal-relative:page;mso-position-vertical-relative:page;position:absolute;z-index:251669504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5.4pt;height:12.75pt;margin-top:-0.99pt;margin-left:356.81pt;position:absolute;z-index:251668480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2"/>
                    <w:sz w:val="18"/>
                    <w:szCs w:val="18"/>
                  </w:rPr>
                  <w:t>发展环境分析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61" style="width:418.3pt;height:0.75pt;margin-top:54.24pt;margin-left:88.58pt;mso-position-horizontal-relative:page;mso-position-vertical-relative:page;position:absolute;z-index:251671552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55.4pt;height:12.75pt;margin-top:-0.99pt;margin-left:356.81pt;position:absolute;z-index:251670528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2"/>
                    <w:sz w:val="18"/>
                    <w:szCs w:val="18"/>
                  </w:rPr>
                  <w:t>发展环境分析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63" style="width:418.3pt;height:0.75pt;margin-top:54.24pt;margin-left:88.58pt;mso-position-horizontal-relative:page;mso-position-vertical-relative:page;position:absolute;z-index:251673600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55.4pt;height:12.75pt;margin-top:-0.99pt;margin-left:356.81pt;position:absolute;z-index:251672576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2"/>
                    <w:sz w:val="18"/>
                    <w:szCs w:val="18"/>
                  </w:rPr>
                  <w:t>发展环境分析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1" w:lineRule="auto"/>
      <w:ind w:left="39"/>
      <w:rPr>
        <w:sz w:val="23"/>
        <w:szCs w:val="23"/>
      </w:rPr>
    </w:pPr>
    <w:r>
      <w:drawing>
        <wp:anchor distT="0" distB="0" distL="0" distR="0" simplePos="0" relativeHeight="251674624" behindDoc="0" locked="0" layoutInCell="1" allowOverlap="1">
          <wp:simplePos x="0" y="0"/>
          <wp:positionH relativeFrom="column">
            <wp:posOffset>9172</wp:posOffset>
          </wp:positionH>
          <wp:positionV relativeFrom="paragraph">
            <wp:posOffset>139056</wp:posOffset>
          </wp:positionV>
          <wp:extent cx="5216759" cy="11396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216759" cy="113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8"/>
        <w:sz w:val="20"/>
        <w:szCs w:val="20"/>
      </w:rPr>
      <w:t xml:space="preserve">国研网2023年四季度医药行业分析报告 </w:t>
    </w:r>
    <w:r>
      <w:rPr>
        <w:spacing w:val="-9"/>
        <w:sz w:val="20"/>
        <w:szCs w:val="20"/>
      </w:rPr>
      <w:t xml:space="preserve">                                 </w:t>
    </w:r>
    <w:r>
      <w:rPr>
        <w:spacing w:val="-9"/>
        <w:sz w:val="23"/>
        <w:szCs w:val="23"/>
      </w:rPr>
      <w:t>发 展 环 境 分 析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1" w:lineRule="auto"/>
      <w:ind w:left="39"/>
      <w:rPr>
        <w:sz w:val="23"/>
        <w:szCs w:val="23"/>
      </w:rPr>
    </w:pPr>
    <w:r>
      <w:drawing>
        <wp:anchor distT="0" distB="0" distL="0" distR="0" simplePos="0" relativeHeight="251675648" behindDoc="0" locked="0" layoutInCell="1" allowOverlap="1">
          <wp:simplePos x="0" y="0"/>
          <wp:positionH relativeFrom="column">
            <wp:posOffset>9172</wp:posOffset>
          </wp:positionH>
          <wp:positionV relativeFrom="paragraph">
            <wp:posOffset>139056</wp:posOffset>
          </wp:positionV>
          <wp:extent cx="5216759" cy="11396"/>
          <wp:effectExtent l="0" t="0" r="0" b="0"/>
          <wp:wrapNone/>
          <wp:docPr id="1145620090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620090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216759" cy="113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8"/>
        <w:sz w:val="20"/>
        <w:szCs w:val="20"/>
      </w:rPr>
      <w:t xml:space="preserve">国研网2023年四季度医药行业分析报告 </w:t>
    </w:r>
    <w:r>
      <w:rPr>
        <w:spacing w:val="-9"/>
        <w:sz w:val="20"/>
        <w:szCs w:val="20"/>
      </w:rPr>
      <w:t xml:space="preserve">                                 </w:t>
    </w:r>
    <w:r>
      <w:rPr>
        <w:spacing w:val="-9"/>
        <w:sz w:val="23"/>
        <w:szCs w:val="23"/>
      </w:rPr>
      <w:t>发 展 环 境 分 析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65" style="width:418.3pt;height:0.75pt;margin-top:54.24pt;margin-left:88.58pt;mso-position-horizontal-relative:page;mso-position-vertical-relative:page;position:absolute;z-index:251677696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55.4pt;height:12.75pt;margin-top:-0.99pt;margin-left:356.81pt;position:absolute;z-index:251676672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2"/>
                    <w:sz w:val="18"/>
                    <w:szCs w:val="18"/>
                  </w:rPr>
                  <w:t>发展环境分析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67" style="width:418.3pt;height:0.75pt;margin-top:54.24pt;margin-left:88.58pt;mso-position-horizontal-relative:page;mso-position-vertical-relative:page;position:absolute;z-index:251679744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55.4pt;height:12.75pt;margin-top:-0.99pt;margin-left:356.81pt;position:absolute;z-index:251678720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2"/>
                    <w:sz w:val="18"/>
                    <w:szCs w:val="18"/>
                  </w:rPr>
                  <w:t>发展环境分析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8" w:line="174" w:lineRule="auto"/>
      <w:ind w:left="59"/>
      <w:rPr>
        <w:sz w:val="18"/>
        <w:szCs w:val="18"/>
      </w:rPr>
    </w:pPr>
    <w:r>
      <w:drawing>
        <wp:anchor distT="0" distB="0" distL="0" distR="0" simplePos="0" relativeHeight="251681792" behindDoc="0" locked="0" layoutInCell="1" allowOverlap="1">
          <wp:simplePos x="0" y="0"/>
          <wp:positionH relativeFrom="column">
            <wp:posOffset>22381</wp:posOffset>
          </wp:positionH>
          <wp:positionV relativeFrom="paragraph">
            <wp:posOffset>108579</wp:posOffset>
          </wp:positionV>
          <wp:extent cx="5208538" cy="10767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208538" cy="10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88.15pt;height:12.75pt;margin-top:-0.99pt;margin-left:324.78pt;position:absolute;z-index:251680768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8"/>
                    <w:sz w:val="18"/>
                    <w:szCs w:val="18"/>
                  </w:rPr>
                  <w:t>发</w:t>
                </w:r>
                <w:r>
                  <w:rPr>
                    <w:spacing w:val="53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展</w:t>
                </w:r>
                <w:r>
                  <w:rPr>
                    <w:spacing w:val="47"/>
                    <w:w w:val="101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环</w:t>
                </w:r>
                <w:r>
                  <w:rPr>
                    <w:spacing w:val="48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境</w:t>
                </w:r>
                <w:r>
                  <w:rPr>
                    <w:spacing w:val="49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分</w:t>
                </w:r>
                <w:r>
                  <w:rPr>
                    <w:spacing w:val="49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析</w:t>
                </w:r>
              </w:p>
            </w:txbxContent>
          </v:textbox>
        </v:shape>
      </w:pict>
    </w:r>
    <w:r>
      <w:rPr>
        <w:spacing w:val="4"/>
        <w:sz w:val="18"/>
        <w:szCs w:val="18"/>
      </w:rPr>
      <w:t>国研网2023年四季度医药行业分析报告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8" w:line="174" w:lineRule="auto"/>
      <w:ind w:left="59"/>
      <w:rPr>
        <w:sz w:val="18"/>
        <w:szCs w:val="18"/>
      </w:rPr>
    </w:pPr>
    <w:r>
      <w:drawing>
        <wp:anchor distT="0" distB="0" distL="0" distR="0" simplePos="0" relativeHeight="251683840" behindDoc="0" locked="0" layoutInCell="1" allowOverlap="1">
          <wp:simplePos x="0" y="0"/>
          <wp:positionH relativeFrom="column">
            <wp:posOffset>22381</wp:posOffset>
          </wp:positionH>
          <wp:positionV relativeFrom="paragraph">
            <wp:posOffset>108579</wp:posOffset>
          </wp:positionV>
          <wp:extent cx="5208538" cy="10767"/>
          <wp:effectExtent l="0" t="0" r="0" b="0"/>
          <wp:wrapNone/>
          <wp:docPr id="193354102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54102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208538" cy="10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88.15pt;height:12.75pt;margin-top:-0.99pt;margin-left:324.78pt;position:absolute;z-index:251682816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8"/>
                    <w:sz w:val="18"/>
                    <w:szCs w:val="18"/>
                  </w:rPr>
                  <w:t>发</w:t>
                </w:r>
                <w:r>
                  <w:rPr>
                    <w:spacing w:val="53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展</w:t>
                </w:r>
                <w:r>
                  <w:rPr>
                    <w:spacing w:val="47"/>
                    <w:w w:val="101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环</w:t>
                </w:r>
                <w:r>
                  <w:rPr>
                    <w:spacing w:val="48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境</w:t>
                </w:r>
                <w:r>
                  <w:rPr>
                    <w:spacing w:val="49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分</w:t>
                </w:r>
                <w:r>
                  <w:rPr>
                    <w:spacing w:val="49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析</w:t>
                </w:r>
              </w:p>
            </w:txbxContent>
          </v:textbox>
        </v:shape>
      </w:pict>
    </w:r>
    <w:r>
      <w:rPr>
        <w:spacing w:val="4"/>
        <w:sz w:val="18"/>
        <w:szCs w:val="18"/>
      </w:rPr>
      <w:t>国研网2023年四季度医药行业分析报告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8" w:line="174" w:lineRule="auto"/>
      <w:ind w:left="59"/>
      <w:rPr>
        <w:sz w:val="18"/>
        <w:szCs w:val="18"/>
      </w:rPr>
    </w:pPr>
    <w:r>
      <w:drawing>
        <wp:anchor distT="0" distB="0" distL="0" distR="0" simplePos="0" relativeHeight="251685888" behindDoc="0" locked="0" layoutInCell="1" allowOverlap="1">
          <wp:simplePos x="0" y="0"/>
          <wp:positionH relativeFrom="column">
            <wp:posOffset>22381</wp:posOffset>
          </wp:positionH>
          <wp:positionV relativeFrom="paragraph">
            <wp:posOffset>108579</wp:posOffset>
          </wp:positionV>
          <wp:extent cx="5208538" cy="10767"/>
          <wp:effectExtent l="0" t="0" r="0" b="0"/>
          <wp:wrapNone/>
          <wp:docPr id="1480188725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0188725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208538" cy="10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88.15pt;height:12.75pt;margin-top:-0.99pt;margin-left:324.78pt;position:absolute;z-index:251684864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8"/>
                    <w:sz w:val="18"/>
                    <w:szCs w:val="18"/>
                  </w:rPr>
                  <w:t>发</w:t>
                </w:r>
                <w:r>
                  <w:rPr>
                    <w:spacing w:val="53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展</w:t>
                </w:r>
                <w:r>
                  <w:rPr>
                    <w:spacing w:val="47"/>
                    <w:w w:val="101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环</w:t>
                </w:r>
                <w:r>
                  <w:rPr>
                    <w:spacing w:val="48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境</w:t>
                </w:r>
                <w:r>
                  <w:rPr>
                    <w:spacing w:val="49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分</w:t>
                </w:r>
                <w:r>
                  <w:rPr>
                    <w:spacing w:val="49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析</w:t>
                </w:r>
              </w:p>
            </w:txbxContent>
          </v:textbox>
        </v:shape>
      </w:pict>
    </w:r>
    <w:r>
      <w:rPr>
        <w:spacing w:val="4"/>
        <w:sz w:val="18"/>
        <w:szCs w:val="18"/>
      </w:rPr>
      <w:t>国研网2023年四季度医药行业分析报告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8" w:line="174" w:lineRule="auto"/>
      <w:ind w:left="59"/>
      <w:rPr>
        <w:sz w:val="18"/>
        <w:szCs w:val="18"/>
      </w:rPr>
    </w:pPr>
    <w:r>
      <w:drawing>
        <wp:anchor distT="0" distB="0" distL="0" distR="0" simplePos="0" relativeHeight="251687936" behindDoc="0" locked="0" layoutInCell="1" allowOverlap="1">
          <wp:simplePos x="0" y="0"/>
          <wp:positionH relativeFrom="column">
            <wp:posOffset>22381</wp:posOffset>
          </wp:positionH>
          <wp:positionV relativeFrom="paragraph">
            <wp:posOffset>108579</wp:posOffset>
          </wp:positionV>
          <wp:extent cx="5208538" cy="10767"/>
          <wp:effectExtent l="0" t="0" r="0" b="0"/>
          <wp:wrapNone/>
          <wp:docPr id="1233653026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653026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208538" cy="10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88.15pt;height:12.75pt;margin-top:-0.99pt;margin-left:324.78pt;position:absolute;z-index:251686912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8"/>
                    <w:sz w:val="18"/>
                    <w:szCs w:val="18"/>
                  </w:rPr>
                  <w:t>发</w:t>
                </w:r>
                <w:r>
                  <w:rPr>
                    <w:spacing w:val="53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展</w:t>
                </w:r>
                <w:r>
                  <w:rPr>
                    <w:spacing w:val="47"/>
                    <w:w w:val="101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环</w:t>
                </w:r>
                <w:r>
                  <w:rPr>
                    <w:spacing w:val="48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境</w:t>
                </w:r>
                <w:r>
                  <w:rPr>
                    <w:spacing w:val="49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分</w:t>
                </w:r>
                <w:r>
                  <w:rPr>
                    <w:spacing w:val="49"/>
                    <w:sz w:val="18"/>
                    <w:szCs w:val="18"/>
                  </w:rPr>
                  <w:t xml:space="preserve"> </w:t>
                </w:r>
                <w:r>
                  <w:rPr>
                    <w:spacing w:val="-8"/>
                    <w:sz w:val="18"/>
                    <w:szCs w:val="18"/>
                  </w:rPr>
                  <w:t>析</w:t>
                </w:r>
              </w:p>
            </w:txbxContent>
          </v:textbox>
        </v:shape>
      </w:pict>
    </w:r>
    <w:r>
      <w:rPr>
        <w:spacing w:val="4"/>
        <w:sz w:val="18"/>
        <w:szCs w:val="18"/>
      </w:rPr>
      <w:t>国研网2023年四季度医药行业分析报告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73" style="width:418.3pt;height:0.75pt;margin-top:54.24pt;margin-left:88.58pt;mso-position-horizontal-relative:page;mso-position-vertical-relative:page;position:absolute;z-index:251689984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55.4pt;height:12.75pt;margin-top:-0.99pt;margin-left:356.81pt;position:absolute;z-index:251688960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2"/>
                    <w:sz w:val="18"/>
                    <w:szCs w:val="18"/>
                  </w:rPr>
                  <w:t>发展环境分析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75" style="width:418.3pt;height:0.75pt;margin-top:54.24pt;margin-left:88.58pt;mso-position-horizontal-relative:page;mso-position-vertical-relative:page;position:absolute;z-index:251692032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55.4pt;height:12.75pt;margin-top:-0.99pt;margin-left:356.81pt;position:absolute;z-index:251691008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2"/>
                    <w:sz w:val="18"/>
                    <w:szCs w:val="18"/>
                  </w:rPr>
                  <w:t>发展环境分析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77" style="width:418.3pt;height:0.75pt;margin-top:54.24pt;margin-left:88.58pt;mso-position-horizontal-relative:page;mso-position-vertical-relative:page;position:absolute;z-index:251694080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55.4pt;height:12.75pt;margin-top:-0.99pt;margin-left:356.81pt;position:absolute;z-index:251693056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2"/>
                    <w:sz w:val="18"/>
                    <w:szCs w:val="18"/>
                  </w:rPr>
                  <w:t>发展环境分析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79" style="width:418.3pt;height:0.75pt;margin-top:54.24pt;margin-left:88.58pt;mso-position-horizontal-relative:page;mso-position-vertical-relative:page;position:absolute;z-index:251696128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55.4pt;height:12.75pt;margin-top:-0.99pt;margin-left:356.81pt;position:absolute;z-index:251695104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2"/>
                    <w:sz w:val="18"/>
                    <w:szCs w:val="18"/>
                  </w:rPr>
                  <w:t>发展环境分析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81" style="width:418.3pt;height:0.75pt;margin-top:54.24pt;margin-left:88.58pt;mso-position-horizontal-relative:page;mso-position-vertical-relative:page;position:absolute;z-index:251698176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55.4pt;height:12.75pt;margin-top:-0.99pt;margin-left:356.81pt;position:absolute;z-index:251697152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2"/>
                    <w:sz w:val="18"/>
                    <w:szCs w:val="18"/>
                  </w:rPr>
                  <w:t>发展环境分析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83" style="width:418.3pt;height:0.75pt;margin-top:54.24pt;margin-left:88.58pt;mso-position-horizontal-relative:page;mso-position-vertical-relative:page;position:absolute;z-index:251700224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55.4pt;height:12.75pt;margin-top:-0.99pt;margin-left:356.81pt;position:absolute;z-index:251699200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2"/>
                    <w:sz w:val="18"/>
                    <w:szCs w:val="18"/>
                  </w:rPr>
                  <w:t>发展环境分析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85" style="width:418.3pt;height:0.75pt;margin-top:54.24pt;margin-left:88.58pt;mso-position-horizontal-relative:page;mso-position-vertical-relative:page;position:absolute;z-index:251702272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55.4pt;height:12.75pt;margin-top:-0.99pt;margin-left:356.81pt;position:absolute;z-index:251701248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2"/>
                    <w:sz w:val="18"/>
                    <w:szCs w:val="18"/>
                  </w:rPr>
                  <w:t>发展环境分析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87" style="width:418.3pt;height:0.75pt;margin-top:54.24pt;margin-left:88.58pt;mso-position-horizontal-relative:page;mso-position-vertical-relative:page;position:absolute;z-index:251704320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55.4pt;height:12.75pt;margin-top:-0.99pt;margin-left:356.81pt;position:absolute;z-index:251703296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2"/>
                    <w:sz w:val="18"/>
                    <w:szCs w:val="18"/>
                  </w:rPr>
                  <w:t>发展环境分析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7" w:lineRule="auto"/>
      <w:ind w:left="53"/>
      <w:rPr>
        <w:sz w:val="18"/>
        <w:szCs w:val="18"/>
      </w:rPr>
    </w:pPr>
    <w:r>
      <w:pict>
        <v:shape id="_x0000_s2089" style="width:418.3pt;height:0.75pt;margin-top:54.24pt;margin-left:88.58pt;mso-position-horizontal-relative:page;mso-position-vertical-relative:page;position:absolute;z-index:251706368" coordorigin="0,0" coordsize="8365,15" o:allowincell="f" path="m,14l8365,14l8365,l,l,14xe" filled="t" fillcolor="black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55.4pt;height:12.75pt;margin-top:-0.99pt;margin-left:356.81pt;position:absolute;z-index:251705344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ind w:left="20"/>
                  <w:rPr>
                    <w:sz w:val="18"/>
                    <w:szCs w:val="18"/>
                  </w:rPr>
                </w:pPr>
                <w:r>
                  <w:rPr>
                    <w:spacing w:val="-2"/>
                    <w:sz w:val="18"/>
                    <w:szCs w:val="18"/>
                  </w:rPr>
                  <w:t>发展环境分析</w:t>
                </w:r>
              </w:p>
            </w:txbxContent>
          </v:textbox>
        </v:shape>
      </w:pict>
    </w:r>
    <w:r>
      <w:rPr>
        <w:spacing w:val="-3"/>
        <w:sz w:val="18"/>
        <w:szCs w:val="18"/>
      </w:rPr>
      <w:t>国研网</w:t>
    </w:r>
    <w:r>
      <w:rPr>
        <w:spacing w:val="-22"/>
        <w:sz w:val="18"/>
        <w:szCs w:val="18"/>
      </w:rPr>
      <w:t xml:space="preserve"> </w:t>
    </w:r>
    <w:r>
      <w:rPr>
        <w:spacing w:val="-3"/>
        <w:sz w:val="18"/>
        <w:szCs w:val="18"/>
      </w:rPr>
      <w:t>2023</w:t>
    </w:r>
    <w:r>
      <w:rPr>
        <w:spacing w:val="-35"/>
        <w:sz w:val="18"/>
        <w:szCs w:val="18"/>
      </w:rPr>
      <w:t xml:space="preserve"> </w:t>
    </w:r>
    <w:r>
      <w:rPr>
        <w:spacing w:val="-3"/>
        <w:sz w:val="18"/>
        <w:szCs w:val="18"/>
      </w:rPr>
      <w:t>年四季度医药行业分析报告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6" w:lineRule="auto"/>
      <w:ind w:left="59"/>
      <w:rPr>
        <w:sz w:val="22"/>
        <w:szCs w:val="22"/>
      </w:rPr>
    </w:pPr>
    <w:r>
      <w:drawing>
        <wp:anchor distT="0" distB="0" distL="0" distR="0" simplePos="0" relativeHeight="251707392" behindDoc="0" locked="0" layoutInCell="1" allowOverlap="1">
          <wp:simplePos x="0" y="0"/>
          <wp:positionH relativeFrom="column">
            <wp:posOffset>21774</wp:posOffset>
          </wp:positionH>
          <wp:positionV relativeFrom="paragraph">
            <wp:posOffset>131411</wp:posOffset>
          </wp:positionV>
          <wp:extent cx="5273765" cy="8176"/>
          <wp:effectExtent l="0" t="0" r="0" b="0"/>
          <wp:wrapNone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273765" cy="81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3"/>
        <w:sz w:val="19"/>
        <w:szCs w:val="19"/>
      </w:rPr>
      <w:t xml:space="preserve">国研网2023年四季度医药行业分析报告             </w:t>
    </w:r>
    <w:r>
      <w:rPr>
        <w:spacing w:val="-4"/>
        <w:sz w:val="19"/>
        <w:szCs w:val="19"/>
      </w:rPr>
      <w:t xml:space="preserve">                       </w:t>
    </w:r>
    <w:r>
      <w:rPr>
        <w:spacing w:val="-4"/>
        <w:sz w:val="22"/>
        <w:szCs w:val="22"/>
      </w:rPr>
      <w:t>运 行 情 况 分 析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6" w:lineRule="auto"/>
      <w:ind w:left="59"/>
      <w:rPr>
        <w:sz w:val="22"/>
        <w:szCs w:val="22"/>
      </w:rPr>
    </w:pPr>
    <w:r>
      <w:drawing>
        <wp:anchor distT="0" distB="0" distL="0" distR="0" simplePos="0" relativeHeight="251708416" behindDoc="0" locked="0" layoutInCell="1" allowOverlap="1">
          <wp:simplePos x="0" y="0"/>
          <wp:positionH relativeFrom="column">
            <wp:posOffset>21774</wp:posOffset>
          </wp:positionH>
          <wp:positionV relativeFrom="paragraph">
            <wp:posOffset>131411</wp:posOffset>
          </wp:positionV>
          <wp:extent cx="5273765" cy="8176"/>
          <wp:effectExtent l="0" t="0" r="0" b="0"/>
          <wp:wrapNone/>
          <wp:docPr id="1562490530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2490530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5273765" cy="81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3"/>
        <w:sz w:val="19"/>
        <w:szCs w:val="19"/>
      </w:rPr>
      <w:t xml:space="preserve">国研网2023年四季度医药行业分析报告             </w:t>
    </w:r>
    <w:r>
      <w:rPr>
        <w:spacing w:val="-4"/>
        <w:sz w:val="19"/>
        <w:szCs w:val="19"/>
      </w:rPr>
      <w:t xml:space="preserve">                       </w:t>
    </w:r>
    <w:r>
      <w:rPr>
        <w:spacing w:val="-4"/>
        <w:sz w:val="22"/>
        <w:szCs w:val="22"/>
      </w:rPr>
      <w:t>运 行 情 况 分 析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5.xml" /><Relationship Id="rId12" Type="http://schemas.openxmlformats.org/officeDocument/2006/relationships/header" Target="header3.xml" /><Relationship Id="rId13" Type="http://schemas.openxmlformats.org/officeDocument/2006/relationships/footer" Target="footer6.xml" /><Relationship Id="rId14" Type="http://schemas.openxmlformats.org/officeDocument/2006/relationships/header" Target="header4.xml" /><Relationship Id="rId15" Type="http://schemas.openxmlformats.org/officeDocument/2006/relationships/footer" Target="footer7.xml" /><Relationship Id="rId16" Type="http://schemas.openxmlformats.org/officeDocument/2006/relationships/header" Target="header5.xml" /><Relationship Id="rId17" Type="http://schemas.openxmlformats.org/officeDocument/2006/relationships/footer" Target="footer8.xml" /><Relationship Id="rId18" Type="http://schemas.openxmlformats.org/officeDocument/2006/relationships/header" Target="header6.xml" /><Relationship Id="rId19" Type="http://schemas.openxmlformats.org/officeDocument/2006/relationships/footer" Target="footer9.xml" /><Relationship Id="rId2" Type="http://schemas.openxmlformats.org/officeDocument/2006/relationships/webSettings" Target="webSettings.xml" /><Relationship Id="rId20" Type="http://schemas.openxmlformats.org/officeDocument/2006/relationships/header" Target="header7.xml" /><Relationship Id="rId21" Type="http://schemas.openxmlformats.org/officeDocument/2006/relationships/footer" Target="footer10.xml" /><Relationship Id="rId22" Type="http://schemas.openxmlformats.org/officeDocument/2006/relationships/header" Target="header8.xml" /><Relationship Id="rId23" Type="http://schemas.openxmlformats.org/officeDocument/2006/relationships/footer" Target="footer11.xml" /><Relationship Id="rId24" Type="http://schemas.openxmlformats.org/officeDocument/2006/relationships/image" Target="media/image2.jpeg" /><Relationship Id="rId25" Type="http://schemas.openxmlformats.org/officeDocument/2006/relationships/header" Target="header9.xml" /><Relationship Id="rId26" Type="http://schemas.openxmlformats.org/officeDocument/2006/relationships/footer" Target="footer12.xml" /><Relationship Id="rId27" Type="http://schemas.openxmlformats.org/officeDocument/2006/relationships/header" Target="header10.xml" /><Relationship Id="rId28" Type="http://schemas.openxmlformats.org/officeDocument/2006/relationships/footer" Target="footer13.xml" /><Relationship Id="rId29" Type="http://schemas.openxmlformats.org/officeDocument/2006/relationships/header" Target="header11.xml" /><Relationship Id="rId3" Type="http://schemas.openxmlformats.org/officeDocument/2006/relationships/fontTable" Target="fontTable.xml" /><Relationship Id="rId30" Type="http://schemas.openxmlformats.org/officeDocument/2006/relationships/footer" Target="footer14.xml" /><Relationship Id="rId31" Type="http://schemas.openxmlformats.org/officeDocument/2006/relationships/header" Target="header12.xml" /><Relationship Id="rId32" Type="http://schemas.openxmlformats.org/officeDocument/2006/relationships/footer" Target="footer15.xml" /><Relationship Id="rId33" Type="http://schemas.openxmlformats.org/officeDocument/2006/relationships/header" Target="header13.xml" /><Relationship Id="rId34" Type="http://schemas.openxmlformats.org/officeDocument/2006/relationships/footer" Target="footer16.xml" /><Relationship Id="rId35" Type="http://schemas.openxmlformats.org/officeDocument/2006/relationships/image" Target="media/image5.jpeg" /><Relationship Id="rId36" Type="http://schemas.openxmlformats.org/officeDocument/2006/relationships/header" Target="header14.xml" /><Relationship Id="rId37" Type="http://schemas.openxmlformats.org/officeDocument/2006/relationships/footer" Target="footer17.xml" /><Relationship Id="rId38" Type="http://schemas.openxmlformats.org/officeDocument/2006/relationships/header" Target="header15.xml" /><Relationship Id="rId39" Type="http://schemas.openxmlformats.org/officeDocument/2006/relationships/footer" Target="footer18.xml" /><Relationship Id="rId4" Type="http://schemas.openxmlformats.org/officeDocument/2006/relationships/image" Target="media/image1.jpeg" /><Relationship Id="rId40" Type="http://schemas.openxmlformats.org/officeDocument/2006/relationships/image" Target="media/image6.jpeg" /><Relationship Id="rId41" Type="http://schemas.openxmlformats.org/officeDocument/2006/relationships/header" Target="header16.xml" /><Relationship Id="rId42" Type="http://schemas.openxmlformats.org/officeDocument/2006/relationships/footer" Target="footer19.xml" /><Relationship Id="rId43" Type="http://schemas.openxmlformats.org/officeDocument/2006/relationships/hyperlink" Target="1.2.1.1" TargetMode="External" /><Relationship Id="rId44" Type="http://schemas.openxmlformats.org/officeDocument/2006/relationships/header" Target="header17.xml" /><Relationship Id="rId45" Type="http://schemas.openxmlformats.org/officeDocument/2006/relationships/footer" Target="footer20.xml" /><Relationship Id="rId46" Type="http://schemas.openxmlformats.org/officeDocument/2006/relationships/hyperlink" Target="1.2.1.2" TargetMode="External" /><Relationship Id="rId47" Type="http://schemas.openxmlformats.org/officeDocument/2006/relationships/header" Target="header18.xml" /><Relationship Id="rId48" Type="http://schemas.openxmlformats.org/officeDocument/2006/relationships/footer" Target="footer21.xml" /><Relationship Id="rId49" Type="http://schemas.openxmlformats.org/officeDocument/2006/relationships/hyperlink" Target="1.2.1.3" TargetMode="External" /><Relationship Id="rId5" Type="http://schemas.openxmlformats.org/officeDocument/2006/relationships/footer" Target="footer1.xml" /><Relationship Id="rId50" Type="http://schemas.openxmlformats.org/officeDocument/2006/relationships/header" Target="header19.xml" /><Relationship Id="rId51" Type="http://schemas.openxmlformats.org/officeDocument/2006/relationships/footer" Target="footer22.xml" /><Relationship Id="rId52" Type="http://schemas.openxmlformats.org/officeDocument/2006/relationships/header" Target="header20.xml" /><Relationship Id="rId53" Type="http://schemas.openxmlformats.org/officeDocument/2006/relationships/footer" Target="footer23.xml" /><Relationship Id="rId54" Type="http://schemas.openxmlformats.org/officeDocument/2006/relationships/hyperlink" Target="1.2.2.1" TargetMode="External" /><Relationship Id="rId55" Type="http://schemas.openxmlformats.org/officeDocument/2006/relationships/hyperlink" Target="1.2.2.2" TargetMode="External" /><Relationship Id="rId56" Type="http://schemas.openxmlformats.org/officeDocument/2006/relationships/header" Target="header21.xml" /><Relationship Id="rId57" Type="http://schemas.openxmlformats.org/officeDocument/2006/relationships/footer" Target="footer24.xml" /><Relationship Id="rId58" Type="http://schemas.openxmlformats.org/officeDocument/2006/relationships/header" Target="header22.xml" /><Relationship Id="rId59" Type="http://schemas.openxmlformats.org/officeDocument/2006/relationships/footer" Target="footer25.xml" /><Relationship Id="rId6" Type="http://schemas.openxmlformats.org/officeDocument/2006/relationships/footer" Target="footer2.xml" /><Relationship Id="rId60" Type="http://schemas.openxmlformats.org/officeDocument/2006/relationships/header" Target="header23.xml" /><Relationship Id="rId61" Type="http://schemas.openxmlformats.org/officeDocument/2006/relationships/footer" Target="footer26.xml" /><Relationship Id="rId62" Type="http://schemas.openxmlformats.org/officeDocument/2006/relationships/header" Target="header24.xml" /><Relationship Id="rId63" Type="http://schemas.openxmlformats.org/officeDocument/2006/relationships/footer" Target="footer27.xml" /><Relationship Id="rId64" Type="http://schemas.openxmlformats.org/officeDocument/2006/relationships/header" Target="header25.xml" /><Relationship Id="rId65" Type="http://schemas.openxmlformats.org/officeDocument/2006/relationships/footer" Target="footer28.xml" /><Relationship Id="rId66" Type="http://schemas.openxmlformats.org/officeDocument/2006/relationships/header" Target="header26.xml" /><Relationship Id="rId67" Type="http://schemas.openxmlformats.org/officeDocument/2006/relationships/footer" Target="footer29.xml" /><Relationship Id="rId68" Type="http://schemas.openxmlformats.org/officeDocument/2006/relationships/image" Target="media/image8.jpeg" /><Relationship Id="rId69" Type="http://schemas.openxmlformats.org/officeDocument/2006/relationships/hyperlink" Target="https://d.book118.com/968025017135006041" TargetMode="External" /><Relationship Id="rId7" Type="http://schemas.openxmlformats.org/officeDocument/2006/relationships/footer" Target="footer3.xml" /><Relationship Id="rId70" Type="http://schemas.openxmlformats.org/officeDocument/2006/relationships/header" Target="header27.xml" /><Relationship Id="rId71" Type="http://schemas.openxmlformats.org/officeDocument/2006/relationships/footer" Target="footer30.xml" /><Relationship Id="rId72" Type="http://schemas.openxmlformats.org/officeDocument/2006/relationships/theme" Target="theme/theme1.xml" /><Relationship Id="rId73" Type="http://schemas.openxmlformats.org/officeDocument/2006/relationships/styles" Target="styles.xml" /><Relationship Id="rId8" Type="http://schemas.openxmlformats.org/officeDocument/2006/relationships/header" Target="header1.xml" /><Relationship Id="rId9" Type="http://schemas.openxmlformats.org/officeDocument/2006/relationships/footer" Target="footer4.xml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2024-03-02T10:21:15Z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2024-03-02T10:21:21Z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65e28d17a5d5df001fe488d2wl</vt:lpwstr>
  </property>
</Properties>
</file>