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新型诊断试剂与生物疫苗项目计划设计方案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83" w:history="1">
        <w:r>
          <w:rPr>
            <w:rFonts w:ascii="仿宋" w:eastAsia="仿宋" w:hAnsi="仿宋" w:cs="仿宋" w:hint="eastAsia"/>
            <w:lang w:eastAsia="zh-CN"/>
          </w:rPr>
          <w:t>前言</w:t>
        </w:r>
        <w:r>
          <w:tab/>
        </w:r>
        <w:r>
          <w:fldChar w:fldCharType="begin"/>
        </w:r>
        <w:r>
          <w:instrText xml:space="preserve"> PAGEREF _Toc32183 \h </w:instrText>
        </w:r>
        <w:r>
          <w:fldChar w:fldCharType="separate"/>
        </w:r>
        <w:r>
          <w:t>3</w:t>
        </w:r>
        <w:r>
          <w:fldChar w:fldCharType="end"/>
        </w:r>
      </w:hyperlink>
    </w:p>
    <w:p>
      <w:pPr>
        <w:pStyle w:val="TOC1"/>
        <w:tabs>
          <w:tab w:val="right" w:leader="dot" w:pos="8306"/>
        </w:tabs>
      </w:pPr>
      <w:hyperlink w:anchor="_Toc14757" w:history="1">
        <w:r>
          <w:rPr>
            <w:rFonts w:ascii="仿宋" w:eastAsia="仿宋" w:hAnsi="仿宋" w:cs="仿宋" w:hint="eastAsia"/>
            <w:lang w:eastAsia="zh-CN"/>
          </w:rPr>
          <w:t>一、新型诊断试剂与生物疫苗项目危机管理</w:t>
        </w:r>
        <w:r>
          <w:tab/>
        </w:r>
        <w:r>
          <w:fldChar w:fldCharType="begin"/>
        </w:r>
        <w:r>
          <w:instrText xml:space="preserve"> PAGEREF _Toc14757 \h </w:instrText>
        </w:r>
        <w:r>
          <w:fldChar w:fldCharType="separate"/>
        </w:r>
        <w:r>
          <w:t>3</w:t>
        </w:r>
        <w:r>
          <w:fldChar w:fldCharType="end"/>
        </w:r>
      </w:hyperlink>
    </w:p>
    <w:p>
      <w:pPr>
        <w:pStyle w:val="TOC2"/>
        <w:tabs>
          <w:tab w:val="right" w:leader="dot" w:pos="8306"/>
        </w:tabs>
      </w:pPr>
      <w:hyperlink w:anchor="_Toc7705" w:history="1">
        <w:r>
          <w:rPr>
            <w:rFonts w:ascii="仿宋" w:eastAsia="仿宋" w:hAnsi="仿宋" w:cs="仿宋" w:hint="eastAsia"/>
            <w:lang w:eastAsia="zh-CN"/>
          </w:rPr>
          <w:t>(一)、危机预警与识别</w:t>
        </w:r>
        <w:r>
          <w:tab/>
        </w:r>
        <w:r>
          <w:fldChar w:fldCharType="begin"/>
        </w:r>
        <w:r>
          <w:instrText xml:space="preserve"> PAGEREF _Toc7705 \h </w:instrText>
        </w:r>
        <w:r>
          <w:fldChar w:fldCharType="separate"/>
        </w:r>
        <w:r>
          <w:t>3</w:t>
        </w:r>
        <w:r>
          <w:fldChar w:fldCharType="end"/>
        </w:r>
      </w:hyperlink>
    </w:p>
    <w:p>
      <w:pPr>
        <w:pStyle w:val="TOC2"/>
        <w:tabs>
          <w:tab w:val="right" w:leader="dot" w:pos="8306"/>
        </w:tabs>
      </w:pPr>
      <w:hyperlink w:anchor="_Toc179" w:history="1">
        <w:r>
          <w:rPr>
            <w:rFonts w:ascii="仿宋" w:eastAsia="仿宋" w:hAnsi="仿宋" w:cs="仿宋" w:hint="eastAsia"/>
            <w:lang w:eastAsia="zh-CN"/>
          </w:rPr>
          <w:t>(二)、危机应对与恢复</w:t>
        </w:r>
        <w:r>
          <w:tab/>
        </w:r>
        <w:r>
          <w:fldChar w:fldCharType="begin"/>
        </w:r>
        <w:r>
          <w:instrText xml:space="preserve"> PAGEREF _Toc179 \h </w:instrText>
        </w:r>
        <w:r>
          <w:fldChar w:fldCharType="separate"/>
        </w:r>
        <w:r>
          <w:t>4</w:t>
        </w:r>
        <w:r>
          <w:fldChar w:fldCharType="end"/>
        </w:r>
      </w:hyperlink>
    </w:p>
    <w:p>
      <w:pPr>
        <w:pStyle w:val="TOC1"/>
        <w:tabs>
          <w:tab w:val="right" w:leader="dot" w:pos="8306"/>
        </w:tabs>
      </w:pPr>
      <w:hyperlink w:anchor="_Toc24311" w:history="1">
        <w:r>
          <w:rPr>
            <w:rFonts w:ascii="仿宋" w:eastAsia="仿宋" w:hAnsi="仿宋" w:cs="仿宋" w:hint="eastAsia"/>
            <w:lang w:eastAsia="zh-CN"/>
          </w:rPr>
          <w:t>二、新型诊断试剂与生物疫苗项目土建工程</w:t>
        </w:r>
        <w:r>
          <w:tab/>
        </w:r>
        <w:r>
          <w:fldChar w:fldCharType="begin"/>
        </w:r>
        <w:r>
          <w:instrText xml:space="preserve"> PAGEREF _Toc24311 \h </w:instrText>
        </w:r>
        <w:r>
          <w:fldChar w:fldCharType="separate"/>
        </w:r>
        <w:r>
          <w:t>6</w:t>
        </w:r>
        <w:r>
          <w:fldChar w:fldCharType="end"/>
        </w:r>
      </w:hyperlink>
    </w:p>
    <w:p>
      <w:pPr>
        <w:pStyle w:val="TOC2"/>
        <w:tabs>
          <w:tab w:val="right" w:leader="dot" w:pos="8306"/>
        </w:tabs>
      </w:pPr>
      <w:hyperlink w:anchor="_Toc20517" w:history="1">
        <w:r>
          <w:rPr>
            <w:rFonts w:ascii="仿宋" w:eastAsia="仿宋" w:hAnsi="仿宋" w:cs="仿宋" w:hint="eastAsia"/>
            <w:lang w:eastAsia="zh-CN"/>
          </w:rPr>
          <w:t>(一)、建筑工程设计原则</w:t>
        </w:r>
        <w:r>
          <w:tab/>
        </w:r>
        <w:r>
          <w:fldChar w:fldCharType="begin"/>
        </w:r>
        <w:r>
          <w:instrText xml:space="preserve"> PAGEREF _Toc20517 \h </w:instrText>
        </w:r>
        <w:r>
          <w:fldChar w:fldCharType="separate"/>
        </w:r>
        <w:r>
          <w:t>6</w:t>
        </w:r>
        <w:r>
          <w:fldChar w:fldCharType="end"/>
        </w:r>
      </w:hyperlink>
    </w:p>
    <w:p>
      <w:pPr>
        <w:pStyle w:val="TOC2"/>
        <w:tabs>
          <w:tab w:val="right" w:leader="dot" w:pos="8306"/>
        </w:tabs>
      </w:pPr>
      <w:hyperlink w:anchor="_Toc15899" w:history="1">
        <w:r>
          <w:rPr>
            <w:rFonts w:ascii="仿宋" w:eastAsia="仿宋" w:hAnsi="仿宋" w:cs="仿宋" w:hint="eastAsia"/>
            <w:lang w:eastAsia="zh-CN"/>
          </w:rPr>
          <w:t>(二)、土建工程设计年限及安全等级</w:t>
        </w:r>
        <w:r>
          <w:tab/>
        </w:r>
        <w:r>
          <w:fldChar w:fldCharType="begin"/>
        </w:r>
        <w:r>
          <w:instrText xml:space="preserve"> PAGEREF _Toc15899 \h </w:instrText>
        </w:r>
        <w:r>
          <w:fldChar w:fldCharType="separate"/>
        </w:r>
        <w:r>
          <w:t>7</w:t>
        </w:r>
        <w:r>
          <w:fldChar w:fldCharType="end"/>
        </w:r>
      </w:hyperlink>
    </w:p>
    <w:p>
      <w:pPr>
        <w:pStyle w:val="TOC2"/>
        <w:tabs>
          <w:tab w:val="right" w:leader="dot" w:pos="8306"/>
        </w:tabs>
      </w:pPr>
      <w:hyperlink w:anchor="_Toc16233" w:history="1">
        <w:r>
          <w:rPr>
            <w:rFonts w:ascii="仿宋" w:eastAsia="仿宋" w:hAnsi="仿宋" w:cs="仿宋" w:hint="eastAsia"/>
            <w:lang w:eastAsia="zh-CN"/>
          </w:rPr>
          <w:t>(三)、建筑工程设计总体要求</w:t>
        </w:r>
        <w:r>
          <w:tab/>
        </w:r>
        <w:r>
          <w:fldChar w:fldCharType="begin"/>
        </w:r>
        <w:r>
          <w:instrText xml:space="preserve"> PAGEREF _Toc16233 \h </w:instrText>
        </w:r>
        <w:r>
          <w:fldChar w:fldCharType="separate"/>
        </w:r>
        <w:r>
          <w:t>8</w:t>
        </w:r>
        <w:r>
          <w:fldChar w:fldCharType="end"/>
        </w:r>
      </w:hyperlink>
    </w:p>
    <w:p>
      <w:pPr>
        <w:pStyle w:val="TOC2"/>
        <w:tabs>
          <w:tab w:val="right" w:leader="dot" w:pos="8306"/>
        </w:tabs>
      </w:pPr>
      <w:hyperlink w:anchor="_Toc27359" w:history="1">
        <w:r>
          <w:rPr>
            <w:rFonts w:ascii="仿宋" w:eastAsia="仿宋" w:hAnsi="仿宋" w:cs="仿宋" w:hint="eastAsia"/>
            <w:lang w:eastAsia="zh-CN"/>
          </w:rPr>
          <w:t>(四)、土建工程建设指标</w:t>
        </w:r>
        <w:r>
          <w:tab/>
        </w:r>
        <w:r>
          <w:fldChar w:fldCharType="begin"/>
        </w:r>
        <w:r>
          <w:instrText xml:space="preserve"> PAGEREF _Toc27359 \h </w:instrText>
        </w:r>
        <w:r>
          <w:fldChar w:fldCharType="separate"/>
        </w:r>
        <w:r>
          <w:t>9</w:t>
        </w:r>
        <w:r>
          <w:fldChar w:fldCharType="end"/>
        </w:r>
      </w:hyperlink>
    </w:p>
    <w:p>
      <w:pPr>
        <w:pStyle w:val="TOC1"/>
        <w:tabs>
          <w:tab w:val="right" w:leader="dot" w:pos="8306"/>
        </w:tabs>
      </w:pPr>
      <w:hyperlink w:anchor="_Toc26504" w:history="1">
        <w:r>
          <w:rPr>
            <w:rFonts w:ascii="仿宋" w:eastAsia="仿宋" w:hAnsi="仿宋" w:cs="仿宋" w:hint="eastAsia"/>
            <w:lang w:eastAsia="zh-CN"/>
          </w:rPr>
          <w:t>三、新型诊断试剂与生物疫苗项目概论</w:t>
        </w:r>
        <w:r>
          <w:tab/>
        </w:r>
        <w:r>
          <w:fldChar w:fldCharType="begin"/>
        </w:r>
        <w:r>
          <w:instrText xml:space="preserve"> PAGEREF _Toc26504 \h </w:instrText>
        </w:r>
        <w:r>
          <w:fldChar w:fldCharType="separate"/>
        </w:r>
        <w:r>
          <w:t>9</w:t>
        </w:r>
        <w:r>
          <w:fldChar w:fldCharType="end"/>
        </w:r>
      </w:hyperlink>
    </w:p>
    <w:p>
      <w:pPr>
        <w:pStyle w:val="TOC2"/>
        <w:tabs>
          <w:tab w:val="right" w:leader="dot" w:pos="8306"/>
        </w:tabs>
      </w:pPr>
      <w:hyperlink w:anchor="_Toc3292" w:history="1">
        <w:r>
          <w:rPr>
            <w:rFonts w:ascii="仿宋" w:eastAsia="仿宋" w:hAnsi="仿宋" w:cs="仿宋" w:hint="eastAsia"/>
            <w:lang w:eastAsia="zh-CN"/>
          </w:rPr>
          <w:t>(一)、新型诊断试剂与生物疫苗项目概况</w:t>
        </w:r>
        <w:r>
          <w:tab/>
        </w:r>
        <w:r>
          <w:fldChar w:fldCharType="begin"/>
        </w:r>
        <w:r>
          <w:instrText xml:space="preserve"> PAGEREF _Toc3292 \h </w:instrText>
        </w:r>
        <w:r>
          <w:fldChar w:fldCharType="separate"/>
        </w:r>
        <w:r>
          <w:t>9</w:t>
        </w:r>
        <w:r>
          <w:fldChar w:fldCharType="end"/>
        </w:r>
      </w:hyperlink>
    </w:p>
    <w:p>
      <w:pPr>
        <w:pStyle w:val="TOC2"/>
        <w:tabs>
          <w:tab w:val="right" w:leader="dot" w:pos="8306"/>
        </w:tabs>
      </w:pPr>
      <w:hyperlink w:anchor="_Toc16807" w:history="1">
        <w:r>
          <w:rPr>
            <w:rFonts w:ascii="仿宋" w:eastAsia="仿宋" w:hAnsi="仿宋" w:cs="仿宋" w:hint="eastAsia"/>
            <w:lang w:eastAsia="zh-CN"/>
          </w:rPr>
          <w:t>(二)、新型诊断试剂与生物疫苗项目目标</w:t>
        </w:r>
        <w:r>
          <w:tab/>
        </w:r>
        <w:r>
          <w:fldChar w:fldCharType="begin"/>
        </w:r>
        <w:r>
          <w:instrText xml:space="preserve"> PAGEREF _Toc16807 \h </w:instrText>
        </w:r>
        <w:r>
          <w:fldChar w:fldCharType="separate"/>
        </w:r>
        <w:r>
          <w:t>12</w:t>
        </w:r>
        <w:r>
          <w:fldChar w:fldCharType="end"/>
        </w:r>
      </w:hyperlink>
    </w:p>
    <w:p>
      <w:pPr>
        <w:pStyle w:val="TOC2"/>
        <w:tabs>
          <w:tab w:val="right" w:leader="dot" w:pos="8306"/>
        </w:tabs>
      </w:pPr>
      <w:hyperlink w:anchor="_Toc4322" w:history="1">
        <w:r>
          <w:rPr>
            <w:rFonts w:ascii="仿宋" w:eastAsia="仿宋" w:hAnsi="仿宋" w:cs="仿宋" w:hint="eastAsia"/>
            <w:lang w:eastAsia="zh-CN"/>
          </w:rPr>
          <w:t>(三)、新型诊断试剂与生物疫苗项目提出的理由</w:t>
        </w:r>
        <w:r>
          <w:tab/>
        </w:r>
        <w:r>
          <w:fldChar w:fldCharType="begin"/>
        </w:r>
        <w:r>
          <w:instrText xml:space="preserve"> PAGEREF _Toc4322 \h </w:instrText>
        </w:r>
        <w:r>
          <w:fldChar w:fldCharType="separate"/>
        </w:r>
        <w:r>
          <w:t>13</w:t>
        </w:r>
        <w:r>
          <w:fldChar w:fldCharType="end"/>
        </w:r>
      </w:hyperlink>
    </w:p>
    <w:p>
      <w:pPr>
        <w:pStyle w:val="TOC2"/>
        <w:tabs>
          <w:tab w:val="right" w:leader="dot" w:pos="8306"/>
        </w:tabs>
      </w:pPr>
      <w:hyperlink w:anchor="_Toc1672" w:history="1">
        <w:r>
          <w:rPr>
            <w:rFonts w:ascii="仿宋" w:eastAsia="仿宋" w:hAnsi="仿宋" w:cs="仿宋" w:hint="eastAsia"/>
            <w:lang w:eastAsia="zh-CN"/>
          </w:rPr>
          <w:t>(四)、新型诊断试剂与生物疫苗项目意义</w:t>
        </w:r>
        <w:r>
          <w:tab/>
        </w:r>
        <w:r>
          <w:fldChar w:fldCharType="begin"/>
        </w:r>
        <w:r>
          <w:instrText xml:space="preserve"> PAGEREF _Toc1672 \h </w:instrText>
        </w:r>
        <w:r>
          <w:fldChar w:fldCharType="separate"/>
        </w:r>
        <w:r>
          <w:t>14</w:t>
        </w:r>
        <w:r>
          <w:fldChar w:fldCharType="end"/>
        </w:r>
      </w:hyperlink>
    </w:p>
    <w:p>
      <w:pPr>
        <w:pStyle w:val="TOC2"/>
        <w:tabs>
          <w:tab w:val="right" w:leader="dot" w:pos="8306"/>
        </w:tabs>
      </w:pPr>
      <w:hyperlink w:anchor="_Toc14078" w:history="1">
        <w:r>
          <w:rPr>
            <w:rFonts w:ascii="仿宋" w:eastAsia="仿宋" w:hAnsi="仿宋" w:cs="仿宋" w:hint="eastAsia"/>
            <w:lang w:eastAsia="zh-CN"/>
          </w:rPr>
          <w:t>(五)、新型诊断试剂与生物疫苗项目背景</w:t>
        </w:r>
        <w:r>
          <w:tab/>
        </w:r>
        <w:r>
          <w:fldChar w:fldCharType="begin"/>
        </w:r>
        <w:r>
          <w:instrText xml:space="preserve"> PAGEREF _Toc14078 \h </w:instrText>
        </w:r>
        <w:r>
          <w:fldChar w:fldCharType="separate"/>
        </w:r>
        <w:r>
          <w:t>15</w:t>
        </w:r>
        <w:r>
          <w:fldChar w:fldCharType="end"/>
        </w:r>
      </w:hyperlink>
    </w:p>
    <w:p>
      <w:pPr>
        <w:pStyle w:val="TOC1"/>
        <w:tabs>
          <w:tab w:val="right" w:leader="dot" w:pos="8306"/>
        </w:tabs>
      </w:pPr>
      <w:hyperlink w:anchor="_Toc32534" w:history="1">
        <w:r>
          <w:rPr>
            <w:rFonts w:ascii="仿宋" w:eastAsia="仿宋" w:hAnsi="仿宋" w:cs="仿宋" w:hint="eastAsia"/>
            <w:lang w:eastAsia="zh-CN"/>
          </w:rPr>
          <w:t>四、工艺说明</w:t>
        </w:r>
        <w:r>
          <w:tab/>
        </w:r>
        <w:r>
          <w:fldChar w:fldCharType="begin"/>
        </w:r>
        <w:r>
          <w:instrText xml:space="preserve"> PAGEREF _Toc32534 \h </w:instrText>
        </w:r>
        <w:r>
          <w:fldChar w:fldCharType="separate"/>
        </w:r>
        <w:r>
          <w:t>16</w:t>
        </w:r>
        <w:r>
          <w:fldChar w:fldCharType="end"/>
        </w:r>
      </w:hyperlink>
    </w:p>
    <w:p>
      <w:pPr>
        <w:pStyle w:val="TOC2"/>
        <w:tabs>
          <w:tab w:val="right" w:leader="dot" w:pos="8306"/>
        </w:tabs>
      </w:pPr>
      <w:hyperlink w:anchor="_Toc12627" w:history="1">
        <w:r>
          <w:rPr>
            <w:rFonts w:ascii="仿宋" w:eastAsia="仿宋" w:hAnsi="仿宋" w:cs="仿宋" w:hint="eastAsia"/>
            <w:lang w:eastAsia="zh-CN"/>
          </w:rPr>
          <w:t>(一)、技术管理特点</w:t>
        </w:r>
        <w:r>
          <w:tab/>
        </w:r>
        <w:r>
          <w:fldChar w:fldCharType="begin"/>
        </w:r>
        <w:r>
          <w:instrText xml:space="preserve"> PAGEREF _Toc12627 \h </w:instrText>
        </w:r>
        <w:r>
          <w:fldChar w:fldCharType="separate"/>
        </w:r>
        <w:r>
          <w:t>16</w:t>
        </w:r>
        <w:r>
          <w:fldChar w:fldCharType="end"/>
        </w:r>
      </w:hyperlink>
    </w:p>
    <w:p>
      <w:pPr>
        <w:pStyle w:val="TOC2"/>
        <w:tabs>
          <w:tab w:val="right" w:leader="dot" w:pos="8306"/>
        </w:tabs>
      </w:pPr>
      <w:hyperlink w:anchor="_Toc30268" w:history="1">
        <w:r>
          <w:rPr>
            <w:rFonts w:ascii="仿宋" w:eastAsia="仿宋" w:hAnsi="仿宋" w:cs="仿宋" w:hint="eastAsia"/>
            <w:lang w:eastAsia="zh-CN"/>
          </w:rPr>
          <w:t>(二)、新型诊断试剂与生物疫苗项目工艺技术设计方案</w:t>
        </w:r>
        <w:r>
          <w:tab/>
        </w:r>
        <w:r>
          <w:fldChar w:fldCharType="begin"/>
        </w:r>
        <w:r>
          <w:instrText xml:space="preserve"> PAGEREF _Toc30268 \h </w:instrText>
        </w:r>
        <w:r>
          <w:fldChar w:fldCharType="separate"/>
        </w:r>
        <w:r>
          <w:t>18</w:t>
        </w:r>
        <w:r>
          <w:fldChar w:fldCharType="end"/>
        </w:r>
      </w:hyperlink>
    </w:p>
    <w:p>
      <w:pPr>
        <w:pStyle w:val="TOC2"/>
        <w:tabs>
          <w:tab w:val="right" w:leader="dot" w:pos="8306"/>
        </w:tabs>
      </w:pPr>
      <w:hyperlink w:anchor="_Toc25359" w:history="1">
        <w:r>
          <w:rPr>
            <w:rFonts w:ascii="仿宋" w:eastAsia="仿宋" w:hAnsi="仿宋" w:cs="仿宋" w:hint="eastAsia"/>
            <w:lang w:eastAsia="zh-CN"/>
          </w:rPr>
          <w:t>(三)、设备选型方案</w:t>
        </w:r>
        <w:r>
          <w:tab/>
        </w:r>
        <w:r>
          <w:fldChar w:fldCharType="begin"/>
        </w:r>
        <w:r>
          <w:instrText xml:space="preserve"> PAGEREF _Toc25359 \h </w:instrText>
        </w:r>
        <w:r>
          <w:fldChar w:fldCharType="separate"/>
        </w:r>
        <w:r>
          <w:t>19</w:t>
        </w:r>
        <w:r>
          <w:fldChar w:fldCharType="end"/>
        </w:r>
      </w:hyperlink>
    </w:p>
    <w:p>
      <w:pPr>
        <w:pStyle w:val="TOC1"/>
        <w:tabs>
          <w:tab w:val="right" w:leader="dot" w:pos="8306"/>
        </w:tabs>
      </w:pPr>
      <w:hyperlink w:anchor="_Toc16030" w:history="1">
        <w:r>
          <w:rPr>
            <w:rFonts w:ascii="仿宋" w:eastAsia="仿宋" w:hAnsi="仿宋" w:cs="仿宋" w:hint="eastAsia"/>
            <w:lang w:eastAsia="zh-CN"/>
          </w:rPr>
          <w:t>五、市场分析、调研</w:t>
        </w:r>
        <w:r>
          <w:tab/>
        </w:r>
        <w:r>
          <w:fldChar w:fldCharType="begin"/>
        </w:r>
        <w:r>
          <w:instrText xml:space="preserve"> PAGEREF _Toc16030 \h </w:instrText>
        </w:r>
        <w:r>
          <w:fldChar w:fldCharType="separate"/>
        </w:r>
        <w:r>
          <w:t>20</w:t>
        </w:r>
        <w:r>
          <w:fldChar w:fldCharType="end"/>
        </w:r>
      </w:hyperlink>
    </w:p>
    <w:p>
      <w:pPr>
        <w:pStyle w:val="TOC2"/>
        <w:tabs>
          <w:tab w:val="right" w:leader="dot" w:pos="8306"/>
        </w:tabs>
      </w:pPr>
      <w:hyperlink w:anchor="_Toc1995" w:history="1">
        <w:r>
          <w:rPr>
            <w:rFonts w:ascii="仿宋" w:eastAsia="仿宋" w:hAnsi="仿宋" w:cs="仿宋" w:hint="eastAsia"/>
            <w:lang w:eastAsia="zh-CN"/>
          </w:rPr>
          <w:t>(一)、新型诊断试剂与生物疫苗行业分析</w:t>
        </w:r>
        <w:r>
          <w:tab/>
        </w:r>
        <w:r>
          <w:fldChar w:fldCharType="begin"/>
        </w:r>
        <w:r>
          <w:instrText xml:space="preserve"> PAGEREF _Toc1995 \h </w:instrText>
        </w:r>
        <w:r>
          <w:fldChar w:fldCharType="separate"/>
        </w:r>
        <w:r>
          <w:t>20</w:t>
        </w:r>
        <w:r>
          <w:fldChar w:fldCharType="end"/>
        </w:r>
      </w:hyperlink>
    </w:p>
    <w:p>
      <w:pPr>
        <w:pStyle w:val="TOC2"/>
        <w:tabs>
          <w:tab w:val="right" w:leader="dot" w:pos="8306"/>
        </w:tabs>
      </w:pPr>
      <w:hyperlink w:anchor="_Toc4842" w:history="1">
        <w:r>
          <w:rPr>
            <w:rFonts w:ascii="仿宋" w:eastAsia="仿宋" w:hAnsi="仿宋" w:cs="仿宋" w:hint="eastAsia"/>
            <w:lang w:eastAsia="zh-CN"/>
          </w:rPr>
          <w:t>(二)、新型诊断试剂与生物疫苗市场分析预测</w:t>
        </w:r>
        <w:r>
          <w:tab/>
        </w:r>
        <w:r>
          <w:fldChar w:fldCharType="begin"/>
        </w:r>
        <w:r>
          <w:instrText xml:space="preserve"> PAGEREF _Toc4842 \h </w:instrText>
        </w:r>
        <w:r>
          <w:fldChar w:fldCharType="separate"/>
        </w:r>
        <w:r>
          <w:t>21</w:t>
        </w:r>
        <w:r>
          <w:fldChar w:fldCharType="end"/>
        </w:r>
      </w:hyperlink>
    </w:p>
    <w:p>
      <w:pPr>
        <w:pStyle w:val="TOC1"/>
        <w:tabs>
          <w:tab w:val="right" w:leader="dot" w:pos="8306"/>
        </w:tabs>
      </w:pPr>
      <w:hyperlink w:anchor="_Toc3852" w:history="1">
        <w:r>
          <w:rPr>
            <w:rFonts w:ascii="仿宋" w:eastAsia="仿宋" w:hAnsi="仿宋" w:cs="仿宋" w:hint="eastAsia"/>
            <w:lang w:eastAsia="zh-CN"/>
          </w:rPr>
          <w:t>六、新型诊断试剂与生物疫苗项目建设背景及必要性分析</w:t>
        </w:r>
        <w:r>
          <w:tab/>
        </w:r>
        <w:r>
          <w:fldChar w:fldCharType="begin"/>
        </w:r>
        <w:r>
          <w:instrText xml:space="preserve"> PAGEREF _Toc3852 \h </w:instrText>
        </w:r>
        <w:r>
          <w:fldChar w:fldCharType="separate"/>
        </w:r>
        <w:r>
          <w:t>22</w:t>
        </w:r>
        <w:r>
          <w:fldChar w:fldCharType="end"/>
        </w:r>
      </w:hyperlink>
    </w:p>
    <w:p>
      <w:pPr>
        <w:pStyle w:val="TOC2"/>
        <w:tabs>
          <w:tab w:val="right" w:leader="dot" w:pos="8306"/>
        </w:tabs>
      </w:pPr>
      <w:hyperlink w:anchor="_Toc3545" w:history="1">
        <w:r>
          <w:rPr>
            <w:rFonts w:ascii="仿宋" w:eastAsia="仿宋" w:hAnsi="仿宋" w:cs="仿宋" w:hint="eastAsia"/>
            <w:lang w:eastAsia="zh-CN"/>
          </w:rPr>
          <w:t>(一)、新型诊断试剂与生物疫苗项目背景分析</w:t>
        </w:r>
        <w:r>
          <w:tab/>
        </w:r>
        <w:r>
          <w:fldChar w:fldCharType="begin"/>
        </w:r>
        <w:r>
          <w:instrText xml:space="preserve"> PAGEREF _Toc3545 \h </w:instrText>
        </w:r>
        <w:r>
          <w:fldChar w:fldCharType="separate"/>
        </w:r>
        <w:r>
          <w:t>22</w:t>
        </w:r>
        <w:r>
          <w:fldChar w:fldCharType="end"/>
        </w:r>
      </w:hyperlink>
    </w:p>
    <w:p>
      <w:pPr>
        <w:pStyle w:val="TOC2"/>
        <w:tabs>
          <w:tab w:val="right" w:leader="dot" w:pos="8306"/>
        </w:tabs>
      </w:pPr>
      <w:hyperlink w:anchor="_Toc5322" w:history="1">
        <w:r>
          <w:rPr>
            <w:rFonts w:ascii="仿宋" w:eastAsia="仿宋" w:hAnsi="仿宋" w:cs="仿宋" w:hint="eastAsia"/>
            <w:lang w:eastAsia="zh-CN"/>
          </w:rPr>
          <w:t>(二)、新型诊断试剂与生物疫苗项目建设必要性分析</w:t>
        </w:r>
        <w:r>
          <w:tab/>
        </w:r>
        <w:r>
          <w:fldChar w:fldCharType="begin"/>
        </w:r>
        <w:r>
          <w:instrText xml:space="preserve"> PAGEREF _Toc5322 \h </w:instrText>
        </w:r>
        <w:r>
          <w:fldChar w:fldCharType="separate"/>
        </w:r>
        <w:r>
          <w:t>24</w:t>
        </w:r>
        <w:r>
          <w:fldChar w:fldCharType="end"/>
        </w:r>
      </w:hyperlink>
    </w:p>
    <w:p>
      <w:pPr>
        <w:pStyle w:val="TOC1"/>
        <w:tabs>
          <w:tab w:val="right" w:leader="dot" w:pos="8306"/>
        </w:tabs>
      </w:pPr>
      <w:hyperlink w:anchor="_Toc7964" w:history="1">
        <w:r>
          <w:rPr>
            <w:rFonts w:ascii="仿宋" w:eastAsia="仿宋" w:hAnsi="仿宋" w:cs="仿宋" w:hint="eastAsia"/>
            <w:lang w:eastAsia="zh-CN"/>
          </w:rPr>
          <w:t>七、新型诊断试剂与生物疫苗项目经营效益</w:t>
        </w:r>
        <w:r>
          <w:tab/>
        </w:r>
        <w:r>
          <w:fldChar w:fldCharType="begin"/>
        </w:r>
        <w:r>
          <w:instrText xml:space="preserve"> PAGEREF _Toc7964 \h </w:instrText>
        </w:r>
        <w:r>
          <w:fldChar w:fldCharType="separate"/>
        </w:r>
        <w:r>
          <w:t>25</w:t>
        </w:r>
        <w:r>
          <w:fldChar w:fldCharType="end"/>
        </w:r>
      </w:hyperlink>
    </w:p>
    <w:p>
      <w:pPr>
        <w:pStyle w:val="TOC2"/>
        <w:tabs>
          <w:tab w:val="right" w:leader="dot" w:pos="8306"/>
        </w:tabs>
      </w:pPr>
      <w:hyperlink w:anchor="_Toc26403" w:history="1">
        <w:r>
          <w:rPr>
            <w:rFonts w:ascii="仿宋" w:eastAsia="仿宋" w:hAnsi="仿宋" w:cs="仿宋" w:hint="eastAsia"/>
            <w:lang w:eastAsia="zh-CN"/>
          </w:rPr>
          <w:t>(一)、经济评价财务测算</w:t>
        </w:r>
        <w:r>
          <w:tab/>
        </w:r>
        <w:r>
          <w:fldChar w:fldCharType="begin"/>
        </w:r>
        <w:r>
          <w:instrText xml:space="preserve"> PAGEREF _Toc26403 \h </w:instrText>
        </w:r>
        <w:r>
          <w:fldChar w:fldCharType="separate"/>
        </w:r>
        <w:r>
          <w:t>25</w:t>
        </w:r>
        <w:r>
          <w:fldChar w:fldCharType="end"/>
        </w:r>
      </w:hyperlink>
    </w:p>
    <w:p>
      <w:pPr>
        <w:pStyle w:val="TOC2"/>
        <w:tabs>
          <w:tab w:val="right" w:leader="dot" w:pos="8306"/>
        </w:tabs>
      </w:pPr>
      <w:hyperlink w:anchor="_Toc19655" w:history="1">
        <w:r>
          <w:rPr>
            <w:rFonts w:ascii="仿宋" w:eastAsia="仿宋" w:hAnsi="仿宋" w:cs="仿宋" w:hint="eastAsia"/>
            <w:lang w:eastAsia="zh-CN"/>
          </w:rPr>
          <w:t>(二)、新型诊断试剂与生物疫苗项目盈利能力分析</w:t>
        </w:r>
        <w:r>
          <w:tab/>
        </w:r>
        <w:r>
          <w:fldChar w:fldCharType="begin"/>
        </w:r>
        <w:r>
          <w:instrText xml:space="preserve"> PAGEREF _Toc19655 \h </w:instrText>
        </w:r>
        <w:r>
          <w:fldChar w:fldCharType="separate"/>
        </w:r>
        <w:r>
          <w:t>27</w:t>
        </w:r>
        <w:r>
          <w:fldChar w:fldCharType="end"/>
        </w:r>
      </w:hyperlink>
    </w:p>
    <w:p>
      <w:pPr>
        <w:pStyle w:val="TOC1"/>
        <w:tabs>
          <w:tab w:val="right" w:leader="dot" w:pos="8306"/>
        </w:tabs>
      </w:pPr>
      <w:hyperlink w:anchor="_Toc19105" w:history="1">
        <w:r>
          <w:rPr>
            <w:rFonts w:ascii="仿宋" w:eastAsia="仿宋" w:hAnsi="仿宋" w:cs="仿宋" w:hint="eastAsia"/>
            <w:lang w:eastAsia="zh-CN"/>
          </w:rPr>
          <w:t>八、生产安全保护</w:t>
        </w:r>
        <w:r>
          <w:tab/>
        </w:r>
        <w:r>
          <w:fldChar w:fldCharType="begin"/>
        </w:r>
        <w:r>
          <w:instrText xml:space="preserve"> PAGEREF _Toc19105 \h </w:instrText>
        </w:r>
        <w:r>
          <w:fldChar w:fldCharType="separate"/>
        </w:r>
        <w:r>
          <w:t>27</w:t>
        </w:r>
        <w:r>
          <w:fldChar w:fldCharType="end"/>
        </w:r>
      </w:hyperlink>
    </w:p>
    <w:p>
      <w:pPr>
        <w:pStyle w:val="TOC2"/>
        <w:tabs>
          <w:tab w:val="right" w:leader="dot" w:pos="8306"/>
        </w:tabs>
      </w:pPr>
      <w:hyperlink w:anchor="_Toc19702" w:history="1">
        <w:r>
          <w:rPr>
            <w:rFonts w:ascii="仿宋" w:eastAsia="仿宋" w:hAnsi="仿宋" w:cs="仿宋" w:hint="eastAsia"/>
            <w:lang w:eastAsia="zh-CN"/>
          </w:rPr>
          <w:t>(一)、消防安全</w:t>
        </w:r>
        <w:r>
          <w:tab/>
        </w:r>
        <w:r>
          <w:fldChar w:fldCharType="begin"/>
        </w:r>
        <w:r>
          <w:instrText xml:space="preserve"> PAGEREF _Toc19702 \h </w:instrText>
        </w:r>
        <w:r>
          <w:fldChar w:fldCharType="separate"/>
        </w:r>
        <w:r>
          <w:t>27</w:t>
        </w:r>
        <w:r>
          <w:fldChar w:fldCharType="end"/>
        </w:r>
      </w:hyperlink>
    </w:p>
    <w:p>
      <w:pPr>
        <w:pStyle w:val="TOC2"/>
        <w:tabs>
          <w:tab w:val="right" w:leader="dot" w:pos="8306"/>
        </w:tabs>
      </w:pPr>
      <w:hyperlink w:anchor="_Toc31165" w:history="1">
        <w:r>
          <w:rPr>
            <w:rFonts w:ascii="仿宋" w:eastAsia="仿宋" w:hAnsi="仿宋" w:cs="仿宋" w:hint="eastAsia"/>
            <w:lang w:eastAsia="zh-CN"/>
          </w:rPr>
          <w:t>(二)、防火防爆总图布置措施</w:t>
        </w:r>
        <w:r>
          <w:tab/>
        </w:r>
        <w:r>
          <w:fldChar w:fldCharType="begin"/>
        </w:r>
        <w:r>
          <w:instrText xml:space="preserve"> PAGEREF _Toc31165 \h </w:instrText>
        </w:r>
        <w:r>
          <w:fldChar w:fldCharType="separate"/>
        </w:r>
        <w:r>
          <w:t>29</w:t>
        </w:r>
        <w:r>
          <w:fldChar w:fldCharType="end"/>
        </w:r>
      </w:hyperlink>
    </w:p>
    <w:p>
      <w:pPr>
        <w:pStyle w:val="TOC2"/>
        <w:tabs>
          <w:tab w:val="right" w:leader="dot" w:pos="8306"/>
        </w:tabs>
      </w:pPr>
      <w:hyperlink w:anchor="_Toc8643" w:history="1">
        <w:r>
          <w:rPr>
            <w:rFonts w:ascii="仿宋" w:eastAsia="仿宋" w:hAnsi="仿宋" w:cs="仿宋" w:hint="eastAsia"/>
            <w:lang w:eastAsia="zh-CN"/>
          </w:rPr>
          <w:t>(三)、自然灾害防范措施</w:t>
        </w:r>
        <w:r>
          <w:tab/>
        </w:r>
        <w:r>
          <w:fldChar w:fldCharType="begin"/>
        </w:r>
        <w:r>
          <w:instrText xml:space="preserve"> PAGEREF _Toc8643 \h </w:instrText>
        </w:r>
        <w:r>
          <w:fldChar w:fldCharType="separate"/>
        </w:r>
        <w:r>
          <w:t>30</w:t>
        </w:r>
        <w:r>
          <w:fldChar w:fldCharType="end"/>
        </w:r>
      </w:hyperlink>
    </w:p>
    <w:p>
      <w:pPr>
        <w:pStyle w:val="TOC2"/>
        <w:tabs>
          <w:tab w:val="right" w:leader="dot" w:pos="8306"/>
        </w:tabs>
      </w:pPr>
      <w:hyperlink w:anchor="_Toc399" w:history="1">
        <w:r>
          <w:rPr>
            <w:rFonts w:ascii="仿宋" w:eastAsia="仿宋" w:hAnsi="仿宋" w:cs="仿宋" w:hint="eastAsia"/>
            <w:lang w:eastAsia="zh-CN"/>
          </w:rPr>
          <w:t>(四)、安全色及安全标志使用要求</w:t>
        </w:r>
        <w:r>
          <w:tab/>
        </w:r>
        <w:r>
          <w:fldChar w:fldCharType="begin"/>
        </w:r>
        <w:r>
          <w:instrText xml:space="preserve"> PAGEREF _Toc399 \h </w:instrText>
        </w:r>
        <w:r>
          <w:fldChar w:fldCharType="separate"/>
        </w:r>
        <w:r>
          <w:t>31</w:t>
        </w:r>
        <w:r>
          <w:fldChar w:fldCharType="end"/>
        </w:r>
      </w:hyperlink>
    </w:p>
    <w:p>
      <w:pPr>
        <w:pStyle w:val="TOC2"/>
        <w:tabs>
          <w:tab w:val="right" w:leader="dot" w:pos="8306"/>
        </w:tabs>
      </w:pPr>
      <w:hyperlink w:anchor="_Toc29126" w:history="1">
        <w:r>
          <w:rPr>
            <w:rFonts w:ascii="仿宋" w:eastAsia="仿宋" w:hAnsi="仿宋" w:cs="仿宋" w:hint="eastAsia"/>
            <w:lang w:eastAsia="zh-CN"/>
          </w:rPr>
          <w:t>(五)、防尘防毒措施</w:t>
        </w:r>
        <w:r>
          <w:tab/>
        </w:r>
        <w:r>
          <w:fldChar w:fldCharType="begin"/>
        </w:r>
        <w:r>
          <w:instrText xml:space="preserve"> PAGEREF _Toc29126 \h </w:instrText>
        </w:r>
        <w:r>
          <w:fldChar w:fldCharType="separate"/>
        </w:r>
        <w:r>
          <w:t>32</w:t>
        </w:r>
        <w:r>
          <w:fldChar w:fldCharType="end"/>
        </w:r>
      </w:hyperlink>
    </w:p>
    <w:p>
      <w:pPr>
        <w:pStyle w:val="TOC2"/>
        <w:tabs>
          <w:tab w:val="right" w:leader="dot" w:pos="8306"/>
        </w:tabs>
      </w:pPr>
      <w:hyperlink w:anchor="_Toc27836" w:history="1">
        <w:r>
          <w:rPr>
            <w:rFonts w:ascii="仿宋" w:eastAsia="仿宋" w:hAnsi="仿宋" w:cs="仿宋" w:hint="eastAsia"/>
            <w:lang w:eastAsia="zh-CN"/>
          </w:rPr>
          <w:t>(六)、防静电、触电防护及防雷措施</w:t>
        </w:r>
        <w:r>
          <w:tab/>
        </w:r>
        <w:r>
          <w:fldChar w:fldCharType="begin"/>
        </w:r>
        <w:r>
          <w:instrText xml:space="preserve"> PAGEREF _Toc27836 \h </w:instrText>
        </w:r>
        <w:r>
          <w:fldChar w:fldCharType="separate"/>
        </w:r>
        <w:r>
          <w:t>33</w:t>
        </w:r>
        <w:r>
          <w:fldChar w:fldCharType="end"/>
        </w:r>
      </w:hyperlink>
    </w:p>
    <w:p>
      <w:pPr>
        <w:pStyle w:val="TOC2"/>
        <w:tabs>
          <w:tab w:val="right" w:leader="dot" w:pos="8306"/>
        </w:tabs>
      </w:pPr>
      <w:hyperlink w:anchor="_Toc27061" w:history="1">
        <w:r>
          <w:rPr>
            <w:rFonts w:ascii="仿宋" w:eastAsia="仿宋" w:hAnsi="仿宋" w:cs="仿宋" w:hint="eastAsia"/>
            <w:lang w:eastAsia="zh-CN"/>
          </w:rPr>
          <w:t>(七)、机械设备安全保障措施</w:t>
        </w:r>
        <w:r>
          <w:tab/>
        </w:r>
        <w:r>
          <w:fldChar w:fldCharType="begin"/>
        </w:r>
        <w:r>
          <w:instrText xml:space="preserve"> PAGEREF _Toc27061 \h </w:instrText>
        </w:r>
        <w:r>
          <w:fldChar w:fldCharType="separate"/>
        </w:r>
        <w:r>
          <w:t>35</w:t>
        </w:r>
        <w:r>
          <w:fldChar w:fldCharType="end"/>
        </w:r>
      </w:hyperlink>
    </w:p>
    <w:p>
      <w:pPr>
        <w:pStyle w:val="TOC1"/>
        <w:tabs>
          <w:tab w:val="right" w:leader="dot" w:pos="8306"/>
        </w:tabs>
      </w:pPr>
      <w:hyperlink w:anchor="_Toc30506" w:history="1">
        <w:r>
          <w:rPr>
            <w:rFonts w:ascii="仿宋" w:eastAsia="仿宋" w:hAnsi="仿宋" w:cs="仿宋" w:hint="eastAsia"/>
            <w:lang w:eastAsia="zh-CN"/>
          </w:rPr>
          <w:t>九、新型诊断试剂与生物疫苗项目风险管理</w:t>
        </w:r>
        <w:r>
          <w:tab/>
        </w:r>
        <w:r>
          <w:fldChar w:fldCharType="begin"/>
        </w:r>
        <w:r>
          <w:instrText xml:space="preserve"> PAGEREF _Toc30506 \h </w:instrText>
        </w:r>
        <w:r>
          <w:fldChar w:fldCharType="separate"/>
        </w:r>
        <w:r>
          <w:t>36</w:t>
        </w:r>
        <w:r>
          <w:fldChar w:fldCharType="end"/>
        </w:r>
      </w:hyperlink>
    </w:p>
    <w:p>
      <w:pPr>
        <w:pStyle w:val="TOC2"/>
        <w:tabs>
          <w:tab w:val="right" w:leader="dot" w:pos="8306"/>
        </w:tabs>
      </w:pPr>
      <w:hyperlink w:anchor="_Toc6109" w:history="1">
        <w:r>
          <w:rPr>
            <w:rFonts w:ascii="仿宋" w:eastAsia="仿宋" w:hAnsi="仿宋" w:cs="仿宋" w:hint="eastAsia"/>
            <w:lang w:eastAsia="zh-CN"/>
          </w:rPr>
          <w:t>(一)、风险识别与评估</w:t>
        </w:r>
        <w:r>
          <w:tab/>
        </w:r>
        <w:r>
          <w:fldChar w:fldCharType="begin"/>
        </w:r>
        <w:r>
          <w:instrText xml:space="preserve"> PAGEREF _Toc6109 \h </w:instrText>
        </w:r>
        <w:r>
          <w:fldChar w:fldCharType="separate"/>
        </w:r>
        <w:r>
          <w:t>36</w:t>
        </w:r>
        <w:r>
          <w:fldChar w:fldCharType="end"/>
        </w:r>
      </w:hyperlink>
    </w:p>
    <w:p>
      <w:pPr>
        <w:pStyle w:val="TOC2"/>
        <w:tabs>
          <w:tab w:val="right" w:leader="dot" w:pos="8306"/>
        </w:tabs>
      </w:pPr>
      <w:hyperlink w:anchor="_Toc6145" w:history="1">
        <w:r>
          <w:rPr>
            <w:rFonts w:ascii="仿宋" w:eastAsia="仿宋" w:hAnsi="仿宋" w:cs="仿宋" w:hint="eastAsia"/>
            <w:lang w:eastAsia="zh-CN"/>
          </w:rPr>
          <w:t>(二)、风险应对策略</w:t>
        </w:r>
        <w:r>
          <w:tab/>
        </w:r>
        <w:r>
          <w:fldChar w:fldCharType="begin"/>
        </w:r>
        <w:r>
          <w:instrText xml:space="preserve"> PAGEREF _Toc6145 \h </w:instrText>
        </w:r>
        <w:r>
          <w:fldChar w:fldCharType="separate"/>
        </w:r>
        <w:r>
          <w:t>38</w:t>
        </w:r>
        <w:r>
          <w:fldChar w:fldCharType="end"/>
        </w:r>
      </w:hyperlink>
    </w:p>
    <w:p>
      <w:pPr>
        <w:pStyle w:val="TOC2"/>
        <w:tabs>
          <w:tab w:val="right" w:leader="dot" w:pos="8306"/>
        </w:tabs>
      </w:pPr>
      <w:hyperlink w:anchor="_Toc30858" w:history="1">
        <w:r>
          <w:rPr>
            <w:rFonts w:ascii="仿宋" w:eastAsia="仿宋" w:hAnsi="仿宋" w:cs="仿宋" w:hint="eastAsia"/>
            <w:lang w:eastAsia="zh-CN"/>
          </w:rPr>
          <w:t>(三)、风险监控与控制</w:t>
        </w:r>
        <w:r>
          <w:tab/>
        </w:r>
        <w:r>
          <w:fldChar w:fldCharType="begin"/>
        </w:r>
        <w:r>
          <w:instrText xml:space="preserve"> PAGEREF _Toc30858 \h </w:instrText>
        </w:r>
        <w:r>
          <w:fldChar w:fldCharType="separate"/>
        </w:r>
        <w:r>
          <w:t>39</w:t>
        </w:r>
        <w:r>
          <w:fldChar w:fldCharType="end"/>
        </w:r>
      </w:hyperlink>
    </w:p>
    <w:p>
      <w:pPr>
        <w:pStyle w:val="TOC1"/>
        <w:tabs>
          <w:tab w:val="right" w:leader="dot" w:pos="8306"/>
        </w:tabs>
      </w:pPr>
      <w:hyperlink w:anchor="_Toc23808" w:history="1">
        <w:r>
          <w:rPr>
            <w:rFonts w:ascii="仿宋" w:eastAsia="仿宋" w:hAnsi="仿宋" w:cs="仿宋" w:hint="eastAsia"/>
            <w:lang w:eastAsia="zh-CN"/>
          </w:rPr>
          <w:t>十、新型诊断试剂与生物疫苗项目人力资源培养与发展</w:t>
        </w:r>
        <w:r>
          <w:tab/>
        </w:r>
        <w:r>
          <w:fldChar w:fldCharType="begin"/>
        </w:r>
        <w:r>
          <w:instrText xml:space="preserve"> PAGEREF _Toc23808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46" w:history="1">
        <w:r>
          <w:rPr>
            <w:rFonts w:ascii="仿宋" w:eastAsia="仿宋" w:hAnsi="仿宋" w:cs="仿宋" w:hint="eastAsia"/>
            <w:lang w:eastAsia="zh-CN"/>
          </w:rPr>
          <w:t>(一)、人才需求与规划</w:t>
        </w:r>
        <w:r>
          <w:tab/>
        </w:r>
        <w:r>
          <w:fldChar w:fldCharType="begin"/>
        </w:r>
        <w:r>
          <w:instrText xml:space="preserve"> PAGEREF _Toc25246 \h </w:instrText>
        </w:r>
        <w:r>
          <w:fldChar w:fldCharType="separate"/>
        </w:r>
        <w:r>
          <w:t>41</w:t>
        </w:r>
        <w:r>
          <w:fldChar w:fldCharType="end"/>
        </w:r>
      </w:hyperlink>
    </w:p>
    <w:p>
      <w:pPr>
        <w:pStyle w:val="TOC2"/>
        <w:tabs>
          <w:tab w:val="right" w:leader="dot" w:pos="8306"/>
        </w:tabs>
      </w:pPr>
      <w:hyperlink w:anchor="_Toc10546" w:history="1">
        <w:r>
          <w:rPr>
            <w:rFonts w:ascii="仿宋" w:eastAsia="仿宋" w:hAnsi="仿宋" w:cs="仿宋" w:hint="eastAsia"/>
            <w:lang w:eastAsia="zh-CN"/>
          </w:rPr>
          <w:t>(二)、培训与发展计划</w:t>
        </w:r>
        <w:r>
          <w:tab/>
        </w:r>
        <w:r>
          <w:fldChar w:fldCharType="begin"/>
        </w:r>
        <w:r>
          <w:instrText xml:space="preserve"> PAGEREF _Toc10546 \h </w:instrText>
        </w:r>
        <w:r>
          <w:fldChar w:fldCharType="separate"/>
        </w:r>
        <w:r>
          <w:t>41</w:t>
        </w:r>
        <w:r>
          <w:fldChar w:fldCharType="end"/>
        </w:r>
      </w:hyperlink>
    </w:p>
    <w:p>
      <w:pPr>
        <w:pStyle w:val="TOC1"/>
        <w:tabs>
          <w:tab w:val="right" w:leader="dot" w:pos="8306"/>
        </w:tabs>
      </w:pPr>
      <w:hyperlink w:anchor="_Toc15841" w:history="1">
        <w:r>
          <w:rPr>
            <w:rFonts w:ascii="仿宋" w:eastAsia="仿宋" w:hAnsi="仿宋" w:cs="仿宋" w:hint="eastAsia"/>
            <w:lang w:eastAsia="zh-CN"/>
          </w:rPr>
          <w:t>十一、新型诊断试剂与生物疫苗项目创新与研发</w:t>
        </w:r>
        <w:r>
          <w:tab/>
        </w:r>
        <w:r>
          <w:fldChar w:fldCharType="begin"/>
        </w:r>
        <w:r>
          <w:instrText xml:space="preserve"> PAGEREF _Toc15841 \h </w:instrText>
        </w:r>
        <w:r>
          <w:fldChar w:fldCharType="separate"/>
        </w:r>
        <w:r>
          <w:t>42</w:t>
        </w:r>
        <w:r>
          <w:fldChar w:fldCharType="end"/>
        </w:r>
      </w:hyperlink>
    </w:p>
    <w:p>
      <w:pPr>
        <w:pStyle w:val="TOC2"/>
        <w:tabs>
          <w:tab w:val="right" w:leader="dot" w:pos="8306"/>
        </w:tabs>
      </w:pPr>
      <w:hyperlink w:anchor="_Toc14975" w:history="1">
        <w:r>
          <w:rPr>
            <w:rFonts w:ascii="仿宋" w:eastAsia="仿宋" w:hAnsi="仿宋" w:cs="仿宋" w:hint="eastAsia"/>
            <w:lang w:eastAsia="zh-CN"/>
          </w:rPr>
          <w:t>(一)、创新策略与方向</w:t>
        </w:r>
        <w:r>
          <w:tab/>
        </w:r>
        <w:r>
          <w:fldChar w:fldCharType="begin"/>
        </w:r>
        <w:r>
          <w:instrText xml:space="preserve"> PAGEREF _Toc14975 \h </w:instrText>
        </w:r>
        <w:r>
          <w:fldChar w:fldCharType="separate"/>
        </w:r>
        <w:r>
          <w:t>42</w:t>
        </w:r>
        <w:r>
          <w:fldChar w:fldCharType="end"/>
        </w:r>
      </w:hyperlink>
    </w:p>
    <w:p>
      <w:pPr>
        <w:pStyle w:val="TOC2"/>
        <w:tabs>
          <w:tab w:val="right" w:leader="dot" w:pos="8306"/>
        </w:tabs>
      </w:pPr>
      <w:hyperlink w:anchor="_Toc30932" w:history="1">
        <w:r>
          <w:rPr>
            <w:rFonts w:ascii="仿宋" w:eastAsia="仿宋" w:hAnsi="仿宋" w:cs="仿宋" w:hint="eastAsia"/>
            <w:lang w:eastAsia="zh-CN"/>
          </w:rPr>
          <w:t>(二)、研发规划与投入</w:t>
        </w:r>
        <w:r>
          <w:tab/>
        </w:r>
        <w:r>
          <w:fldChar w:fldCharType="begin"/>
        </w:r>
        <w:r>
          <w:instrText xml:space="preserve"> PAGEREF _Toc30932 \h </w:instrText>
        </w:r>
        <w:r>
          <w:fldChar w:fldCharType="separate"/>
        </w:r>
        <w:r>
          <w:t>43</w:t>
        </w:r>
        <w:r>
          <w:fldChar w:fldCharType="end"/>
        </w:r>
      </w:hyperlink>
    </w:p>
    <w:p>
      <w:pPr>
        <w:pStyle w:val="TOC1"/>
        <w:tabs>
          <w:tab w:val="right" w:leader="dot" w:pos="8306"/>
        </w:tabs>
      </w:pPr>
      <w:hyperlink w:anchor="_Toc13498" w:history="1">
        <w:r>
          <w:rPr>
            <w:rFonts w:ascii="仿宋" w:eastAsia="仿宋" w:hAnsi="仿宋" w:cs="仿宋" w:hint="eastAsia"/>
            <w:lang w:eastAsia="zh-CN"/>
          </w:rPr>
          <w:t>十二、新型诊断试剂与生物疫苗项目财务管理</w:t>
        </w:r>
        <w:r>
          <w:tab/>
        </w:r>
        <w:r>
          <w:fldChar w:fldCharType="begin"/>
        </w:r>
        <w:r>
          <w:instrText xml:space="preserve"> PAGEREF _Toc13498 \h </w:instrText>
        </w:r>
        <w:r>
          <w:fldChar w:fldCharType="separate"/>
        </w:r>
        <w:r>
          <w:t>45</w:t>
        </w:r>
        <w:r>
          <w:fldChar w:fldCharType="end"/>
        </w:r>
      </w:hyperlink>
    </w:p>
    <w:p>
      <w:pPr>
        <w:pStyle w:val="TOC2"/>
        <w:tabs>
          <w:tab w:val="right" w:leader="dot" w:pos="8306"/>
        </w:tabs>
      </w:pPr>
      <w:hyperlink w:anchor="_Toc8711" w:history="1">
        <w:r>
          <w:rPr>
            <w:rFonts w:ascii="仿宋" w:eastAsia="仿宋" w:hAnsi="仿宋" w:cs="仿宋" w:hint="eastAsia"/>
            <w:lang w:eastAsia="zh-CN"/>
          </w:rPr>
          <w:t>(一)、资金需求大</w:t>
        </w:r>
        <w:r>
          <w:tab/>
        </w:r>
        <w:r>
          <w:fldChar w:fldCharType="begin"/>
        </w:r>
        <w:r>
          <w:instrText xml:space="preserve"> PAGEREF _Toc8711 \h </w:instrText>
        </w:r>
        <w:r>
          <w:fldChar w:fldCharType="separate"/>
        </w:r>
        <w:r>
          <w:t>45</w:t>
        </w:r>
        <w:r>
          <w:fldChar w:fldCharType="end"/>
        </w:r>
      </w:hyperlink>
    </w:p>
    <w:p>
      <w:pPr>
        <w:pStyle w:val="TOC2"/>
        <w:tabs>
          <w:tab w:val="right" w:leader="dot" w:pos="8306"/>
        </w:tabs>
      </w:pPr>
      <w:hyperlink w:anchor="_Toc9746" w:history="1">
        <w:r>
          <w:rPr>
            <w:rFonts w:ascii="仿宋" w:eastAsia="仿宋" w:hAnsi="仿宋" w:cs="仿宋" w:hint="eastAsia"/>
            <w:lang w:eastAsia="zh-CN"/>
          </w:rPr>
          <w:t>(二)、研发周期长</w:t>
        </w:r>
        <w:r>
          <w:tab/>
        </w:r>
        <w:r>
          <w:fldChar w:fldCharType="begin"/>
        </w:r>
        <w:r>
          <w:instrText xml:space="preserve"> PAGEREF _Toc9746 \h </w:instrText>
        </w:r>
        <w:r>
          <w:fldChar w:fldCharType="separate"/>
        </w:r>
        <w:r>
          <w:t>46</w:t>
        </w:r>
        <w:r>
          <w:fldChar w:fldCharType="end"/>
        </w:r>
      </w:hyperlink>
    </w:p>
    <w:p>
      <w:pPr>
        <w:pStyle w:val="TOC2"/>
        <w:tabs>
          <w:tab w:val="right" w:leader="dot" w:pos="8306"/>
        </w:tabs>
      </w:pPr>
      <w:hyperlink w:anchor="_Toc26953" w:history="1">
        <w:r>
          <w:rPr>
            <w:rFonts w:ascii="仿宋" w:eastAsia="仿宋" w:hAnsi="仿宋" w:cs="仿宋" w:hint="eastAsia"/>
            <w:lang w:eastAsia="zh-CN"/>
          </w:rPr>
          <w:t>(三)、市场风险大</w:t>
        </w:r>
        <w:r>
          <w:tab/>
        </w:r>
        <w:r>
          <w:fldChar w:fldCharType="begin"/>
        </w:r>
        <w:r>
          <w:instrText xml:space="preserve"> PAGEREF _Toc26953 \h </w:instrText>
        </w:r>
        <w:r>
          <w:fldChar w:fldCharType="separate"/>
        </w:r>
        <w:r>
          <w:t>48</w:t>
        </w:r>
        <w:r>
          <w:fldChar w:fldCharType="end"/>
        </w:r>
      </w:hyperlink>
    </w:p>
    <w:p>
      <w:pPr>
        <w:pStyle w:val="TOC2"/>
        <w:tabs>
          <w:tab w:val="right" w:leader="dot" w:pos="8306"/>
        </w:tabs>
      </w:pPr>
      <w:hyperlink w:anchor="_Toc22545" w:history="1">
        <w:r>
          <w:rPr>
            <w:rFonts w:ascii="仿宋" w:eastAsia="仿宋" w:hAnsi="仿宋" w:cs="仿宋" w:hint="eastAsia"/>
            <w:lang w:eastAsia="zh-CN"/>
          </w:rPr>
          <w:t>(四)、利润率高</w:t>
        </w:r>
        <w:r>
          <w:tab/>
        </w:r>
        <w:r>
          <w:fldChar w:fldCharType="begin"/>
        </w:r>
        <w:r>
          <w:instrText xml:space="preserve"> PAGEREF _Toc22545 \h </w:instrText>
        </w:r>
        <w:r>
          <w:fldChar w:fldCharType="separate"/>
        </w:r>
        <w:r>
          <w:t>51</w:t>
        </w:r>
        <w:r>
          <w:fldChar w:fldCharType="end"/>
        </w:r>
      </w:hyperlink>
    </w:p>
    <w:p>
      <w:pPr>
        <w:pStyle w:val="TOC1"/>
        <w:tabs>
          <w:tab w:val="right" w:leader="dot" w:pos="8306"/>
        </w:tabs>
      </w:pPr>
      <w:hyperlink w:anchor="_Toc12070" w:history="1">
        <w:r>
          <w:rPr>
            <w:rFonts w:ascii="仿宋" w:eastAsia="仿宋" w:hAnsi="仿宋" w:cs="仿宋" w:hint="eastAsia"/>
            <w:lang w:eastAsia="zh-CN"/>
          </w:rPr>
          <w:t>十三、供应链管理</w:t>
        </w:r>
        <w:r>
          <w:tab/>
        </w:r>
        <w:r>
          <w:fldChar w:fldCharType="begin"/>
        </w:r>
        <w:r>
          <w:instrText xml:space="preserve"> PAGEREF _Toc12070 \h </w:instrText>
        </w:r>
        <w:r>
          <w:fldChar w:fldCharType="separate"/>
        </w:r>
        <w:r>
          <w:t>53</w:t>
        </w:r>
        <w:r>
          <w:fldChar w:fldCharType="end"/>
        </w:r>
      </w:hyperlink>
    </w:p>
    <w:p>
      <w:pPr>
        <w:pStyle w:val="TOC2"/>
        <w:tabs>
          <w:tab w:val="right" w:leader="dot" w:pos="8306"/>
        </w:tabs>
      </w:pPr>
      <w:hyperlink w:anchor="_Toc6541" w:history="1">
        <w:r>
          <w:rPr>
            <w:rFonts w:ascii="仿宋" w:eastAsia="仿宋" w:hAnsi="仿宋" w:cs="仿宋" w:hint="eastAsia"/>
            <w:lang w:eastAsia="zh-CN"/>
          </w:rPr>
          <w:t>(一)、供应链战略规划</w:t>
        </w:r>
        <w:r>
          <w:tab/>
        </w:r>
        <w:r>
          <w:fldChar w:fldCharType="begin"/>
        </w:r>
        <w:r>
          <w:instrText xml:space="preserve"> PAGEREF _Toc6541 \h </w:instrText>
        </w:r>
        <w:r>
          <w:fldChar w:fldCharType="separate"/>
        </w:r>
        <w:r>
          <w:t>53</w:t>
        </w:r>
        <w:r>
          <w:fldChar w:fldCharType="end"/>
        </w:r>
      </w:hyperlink>
    </w:p>
    <w:p>
      <w:pPr>
        <w:pStyle w:val="TOC2"/>
        <w:tabs>
          <w:tab w:val="right" w:leader="dot" w:pos="8306"/>
        </w:tabs>
      </w:pPr>
      <w:hyperlink w:anchor="_Toc15764" w:history="1">
        <w:r>
          <w:rPr>
            <w:rFonts w:ascii="仿宋" w:eastAsia="仿宋" w:hAnsi="仿宋" w:cs="仿宋" w:hint="eastAsia"/>
            <w:lang w:eastAsia="zh-CN"/>
          </w:rPr>
          <w:t>(二)、供应商选择与合作</w:t>
        </w:r>
        <w:r>
          <w:tab/>
        </w:r>
        <w:r>
          <w:fldChar w:fldCharType="begin"/>
        </w:r>
        <w:r>
          <w:instrText xml:space="preserve"> PAGEREF _Toc15764 \h </w:instrText>
        </w:r>
        <w:r>
          <w:fldChar w:fldCharType="separate"/>
        </w:r>
        <w:r>
          <w:t>54</w:t>
        </w:r>
        <w:r>
          <w:fldChar w:fldCharType="end"/>
        </w:r>
      </w:hyperlink>
    </w:p>
    <w:p>
      <w:pPr>
        <w:pStyle w:val="TOC2"/>
        <w:tabs>
          <w:tab w:val="right" w:leader="dot" w:pos="8306"/>
        </w:tabs>
      </w:pPr>
      <w:hyperlink w:anchor="_Toc20797" w:history="1">
        <w:r>
          <w:rPr>
            <w:rFonts w:ascii="仿宋" w:eastAsia="仿宋" w:hAnsi="仿宋" w:cs="仿宋" w:hint="eastAsia"/>
            <w:lang w:eastAsia="zh-CN"/>
          </w:rPr>
          <w:t>(三)、物流与库存管理</w:t>
        </w:r>
        <w:r>
          <w:tab/>
        </w:r>
        <w:r>
          <w:fldChar w:fldCharType="begin"/>
        </w:r>
        <w:r>
          <w:instrText xml:space="preserve"> PAGEREF _Toc20797 \h </w:instrText>
        </w:r>
        <w:r>
          <w:fldChar w:fldCharType="separate"/>
        </w:r>
        <w:r>
          <w:t>56</w:t>
        </w:r>
        <w:r>
          <w:fldChar w:fldCharType="end"/>
        </w:r>
      </w:hyperlink>
    </w:p>
    <w:p>
      <w:pPr>
        <w:pStyle w:val="TOC1"/>
        <w:tabs>
          <w:tab w:val="right" w:leader="dot" w:pos="8306"/>
        </w:tabs>
      </w:pPr>
      <w:hyperlink w:anchor="_Toc23225" w:history="1">
        <w:r>
          <w:rPr>
            <w:rFonts w:ascii="仿宋" w:eastAsia="仿宋" w:hAnsi="仿宋" w:cs="仿宋" w:hint="eastAsia"/>
            <w:lang w:eastAsia="zh-CN"/>
          </w:rPr>
          <w:t>十四、新型诊断试剂与生物疫苗项目治理与监督</w:t>
        </w:r>
        <w:r>
          <w:tab/>
        </w:r>
        <w:r>
          <w:fldChar w:fldCharType="begin"/>
        </w:r>
        <w:r>
          <w:instrText xml:space="preserve"> PAGEREF _Toc23225 \h </w:instrText>
        </w:r>
        <w:r>
          <w:fldChar w:fldCharType="separate"/>
        </w:r>
        <w:r>
          <w:t>57</w:t>
        </w:r>
        <w:r>
          <w:fldChar w:fldCharType="end"/>
        </w:r>
      </w:hyperlink>
    </w:p>
    <w:p>
      <w:pPr>
        <w:pStyle w:val="TOC2"/>
        <w:tabs>
          <w:tab w:val="right" w:leader="dot" w:pos="8306"/>
        </w:tabs>
      </w:pPr>
      <w:hyperlink w:anchor="_Toc26059" w:history="1">
        <w:r>
          <w:rPr>
            <w:rFonts w:ascii="仿宋" w:eastAsia="仿宋" w:hAnsi="仿宋" w:cs="仿宋" w:hint="eastAsia"/>
            <w:lang w:eastAsia="zh-CN"/>
          </w:rPr>
          <w:t>(一)、新型诊断试剂与生物疫苗项目治理结构</w:t>
        </w:r>
        <w:r>
          <w:tab/>
        </w:r>
        <w:r>
          <w:fldChar w:fldCharType="begin"/>
        </w:r>
        <w:r>
          <w:instrText xml:space="preserve"> PAGEREF _Toc26059 \h </w:instrText>
        </w:r>
        <w:r>
          <w:fldChar w:fldCharType="separate"/>
        </w:r>
        <w:r>
          <w:t>57</w:t>
        </w:r>
        <w:r>
          <w:fldChar w:fldCharType="end"/>
        </w:r>
      </w:hyperlink>
    </w:p>
    <w:p>
      <w:pPr>
        <w:pStyle w:val="TOC2"/>
        <w:tabs>
          <w:tab w:val="right" w:leader="dot" w:pos="8306"/>
        </w:tabs>
      </w:pPr>
      <w:hyperlink w:anchor="_Toc12082" w:history="1">
        <w:r>
          <w:rPr>
            <w:rFonts w:ascii="仿宋" w:eastAsia="仿宋" w:hAnsi="仿宋" w:cs="仿宋" w:hint="eastAsia"/>
            <w:lang w:eastAsia="zh-CN"/>
          </w:rPr>
          <w:t>(二)、监督与审计</w:t>
        </w:r>
        <w:r>
          <w:tab/>
        </w:r>
        <w:r>
          <w:fldChar w:fldCharType="begin"/>
        </w:r>
        <w:r>
          <w:instrText xml:space="preserve"> PAGEREF _Toc12082 \h </w:instrText>
        </w:r>
        <w:r>
          <w:fldChar w:fldCharType="separate"/>
        </w:r>
        <w:r>
          <w:t>59</w:t>
        </w:r>
        <w:r>
          <w:fldChar w:fldCharType="end"/>
        </w:r>
      </w:hyperlink>
    </w:p>
    <w:p>
      <w:pPr>
        <w:pStyle w:val="TOC1"/>
        <w:tabs>
          <w:tab w:val="right" w:leader="dot" w:pos="8306"/>
        </w:tabs>
      </w:pPr>
      <w:hyperlink w:anchor="_Toc12185" w:history="1">
        <w:r>
          <w:rPr>
            <w:rFonts w:ascii="仿宋" w:eastAsia="仿宋" w:hAnsi="仿宋" w:cs="仿宋" w:hint="eastAsia"/>
            <w:lang w:eastAsia="zh-CN"/>
          </w:rPr>
          <w:t>十五、风险识别与分类</w:t>
        </w:r>
        <w:r>
          <w:tab/>
        </w:r>
        <w:r>
          <w:fldChar w:fldCharType="begin"/>
        </w:r>
        <w:r>
          <w:instrText xml:space="preserve"> PAGEREF _Toc12185 \h </w:instrText>
        </w:r>
        <w:r>
          <w:fldChar w:fldCharType="separate"/>
        </w:r>
        <w:r>
          <w:t>60</w:t>
        </w:r>
        <w:r>
          <w:fldChar w:fldCharType="end"/>
        </w:r>
      </w:hyperlink>
    </w:p>
    <w:p>
      <w:pPr>
        <w:pStyle w:val="TOC2"/>
        <w:tabs>
          <w:tab w:val="right" w:leader="dot" w:pos="8306"/>
        </w:tabs>
      </w:pPr>
      <w:hyperlink w:anchor="_Toc835" w:history="1">
        <w:r>
          <w:rPr>
            <w:rFonts w:ascii="仿宋" w:eastAsia="仿宋" w:hAnsi="仿宋" w:cs="仿宋" w:hint="eastAsia"/>
            <w:lang w:eastAsia="zh-CN"/>
          </w:rPr>
          <w:t>(一)、风险识别</w:t>
        </w:r>
        <w:r>
          <w:tab/>
        </w:r>
        <w:r>
          <w:fldChar w:fldCharType="begin"/>
        </w:r>
        <w:r>
          <w:instrText xml:space="preserve"> PAGEREF _Toc835 \h </w:instrText>
        </w:r>
        <w:r>
          <w:fldChar w:fldCharType="separate"/>
        </w:r>
        <w:r>
          <w:t>60</w:t>
        </w:r>
        <w:r>
          <w:fldChar w:fldCharType="end"/>
        </w:r>
      </w:hyperlink>
    </w:p>
    <w:p>
      <w:pPr>
        <w:pStyle w:val="TOC2"/>
        <w:tabs>
          <w:tab w:val="right" w:leader="dot" w:pos="8306"/>
        </w:tabs>
      </w:pPr>
      <w:hyperlink w:anchor="_Toc2453" w:history="1">
        <w:r>
          <w:rPr>
            <w:rFonts w:ascii="仿宋" w:eastAsia="仿宋" w:hAnsi="仿宋" w:cs="仿宋" w:hint="eastAsia"/>
            <w:lang w:eastAsia="zh-CN"/>
          </w:rPr>
          <w:t>(二)、风险分类</w:t>
        </w:r>
        <w:r>
          <w:tab/>
        </w:r>
        <w:r>
          <w:fldChar w:fldCharType="begin"/>
        </w:r>
        <w:r>
          <w:instrText xml:space="preserve"> PAGEREF _Toc2453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757"/>
      <w:r>
        <w:rPr>
          <w:rFonts w:ascii="仿宋" w:eastAsia="仿宋" w:hAnsi="仿宋" w:cs="仿宋" w:hint="eastAsia"/>
          <w:sz w:val="28"/>
          <w:lang w:eastAsia="zh-CN"/>
        </w:rPr>
        <w:t>一、新型诊断试剂与生物疫苗项目危机管理</w:t>
      </w:r>
      <w:bookmarkEnd w:id="2"/>
    </w:p>
    <w:p>
      <w:pPr>
        <w:pStyle w:val="Heading2"/>
        <w:rPr>
          <w:rFonts w:ascii="仿宋" w:eastAsia="仿宋" w:hAnsi="仿宋" w:cs="仿宋" w:hint="eastAsia"/>
          <w:lang w:eastAsia="zh-CN"/>
        </w:rPr>
      </w:pPr>
      <w:bookmarkStart w:id="3" w:name="_Toc770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诊断试剂与生物疫苗项目危机管理中，危机预警与识别是确保新型诊断试剂与生物疫苗项目稳健运行的核心步骤。通过建立全面的监测机制，新型诊断试剂与生物疫苗项目团队旨在及时发现和理解潜在的风险和危机因素，以便采取及时的预防和应对措施，确保新型诊断试剂与生物疫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型诊断试剂与生物疫苗项目团队全面分析了整个新型诊断试剂与生物疫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新型诊断试剂与生物疫苗项目团队着重于明确定义新型诊断试剂与生物疫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型诊断试剂与生物疫苗项目进展的持续监控，团队能够及时发现潜在问题并作出迅速反应。新型诊断试剂与生物疫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型诊断试剂与生物疫苗项目得以更有序、可控地推进。</w:t>
      </w:r>
    </w:p>
    <w:p>
      <w:pPr>
        <w:pStyle w:val="Heading2"/>
        <w:ind w:firstLine="560" w:firstLineChars="200"/>
        <w:rPr>
          <w:rFonts w:ascii="仿宋" w:eastAsia="仿宋" w:hAnsi="仿宋" w:cs="仿宋" w:hint="eastAsia"/>
          <w:sz w:val="28"/>
          <w:lang w:eastAsia="zh-CN"/>
        </w:rPr>
      </w:pPr>
      <w:bookmarkStart w:id="4" w:name="_Toc17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在危机发生时，新型诊断试剂与生物疫苗项目团队立即行动，成立了应急小组。该小组的任务是迅速制定并实施紧急应对措施，以最小化潜在损失。以下是采取的主要措施：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暂停新型诊断试剂与生物疫苗项目进度：为遏制危机蔓延，新型诊断试剂与生物疫苗项目暂时停止进行，以便全面评估当前状况。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资源重新分配：重新评估新型诊断试剂与生物疫苗项目资源的分配，确保最大限度地减小损失。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实时沟通：与关键利益相关者建立实时沟通机制，向他们传递新型诊断试剂与生物疫苗项目危机的实际状况，保障新型诊断试剂与生物疫苗项目核心利益。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在紧急应对的同时，新型诊断试剂与生物疫苗项目团队强调了团队协作和有效沟通的重要性。以下是团队协作的关键举措：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信息共享机制：建立了信息共享平台，确保团队成员能够及时获取新型诊断试剂与生物疫苗项目危机的实时信息。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领导者沟通：新型诊断试剂与生物疫苗项目领导者通过定期会议和即时沟通工具，指导团队应对危机，保持团队稳定运行。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随着危机得到初步控制，新型诊断试剂与生物疫苗项目团队转向制定恢复计划，以确保新型诊断试剂与生物疫苗项目能够从中迅速恢复。主要恢复计划包括：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修复受损的进度计划：重新评估新型诊断试剂与生物疫苗项目进度，制定修复计划，确保新型诊断试剂与生物疫苗项目尽快回归正常进程。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重新调整资源分配：优化资源分配，确保新型诊断试剂与生物疫苗项目在有限资源下高效运转。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风险管理机制加强：对新型诊断试剂与生物疫苗项目风险进行全面评估，制定更强化的风险管理策略，以预防未来可能的危机。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311"/>
      <w:r>
        <w:rPr>
          <w:rFonts w:ascii="仿宋" w:eastAsia="仿宋" w:hAnsi="仿宋" w:cs="仿宋" w:hint="eastAsia"/>
          <w:sz w:val="28"/>
          <w:lang w:eastAsia="zh-CN"/>
        </w:rPr>
        <w:t>二、新型诊断试剂与生物疫苗项目土建工程</w:t>
      </w:r>
      <w:bookmarkEnd w:id="5"/>
    </w:p>
    <w:p>
      <w:pPr>
        <w:pStyle w:val="Heading2"/>
        <w:rPr>
          <w:rFonts w:ascii="仿宋" w:eastAsia="仿宋" w:hAnsi="仿宋" w:cs="仿宋" w:hint="eastAsia"/>
          <w:lang w:eastAsia="zh-CN"/>
        </w:rPr>
      </w:pPr>
      <w:bookmarkStart w:id="6" w:name="_Toc2051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在新型诊断试剂与生物疫苗项目的建筑工程设计中，我们将秉承一系列重要的设计原则，以确保新型诊断试剂与生物疫苗项目建筑在功能、美观、可持续性等方面达到最佳效果。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首要原则是确保建筑的功能性得到最大化的发挥。我们将充分理解新型诊断试剂与生物疫苗项目的实际需求，合理布局各个功能区域，保证建筑在满足业务需求的同时，提供高效的工作环境。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在建筑设计中，我们将综合考虑建设和运营成本。通过精细的经济效益分析，确保设计方案在高效利用资源的同时，对新型诊断试剂与生物疫苗项目的长期盈利能力有积极的贡献。</w:t>
      </w:r>
    </w:p>
    <w:p>
      <w:pPr>
        <w:pStyle w:val="Heading2"/>
        <w:ind w:firstLine="560" w:firstLineChars="200"/>
        <w:rPr>
          <w:rFonts w:ascii="仿宋" w:eastAsia="仿宋" w:hAnsi="仿宋" w:cs="仿宋" w:hint="eastAsia"/>
          <w:sz w:val="28"/>
          <w:lang w:eastAsia="zh-CN"/>
        </w:rPr>
      </w:pPr>
      <w:bookmarkStart w:id="7" w:name="_Toc1589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诊断试剂与生物疫苗项目的土建工程设计中，我们将精准设定设计年限，结合新型诊断试剂与生物疫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新型诊断试剂与生物疫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623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新型诊断试剂与生物疫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新型诊断试剂与生物疫苗项目的设计在符合法规的同时，达到最高的安全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新型诊断试剂与生物疫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735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本期工程新型诊断试剂与生物疫苗项目预计总建筑面积XXX平方米，其中：计容建筑面积XXX平方米，计划建筑工程投资XX万元，占新型诊断试剂与生物疫苗项目总投资的XX%。</w:t>
      </w:r>
    </w:p>
    <w:p>
      <w:pPr>
        <w:pStyle w:val="Heading1"/>
        <w:ind w:firstLine="560" w:firstLineChars="200"/>
        <w:rPr>
          <w:rFonts w:ascii="仿宋" w:eastAsia="仿宋" w:hAnsi="仿宋" w:cs="仿宋" w:hint="eastAsia"/>
          <w:sz w:val="28"/>
          <w:lang w:eastAsia="zh-CN"/>
        </w:rPr>
      </w:pPr>
      <w:bookmarkStart w:id="10" w:name="_Toc26504"/>
      <w:r>
        <w:rPr>
          <w:rFonts w:ascii="仿宋" w:eastAsia="仿宋" w:hAnsi="仿宋" w:cs="仿宋" w:hint="eastAsia"/>
          <w:sz w:val="28"/>
          <w:lang w:eastAsia="zh-CN"/>
        </w:rPr>
        <w:t>三、新型诊断试剂与生物疫苗项目概论</w:t>
      </w:r>
      <w:bookmarkEnd w:id="10"/>
    </w:p>
    <w:p>
      <w:pPr>
        <w:pStyle w:val="Heading2"/>
        <w:rPr>
          <w:rFonts w:ascii="仿宋" w:eastAsia="仿宋" w:hAnsi="仿宋" w:cs="仿宋" w:hint="eastAsia"/>
          <w:lang w:eastAsia="zh-CN"/>
        </w:rPr>
      </w:pPr>
      <w:bookmarkStart w:id="11" w:name="_Toc3292"/>
      <w:r>
        <w:rPr>
          <w:rFonts w:ascii="仿宋" w:eastAsia="仿宋" w:hAnsi="仿宋" w:cs="仿宋" w:hint="eastAsia"/>
          <w:lang w:eastAsia="zh-CN"/>
        </w:rPr>
        <w:t>(一)、新型诊断试剂与生物疫苗项目概况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诊断试剂与生物疫苗项目的起源追溯至对市场的深入洞察。市场的不断演变与变革为新型诊断试剂与生物疫苗项目提供了难得的机遇。当前市场存在的需求缺口和变革的大环境共同构成了新型诊断试剂与生物疫苗项目的背景。这个新型诊断试剂与生物疫苗项目旨在充分利用市场机遇，填补行业中尚未满足的需求，为客户提供全新的解决方案。市场的变革和需求的增长使得这个新型诊断试剂与生物疫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新型诊断试剂与生物疫苗项目名称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诊断试剂与生物疫苗项目正式命名为新型诊断试剂与生物疫苗。这个名称不仅仅是一个标识，更代表了新型诊断试剂与生物疫苗项目的核心理念和愿景。它蕴含着新型诊断试剂与生物疫苗项目所要解决问题的关键字，具有强烈的表达和辨识度，为新型诊断试剂与生物疫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新型诊断试剂与生物疫苗项目目标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诊断试剂与生物疫苗项目的核心目标是提供一种全新、高效的解决方案，满足客户日益增长的需求。新型诊断试剂与生物疫苗项目追求的不仅仅是满足市场需求，更是在市场中获得卓越的竞争优势。通过不断提升产品或服务的质量和创新水平，新型诊断试剂与生物疫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新型诊断试剂与生物疫苗项目范围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诊断试剂与生物疫苗项目全面涵盖了产品研发、制造、市场推广和售后服务，确保从产品设计到最终用户体验的全方位关注。这一全面的新型诊断试剂与生物疫苗项目范围是为了确保新型诊断试剂与生物疫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新型诊断试剂与生物疫苗项目时间表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诊断试剂与生物疫苗项目计划在未来18个月内完成，包括研发、测试、市场试点和正式推出等不同阶段。这个时间表的合理设计是为了确保新型诊断试剂与生物疫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新型诊断试剂与生物疫苗项目预算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诊断试剂与生物疫苗项目总预算估算为XX百万美元，主要分配在研发、市场推广、人员培训和运营等方面。这一充足的预算为新型诊断试剂与生物疫苗项目提供了充足的资源，确保新型诊断试剂与生物疫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新型诊断试剂与生物疫苗项目风险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诊断试剂与生物疫苗项目可能面临的风险包括市场接受度低、技术难题、竞争激烈等。新型诊断试剂与生物疫苗项目团队已经制定了相应的风险应对计划，通过前瞻性的风险管理，确保新型诊断试剂与生物疫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新型诊断试剂与生物疫苗项目团队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诊断试剂与生物疫苗项目汇聚了一支经验丰富、多领域专业素养的核心团队，确保新型诊断试剂与生物疫苗项目在各个方面都能拥有高水平的执行力。团队的协同作战是新型诊断试剂与生物疫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新型诊断试剂与生物疫苗项目背景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新型诊断试剂与生物疫苗项目的背景根植于市场对更高效、创新产品的渴望，同时也受到科技发展对行业格局的深刻改变的影响。这为新型诊断试剂与生物疫苗项目提供了广阔的发展空间和市场需求。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新型诊断试剂与生物疫苗项目现状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截至目前，新型诊断试剂与生物疫苗项目已完成市场调研和技术验证，取得了初步的成功。这为新型诊断试剂与生物疫苗项目在未来的发展奠定了坚实的基础，为更远大的目标打下了坚实的基石。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6807"/>
      <w:r>
        <w:rPr>
          <w:rFonts w:ascii="仿宋" w:eastAsia="仿宋" w:hAnsi="仿宋" w:cs="仿宋" w:hint="eastAsia"/>
          <w:sz w:val="28"/>
          <w:lang w:eastAsia="zh-CN"/>
        </w:rPr>
        <w:t>(二)、新型诊断试剂与生物疫苗项目目标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新型诊断试剂与生物疫苗项目首要业务目标是在市场中占据有利地位，实现产品/服务的成功推广和销售。通过不断提升产品质量、创新性，新型诊断试剂与生物疫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在科技迅速发展的时代，新型诊断试剂与生物疫苗项目着眼于技术创新。通过持续的研发和技术升级，新型诊断试剂与生物疫苗项目旨在推出更具创新性的产品或服务，以满足市场对新鲜、先进解决方案的需求。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新型诊断试剂与生物疫苗项目设定了客户满意度目标。通过提供卓越的产品质量和优质的客户服务，新型诊断试剂与生物疫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诊断试剂与生物疫苗项目注重社会责任和可持续发展。通过实施环保、社会责任新型诊断试剂与生物疫苗项目，新型诊断试剂与生物疫苗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新型诊断试剂与生物疫苗项目的团队是实现目标的核心驱动力。因此，新型诊断试剂与生物疫苗项目设定了团队发展目标，包括提升团队成员的专业技能、培养领导力，以及搭建协同高效的团队工作氛围。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4322"/>
      <w:r>
        <w:rPr>
          <w:rFonts w:ascii="仿宋" w:eastAsia="仿宋" w:hAnsi="仿宋" w:cs="仿宋" w:hint="eastAsia"/>
          <w:sz w:val="28"/>
          <w:lang w:eastAsia="zh-CN"/>
        </w:rPr>
        <w:t>(三)、新型诊断试剂与生物疫苗项目提出的理由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新型诊断试剂与生物疫苗项目提出的理由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诊断试剂与生物疫苗项目的提出源于对市场机遇的深刻洞察。当前市场中存在的需求缺口和行业发展趋势表明，有巨大的商业机会等待被开发。通过准确捕捉市场机遇，新型诊断试剂与生物疫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诊断试剂与生物疫苗项目的理念基于对技术创新的信仰。通过持续的研发和技术投入，新型诊断试剂与生物疫苗项目有望推出更具创新性的产品或服务。在科技飞速发展的当下，新型诊断试剂与生物疫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诊断试剂与生物疫苗项目的提出是为了增强企业的行业竞争力。通过提升产品或服务的质量和独特性，新型诊断试剂与生物疫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诊断试剂与生物疫苗项目响应了消费者需求的变化。随着社会和科技的不断发展，消费者对产品和服务的需求也在发生变化。通过深入了解并及时回应消费者的新需求，新型诊断试剂与生物疫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诊断试剂与生物疫苗项目的提出是企业战略发展规划的一部分。在面对日益激烈的市场竞争和不断变化的商业环境中，新型诊断试剂与生物疫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诊断试剂与生物疫苗项目的提出不仅仅是基于商业考量，还注重社会责任。通过推出环保、社会责任等方面的新型诊断试剂与生物疫苗项目，新型诊断试剂与生物疫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诊断试剂与生物疫苗项目的提出反映了对利益相关者期望的关注。包括客户、员工、投资者等利益相关者在企业发展中都有着各自的期望，新型诊断试剂与生物疫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672"/>
      <w:r>
        <w:rPr>
          <w:rFonts w:ascii="仿宋" w:eastAsia="仿宋" w:hAnsi="仿宋" w:cs="仿宋" w:hint="eastAsia"/>
          <w:sz w:val="28"/>
          <w:lang w:eastAsia="zh-CN"/>
        </w:rPr>
        <w:t>(四)、新型诊断试剂与生物疫苗项目意义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在实施新型诊断试剂与生物疫苗项目的过程中，我们不仅仅是在追逐商业成功，更是为企业和社会的多个层面创造了深远的意义。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诊断试剂与生物疫苗项目的首要意义在于提升企业的市场竞争力。通过持续的创新和对产品质量的高标准要求，新型诊断试剂与生物疫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型诊断试剂与生物疫苗项目的推进将促使行业技术水平的提升。通过引入先进技术和创新性解决方案，新型诊断试剂与生物疫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新型诊断试剂与生物疫苗项目不仅创造了大量就业机会，提高了就业水平，还注重社会责任和环保。通过参与社会公益事业和推动环保新型诊断试剂与生物疫苗项目，新型诊断试剂与生物疫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综合而言，新型诊断试剂与生物疫苗项目意义重大，不仅推动了企业的发展，也为行业和社会的进步贡献了积极力量。这是一个全面而深刻的影响，将在未来产生可持续的正面效应。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4078"/>
      <w:r>
        <w:rPr>
          <w:rFonts w:ascii="仿宋" w:eastAsia="仿宋" w:hAnsi="仿宋" w:cs="仿宋" w:hint="eastAsia"/>
          <w:sz w:val="28"/>
          <w:lang w:eastAsia="zh-CN"/>
        </w:rPr>
        <w:t>(五)、新型诊断试剂与生物疫苗项目背景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在当今迅猛发展的商业环境中，新型诊断试剂与生物疫苗项目的动因根植于对多方面因素的审慎考量。这个新型诊断试剂与生物疫苗项目的提出并非孤立的决策，而是对企业所处背景深入思考的产物。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新型诊断试剂与生物疫苗项目背后的首要原因。科技的迅速发展和全球市场的快速变化使得企业必须灵活应对。新型诊断试剂与生物疫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新型诊断试剂与生物疫苗项目背景中不可忽视的一环。企业需要在激烈竞争中脱颖而出，为此，新型诊断试剂与生物疫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技术的迅速发展为企业带来了机遇与挑战。作为新型诊断试剂与生物疫苗项目启动的背景之一，对新兴技术的应用将有助于提升企业的技术水平，使其在不断演进的商业环境中保持竞争优势。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新型诊断试剂与生物疫苗项目充分融入了社会责任的理念，通过可持续经营和社会公益新型诊断试剂与生物疫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32534"/>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12627"/>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新型诊断试剂与生物疫苗项目的技术管理特点体现在其创新导向。通过引入最先进的技术趋势和解决方案，新型诊断试剂与生物疫苗项目致力于提升科技含量、提高质量和效率水平。这意味着我们将采用最新的工具和方法，确保新型诊断试剂与生物疫苗项目在技术层面始终走在前沿，从而在竞争激烈的市场中脱颖而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https://d.book118.com/968034052007006046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新型诊断试剂与生物疫苗项目计划设计方案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新型诊断试剂与生物疫苗项目计划设计方案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新型诊断试剂与生物疫苗项目计划设计方案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新型诊断试剂与生物疫苗项目计划设计方案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新型诊断试剂与生物疫苗项目计划设计方案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新型诊断试剂与生物疫苗项目计划设计方案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新型诊断试剂与生物疫苗项目计划设计方案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新型诊断试剂与生物疫苗项目计划设计方案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新型诊断试剂与生物疫苗项目计划设计方案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新型诊断试剂与生物疫苗项目计划设计方案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新型诊断试剂与生物疫苗项目计划设计方案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新型诊断试剂与生物疫苗项目计划设计方案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新型诊断试剂与生物疫苗项目计划设计方案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新型诊断试剂与生物疫苗项目计划设计方案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新型诊断试剂与生物疫苗项目计划设计方案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新型诊断试剂与生物疫苗项目计划设计方案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新型诊断试剂与生物疫苗项目计划设计方案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1D54FC"/>
    <w:rsid w:val="2D1D54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034052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2024-03-03T22:07:00Z</dcterms:created>
  <dcterms:modified xsi:type="dcterms:W3CDTF">2024-03-03T22:08:16Z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0489235EC66B4A33B15328D2CD82B9E3_11</vt:lpwstr>
  </property>
  <property fmtid="{D5CDD505-2E9C-101B-9397-08002B2CF9AE}" pid="3" name="KSOProductBuildVer">
    <vt:lpwstr>2052-12.1.0.16388</vt:lpwstr>
  </property>
</Properties>
</file>