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NOX、NO2自动采样器及测定仪项目规划设计蓝图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13" w:history="1">
        <w:r>
          <w:rPr>
            <w:rFonts w:ascii="仿宋" w:eastAsia="仿宋" w:hAnsi="仿宋" w:cs="仿宋" w:hint="eastAsia"/>
            <w:lang w:eastAsia="zh-CN"/>
          </w:rPr>
          <w:t>序言</w:t>
        </w:r>
        <w:r>
          <w:tab/>
        </w:r>
        <w:r>
          <w:fldChar w:fldCharType="begin"/>
        </w:r>
        <w:r>
          <w:instrText xml:space="preserve"> PAGEREF _Toc21613 \h </w:instrText>
        </w:r>
        <w:r>
          <w:fldChar w:fldCharType="separate"/>
        </w:r>
        <w:r>
          <w:t>3</w:t>
        </w:r>
        <w:r>
          <w:fldChar w:fldCharType="end"/>
        </w:r>
      </w:hyperlink>
    </w:p>
    <w:p>
      <w:pPr>
        <w:pStyle w:val="TOC1"/>
        <w:tabs>
          <w:tab w:val="right" w:leader="dot" w:pos="8306"/>
        </w:tabs>
      </w:pPr>
      <w:hyperlink w:anchor="_Toc28523" w:history="1">
        <w:r>
          <w:rPr>
            <w:rFonts w:ascii="仿宋" w:eastAsia="仿宋" w:hAnsi="仿宋" w:cs="仿宋" w:hint="eastAsia"/>
            <w:lang w:eastAsia="zh-CN"/>
          </w:rPr>
          <w:t>一、NOX、NO2自动采样器及测定仪项目选址可行性分析</w:t>
        </w:r>
        <w:r>
          <w:tab/>
        </w:r>
        <w:r>
          <w:fldChar w:fldCharType="begin"/>
        </w:r>
        <w:r>
          <w:instrText xml:space="preserve"> PAGEREF _Toc28523 \h </w:instrText>
        </w:r>
        <w:r>
          <w:fldChar w:fldCharType="separate"/>
        </w:r>
        <w:r>
          <w:t>3</w:t>
        </w:r>
        <w:r>
          <w:fldChar w:fldCharType="end"/>
        </w:r>
      </w:hyperlink>
    </w:p>
    <w:p>
      <w:pPr>
        <w:pStyle w:val="TOC2"/>
        <w:tabs>
          <w:tab w:val="right" w:leader="dot" w:pos="8306"/>
        </w:tabs>
      </w:pPr>
      <w:hyperlink w:anchor="_Toc23746" w:history="1">
        <w:r>
          <w:rPr>
            <w:rFonts w:ascii="仿宋" w:eastAsia="仿宋" w:hAnsi="仿宋" w:cs="仿宋" w:hint="eastAsia"/>
            <w:lang w:eastAsia="zh-CN"/>
          </w:rPr>
          <w:t>(一)、NOX、NO2自动采样器及测定仪项目选址</w:t>
        </w:r>
        <w:r>
          <w:tab/>
        </w:r>
        <w:r>
          <w:fldChar w:fldCharType="begin"/>
        </w:r>
        <w:r>
          <w:instrText xml:space="preserve"> PAGEREF _Toc23746 \h </w:instrText>
        </w:r>
        <w:r>
          <w:fldChar w:fldCharType="separate"/>
        </w:r>
        <w:r>
          <w:t>3</w:t>
        </w:r>
        <w:r>
          <w:fldChar w:fldCharType="end"/>
        </w:r>
      </w:hyperlink>
    </w:p>
    <w:p>
      <w:pPr>
        <w:pStyle w:val="TOC2"/>
        <w:tabs>
          <w:tab w:val="right" w:leader="dot" w:pos="8306"/>
        </w:tabs>
      </w:pPr>
      <w:hyperlink w:anchor="_Toc15293" w:history="1">
        <w:r>
          <w:rPr>
            <w:rFonts w:ascii="仿宋" w:eastAsia="仿宋" w:hAnsi="仿宋" w:cs="仿宋" w:hint="eastAsia"/>
            <w:lang w:eastAsia="zh-CN"/>
          </w:rPr>
          <w:t>(二)、用地控制指标</w:t>
        </w:r>
        <w:r>
          <w:tab/>
        </w:r>
        <w:r>
          <w:fldChar w:fldCharType="begin"/>
        </w:r>
        <w:r>
          <w:instrText xml:space="preserve"> PAGEREF _Toc15293 \h </w:instrText>
        </w:r>
        <w:r>
          <w:fldChar w:fldCharType="separate"/>
        </w:r>
        <w:r>
          <w:t>3</w:t>
        </w:r>
        <w:r>
          <w:fldChar w:fldCharType="end"/>
        </w:r>
      </w:hyperlink>
    </w:p>
    <w:p>
      <w:pPr>
        <w:pStyle w:val="TOC2"/>
        <w:tabs>
          <w:tab w:val="right" w:leader="dot" w:pos="8306"/>
        </w:tabs>
      </w:pPr>
      <w:hyperlink w:anchor="_Toc17402" w:history="1">
        <w:r>
          <w:rPr>
            <w:rFonts w:ascii="仿宋" w:eastAsia="仿宋" w:hAnsi="仿宋" w:cs="仿宋" w:hint="eastAsia"/>
            <w:lang w:eastAsia="zh-CN"/>
          </w:rPr>
          <w:t>(三)、节约用地措施</w:t>
        </w:r>
        <w:r>
          <w:tab/>
        </w:r>
        <w:r>
          <w:fldChar w:fldCharType="begin"/>
        </w:r>
        <w:r>
          <w:instrText xml:space="preserve"> PAGEREF _Toc17402 \h </w:instrText>
        </w:r>
        <w:r>
          <w:fldChar w:fldCharType="separate"/>
        </w:r>
        <w:r>
          <w:t>5</w:t>
        </w:r>
        <w:r>
          <w:fldChar w:fldCharType="end"/>
        </w:r>
      </w:hyperlink>
    </w:p>
    <w:p>
      <w:pPr>
        <w:pStyle w:val="TOC2"/>
        <w:tabs>
          <w:tab w:val="right" w:leader="dot" w:pos="8306"/>
        </w:tabs>
      </w:pPr>
      <w:hyperlink w:anchor="_Toc11562" w:history="1">
        <w:r>
          <w:rPr>
            <w:rFonts w:ascii="仿宋" w:eastAsia="仿宋" w:hAnsi="仿宋" w:cs="仿宋" w:hint="eastAsia"/>
            <w:lang w:eastAsia="zh-CN"/>
          </w:rPr>
          <w:t>(四)、总图布置方案</w:t>
        </w:r>
        <w:r>
          <w:tab/>
        </w:r>
        <w:r>
          <w:fldChar w:fldCharType="begin"/>
        </w:r>
        <w:r>
          <w:instrText xml:space="preserve"> PAGEREF _Toc11562 \h </w:instrText>
        </w:r>
        <w:r>
          <w:fldChar w:fldCharType="separate"/>
        </w:r>
        <w:r>
          <w:t>7</w:t>
        </w:r>
        <w:r>
          <w:fldChar w:fldCharType="end"/>
        </w:r>
      </w:hyperlink>
    </w:p>
    <w:p>
      <w:pPr>
        <w:pStyle w:val="TOC2"/>
        <w:tabs>
          <w:tab w:val="right" w:leader="dot" w:pos="8306"/>
        </w:tabs>
      </w:pPr>
      <w:hyperlink w:anchor="_Toc22421" w:history="1">
        <w:r>
          <w:rPr>
            <w:rFonts w:ascii="仿宋" w:eastAsia="仿宋" w:hAnsi="仿宋" w:cs="仿宋" w:hint="eastAsia"/>
            <w:lang w:eastAsia="zh-CN"/>
          </w:rPr>
          <w:t>(五)、选址综合评价</w:t>
        </w:r>
        <w:r>
          <w:tab/>
        </w:r>
        <w:r>
          <w:fldChar w:fldCharType="begin"/>
        </w:r>
        <w:r>
          <w:instrText xml:space="preserve"> PAGEREF _Toc22421 \h </w:instrText>
        </w:r>
        <w:r>
          <w:fldChar w:fldCharType="separate"/>
        </w:r>
        <w:r>
          <w:t>8</w:t>
        </w:r>
        <w:r>
          <w:fldChar w:fldCharType="end"/>
        </w:r>
      </w:hyperlink>
    </w:p>
    <w:p>
      <w:pPr>
        <w:pStyle w:val="TOC1"/>
        <w:tabs>
          <w:tab w:val="right" w:leader="dot" w:pos="8306"/>
        </w:tabs>
      </w:pPr>
      <w:hyperlink w:anchor="_Toc9045" w:history="1">
        <w:r>
          <w:rPr>
            <w:rFonts w:ascii="仿宋" w:eastAsia="仿宋" w:hAnsi="仿宋" w:cs="仿宋" w:hint="eastAsia"/>
            <w:lang w:eastAsia="zh-CN"/>
          </w:rPr>
          <w:t>二、产品规划分析</w:t>
        </w:r>
        <w:r>
          <w:tab/>
        </w:r>
        <w:r>
          <w:fldChar w:fldCharType="begin"/>
        </w:r>
        <w:r>
          <w:instrText xml:space="preserve"> PAGEREF _Toc9045 \h </w:instrText>
        </w:r>
        <w:r>
          <w:fldChar w:fldCharType="separate"/>
        </w:r>
        <w:r>
          <w:t>9</w:t>
        </w:r>
        <w:r>
          <w:fldChar w:fldCharType="end"/>
        </w:r>
      </w:hyperlink>
    </w:p>
    <w:p>
      <w:pPr>
        <w:pStyle w:val="TOC2"/>
        <w:tabs>
          <w:tab w:val="right" w:leader="dot" w:pos="8306"/>
        </w:tabs>
      </w:pPr>
      <w:hyperlink w:anchor="_Toc10307" w:history="1">
        <w:r>
          <w:rPr>
            <w:rFonts w:ascii="仿宋" w:eastAsia="仿宋" w:hAnsi="仿宋" w:cs="仿宋" w:hint="eastAsia"/>
            <w:lang w:eastAsia="zh-CN"/>
          </w:rPr>
          <w:t>(一)、产品规划</w:t>
        </w:r>
        <w:r>
          <w:tab/>
        </w:r>
        <w:r>
          <w:fldChar w:fldCharType="begin"/>
        </w:r>
        <w:r>
          <w:instrText xml:space="preserve"> PAGEREF _Toc10307 \h </w:instrText>
        </w:r>
        <w:r>
          <w:fldChar w:fldCharType="separate"/>
        </w:r>
        <w:r>
          <w:t>9</w:t>
        </w:r>
        <w:r>
          <w:fldChar w:fldCharType="end"/>
        </w:r>
      </w:hyperlink>
    </w:p>
    <w:p>
      <w:pPr>
        <w:pStyle w:val="TOC2"/>
        <w:tabs>
          <w:tab w:val="right" w:leader="dot" w:pos="8306"/>
        </w:tabs>
      </w:pPr>
      <w:hyperlink w:anchor="_Toc17758" w:history="1">
        <w:r>
          <w:rPr>
            <w:rFonts w:ascii="仿宋" w:eastAsia="仿宋" w:hAnsi="仿宋" w:cs="仿宋" w:hint="eastAsia"/>
            <w:lang w:eastAsia="zh-CN"/>
          </w:rPr>
          <w:t>(二)、建设规模</w:t>
        </w:r>
        <w:r>
          <w:tab/>
        </w:r>
        <w:r>
          <w:fldChar w:fldCharType="begin"/>
        </w:r>
        <w:r>
          <w:instrText xml:space="preserve"> PAGEREF _Toc17758 \h </w:instrText>
        </w:r>
        <w:r>
          <w:fldChar w:fldCharType="separate"/>
        </w:r>
        <w:r>
          <w:t>10</w:t>
        </w:r>
        <w:r>
          <w:fldChar w:fldCharType="end"/>
        </w:r>
      </w:hyperlink>
    </w:p>
    <w:p>
      <w:pPr>
        <w:pStyle w:val="TOC1"/>
        <w:tabs>
          <w:tab w:val="right" w:leader="dot" w:pos="8306"/>
        </w:tabs>
      </w:pPr>
      <w:hyperlink w:anchor="_Toc32014" w:history="1">
        <w:r>
          <w:rPr>
            <w:rFonts w:ascii="仿宋" w:eastAsia="仿宋" w:hAnsi="仿宋" w:cs="仿宋" w:hint="eastAsia"/>
            <w:lang w:eastAsia="zh-CN"/>
          </w:rPr>
          <w:t>三、NOX、NO2自动采样器及测定仪项目概论</w:t>
        </w:r>
        <w:r>
          <w:tab/>
        </w:r>
        <w:r>
          <w:fldChar w:fldCharType="begin"/>
        </w:r>
        <w:r>
          <w:instrText xml:space="preserve"> PAGEREF _Toc32014 \h </w:instrText>
        </w:r>
        <w:r>
          <w:fldChar w:fldCharType="separate"/>
        </w:r>
        <w:r>
          <w:t>11</w:t>
        </w:r>
        <w:r>
          <w:fldChar w:fldCharType="end"/>
        </w:r>
      </w:hyperlink>
    </w:p>
    <w:p>
      <w:pPr>
        <w:pStyle w:val="TOC2"/>
        <w:tabs>
          <w:tab w:val="right" w:leader="dot" w:pos="8306"/>
        </w:tabs>
      </w:pPr>
      <w:hyperlink w:anchor="_Toc12521" w:history="1">
        <w:r>
          <w:rPr>
            <w:rFonts w:ascii="仿宋" w:eastAsia="仿宋" w:hAnsi="仿宋" w:cs="仿宋" w:hint="eastAsia"/>
            <w:lang w:eastAsia="zh-CN"/>
          </w:rPr>
          <w:t>(一)、NOX、NO2自动采样器及测定仪项目概况</w:t>
        </w:r>
        <w:r>
          <w:tab/>
        </w:r>
        <w:r>
          <w:fldChar w:fldCharType="begin"/>
        </w:r>
        <w:r>
          <w:instrText xml:space="preserve"> PAGEREF _Toc12521 \h </w:instrText>
        </w:r>
        <w:r>
          <w:fldChar w:fldCharType="separate"/>
        </w:r>
        <w:r>
          <w:t>11</w:t>
        </w:r>
        <w:r>
          <w:fldChar w:fldCharType="end"/>
        </w:r>
      </w:hyperlink>
    </w:p>
    <w:p>
      <w:pPr>
        <w:pStyle w:val="TOC2"/>
        <w:tabs>
          <w:tab w:val="right" w:leader="dot" w:pos="8306"/>
        </w:tabs>
      </w:pPr>
      <w:hyperlink w:anchor="_Toc11458" w:history="1">
        <w:r>
          <w:rPr>
            <w:rFonts w:ascii="仿宋" w:eastAsia="仿宋" w:hAnsi="仿宋" w:cs="仿宋" w:hint="eastAsia"/>
            <w:lang w:eastAsia="zh-CN"/>
          </w:rPr>
          <w:t>(二)、NOX、NO2自动采样器及测定仪项目目标</w:t>
        </w:r>
        <w:r>
          <w:tab/>
        </w:r>
        <w:r>
          <w:fldChar w:fldCharType="begin"/>
        </w:r>
        <w:r>
          <w:instrText xml:space="preserve"> PAGEREF _Toc11458 \h </w:instrText>
        </w:r>
        <w:r>
          <w:fldChar w:fldCharType="separate"/>
        </w:r>
        <w:r>
          <w:t>14</w:t>
        </w:r>
        <w:r>
          <w:fldChar w:fldCharType="end"/>
        </w:r>
      </w:hyperlink>
    </w:p>
    <w:p>
      <w:pPr>
        <w:pStyle w:val="TOC2"/>
        <w:tabs>
          <w:tab w:val="right" w:leader="dot" w:pos="8306"/>
        </w:tabs>
      </w:pPr>
      <w:hyperlink w:anchor="_Toc14949" w:history="1">
        <w:r>
          <w:rPr>
            <w:rFonts w:ascii="仿宋" w:eastAsia="仿宋" w:hAnsi="仿宋" w:cs="仿宋" w:hint="eastAsia"/>
            <w:lang w:eastAsia="zh-CN"/>
          </w:rPr>
          <w:t>(三)、NOX、NO2自动采样器及测定仪项目提出的理由</w:t>
        </w:r>
        <w:r>
          <w:tab/>
        </w:r>
        <w:r>
          <w:fldChar w:fldCharType="begin"/>
        </w:r>
        <w:r>
          <w:instrText xml:space="preserve"> PAGEREF _Toc14949 \h </w:instrText>
        </w:r>
        <w:r>
          <w:fldChar w:fldCharType="separate"/>
        </w:r>
        <w:r>
          <w:t>15</w:t>
        </w:r>
        <w:r>
          <w:fldChar w:fldCharType="end"/>
        </w:r>
      </w:hyperlink>
    </w:p>
    <w:p>
      <w:pPr>
        <w:pStyle w:val="TOC2"/>
        <w:tabs>
          <w:tab w:val="right" w:leader="dot" w:pos="8306"/>
        </w:tabs>
      </w:pPr>
      <w:hyperlink w:anchor="_Toc30625" w:history="1">
        <w:r>
          <w:rPr>
            <w:rFonts w:ascii="仿宋" w:eastAsia="仿宋" w:hAnsi="仿宋" w:cs="仿宋" w:hint="eastAsia"/>
            <w:lang w:eastAsia="zh-CN"/>
          </w:rPr>
          <w:t>(四)、NOX、NO2自动采样器及测定仪项目意义</w:t>
        </w:r>
        <w:r>
          <w:tab/>
        </w:r>
        <w:r>
          <w:fldChar w:fldCharType="begin"/>
        </w:r>
        <w:r>
          <w:instrText xml:space="preserve"> PAGEREF _Toc30625 \h </w:instrText>
        </w:r>
        <w:r>
          <w:fldChar w:fldCharType="separate"/>
        </w:r>
        <w:r>
          <w:t>17</w:t>
        </w:r>
        <w:r>
          <w:fldChar w:fldCharType="end"/>
        </w:r>
      </w:hyperlink>
    </w:p>
    <w:p>
      <w:pPr>
        <w:pStyle w:val="TOC2"/>
        <w:tabs>
          <w:tab w:val="right" w:leader="dot" w:pos="8306"/>
        </w:tabs>
      </w:pPr>
      <w:hyperlink w:anchor="_Toc4211" w:history="1">
        <w:r>
          <w:rPr>
            <w:rFonts w:ascii="仿宋" w:eastAsia="仿宋" w:hAnsi="仿宋" w:cs="仿宋" w:hint="eastAsia"/>
            <w:lang w:eastAsia="zh-CN"/>
          </w:rPr>
          <w:t>(五)、NOX、NO2自动采样器及测定仪项目背景</w:t>
        </w:r>
        <w:r>
          <w:tab/>
        </w:r>
        <w:r>
          <w:fldChar w:fldCharType="begin"/>
        </w:r>
        <w:r>
          <w:instrText xml:space="preserve"> PAGEREF _Toc4211 \h </w:instrText>
        </w:r>
        <w:r>
          <w:fldChar w:fldCharType="separate"/>
        </w:r>
        <w:r>
          <w:t>18</w:t>
        </w:r>
        <w:r>
          <w:fldChar w:fldCharType="end"/>
        </w:r>
      </w:hyperlink>
    </w:p>
    <w:p>
      <w:pPr>
        <w:pStyle w:val="TOC1"/>
        <w:tabs>
          <w:tab w:val="right" w:leader="dot" w:pos="8306"/>
        </w:tabs>
      </w:pPr>
      <w:hyperlink w:anchor="_Toc2977" w:history="1">
        <w:r>
          <w:rPr>
            <w:rFonts w:ascii="仿宋" w:eastAsia="仿宋" w:hAnsi="仿宋" w:cs="仿宋" w:hint="eastAsia"/>
            <w:lang w:eastAsia="zh-CN"/>
          </w:rPr>
          <w:t>四、NOX、NO2自动采样器及测定仪项目土建工程</w:t>
        </w:r>
        <w:r>
          <w:tab/>
        </w:r>
        <w:r>
          <w:fldChar w:fldCharType="begin"/>
        </w:r>
        <w:r>
          <w:instrText xml:space="preserve"> PAGEREF _Toc2977 \h </w:instrText>
        </w:r>
        <w:r>
          <w:fldChar w:fldCharType="separate"/>
        </w:r>
        <w:r>
          <w:t>19</w:t>
        </w:r>
        <w:r>
          <w:fldChar w:fldCharType="end"/>
        </w:r>
      </w:hyperlink>
    </w:p>
    <w:p>
      <w:pPr>
        <w:pStyle w:val="TOC2"/>
        <w:tabs>
          <w:tab w:val="right" w:leader="dot" w:pos="8306"/>
        </w:tabs>
      </w:pPr>
      <w:hyperlink w:anchor="_Toc25499" w:history="1">
        <w:r>
          <w:rPr>
            <w:rFonts w:ascii="仿宋" w:eastAsia="仿宋" w:hAnsi="仿宋" w:cs="仿宋" w:hint="eastAsia"/>
            <w:lang w:eastAsia="zh-CN"/>
          </w:rPr>
          <w:t>(一)、建筑工程设计原则</w:t>
        </w:r>
        <w:r>
          <w:tab/>
        </w:r>
        <w:r>
          <w:fldChar w:fldCharType="begin"/>
        </w:r>
        <w:r>
          <w:instrText xml:space="preserve"> PAGEREF _Toc25499 \h </w:instrText>
        </w:r>
        <w:r>
          <w:fldChar w:fldCharType="separate"/>
        </w:r>
        <w:r>
          <w:t>19</w:t>
        </w:r>
        <w:r>
          <w:fldChar w:fldCharType="end"/>
        </w:r>
      </w:hyperlink>
    </w:p>
    <w:p>
      <w:pPr>
        <w:pStyle w:val="TOC2"/>
        <w:tabs>
          <w:tab w:val="right" w:leader="dot" w:pos="8306"/>
        </w:tabs>
      </w:pPr>
      <w:hyperlink w:anchor="_Toc28622" w:history="1">
        <w:r>
          <w:rPr>
            <w:rFonts w:ascii="仿宋" w:eastAsia="仿宋" w:hAnsi="仿宋" w:cs="仿宋" w:hint="eastAsia"/>
            <w:lang w:eastAsia="zh-CN"/>
          </w:rPr>
          <w:t>(二)、土建工程设计年限及安全等级</w:t>
        </w:r>
        <w:r>
          <w:tab/>
        </w:r>
        <w:r>
          <w:fldChar w:fldCharType="begin"/>
        </w:r>
        <w:r>
          <w:instrText xml:space="preserve"> PAGEREF _Toc28622 \h </w:instrText>
        </w:r>
        <w:r>
          <w:fldChar w:fldCharType="separate"/>
        </w:r>
        <w:r>
          <w:t>20</w:t>
        </w:r>
        <w:r>
          <w:fldChar w:fldCharType="end"/>
        </w:r>
      </w:hyperlink>
    </w:p>
    <w:p>
      <w:pPr>
        <w:pStyle w:val="TOC2"/>
        <w:tabs>
          <w:tab w:val="right" w:leader="dot" w:pos="8306"/>
        </w:tabs>
      </w:pPr>
      <w:hyperlink w:anchor="_Toc31935" w:history="1">
        <w:r>
          <w:rPr>
            <w:rFonts w:ascii="仿宋" w:eastAsia="仿宋" w:hAnsi="仿宋" w:cs="仿宋" w:hint="eastAsia"/>
            <w:lang w:eastAsia="zh-CN"/>
          </w:rPr>
          <w:t>(三)、建筑工程设计总体要求</w:t>
        </w:r>
        <w:r>
          <w:tab/>
        </w:r>
        <w:r>
          <w:fldChar w:fldCharType="begin"/>
        </w:r>
        <w:r>
          <w:instrText xml:space="preserve"> PAGEREF _Toc31935 \h </w:instrText>
        </w:r>
        <w:r>
          <w:fldChar w:fldCharType="separate"/>
        </w:r>
        <w:r>
          <w:t>21</w:t>
        </w:r>
        <w:r>
          <w:fldChar w:fldCharType="end"/>
        </w:r>
      </w:hyperlink>
    </w:p>
    <w:p>
      <w:pPr>
        <w:pStyle w:val="TOC2"/>
        <w:tabs>
          <w:tab w:val="right" w:leader="dot" w:pos="8306"/>
        </w:tabs>
      </w:pPr>
      <w:hyperlink w:anchor="_Toc14212" w:history="1">
        <w:r>
          <w:rPr>
            <w:rFonts w:ascii="仿宋" w:eastAsia="仿宋" w:hAnsi="仿宋" w:cs="仿宋" w:hint="eastAsia"/>
            <w:lang w:eastAsia="zh-CN"/>
          </w:rPr>
          <w:t>(四)、土建工程建设指标</w:t>
        </w:r>
        <w:r>
          <w:tab/>
        </w:r>
        <w:r>
          <w:fldChar w:fldCharType="begin"/>
        </w:r>
        <w:r>
          <w:instrText xml:space="preserve"> PAGEREF _Toc14212 \h </w:instrText>
        </w:r>
        <w:r>
          <w:fldChar w:fldCharType="separate"/>
        </w:r>
        <w:r>
          <w:t>22</w:t>
        </w:r>
        <w:r>
          <w:fldChar w:fldCharType="end"/>
        </w:r>
      </w:hyperlink>
    </w:p>
    <w:p>
      <w:pPr>
        <w:pStyle w:val="TOC1"/>
        <w:tabs>
          <w:tab w:val="right" w:leader="dot" w:pos="8306"/>
        </w:tabs>
      </w:pPr>
      <w:hyperlink w:anchor="_Toc16345" w:history="1">
        <w:r>
          <w:rPr>
            <w:rFonts w:ascii="仿宋" w:eastAsia="仿宋" w:hAnsi="仿宋" w:cs="仿宋" w:hint="eastAsia"/>
            <w:lang w:eastAsia="zh-CN"/>
          </w:rPr>
          <w:t>五、NOX、NO2自动采样器及测定仪项目危机管理</w:t>
        </w:r>
        <w:r>
          <w:tab/>
        </w:r>
        <w:r>
          <w:fldChar w:fldCharType="begin"/>
        </w:r>
        <w:r>
          <w:instrText xml:space="preserve"> PAGEREF _Toc16345 \h </w:instrText>
        </w:r>
        <w:r>
          <w:fldChar w:fldCharType="separate"/>
        </w:r>
        <w:r>
          <w:t>22</w:t>
        </w:r>
        <w:r>
          <w:fldChar w:fldCharType="end"/>
        </w:r>
      </w:hyperlink>
    </w:p>
    <w:p>
      <w:pPr>
        <w:pStyle w:val="TOC2"/>
        <w:tabs>
          <w:tab w:val="right" w:leader="dot" w:pos="8306"/>
        </w:tabs>
      </w:pPr>
      <w:hyperlink w:anchor="_Toc9368" w:history="1">
        <w:r>
          <w:rPr>
            <w:rFonts w:ascii="仿宋" w:eastAsia="仿宋" w:hAnsi="仿宋" w:cs="仿宋" w:hint="eastAsia"/>
            <w:lang w:eastAsia="zh-CN"/>
          </w:rPr>
          <w:t>(一)、危机预警与识别</w:t>
        </w:r>
        <w:r>
          <w:tab/>
        </w:r>
        <w:r>
          <w:fldChar w:fldCharType="begin"/>
        </w:r>
        <w:r>
          <w:instrText xml:space="preserve"> PAGEREF _Toc9368 \h </w:instrText>
        </w:r>
        <w:r>
          <w:fldChar w:fldCharType="separate"/>
        </w:r>
        <w:r>
          <w:t>22</w:t>
        </w:r>
        <w:r>
          <w:fldChar w:fldCharType="end"/>
        </w:r>
      </w:hyperlink>
    </w:p>
    <w:p>
      <w:pPr>
        <w:pStyle w:val="TOC2"/>
        <w:tabs>
          <w:tab w:val="right" w:leader="dot" w:pos="8306"/>
        </w:tabs>
      </w:pPr>
      <w:hyperlink w:anchor="_Toc17940" w:history="1">
        <w:r>
          <w:rPr>
            <w:rFonts w:ascii="仿宋" w:eastAsia="仿宋" w:hAnsi="仿宋" w:cs="仿宋" w:hint="eastAsia"/>
            <w:lang w:eastAsia="zh-CN"/>
          </w:rPr>
          <w:t>(二)、危机应对与恢复</w:t>
        </w:r>
        <w:r>
          <w:tab/>
        </w:r>
        <w:r>
          <w:fldChar w:fldCharType="begin"/>
        </w:r>
        <w:r>
          <w:instrText xml:space="preserve"> PAGEREF _Toc17940 \h </w:instrText>
        </w:r>
        <w:r>
          <w:fldChar w:fldCharType="separate"/>
        </w:r>
        <w:r>
          <w:t>23</w:t>
        </w:r>
        <w:r>
          <w:fldChar w:fldCharType="end"/>
        </w:r>
      </w:hyperlink>
    </w:p>
    <w:p>
      <w:pPr>
        <w:pStyle w:val="TOC1"/>
        <w:tabs>
          <w:tab w:val="right" w:leader="dot" w:pos="8306"/>
        </w:tabs>
      </w:pPr>
      <w:hyperlink w:anchor="_Toc22442" w:history="1">
        <w:r>
          <w:rPr>
            <w:rFonts w:ascii="仿宋" w:eastAsia="仿宋" w:hAnsi="仿宋" w:cs="仿宋" w:hint="eastAsia"/>
            <w:lang w:eastAsia="zh-CN"/>
          </w:rPr>
          <w:t>六、NOX、NO2自动采样器及测定仪项目建设背景及必要性分析</w:t>
        </w:r>
        <w:r>
          <w:tab/>
        </w:r>
        <w:r>
          <w:fldChar w:fldCharType="begin"/>
        </w:r>
        <w:r>
          <w:instrText xml:space="preserve"> PAGEREF _Toc22442 \h </w:instrText>
        </w:r>
        <w:r>
          <w:fldChar w:fldCharType="separate"/>
        </w:r>
        <w:r>
          <w:t>25</w:t>
        </w:r>
        <w:r>
          <w:fldChar w:fldCharType="end"/>
        </w:r>
      </w:hyperlink>
    </w:p>
    <w:p>
      <w:pPr>
        <w:pStyle w:val="TOC2"/>
        <w:tabs>
          <w:tab w:val="right" w:leader="dot" w:pos="8306"/>
        </w:tabs>
      </w:pPr>
      <w:hyperlink w:anchor="_Toc20796" w:history="1">
        <w:r>
          <w:rPr>
            <w:rFonts w:ascii="仿宋" w:eastAsia="仿宋" w:hAnsi="仿宋" w:cs="仿宋" w:hint="eastAsia"/>
            <w:lang w:eastAsia="zh-CN"/>
          </w:rPr>
          <w:t>(一)、NOX、NO2自动采样器及测定仪项目背景分析</w:t>
        </w:r>
        <w:r>
          <w:tab/>
        </w:r>
        <w:r>
          <w:fldChar w:fldCharType="begin"/>
        </w:r>
        <w:r>
          <w:instrText xml:space="preserve"> PAGEREF _Toc20796 \h </w:instrText>
        </w:r>
        <w:r>
          <w:fldChar w:fldCharType="separate"/>
        </w:r>
        <w:r>
          <w:t>25</w:t>
        </w:r>
        <w:r>
          <w:fldChar w:fldCharType="end"/>
        </w:r>
      </w:hyperlink>
    </w:p>
    <w:p>
      <w:pPr>
        <w:pStyle w:val="TOC2"/>
        <w:tabs>
          <w:tab w:val="right" w:leader="dot" w:pos="8306"/>
        </w:tabs>
      </w:pPr>
      <w:hyperlink w:anchor="_Toc26681" w:history="1">
        <w:r>
          <w:rPr>
            <w:rFonts w:ascii="仿宋" w:eastAsia="仿宋" w:hAnsi="仿宋" w:cs="仿宋" w:hint="eastAsia"/>
            <w:lang w:eastAsia="zh-CN"/>
          </w:rPr>
          <w:t>(二)、NOX、NO2自动采样器及测定仪项目建设必要性分析</w:t>
        </w:r>
        <w:r>
          <w:tab/>
        </w:r>
        <w:r>
          <w:fldChar w:fldCharType="begin"/>
        </w:r>
        <w:r>
          <w:instrText xml:space="preserve"> PAGEREF _Toc26681 \h </w:instrText>
        </w:r>
        <w:r>
          <w:fldChar w:fldCharType="separate"/>
        </w:r>
        <w:r>
          <w:t>27</w:t>
        </w:r>
        <w:r>
          <w:fldChar w:fldCharType="end"/>
        </w:r>
      </w:hyperlink>
    </w:p>
    <w:p>
      <w:pPr>
        <w:pStyle w:val="TOC1"/>
        <w:tabs>
          <w:tab w:val="right" w:leader="dot" w:pos="8306"/>
        </w:tabs>
      </w:pPr>
      <w:hyperlink w:anchor="_Toc11286" w:history="1">
        <w:r>
          <w:rPr>
            <w:rFonts w:ascii="仿宋" w:eastAsia="仿宋" w:hAnsi="仿宋" w:cs="仿宋" w:hint="eastAsia"/>
            <w:lang w:eastAsia="zh-CN"/>
          </w:rPr>
          <w:t>七、NOX、NO2自动采样器及测定仪项目计划安排</w:t>
        </w:r>
        <w:r>
          <w:tab/>
        </w:r>
        <w:r>
          <w:fldChar w:fldCharType="begin"/>
        </w:r>
        <w:r>
          <w:instrText xml:space="preserve"> PAGEREF _Toc11286 \h </w:instrText>
        </w:r>
        <w:r>
          <w:fldChar w:fldCharType="separate"/>
        </w:r>
        <w:r>
          <w:t>28</w:t>
        </w:r>
        <w:r>
          <w:fldChar w:fldCharType="end"/>
        </w:r>
      </w:hyperlink>
    </w:p>
    <w:p>
      <w:pPr>
        <w:pStyle w:val="TOC2"/>
        <w:tabs>
          <w:tab w:val="right" w:leader="dot" w:pos="8306"/>
        </w:tabs>
      </w:pPr>
      <w:hyperlink w:anchor="_Toc18996" w:history="1">
        <w:r>
          <w:rPr>
            <w:rFonts w:ascii="仿宋" w:eastAsia="仿宋" w:hAnsi="仿宋" w:cs="仿宋" w:hint="eastAsia"/>
            <w:lang w:eastAsia="zh-CN"/>
          </w:rPr>
          <w:t>(一)、建设周期</w:t>
        </w:r>
        <w:r>
          <w:tab/>
        </w:r>
        <w:r>
          <w:fldChar w:fldCharType="begin"/>
        </w:r>
        <w:r>
          <w:instrText xml:space="preserve"> PAGEREF _Toc18996 \h </w:instrText>
        </w:r>
        <w:r>
          <w:fldChar w:fldCharType="separate"/>
        </w:r>
        <w:r>
          <w:t>28</w:t>
        </w:r>
        <w:r>
          <w:fldChar w:fldCharType="end"/>
        </w:r>
      </w:hyperlink>
    </w:p>
    <w:p>
      <w:pPr>
        <w:pStyle w:val="TOC2"/>
        <w:tabs>
          <w:tab w:val="right" w:leader="dot" w:pos="8306"/>
        </w:tabs>
      </w:pPr>
      <w:hyperlink w:anchor="_Toc26152" w:history="1">
        <w:r>
          <w:rPr>
            <w:rFonts w:ascii="仿宋" w:eastAsia="仿宋" w:hAnsi="仿宋" w:cs="仿宋" w:hint="eastAsia"/>
            <w:lang w:eastAsia="zh-CN"/>
          </w:rPr>
          <w:t>(二)、建设进度</w:t>
        </w:r>
        <w:r>
          <w:tab/>
        </w:r>
        <w:r>
          <w:fldChar w:fldCharType="begin"/>
        </w:r>
        <w:r>
          <w:instrText xml:space="preserve"> PAGEREF _Toc26152 \h </w:instrText>
        </w:r>
        <w:r>
          <w:fldChar w:fldCharType="separate"/>
        </w:r>
        <w:r>
          <w:t>29</w:t>
        </w:r>
        <w:r>
          <w:fldChar w:fldCharType="end"/>
        </w:r>
      </w:hyperlink>
    </w:p>
    <w:p>
      <w:pPr>
        <w:pStyle w:val="TOC2"/>
        <w:tabs>
          <w:tab w:val="right" w:leader="dot" w:pos="8306"/>
        </w:tabs>
      </w:pPr>
      <w:hyperlink w:anchor="_Toc21780" w:history="1">
        <w:r>
          <w:rPr>
            <w:rFonts w:ascii="仿宋" w:eastAsia="仿宋" w:hAnsi="仿宋" w:cs="仿宋" w:hint="eastAsia"/>
            <w:lang w:eastAsia="zh-CN"/>
          </w:rPr>
          <w:t>(三)、进度安排注意事项</w:t>
        </w:r>
        <w:r>
          <w:tab/>
        </w:r>
        <w:r>
          <w:fldChar w:fldCharType="begin"/>
        </w:r>
        <w:r>
          <w:instrText xml:space="preserve"> PAGEREF _Toc21780 \h </w:instrText>
        </w:r>
        <w:r>
          <w:fldChar w:fldCharType="separate"/>
        </w:r>
        <w:r>
          <w:t>30</w:t>
        </w:r>
        <w:r>
          <w:fldChar w:fldCharType="end"/>
        </w:r>
      </w:hyperlink>
    </w:p>
    <w:p>
      <w:pPr>
        <w:pStyle w:val="TOC2"/>
        <w:tabs>
          <w:tab w:val="right" w:leader="dot" w:pos="8306"/>
        </w:tabs>
      </w:pPr>
      <w:hyperlink w:anchor="_Toc3819" w:history="1">
        <w:r>
          <w:rPr>
            <w:rFonts w:ascii="仿宋" w:eastAsia="仿宋" w:hAnsi="仿宋" w:cs="仿宋" w:hint="eastAsia"/>
            <w:lang w:eastAsia="zh-CN"/>
          </w:rPr>
          <w:t>(四)、人力资源配置</w:t>
        </w:r>
        <w:r>
          <w:tab/>
        </w:r>
        <w:r>
          <w:fldChar w:fldCharType="begin"/>
        </w:r>
        <w:r>
          <w:instrText xml:space="preserve"> PAGEREF _Toc3819 \h </w:instrText>
        </w:r>
        <w:r>
          <w:fldChar w:fldCharType="separate"/>
        </w:r>
        <w:r>
          <w:t>32</w:t>
        </w:r>
        <w:r>
          <w:fldChar w:fldCharType="end"/>
        </w:r>
      </w:hyperlink>
    </w:p>
    <w:p>
      <w:pPr>
        <w:pStyle w:val="TOC1"/>
        <w:tabs>
          <w:tab w:val="right" w:leader="dot" w:pos="8306"/>
        </w:tabs>
      </w:pPr>
      <w:hyperlink w:anchor="_Toc8388" w:history="1">
        <w:r>
          <w:rPr>
            <w:rFonts w:ascii="仿宋" w:eastAsia="仿宋" w:hAnsi="仿宋" w:cs="仿宋" w:hint="eastAsia"/>
            <w:lang w:eastAsia="zh-CN"/>
          </w:rPr>
          <w:t>八、NOX、NO2自动采样器及测定仪项目风险管理</w:t>
        </w:r>
        <w:r>
          <w:tab/>
        </w:r>
        <w:r>
          <w:fldChar w:fldCharType="begin"/>
        </w:r>
        <w:r>
          <w:instrText xml:space="preserve"> PAGEREF _Toc8388 \h </w:instrText>
        </w:r>
        <w:r>
          <w:fldChar w:fldCharType="separate"/>
        </w:r>
        <w:r>
          <w:t>33</w:t>
        </w:r>
        <w:r>
          <w:fldChar w:fldCharType="end"/>
        </w:r>
      </w:hyperlink>
    </w:p>
    <w:p>
      <w:pPr>
        <w:pStyle w:val="TOC2"/>
        <w:tabs>
          <w:tab w:val="right" w:leader="dot" w:pos="8306"/>
        </w:tabs>
      </w:pPr>
      <w:hyperlink w:anchor="_Toc29580" w:history="1">
        <w:r>
          <w:rPr>
            <w:rFonts w:ascii="仿宋" w:eastAsia="仿宋" w:hAnsi="仿宋" w:cs="仿宋" w:hint="eastAsia"/>
            <w:lang w:eastAsia="zh-CN"/>
          </w:rPr>
          <w:t>(一)、风险识别与评估</w:t>
        </w:r>
        <w:r>
          <w:tab/>
        </w:r>
        <w:r>
          <w:fldChar w:fldCharType="begin"/>
        </w:r>
        <w:r>
          <w:instrText xml:space="preserve"> PAGEREF _Toc29580 \h </w:instrText>
        </w:r>
        <w:r>
          <w:fldChar w:fldCharType="separate"/>
        </w:r>
        <w:r>
          <w:t>33</w:t>
        </w:r>
        <w:r>
          <w:fldChar w:fldCharType="end"/>
        </w:r>
      </w:hyperlink>
    </w:p>
    <w:p>
      <w:pPr>
        <w:pStyle w:val="TOC2"/>
        <w:tabs>
          <w:tab w:val="right" w:leader="dot" w:pos="8306"/>
        </w:tabs>
      </w:pPr>
      <w:hyperlink w:anchor="_Toc20203" w:history="1">
        <w:r>
          <w:rPr>
            <w:rFonts w:ascii="仿宋" w:eastAsia="仿宋" w:hAnsi="仿宋" w:cs="仿宋" w:hint="eastAsia"/>
            <w:lang w:eastAsia="zh-CN"/>
          </w:rPr>
          <w:t>(二)、风险应对策略</w:t>
        </w:r>
        <w:r>
          <w:tab/>
        </w:r>
        <w:r>
          <w:fldChar w:fldCharType="begin"/>
        </w:r>
        <w:r>
          <w:instrText xml:space="preserve"> PAGEREF _Toc20203 \h </w:instrText>
        </w:r>
        <w:r>
          <w:fldChar w:fldCharType="separate"/>
        </w:r>
        <w:r>
          <w:t>34</w:t>
        </w:r>
        <w:r>
          <w:fldChar w:fldCharType="end"/>
        </w:r>
      </w:hyperlink>
    </w:p>
    <w:p>
      <w:pPr>
        <w:pStyle w:val="TOC2"/>
        <w:tabs>
          <w:tab w:val="right" w:leader="dot" w:pos="8306"/>
        </w:tabs>
      </w:pPr>
      <w:hyperlink w:anchor="_Toc15261" w:history="1">
        <w:r>
          <w:rPr>
            <w:rFonts w:ascii="仿宋" w:eastAsia="仿宋" w:hAnsi="仿宋" w:cs="仿宋" w:hint="eastAsia"/>
            <w:lang w:eastAsia="zh-CN"/>
          </w:rPr>
          <w:t>(三)、风险监控与控制</w:t>
        </w:r>
        <w:r>
          <w:tab/>
        </w:r>
        <w:r>
          <w:fldChar w:fldCharType="begin"/>
        </w:r>
        <w:r>
          <w:instrText xml:space="preserve"> PAGEREF _Toc15261 \h </w:instrText>
        </w:r>
        <w:r>
          <w:fldChar w:fldCharType="separate"/>
        </w:r>
        <w:r>
          <w:t>36</w:t>
        </w:r>
        <w:r>
          <w:fldChar w:fldCharType="end"/>
        </w:r>
      </w:hyperlink>
    </w:p>
    <w:p>
      <w:pPr>
        <w:pStyle w:val="TOC1"/>
        <w:tabs>
          <w:tab w:val="right" w:leader="dot" w:pos="8306"/>
        </w:tabs>
      </w:pPr>
      <w:hyperlink w:anchor="_Toc19274" w:history="1">
        <w:r>
          <w:rPr>
            <w:rFonts w:ascii="仿宋" w:eastAsia="仿宋" w:hAnsi="仿宋" w:cs="仿宋" w:hint="eastAsia"/>
            <w:lang w:eastAsia="zh-CN"/>
          </w:rPr>
          <w:t>九、NOX、NO2自动采样器及测定仪项目创新与研发</w:t>
        </w:r>
        <w:r>
          <w:tab/>
        </w:r>
        <w:r>
          <w:fldChar w:fldCharType="begin"/>
        </w:r>
        <w:r>
          <w:instrText xml:space="preserve"> PAGEREF _Toc19274 \h </w:instrText>
        </w:r>
        <w:r>
          <w:fldChar w:fldCharType="separate"/>
        </w:r>
        <w:r>
          <w:t>37</w:t>
        </w:r>
        <w:r>
          <w:fldChar w:fldCharType="end"/>
        </w:r>
      </w:hyperlink>
    </w:p>
    <w:p>
      <w:pPr>
        <w:pStyle w:val="TOC2"/>
        <w:tabs>
          <w:tab w:val="right" w:leader="dot" w:pos="8306"/>
        </w:tabs>
      </w:pPr>
      <w:hyperlink w:anchor="_Toc25703" w:history="1">
        <w:r>
          <w:rPr>
            <w:rFonts w:ascii="仿宋" w:eastAsia="仿宋" w:hAnsi="仿宋" w:cs="仿宋" w:hint="eastAsia"/>
            <w:lang w:eastAsia="zh-CN"/>
          </w:rPr>
          <w:t>(一)、创新策略与方向</w:t>
        </w:r>
        <w:r>
          <w:tab/>
        </w:r>
        <w:r>
          <w:fldChar w:fldCharType="begin"/>
        </w:r>
        <w:r>
          <w:instrText xml:space="preserve"> PAGEREF _Toc25703 \h </w:instrText>
        </w:r>
        <w:r>
          <w:fldChar w:fldCharType="separate"/>
        </w:r>
        <w:r>
          <w:t>37</w:t>
        </w:r>
        <w:r>
          <w:fldChar w:fldCharType="end"/>
        </w:r>
      </w:hyperlink>
    </w:p>
    <w:p>
      <w:pPr>
        <w:pStyle w:val="TOC2"/>
        <w:tabs>
          <w:tab w:val="right" w:leader="dot" w:pos="8306"/>
        </w:tabs>
      </w:pPr>
      <w:hyperlink w:anchor="_Toc9298" w:history="1">
        <w:r>
          <w:rPr>
            <w:rFonts w:ascii="仿宋" w:eastAsia="仿宋" w:hAnsi="仿宋" w:cs="仿宋" w:hint="eastAsia"/>
            <w:lang w:eastAsia="zh-CN"/>
          </w:rPr>
          <w:t>(二)、研发规划与投入</w:t>
        </w:r>
        <w:r>
          <w:tab/>
        </w:r>
        <w:r>
          <w:fldChar w:fldCharType="begin"/>
        </w:r>
        <w:r>
          <w:instrText xml:space="preserve"> PAGEREF _Toc9298 \h </w:instrText>
        </w:r>
        <w:r>
          <w:fldChar w:fldCharType="separate"/>
        </w:r>
        <w:r>
          <w:t>39</w:t>
        </w:r>
        <w:r>
          <w:fldChar w:fldCharType="end"/>
        </w:r>
      </w:hyperlink>
    </w:p>
    <w:p>
      <w:pPr>
        <w:pStyle w:val="TOC1"/>
        <w:tabs>
          <w:tab w:val="right" w:leader="dot" w:pos="8306"/>
        </w:tabs>
      </w:pPr>
      <w:hyperlink w:anchor="_Toc22463" w:history="1">
        <w:r>
          <w:rPr>
            <w:rFonts w:ascii="仿宋" w:eastAsia="仿宋" w:hAnsi="仿宋" w:cs="仿宋" w:hint="eastAsia"/>
            <w:lang w:eastAsia="zh-CN"/>
          </w:rPr>
          <w:t>十、生产安全保护</w:t>
        </w:r>
        <w:r>
          <w:tab/>
        </w:r>
        <w:r>
          <w:fldChar w:fldCharType="begin"/>
        </w:r>
        <w:r>
          <w:instrText xml:space="preserve"> PAGEREF _Toc22463 \h </w:instrText>
        </w:r>
        <w:r>
          <w:fldChar w:fldCharType="separate"/>
        </w:r>
        <w:r>
          <w:t>40</w:t>
        </w:r>
        <w:r>
          <w:fldChar w:fldCharType="end"/>
        </w:r>
      </w:hyperlink>
    </w:p>
    <w:p>
      <w:pPr>
        <w:pStyle w:val="TOC2"/>
        <w:tabs>
          <w:tab w:val="right" w:leader="dot" w:pos="8306"/>
        </w:tabs>
      </w:pPr>
      <w:hyperlink w:anchor="_Toc25883" w:history="1">
        <w:r>
          <w:rPr>
            <w:rFonts w:ascii="仿宋" w:eastAsia="仿宋" w:hAnsi="仿宋" w:cs="仿宋" w:hint="eastAsia"/>
            <w:lang w:eastAsia="zh-CN"/>
          </w:rPr>
          <w:t>(一)、消防安全</w:t>
        </w:r>
        <w:r>
          <w:tab/>
        </w:r>
        <w:r>
          <w:fldChar w:fldCharType="begin"/>
        </w:r>
        <w:r>
          <w:instrText xml:space="preserve"> PAGEREF _Toc25883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1" w:history="1">
        <w:r>
          <w:rPr>
            <w:rFonts w:ascii="仿宋" w:eastAsia="仿宋" w:hAnsi="仿宋" w:cs="仿宋" w:hint="eastAsia"/>
            <w:lang w:eastAsia="zh-CN"/>
          </w:rPr>
          <w:t>(二)、防火防爆总图布置措施</w:t>
        </w:r>
        <w:r>
          <w:tab/>
        </w:r>
        <w:r>
          <w:fldChar w:fldCharType="begin"/>
        </w:r>
        <w:r>
          <w:instrText xml:space="preserve"> PAGEREF _Toc651 \h </w:instrText>
        </w:r>
        <w:r>
          <w:fldChar w:fldCharType="separate"/>
        </w:r>
        <w:r>
          <w:t>42</w:t>
        </w:r>
        <w:r>
          <w:fldChar w:fldCharType="end"/>
        </w:r>
      </w:hyperlink>
    </w:p>
    <w:p>
      <w:pPr>
        <w:pStyle w:val="TOC2"/>
        <w:tabs>
          <w:tab w:val="right" w:leader="dot" w:pos="8306"/>
        </w:tabs>
      </w:pPr>
      <w:hyperlink w:anchor="_Toc25699" w:history="1">
        <w:r>
          <w:rPr>
            <w:rFonts w:ascii="仿宋" w:eastAsia="仿宋" w:hAnsi="仿宋" w:cs="仿宋" w:hint="eastAsia"/>
            <w:lang w:eastAsia="zh-CN"/>
          </w:rPr>
          <w:t>(三)、自然灾害防范措施</w:t>
        </w:r>
        <w:r>
          <w:tab/>
        </w:r>
        <w:r>
          <w:fldChar w:fldCharType="begin"/>
        </w:r>
        <w:r>
          <w:instrText xml:space="preserve"> PAGEREF _Toc25699 \h </w:instrText>
        </w:r>
        <w:r>
          <w:fldChar w:fldCharType="separate"/>
        </w:r>
        <w:r>
          <w:t>43</w:t>
        </w:r>
        <w:r>
          <w:fldChar w:fldCharType="end"/>
        </w:r>
      </w:hyperlink>
    </w:p>
    <w:p>
      <w:pPr>
        <w:pStyle w:val="TOC2"/>
        <w:tabs>
          <w:tab w:val="right" w:leader="dot" w:pos="8306"/>
        </w:tabs>
      </w:pPr>
      <w:hyperlink w:anchor="_Toc12372" w:history="1">
        <w:r>
          <w:rPr>
            <w:rFonts w:ascii="仿宋" w:eastAsia="仿宋" w:hAnsi="仿宋" w:cs="仿宋" w:hint="eastAsia"/>
            <w:lang w:eastAsia="zh-CN"/>
          </w:rPr>
          <w:t>(四)、安全色及安全标志使用要求</w:t>
        </w:r>
        <w:r>
          <w:tab/>
        </w:r>
        <w:r>
          <w:fldChar w:fldCharType="begin"/>
        </w:r>
        <w:r>
          <w:instrText xml:space="preserve"> PAGEREF _Toc12372 \h </w:instrText>
        </w:r>
        <w:r>
          <w:fldChar w:fldCharType="separate"/>
        </w:r>
        <w:r>
          <w:t>44</w:t>
        </w:r>
        <w:r>
          <w:fldChar w:fldCharType="end"/>
        </w:r>
      </w:hyperlink>
    </w:p>
    <w:p>
      <w:pPr>
        <w:pStyle w:val="TOC2"/>
        <w:tabs>
          <w:tab w:val="right" w:leader="dot" w:pos="8306"/>
        </w:tabs>
      </w:pPr>
      <w:hyperlink w:anchor="_Toc22596" w:history="1">
        <w:r>
          <w:rPr>
            <w:rFonts w:ascii="仿宋" w:eastAsia="仿宋" w:hAnsi="仿宋" w:cs="仿宋" w:hint="eastAsia"/>
            <w:lang w:eastAsia="zh-CN"/>
          </w:rPr>
          <w:t>(五)、防尘防毒措施</w:t>
        </w:r>
        <w:r>
          <w:tab/>
        </w:r>
        <w:r>
          <w:fldChar w:fldCharType="begin"/>
        </w:r>
        <w:r>
          <w:instrText xml:space="preserve"> PAGEREF _Toc22596 \h </w:instrText>
        </w:r>
        <w:r>
          <w:fldChar w:fldCharType="separate"/>
        </w:r>
        <w:r>
          <w:t>45</w:t>
        </w:r>
        <w:r>
          <w:fldChar w:fldCharType="end"/>
        </w:r>
      </w:hyperlink>
    </w:p>
    <w:p>
      <w:pPr>
        <w:pStyle w:val="TOC2"/>
        <w:tabs>
          <w:tab w:val="right" w:leader="dot" w:pos="8306"/>
        </w:tabs>
      </w:pPr>
      <w:hyperlink w:anchor="_Toc23713" w:history="1">
        <w:r>
          <w:rPr>
            <w:rFonts w:ascii="仿宋" w:eastAsia="仿宋" w:hAnsi="仿宋" w:cs="仿宋" w:hint="eastAsia"/>
            <w:lang w:eastAsia="zh-CN"/>
          </w:rPr>
          <w:t>(六)、防静电、触电防护及防雷措施</w:t>
        </w:r>
        <w:r>
          <w:tab/>
        </w:r>
        <w:r>
          <w:fldChar w:fldCharType="begin"/>
        </w:r>
        <w:r>
          <w:instrText xml:space="preserve"> PAGEREF _Toc23713 \h </w:instrText>
        </w:r>
        <w:r>
          <w:fldChar w:fldCharType="separate"/>
        </w:r>
        <w:r>
          <w:t>47</w:t>
        </w:r>
        <w:r>
          <w:fldChar w:fldCharType="end"/>
        </w:r>
      </w:hyperlink>
    </w:p>
    <w:p>
      <w:pPr>
        <w:pStyle w:val="TOC2"/>
        <w:tabs>
          <w:tab w:val="right" w:leader="dot" w:pos="8306"/>
        </w:tabs>
      </w:pPr>
      <w:hyperlink w:anchor="_Toc15540" w:history="1">
        <w:r>
          <w:rPr>
            <w:rFonts w:ascii="仿宋" w:eastAsia="仿宋" w:hAnsi="仿宋" w:cs="仿宋" w:hint="eastAsia"/>
            <w:lang w:eastAsia="zh-CN"/>
          </w:rPr>
          <w:t>(七)、机械设备安全保障措施</w:t>
        </w:r>
        <w:r>
          <w:tab/>
        </w:r>
        <w:r>
          <w:fldChar w:fldCharType="begin"/>
        </w:r>
        <w:r>
          <w:instrText xml:space="preserve"> PAGEREF _Toc15540 \h </w:instrText>
        </w:r>
        <w:r>
          <w:fldChar w:fldCharType="separate"/>
        </w:r>
        <w:r>
          <w:t>48</w:t>
        </w:r>
        <w:r>
          <w:fldChar w:fldCharType="end"/>
        </w:r>
      </w:hyperlink>
    </w:p>
    <w:p>
      <w:pPr>
        <w:pStyle w:val="TOC1"/>
        <w:tabs>
          <w:tab w:val="right" w:leader="dot" w:pos="8306"/>
        </w:tabs>
      </w:pPr>
      <w:hyperlink w:anchor="_Toc28652" w:history="1">
        <w:r>
          <w:rPr>
            <w:rFonts w:ascii="仿宋" w:eastAsia="仿宋" w:hAnsi="仿宋" w:cs="仿宋" w:hint="eastAsia"/>
            <w:lang w:eastAsia="zh-CN"/>
          </w:rPr>
          <w:t>十一、NOX、NO2自动采样器及测定仪项目投资规划</w:t>
        </w:r>
        <w:r>
          <w:tab/>
        </w:r>
        <w:r>
          <w:fldChar w:fldCharType="begin"/>
        </w:r>
        <w:r>
          <w:instrText xml:space="preserve"> PAGEREF _Toc28652 \h </w:instrText>
        </w:r>
        <w:r>
          <w:fldChar w:fldCharType="separate"/>
        </w:r>
        <w:r>
          <w:t>50</w:t>
        </w:r>
        <w:r>
          <w:fldChar w:fldCharType="end"/>
        </w:r>
      </w:hyperlink>
    </w:p>
    <w:p>
      <w:pPr>
        <w:pStyle w:val="TOC2"/>
        <w:tabs>
          <w:tab w:val="right" w:leader="dot" w:pos="8306"/>
        </w:tabs>
      </w:pPr>
      <w:hyperlink w:anchor="_Toc19229" w:history="1">
        <w:r>
          <w:rPr>
            <w:rFonts w:ascii="仿宋" w:eastAsia="仿宋" w:hAnsi="仿宋" w:cs="仿宋" w:hint="eastAsia"/>
            <w:lang w:eastAsia="zh-CN"/>
          </w:rPr>
          <w:t>(一)、NOX、NO2自动采样器及测定仪项目总投资估算</w:t>
        </w:r>
        <w:r>
          <w:tab/>
        </w:r>
        <w:r>
          <w:fldChar w:fldCharType="begin"/>
        </w:r>
        <w:r>
          <w:instrText xml:space="preserve"> PAGEREF _Toc19229 \h </w:instrText>
        </w:r>
        <w:r>
          <w:fldChar w:fldCharType="separate"/>
        </w:r>
        <w:r>
          <w:t>50</w:t>
        </w:r>
        <w:r>
          <w:fldChar w:fldCharType="end"/>
        </w:r>
      </w:hyperlink>
    </w:p>
    <w:p>
      <w:pPr>
        <w:pStyle w:val="TOC2"/>
        <w:tabs>
          <w:tab w:val="right" w:leader="dot" w:pos="8306"/>
        </w:tabs>
      </w:pPr>
      <w:hyperlink w:anchor="_Toc19821" w:history="1">
        <w:r>
          <w:rPr>
            <w:rFonts w:ascii="仿宋" w:eastAsia="仿宋" w:hAnsi="仿宋" w:cs="仿宋" w:hint="eastAsia"/>
            <w:lang w:eastAsia="zh-CN"/>
          </w:rPr>
          <w:t>(二)、资金筹措</w:t>
        </w:r>
        <w:r>
          <w:tab/>
        </w:r>
        <w:r>
          <w:fldChar w:fldCharType="begin"/>
        </w:r>
        <w:r>
          <w:instrText xml:space="preserve"> PAGEREF _Toc19821 \h </w:instrText>
        </w:r>
        <w:r>
          <w:fldChar w:fldCharType="separate"/>
        </w:r>
        <w:r>
          <w:t>51</w:t>
        </w:r>
        <w:r>
          <w:fldChar w:fldCharType="end"/>
        </w:r>
      </w:hyperlink>
    </w:p>
    <w:p>
      <w:pPr>
        <w:pStyle w:val="TOC1"/>
        <w:tabs>
          <w:tab w:val="right" w:leader="dot" w:pos="8306"/>
        </w:tabs>
      </w:pPr>
      <w:hyperlink w:anchor="_Toc29574" w:history="1">
        <w:r>
          <w:rPr>
            <w:rFonts w:ascii="仿宋" w:eastAsia="仿宋" w:hAnsi="仿宋" w:cs="仿宋" w:hint="eastAsia"/>
            <w:lang w:eastAsia="zh-CN"/>
          </w:rPr>
          <w:t>十二、NOX、NO2自动采样器及测定仪项目社会影响</w:t>
        </w:r>
        <w:r>
          <w:tab/>
        </w:r>
        <w:r>
          <w:fldChar w:fldCharType="begin"/>
        </w:r>
        <w:r>
          <w:instrText xml:space="preserve"> PAGEREF _Toc29574 \h </w:instrText>
        </w:r>
        <w:r>
          <w:fldChar w:fldCharType="separate"/>
        </w:r>
        <w:r>
          <w:t>52</w:t>
        </w:r>
        <w:r>
          <w:fldChar w:fldCharType="end"/>
        </w:r>
      </w:hyperlink>
    </w:p>
    <w:p>
      <w:pPr>
        <w:pStyle w:val="TOC2"/>
        <w:tabs>
          <w:tab w:val="right" w:leader="dot" w:pos="8306"/>
        </w:tabs>
      </w:pPr>
      <w:hyperlink w:anchor="_Toc16" w:history="1">
        <w:r>
          <w:rPr>
            <w:rFonts w:ascii="仿宋" w:eastAsia="仿宋" w:hAnsi="仿宋" w:cs="仿宋" w:hint="eastAsia"/>
            <w:lang w:eastAsia="zh-CN"/>
          </w:rPr>
          <w:t>(一)、社会责任与义务</w:t>
        </w:r>
        <w:r>
          <w:tab/>
        </w:r>
        <w:r>
          <w:fldChar w:fldCharType="begin"/>
        </w:r>
        <w:r>
          <w:instrText xml:space="preserve"> PAGEREF _Toc16 \h </w:instrText>
        </w:r>
        <w:r>
          <w:fldChar w:fldCharType="separate"/>
        </w:r>
        <w:r>
          <w:t>52</w:t>
        </w:r>
        <w:r>
          <w:fldChar w:fldCharType="end"/>
        </w:r>
      </w:hyperlink>
    </w:p>
    <w:p>
      <w:pPr>
        <w:pStyle w:val="TOC2"/>
        <w:tabs>
          <w:tab w:val="right" w:leader="dot" w:pos="8306"/>
        </w:tabs>
      </w:pPr>
      <w:hyperlink w:anchor="_Toc3105" w:history="1">
        <w:r>
          <w:rPr>
            <w:rFonts w:ascii="仿宋" w:eastAsia="仿宋" w:hAnsi="仿宋" w:cs="仿宋" w:hint="eastAsia"/>
            <w:lang w:eastAsia="zh-CN"/>
          </w:rPr>
          <w:t>(二)、社会参与与沟通</w:t>
        </w:r>
        <w:r>
          <w:tab/>
        </w:r>
        <w:r>
          <w:fldChar w:fldCharType="begin"/>
        </w:r>
        <w:r>
          <w:instrText xml:space="preserve"> PAGEREF _Toc3105 \h </w:instrText>
        </w:r>
        <w:r>
          <w:fldChar w:fldCharType="separate"/>
        </w:r>
        <w:r>
          <w:t>53</w:t>
        </w:r>
        <w:r>
          <w:fldChar w:fldCharType="end"/>
        </w:r>
      </w:hyperlink>
    </w:p>
    <w:p>
      <w:pPr>
        <w:pStyle w:val="TOC1"/>
        <w:tabs>
          <w:tab w:val="right" w:leader="dot" w:pos="8306"/>
        </w:tabs>
      </w:pPr>
      <w:hyperlink w:anchor="_Toc2131" w:history="1">
        <w:r>
          <w:rPr>
            <w:rFonts w:ascii="仿宋" w:eastAsia="仿宋" w:hAnsi="仿宋" w:cs="仿宋" w:hint="eastAsia"/>
            <w:lang w:eastAsia="zh-CN"/>
          </w:rPr>
          <w:t>十三、NOX、NO2自动采样器及测定仪项目治理与监督</w:t>
        </w:r>
        <w:r>
          <w:tab/>
        </w:r>
        <w:r>
          <w:fldChar w:fldCharType="begin"/>
        </w:r>
        <w:r>
          <w:instrText xml:space="preserve"> PAGEREF _Toc2131 \h </w:instrText>
        </w:r>
        <w:r>
          <w:fldChar w:fldCharType="separate"/>
        </w:r>
        <w:r>
          <w:t>54</w:t>
        </w:r>
        <w:r>
          <w:fldChar w:fldCharType="end"/>
        </w:r>
      </w:hyperlink>
    </w:p>
    <w:p>
      <w:pPr>
        <w:pStyle w:val="TOC2"/>
        <w:tabs>
          <w:tab w:val="right" w:leader="dot" w:pos="8306"/>
        </w:tabs>
      </w:pPr>
      <w:hyperlink w:anchor="_Toc21055" w:history="1">
        <w:r>
          <w:rPr>
            <w:rFonts w:ascii="仿宋" w:eastAsia="仿宋" w:hAnsi="仿宋" w:cs="仿宋" w:hint="eastAsia"/>
            <w:lang w:eastAsia="zh-CN"/>
          </w:rPr>
          <w:t>(一)、NOX、NO2自动采样器及测定仪项目治理结构</w:t>
        </w:r>
        <w:r>
          <w:tab/>
        </w:r>
        <w:r>
          <w:fldChar w:fldCharType="begin"/>
        </w:r>
        <w:r>
          <w:instrText xml:space="preserve"> PAGEREF _Toc21055 \h </w:instrText>
        </w:r>
        <w:r>
          <w:fldChar w:fldCharType="separate"/>
        </w:r>
        <w:r>
          <w:t>54</w:t>
        </w:r>
        <w:r>
          <w:fldChar w:fldCharType="end"/>
        </w:r>
      </w:hyperlink>
    </w:p>
    <w:p>
      <w:pPr>
        <w:pStyle w:val="TOC2"/>
        <w:tabs>
          <w:tab w:val="right" w:leader="dot" w:pos="8306"/>
        </w:tabs>
      </w:pPr>
      <w:hyperlink w:anchor="_Toc6624" w:history="1">
        <w:r>
          <w:rPr>
            <w:rFonts w:ascii="仿宋" w:eastAsia="仿宋" w:hAnsi="仿宋" w:cs="仿宋" w:hint="eastAsia"/>
            <w:lang w:eastAsia="zh-CN"/>
          </w:rPr>
          <w:t>(二)、监督与审计</w:t>
        </w:r>
        <w:r>
          <w:tab/>
        </w:r>
        <w:r>
          <w:fldChar w:fldCharType="begin"/>
        </w:r>
        <w:r>
          <w:instrText xml:space="preserve"> PAGEREF _Toc6624 \h </w:instrText>
        </w:r>
        <w:r>
          <w:fldChar w:fldCharType="separate"/>
        </w:r>
        <w:r>
          <w:t>55</w:t>
        </w:r>
        <w:r>
          <w:fldChar w:fldCharType="end"/>
        </w:r>
      </w:hyperlink>
    </w:p>
    <w:p>
      <w:pPr>
        <w:pStyle w:val="TOC1"/>
        <w:tabs>
          <w:tab w:val="right" w:leader="dot" w:pos="8306"/>
        </w:tabs>
      </w:pPr>
      <w:hyperlink w:anchor="_Toc28668" w:history="1">
        <w:r>
          <w:rPr>
            <w:rFonts w:ascii="仿宋" w:eastAsia="仿宋" w:hAnsi="仿宋" w:cs="仿宋" w:hint="eastAsia"/>
            <w:lang w:eastAsia="zh-CN"/>
          </w:rPr>
          <w:t>十四、NOX、NO2自动采样器及测定仪项目工程方案分析</w:t>
        </w:r>
        <w:r>
          <w:tab/>
        </w:r>
        <w:r>
          <w:fldChar w:fldCharType="begin"/>
        </w:r>
        <w:r>
          <w:instrText xml:space="preserve"> PAGEREF _Toc28668 \h </w:instrText>
        </w:r>
        <w:r>
          <w:fldChar w:fldCharType="separate"/>
        </w:r>
        <w:r>
          <w:t>57</w:t>
        </w:r>
        <w:r>
          <w:fldChar w:fldCharType="end"/>
        </w:r>
      </w:hyperlink>
    </w:p>
    <w:p>
      <w:pPr>
        <w:pStyle w:val="TOC2"/>
        <w:tabs>
          <w:tab w:val="right" w:leader="dot" w:pos="8306"/>
        </w:tabs>
      </w:pPr>
      <w:hyperlink w:anchor="_Toc20250" w:history="1">
        <w:r>
          <w:rPr>
            <w:rFonts w:ascii="仿宋" w:eastAsia="仿宋" w:hAnsi="仿宋" w:cs="仿宋" w:hint="eastAsia"/>
            <w:lang w:eastAsia="zh-CN"/>
          </w:rPr>
          <w:t>(一)、建筑工程设计原则</w:t>
        </w:r>
        <w:r>
          <w:tab/>
        </w:r>
        <w:r>
          <w:fldChar w:fldCharType="begin"/>
        </w:r>
        <w:r>
          <w:instrText xml:space="preserve"> PAGEREF _Toc20250 \h </w:instrText>
        </w:r>
        <w:r>
          <w:fldChar w:fldCharType="separate"/>
        </w:r>
        <w:r>
          <w:t>57</w:t>
        </w:r>
        <w:r>
          <w:fldChar w:fldCharType="end"/>
        </w:r>
      </w:hyperlink>
    </w:p>
    <w:p>
      <w:pPr>
        <w:pStyle w:val="TOC2"/>
        <w:tabs>
          <w:tab w:val="right" w:leader="dot" w:pos="8306"/>
        </w:tabs>
      </w:pPr>
      <w:hyperlink w:anchor="_Toc5147" w:history="1">
        <w:r>
          <w:rPr>
            <w:rFonts w:ascii="仿宋" w:eastAsia="仿宋" w:hAnsi="仿宋" w:cs="仿宋" w:hint="eastAsia"/>
            <w:lang w:eastAsia="zh-CN"/>
          </w:rPr>
          <w:t>(二)、土建工程建设指标</w:t>
        </w:r>
        <w:r>
          <w:tab/>
        </w:r>
        <w:r>
          <w:fldChar w:fldCharType="begin"/>
        </w:r>
        <w:r>
          <w:instrText xml:space="preserve"> PAGEREF _Toc5147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23"/>
      <w:r>
        <w:rPr>
          <w:rFonts w:ascii="仿宋" w:eastAsia="仿宋" w:hAnsi="仿宋" w:cs="仿宋" w:hint="eastAsia"/>
          <w:sz w:val="28"/>
          <w:lang w:eastAsia="zh-CN"/>
        </w:rPr>
        <w:t>一、NOX、NO2自动采样器及测定仪项目选址可行性分析</w:t>
      </w:r>
      <w:bookmarkEnd w:id="2"/>
    </w:p>
    <w:p>
      <w:pPr>
        <w:pStyle w:val="Heading2"/>
        <w:rPr>
          <w:rFonts w:ascii="仿宋" w:eastAsia="仿宋" w:hAnsi="仿宋" w:cs="仿宋" w:hint="eastAsia"/>
          <w:lang w:eastAsia="zh-CN"/>
        </w:rPr>
      </w:pPr>
      <w:bookmarkStart w:id="3" w:name="_Toc23746"/>
      <w:r>
        <w:rPr>
          <w:rFonts w:ascii="仿宋" w:eastAsia="仿宋" w:hAnsi="仿宋" w:cs="仿宋" w:hint="eastAsia"/>
          <w:lang w:eastAsia="zh-CN"/>
        </w:rPr>
        <w:t>(一)、NOX、NO2自动采样器及测定仪项目选址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该NOX、NO2自动采样器及测定仪项目选址位于XX省XX市XX区XXX街道</w:t>
      </w:r>
    </w:p>
    <w:p>
      <w:pPr>
        <w:pStyle w:val="Heading2"/>
        <w:ind w:firstLine="560" w:firstLineChars="200"/>
        <w:rPr>
          <w:rFonts w:ascii="仿宋" w:eastAsia="仿宋" w:hAnsi="仿宋" w:cs="仿宋" w:hint="eastAsia"/>
          <w:sz w:val="28"/>
          <w:lang w:eastAsia="zh-CN"/>
        </w:rPr>
      </w:pPr>
      <w:bookmarkStart w:id="4" w:name="_Toc152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NOX、NO2自动采样器及测定仪项目的征地面积将根据NOX、NO2自动采样器及测定仪项目的实际规模和需求进行精确规划。具体面积XXX平方米，旨在确保NOX、NO2自动采样器及测定仪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净用地面积是在征地面积基础上去除不可利用面积后的实际可开发用地。具体面积XXX平方米，考虑到环保、交通、安全等多方面因素，以确保NOX、NO2自动采样器及测定仪项目在整体利用效率上达到最优。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NOX、NO2自动采样器及测定仪项目计划建设的建筑总规模具体面积XXX平方米。这一规模的确定综合考虑了NOX、NO2自动采样器及测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绿地率是NOX、NO2自动采样器及测定仪项目用地中被规划为绿地的比例。具体面积XXX平方米，旨在通过合理规划绿地，改善NOX、NO2自动采样器及测定仪项目周边环境，提升居民生活质量，并符合城市整体绿化规划。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容积率是用地上可以建设的建筑总体积与用地面积之比。具体面积XXX，通过合理的容积率规划，确保NOX、NO2自动采样器及测定仪项目建筑规模与周边环境和谐共生。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NOX、NO2自动采样器及测定仪项目选址与当地城市规划相一致，具体面积XXX平方米。通过与城市规划部门深入沟通，确保NOX、NO2自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NOX、NO2自动采样器及测定仪项目选址符合当地产业政策，具体面积XXX平方米。这包括NOX、NO2自动采样器及测定仪项目对当地经济的促进作用，以及对相关产业的带动效应，确保NOX、NO2自动采样器及测定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NOX、NO2自动采样器及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确保NOX、NO2自动采样器及测定仪项目选址具备必要的公共设施配套，具体面积XXX平方米。这包括交通便利性、教育、医疗等基础设施，以提高居民生活品质，使得NOX、NO2自动采样器及测定仪项目选址更具吸引力。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考虑用地总体要求对当地社会稳定性的影响，具体面积XXX平方米。通过深入了解当地社区反馈，确保NOX、NO2自动采样器及测定仪项目的选址和建设过程对当地社会和谐稳定产生积极作用。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NOX、NO2自动采样器及测定仪项目选址不仅符合法规和规划，还在实际操作中具有可行性。这一全面规划将为NOX、NO2自动采样器及测定仪项目的成功实施提供坚实的基础，确保NOX、NO2自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4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NOX、NO2自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NOX、NO2自动采样器及测定仪项目的设备规划和空间设计中，我们将采取灵活设备布局的措施。设备布局将根据实际需求进行灵活设计，避免不必要的浪费。通过合理规划设备摆放位置，我们将提高设备的利用率，减少设备间距，以确保NOX、NO2自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NOX、NO2自动采样器及测定仪项目内部引入共享设施的概念，例如共享会议室、办公区等。通过这种方式，我们可以减少对资源的重复建设，提高资源共享效率，从而减小NOX、NO2自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5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NOX、NO2自动采样器及测定仪项目的总图布置中，我们将不同功能区域进行明确的规划，以最大程度满足NOX、NO2自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4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NOX、NO2自动采样器及测定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NOX、NO2自动采样器及测定仪项目对环境的影响是综合评价的重要因素之一。我们将详细考虑选址周边的自然环境、生态保护区、水源地等情况，确保NOX、NO2自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NOX、NO2自动采样器及测定仪项目所在地的相关政策，确保NOX、NO2自动采样器及测定仪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考虑到社会稳定性对企业运营的重要性，我们将评估选址地区的社会安全情况、劳工关系、社区反馈等方面，以确保NOX、NO2自动采样器及测定仪项目的建设和运营不会受到社会稳定性的负面影响。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最后，我们将综合考虑用地成本，包括土地购置费用、土地开发成本等。通过对用地成本的详细评估，我们能够做出更为精确的经济效益分析，为NOX、NO2自动采样器及测定仪项目的投资决策提供有力支持。</w:t>
      </w:r>
    </w:p>
    <w:p>
      <w:pPr>
        <w:pStyle w:val="Heading1"/>
        <w:ind w:firstLine="560" w:firstLineChars="200"/>
        <w:rPr>
          <w:rFonts w:ascii="仿宋" w:eastAsia="仿宋" w:hAnsi="仿宋" w:cs="仿宋" w:hint="eastAsia"/>
          <w:sz w:val="28"/>
          <w:lang w:eastAsia="zh-CN"/>
        </w:rPr>
      </w:pPr>
      <w:bookmarkStart w:id="8" w:name="_Toc904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3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NOX、NO2自动采样器及测定仪项目的主要产品是XXXX，预计年产值为XXX万元。这一产品在市场中占据着重要的地位，其广泛的应用范围使得该NOX、NO2自动采样器及测定仪项目的市场前景非常广阔。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NOX、NO2自动采样器及测定仪项目的xxx产品作为重要的原材料之一，将在多个领域发挥关键作用。其在建筑、交通、能源等方面的广泛应用将为整个产业链提供强大的支持，形成产业协同效应。NOX、NO2自动采样器及测定仪项目的年产值XXX万XXX万XXX万万元不仅反映了其在市场上的巨大潜力，更预示着它对国民经济的积极贡献。这种关联度高、涉及面广的产业关系，使得该NOX、NO2自动采样器及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75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总征地面积为XXXX平方米，相当于约XX.XX亩，其中净用地面积为XXXX平方米，红线范围内相当于约XX.XX亩。这一用地规模充分考虑了NOX、NO2自动采样器及测定仪项目的建设需求，保障了NOX、NO2自动采样器及测定仪项目在合适的空间内得以充分发展。NOX、NO2自动采样器及测定仪项目规划的总建筑面积为XXXX平方米，其中主体工程建设占XXXX平方米，计容建筑面积达XXXX平方米。预计建筑工程的投资将达到XXXX万元，为NOX、NO2自动采样器及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计划购置的设备共计XXXX台（套），设备购置费用为XXXX万元。这一设备购置计划充分考虑到NOX、NO2自动采样器及测定仪项目的生产需求和技术要求，确保了NOX、NO2自动采样器及测定仪项目在生产运营中具备先进的技术装备和高效的生产能力。设备的合理配置将为NOX、NO2自动采样器及测定仪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计划总投资为XXXX万元，预计年实现营业收入为XXXX万元。这一产能规模的设定旨在确保NOX、NO2自动采样器及测定仪项目能够在投资与回报之间取得平衡，实现长期可持续的发展。NOX、NO2自动采样器及测定仪项目的总投资充分考虑到各个方面的需求，包括用地建设、设备购置等多个环节，以确保NOX、NO2自动采样器及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014"/>
      <w:r>
        <w:rPr>
          <w:rFonts w:ascii="仿宋" w:eastAsia="仿宋" w:hAnsi="仿宋" w:cs="仿宋" w:hint="eastAsia"/>
          <w:sz w:val="28"/>
          <w:lang w:eastAsia="zh-CN"/>
        </w:rPr>
        <w:t>三、NOX、NO2自动采样器及测定仪项目概论</w:t>
      </w:r>
      <w:bookmarkEnd w:id="11"/>
    </w:p>
    <w:p>
      <w:pPr>
        <w:pStyle w:val="Heading2"/>
        <w:rPr>
          <w:rFonts w:ascii="仿宋" w:eastAsia="仿宋" w:hAnsi="仿宋" w:cs="仿宋" w:hint="eastAsia"/>
          <w:lang w:eastAsia="zh-CN"/>
        </w:rPr>
      </w:pPr>
      <w:bookmarkStart w:id="12" w:name="_Toc12521"/>
      <w:r>
        <w:rPr>
          <w:rFonts w:ascii="仿宋" w:eastAsia="仿宋" w:hAnsi="仿宋" w:cs="仿宋" w:hint="eastAsia"/>
          <w:lang w:eastAsia="zh-CN"/>
        </w:rPr>
        <w:t>(一)、NOX、NO2自动采样器及测定仪项目概况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起源追溯至对市场的深入洞察。市场的不断演变与变革为NOX、NO2自动采样器及测定仪项目提供了难得的机遇。当前市场存在的需求缺口和变革的大环境共同构成了NOX、NO2自动采样器及测定仪项目的背景。这个NOX、NO2自动采样器及测定仪项目旨在充分利用市场机遇，填补行业中尚未满足的需求，为客户提供全新的解决方案。市场的变革和需求的增长使得这个NOX、NO2自动采样器及测定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NOX、NO2自动采样器及测定仪项目名称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正式命名为NOX、NO2自动采样器及测定仪。这个名称不仅仅是一个标识，更代表了NOX、NO2自动采样器及测定仪项目的核心理念和愿景。它蕴含着NOX、NO2自动采样器及测定仪项目所要解决问题的关键字，具有强烈的表达和辨识度，为NOX、NO2自动采样器及测定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NOX、NO2自动采样器及测定仪项目目标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核心目标是提供一种全新、高效的解决方案，满足客户日益增长的需求。NOX、NO2自动采样器及测定仪项目追求的不仅仅是满足市场需求，更是在市场中获得卓越的竞争优势。通过不断提升产品或服务的质量和创新水平，NOX、NO2自动采样器及测定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NOX、NO2自动采样器及测定仪项目范围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全面涵盖了产品研发、制造、市场推广和售后服务，确保从产品设计到最终用户体验的全方位关注。这一全面的NOX、NO2自动采样器及测定仪项目范围是为了确保NOX、NO2自动采样器及测定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NOX、NO2自动采样器及测定仪项目时间表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计划在未来18个月内完成，包括研发、测试、市场试点和正式推出等不同阶段。这个时间表的合理设计是为了确保NOX、NO2自动采样器及测定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NOX、NO2自动采样器及测定仪项目预算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总预算估算为XX百万美元，主要分配在研发、市场推广、人员培训和运营等方面。这一充足的预算为NOX、NO2自动采样器及测定仪项目提供了充足的资源，确保NOX、NO2自动采样器及测定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NOX、NO2自动采样器及测定仪项目风险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可能面临的风险包括市场接受度低、技术难题、竞争激烈等。NOX、NO2自动采样器及测定仪项目团队已经制定了相应的风险应对计划，通过前瞻性的风险管理，确保NOX、NO2自动采样器及测定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NOX、NO2自动采样器及测定仪项目团队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汇聚了一支经验丰富、多领域专业素养的核心团队，确保NOX、NO2自动采样器及测定仪项目在各个方面都能拥有高水平的执行力。团队的协同作战是NOX、NO2自动采样器及测定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NOX、NO2自动采样器及测定仪项目背景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NOX、NO2自动采样器及测定仪项目的背景根植于市场对更高效、创新产品的渴望，同时也受到科技发展对行业格局的深刻改变的影响。这为NOX、NO2自动采样器及测定仪项目提供了广阔的发展空间和市场需求。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NOX、NO2自动采样器及测定仪项目现状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截至目前，NOX、NO2自动采样器及测定仪项目已完成市场调研和技术验证，取得了初步的成功。这为NOX、NO2自动采样器及测定仪项目在未来的发展奠定了坚实的基础，为更远大的目标打下了坚实的基石。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458"/>
      <w:r>
        <w:rPr>
          <w:rFonts w:ascii="仿宋" w:eastAsia="仿宋" w:hAnsi="仿宋" w:cs="仿宋" w:hint="eastAsia"/>
          <w:sz w:val="28"/>
          <w:lang w:eastAsia="zh-CN"/>
        </w:rPr>
        <w:t>(二)、NOX、NO2自动采样器及测定仪项目目标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NOX、NO2自动采样器及测定仪项目首要业务目标是在市场中占据有利地位，实现产品/服务的成功推广和销售。通过不断提升产品质量、创新性，NOX、NO2自动采样器及测定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NOX、NO2自动采样器及测定仪项目着眼于技术创新。通过持续的研发和技术升级，NOX、NO2自动采样器及测定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NOX、NO2自动采样器及测定仪项目设定了客户满意度目标。通过提供卓越的产品质量和优质的客户服务，NOX、NO2自动采样器及测定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注重社会责任和可持续发展。通过实施环保、社会责任NOX、NO2自动采样器及测定仪项目，NOX、NO2自动采样器及测定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NOX、NO2自动采样器及测定仪项目的团队是实现目标的核心驱动力。因此，NOX、NO2自动采样器及测定仪项目设定了团队发展目标，包括提升团队成员的专业技能、培养领导力，以及搭建协同高效的团队工作氛围。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949"/>
      <w:r>
        <w:rPr>
          <w:rFonts w:ascii="仿宋" w:eastAsia="仿宋" w:hAnsi="仿宋" w:cs="仿宋" w:hint="eastAsia"/>
          <w:sz w:val="28"/>
          <w:lang w:eastAsia="zh-CN"/>
        </w:rPr>
        <w:t>(三)、NOX、NO2自动采样器及测定仪项目提出的理由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NOX、NO2自动采样器及测定仪项目提出的理由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提出源于对市场机遇的深刻洞察。当前市场中存在的需求缺口和行业发展趋势表明，有巨大的商业机会等待被开发。通过准确捕捉市场机遇，NOX、NO2自动采样器及测定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理念基于对技术创新的信仰。通过持续的研发和技术投入，NOX、NO2自动采样器及测定仪项目有望推出更具创新性的产品或服务。在科技飞速发展的当下，NOX、NO2自动采样器及测定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NOX、NO2自动采样器及测定仪项目的提出是为了增强企业的行业竞争力。通过提升产品或服务的质量和独特性，NOX、NO2自动采样器及测定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响应了消费者需求的变化。随着社会和科技的不断发展，消费者对产品和服务的需求也在发生变化。通过深入了解并及时回应消费者的新需求，NOX、NO2自动采样器及测定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提出是企业战略发展规划的一部分。在面对日益激烈的市场竞争和不断变化的商业环境中，NOX、NO2自动采样器及测定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提出不仅仅是基于商业考量，还注重社会责任。通过推出环保、社会责任等方面的NOX、NO2自动采样器及测定仪项目，NOX、NO2自动采样器及测定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NOX、NO2自动采样器及测定仪项目的提出反映了对利益相关者期望的关注。包括客户、员工、投资者等利益相关者在企业发展中都有着各自的期望，NOX、NO2自动采样器及测定仪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https://d.book118.com/968060010122006024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NOX、NO2自动采样器及测定仪项目规划设计蓝图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F3785"/>
    <w:rsid w:val="7E6F37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0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2024-01-07T18:57:00Z</dcterms:created>
  <dcterms:modified xsi:type="dcterms:W3CDTF">2024-01-07T18:57:37Z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F049262BAA3A45C9A1D57CCDD08F2E6E_11</vt:lpwstr>
  </property>
  <property fmtid="{D5CDD505-2E9C-101B-9397-08002B2CF9AE}" pid="3" name="KSOProductBuildVer">
    <vt:lpwstr>2052-12.1.0.16120</vt:lpwstr>
  </property>
</Properties>
</file>