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发酵甘油项目规划设计方案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13" w:history="1">
        <w:r>
          <w:rPr>
            <w:rFonts w:ascii="仿宋" w:eastAsia="仿宋" w:hAnsi="仿宋" w:cs="仿宋" w:hint="eastAsia"/>
            <w:lang w:eastAsia="zh-CN"/>
          </w:rPr>
          <w:t>前言</w:t>
        </w:r>
        <w:r>
          <w:tab/>
        </w:r>
        <w:r>
          <w:fldChar w:fldCharType="begin"/>
        </w:r>
        <w:r>
          <w:instrText xml:space="preserve"> PAGEREF _Toc3513 \h </w:instrText>
        </w:r>
        <w:r>
          <w:fldChar w:fldCharType="separate"/>
        </w:r>
        <w:r>
          <w:t>3</w:t>
        </w:r>
        <w:r>
          <w:fldChar w:fldCharType="end"/>
        </w:r>
      </w:hyperlink>
    </w:p>
    <w:p>
      <w:pPr>
        <w:pStyle w:val="TOC1"/>
        <w:tabs>
          <w:tab w:val="right" w:leader="dot" w:pos="8306"/>
        </w:tabs>
      </w:pPr>
      <w:hyperlink w:anchor="_Toc5252" w:history="1">
        <w:r>
          <w:rPr>
            <w:rFonts w:ascii="仿宋" w:eastAsia="仿宋" w:hAnsi="仿宋" w:cs="仿宋" w:hint="eastAsia"/>
            <w:lang w:eastAsia="zh-CN"/>
          </w:rPr>
          <w:t>一、发酵甘油项目建设单位说明</w:t>
        </w:r>
        <w:r>
          <w:tab/>
        </w:r>
        <w:r>
          <w:fldChar w:fldCharType="begin"/>
        </w:r>
        <w:r>
          <w:instrText xml:space="preserve"> PAGEREF _Toc5252 \h </w:instrText>
        </w:r>
        <w:r>
          <w:fldChar w:fldCharType="separate"/>
        </w:r>
        <w:r>
          <w:t>3</w:t>
        </w:r>
        <w:r>
          <w:fldChar w:fldCharType="end"/>
        </w:r>
      </w:hyperlink>
    </w:p>
    <w:p>
      <w:pPr>
        <w:pStyle w:val="TOC2"/>
        <w:tabs>
          <w:tab w:val="right" w:leader="dot" w:pos="8306"/>
        </w:tabs>
      </w:pPr>
      <w:hyperlink w:anchor="_Toc16563" w:history="1">
        <w:r>
          <w:rPr>
            <w:rFonts w:ascii="仿宋" w:eastAsia="仿宋" w:hAnsi="仿宋" w:cs="仿宋" w:hint="eastAsia"/>
            <w:lang w:eastAsia="zh-CN"/>
          </w:rPr>
          <w:t>(一)、发酵甘油项目承办单位基本情况</w:t>
        </w:r>
        <w:r>
          <w:tab/>
        </w:r>
        <w:r>
          <w:fldChar w:fldCharType="begin"/>
        </w:r>
        <w:r>
          <w:instrText xml:space="preserve"> PAGEREF _Toc16563 \h </w:instrText>
        </w:r>
        <w:r>
          <w:fldChar w:fldCharType="separate"/>
        </w:r>
        <w:r>
          <w:t>3</w:t>
        </w:r>
        <w:r>
          <w:fldChar w:fldCharType="end"/>
        </w:r>
      </w:hyperlink>
    </w:p>
    <w:p>
      <w:pPr>
        <w:pStyle w:val="TOC2"/>
        <w:tabs>
          <w:tab w:val="right" w:leader="dot" w:pos="8306"/>
        </w:tabs>
      </w:pPr>
      <w:hyperlink w:anchor="_Toc931" w:history="1">
        <w:r>
          <w:rPr>
            <w:rFonts w:ascii="仿宋" w:eastAsia="仿宋" w:hAnsi="仿宋" w:cs="仿宋" w:hint="eastAsia"/>
            <w:lang w:eastAsia="zh-CN"/>
          </w:rPr>
          <w:t>(二)、公司经济效益分析</w:t>
        </w:r>
        <w:r>
          <w:tab/>
        </w:r>
        <w:r>
          <w:fldChar w:fldCharType="begin"/>
        </w:r>
        <w:r>
          <w:instrText xml:space="preserve"> PAGEREF _Toc931 \h </w:instrText>
        </w:r>
        <w:r>
          <w:fldChar w:fldCharType="separate"/>
        </w:r>
        <w:r>
          <w:t>4</w:t>
        </w:r>
        <w:r>
          <w:fldChar w:fldCharType="end"/>
        </w:r>
      </w:hyperlink>
    </w:p>
    <w:p>
      <w:pPr>
        <w:pStyle w:val="TOC1"/>
        <w:tabs>
          <w:tab w:val="right" w:leader="dot" w:pos="8306"/>
        </w:tabs>
      </w:pPr>
      <w:hyperlink w:anchor="_Toc2250" w:history="1">
        <w:r>
          <w:rPr>
            <w:rFonts w:ascii="仿宋" w:eastAsia="仿宋" w:hAnsi="仿宋" w:cs="仿宋" w:hint="eastAsia"/>
            <w:lang w:eastAsia="zh-CN"/>
          </w:rPr>
          <w:t>二、发酵甘油项目可持续发展</w:t>
        </w:r>
        <w:r>
          <w:tab/>
        </w:r>
        <w:r>
          <w:fldChar w:fldCharType="begin"/>
        </w:r>
        <w:r>
          <w:instrText xml:space="preserve"> PAGEREF _Toc2250 \h </w:instrText>
        </w:r>
        <w:r>
          <w:fldChar w:fldCharType="separate"/>
        </w:r>
        <w:r>
          <w:t>5</w:t>
        </w:r>
        <w:r>
          <w:fldChar w:fldCharType="end"/>
        </w:r>
      </w:hyperlink>
    </w:p>
    <w:p>
      <w:pPr>
        <w:pStyle w:val="TOC2"/>
        <w:tabs>
          <w:tab w:val="right" w:leader="dot" w:pos="8306"/>
        </w:tabs>
      </w:pPr>
      <w:hyperlink w:anchor="_Toc25125" w:history="1">
        <w:r>
          <w:rPr>
            <w:rFonts w:ascii="仿宋" w:eastAsia="仿宋" w:hAnsi="仿宋" w:cs="仿宋" w:hint="eastAsia"/>
            <w:lang w:eastAsia="zh-CN"/>
          </w:rPr>
          <w:t>(一)、可持续战略与实践</w:t>
        </w:r>
        <w:r>
          <w:tab/>
        </w:r>
        <w:r>
          <w:fldChar w:fldCharType="begin"/>
        </w:r>
        <w:r>
          <w:instrText xml:space="preserve"> PAGEREF _Toc25125 \h </w:instrText>
        </w:r>
        <w:r>
          <w:fldChar w:fldCharType="separate"/>
        </w:r>
        <w:r>
          <w:t>5</w:t>
        </w:r>
        <w:r>
          <w:fldChar w:fldCharType="end"/>
        </w:r>
      </w:hyperlink>
    </w:p>
    <w:p>
      <w:pPr>
        <w:pStyle w:val="TOC2"/>
        <w:tabs>
          <w:tab w:val="right" w:leader="dot" w:pos="8306"/>
        </w:tabs>
      </w:pPr>
      <w:hyperlink w:anchor="_Toc25487" w:history="1">
        <w:r>
          <w:rPr>
            <w:rFonts w:ascii="仿宋" w:eastAsia="仿宋" w:hAnsi="仿宋" w:cs="仿宋" w:hint="eastAsia"/>
            <w:lang w:eastAsia="zh-CN"/>
          </w:rPr>
          <w:t>(二)、环保与社会责任</w:t>
        </w:r>
        <w:r>
          <w:tab/>
        </w:r>
        <w:r>
          <w:fldChar w:fldCharType="begin"/>
        </w:r>
        <w:r>
          <w:instrText xml:space="preserve"> PAGEREF _Toc25487 \h </w:instrText>
        </w:r>
        <w:r>
          <w:fldChar w:fldCharType="separate"/>
        </w:r>
        <w:r>
          <w:t>5</w:t>
        </w:r>
        <w:r>
          <w:fldChar w:fldCharType="end"/>
        </w:r>
      </w:hyperlink>
    </w:p>
    <w:p>
      <w:pPr>
        <w:pStyle w:val="TOC1"/>
        <w:tabs>
          <w:tab w:val="right" w:leader="dot" w:pos="8306"/>
        </w:tabs>
      </w:pPr>
      <w:hyperlink w:anchor="_Toc7950" w:history="1">
        <w:r>
          <w:rPr>
            <w:rFonts w:ascii="仿宋" w:eastAsia="仿宋" w:hAnsi="仿宋" w:cs="仿宋" w:hint="eastAsia"/>
            <w:lang w:eastAsia="zh-CN"/>
          </w:rPr>
          <w:t>三、发酵甘油项目土建工程</w:t>
        </w:r>
        <w:r>
          <w:tab/>
        </w:r>
        <w:r>
          <w:fldChar w:fldCharType="begin"/>
        </w:r>
        <w:r>
          <w:instrText xml:space="preserve"> PAGEREF _Toc7950 \h </w:instrText>
        </w:r>
        <w:r>
          <w:fldChar w:fldCharType="separate"/>
        </w:r>
        <w:r>
          <w:t>6</w:t>
        </w:r>
        <w:r>
          <w:fldChar w:fldCharType="end"/>
        </w:r>
      </w:hyperlink>
    </w:p>
    <w:p>
      <w:pPr>
        <w:pStyle w:val="TOC2"/>
        <w:tabs>
          <w:tab w:val="right" w:leader="dot" w:pos="8306"/>
        </w:tabs>
      </w:pPr>
      <w:hyperlink w:anchor="_Toc13518" w:history="1">
        <w:r>
          <w:rPr>
            <w:rFonts w:ascii="仿宋" w:eastAsia="仿宋" w:hAnsi="仿宋" w:cs="仿宋" w:hint="eastAsia"/>
            <w:lang w:eastAsia="zh-CN"/>
          </w:rPr>
          <w:t>(一)、建筑工程设计原则</w:t>
        </w:r>
        <w:r>
          <w:tab/>
        </w:r>
        <w:r>
          <w:fldChar w:fldCharType="begin"/>
        </w:r>
        <w:r>
          <w:instrText xml:space="preserve"> PAGEREF _Toc13518 \h </w:instrText>
        </w:r>
        <w:r>
          <w:fldChar w:fldCharType="separate"/>
        </w:r>
        <w:r>
          <w:t>6</w:t>
        </w:r>
        <w:r>
          <w:fldChar w:fldCharType="end"/>
        </w:r>
      </w:hyperlink>
    </w:p>
    <w:p>
      <w:pPr>
        <w:pStyle w:val="TOC2"/>
        <w:tabs>
          <w:tab w:val="right" w:leader="dot" w:pos="8306"/>
        </w:tabs>
      </w:pPr>
      <w:hyperlink w:anchor="_Toc17540" w:history="1">
        <w:r>
          <w:rPr>
            <w:rFonts w:ascii="仿宋" w:eastAsia="仿宋" w:hAnsi="仿宋" w:cs="仿宋" w:hint="eastAsia"/>
            <w:lang w:eastAsia="zh-CN"/>
          </w:rPr>
          <w:t>(二)、土建工程设计年限及安全等级</w:t>
        </w:r>
        <w:r>
          <w:tab/>
        </w:r>
        <w:r>
          <w:fldChar w:fldCharType="begin"/>
        </w:r>
        <w:r>
          <w:instrText xml:space="preserve"> PAGEREF _Toc17540 \h </w:instrText>
        </w:r>
        <w:r>
          <w:fldChar w:fldCharType="separate"/>
        </w:r>
        <w:r>
          <w:t>7</w:t>
        </w:r>
        <w:r>
          <w:fldChar w:fldCharType="end"/>
        </w:r>
      </w:hyperlink>
    </w:p>
    <w:p>
      <w:pPr>
        <w:pStyle w:val="TOC2"/>
        <w:tabs>
          <w:tab w:val="right" w:leader="dot" w:pos="8306"/>
        </w:tabs>
      </w:pPr>
      <w:hyperlink w:anchor="_Toc25974" w:history="1">
        <w:r>
          <w:rPr>
            <w:rFonts w:ascii="仿宋" w:eastAsia="仿宋" w:hAnsi="仿宋" w:cs="仿宋" w:hint="eastAsia"/>
            <w:lang w:eastAsia="zh-CN"/>
          </w:rPr>
          <w:t>(三)、建筑工程设计总体要求</w:t>
        </w:r>
        <w:r>
          <w:tab/>
        </w:r>
        <w:r>
          <w:fldChar w:fldCharType="begin"/>
        </w:r>
        <w:r>
          <w:instrText xml:space="preserve"> PAGEREF _Toc25974 \h </w:instrText>
        </w:r>
        <w:r>
          <w:fldChar w:fldCharType="separate"/>
        </w:r>
        <w:r>
          <w:t>9</w:t>
        </w:r>
        <w:r>
          <w:fldChar w:fldCharType="end"/>
        </w:r>
      </w:hyperlink>
    </w:p>
    <w:p>
      <w:pPr>
        <w:pStyle w:val="TOC2"/>
        <w:tabs>
          <w:tab w:val="right" w:leader="dot" w:pos="8306"/>
        </w:tabs>
      </w:pPr>
      <w:hyperlink w:anchor="_Toc2451" w:history="1">
        <w:r>
          <w:rPr>
            <w:rFonts w:ascii="仿宋" w:eastAsia="仿宋" w:hAnsi="仿宋" w:cs="仿宋" w:hint="eastAsia"/>
            <w:lang w:eastAsia="zh-CN"/>
          </w:rPr>
          <w:t>(四)、土建工程建设指标</w:t>
        </w:r>
        <w:r>
          <w:tab/>
        </w:r>
        <w:r>
          <w:fldChar w:fldCharType="begin"/>
        </w:r>
        <w:r>
          <w:instrText xml:space="preserve"> PAGEREF _Toc2451 \h </w:instrText>
        </w:r>
        <w:r>
          <w:fldChar w:fldCharType="separate"/>
        </w:r>
        <w:r>
          <w:t>9</w:t>
        </w:r>
        <w:r>
          <w:fldChar w:fldCharType="end"/>
        </w:r>
      </w:hyperlink>
    </w:p>
    <w:p>
      <w:pPr>
        <w:pStyle w:val="TOC1"/>
        <w:tabs>
          <w:tab w:val="right" w:leader="dot" w:pos="8306"/>
        </w:tabs>
      </w:pPr>
      <w:hyperlink w:anchor="_Toc25295" w:history="1">
        <w:r>
          <w:rPr>
            <w:rFonts w:ascii="仿宋" w:eastAsia="仿宋" w:hAnsi="仿宋" w:cs="仿宋" w:hint="eastAsia"/>
            <w:lang w:eastAsia="zh-CN"/>
          </w:rPr>
          <w:t>四、发酵甘油项目绩效评估</w:t>
        </w:r>
        <w:r>
          <w:tab/>
        </w:r>
        <w:r>
          <w:fldChar w:fldCharType="begin"/>
        </w:r>
        <w:r>
          <w:instrText xml:space="preserve"> PAGEREF _Toc25295 \h </w:instrText>
        </w:r>
        <w:r>
          <w:fldChar w:fldCharType="separate"/>
        </w:r>
        <w:r>
          <w:t>10</w:t>
        </w:r>
        <w:r>
          <w:fldChar w:fldCharType="end"/>
        </w:r>
      </w:hyperlink>
    </w:p>
    <w:p>
      <w:pPr>
        <w:pStyle w:val="TOC2"/>
        <w:tabs>
          <w:tab w:val="right" w:leader="dot" w:pos="8306"/>
        </w:tabs>
      </w:pPr>
      <w:hyperlink w:anchor="_Toc14095" w:history="1">
        <w:r>
          <w:rPr>
            <w:rFonts w:ascii="仿宋" w:eastAsia="仿宋" w:hAnsi="仿宋" w:cs="仿宋" w:hint="eastAsia"/>
            <w:lang w:eastAsia="zh-CN"/>
          </w:rPr>
          <w:t>(一)、绩效评估指标</w:t>
        </w:r>
        <w:r>
          <w:tab/>
        </w:r>
        <w:r>
          <w:fldChar w:fldCharType="begin"/>
        </w:r>
        <w:r>
          <w:instrText xml:space="preserve"> PAGEREF _Toc14095 \h </w:instrText>
        </w:r>
        <w:r>
          <w:fldChar w:fldCharType="separate"/>
        </w:r>
        <w:r>
          <w:t>10</w:t>
        </w:r>
        <w:r>
          <w:fldChar w:fldCharType="end"/>
        </w:r>
      </w:hyperlink>
    </w:p>
    <w:p>
      <w:pPr>
        <w:pStyle w:val="TOC2"/>
        <w:tabs>
          <w:tab w:val="right" w:leader="dot" w:pos="8306"/>
        </w:tabs>
      </w:pPr>
      <w:hyperlink w:anchor="_Toc18534" w:history="1">
        <w:r>
          <w:rPr>
            <w:rFonts w:ascii="仿宋" w:eastAsia="仿宋" w:hAnsi="仿宋" w:cs="仿宋" w:hint="eastAsia"/>
            <w:lang w:eastAsia="zh-CN"/>
          </w:rPr>
          <w:t>(二)、绩效评估方法</w:t>
        </w:r>
        <w:r>
          <w:tab/>
        </w:r>
        <w:r>
          <w:fldChar w:fldCharType="begin"/>
        </w:r>
        <w:r>
          <w:instrText xml:space="preserve"> PAGEREF _Toc18534 \h </w:instrText>
        </w:r>
        <w:r>
          <w:fldChar w:fldCharType="separate"/>
        </w:r>
        <w:r>
          <w:t>11</w:t>
        </w:r>
        <w:r>
          <w:fldChar w:fldCharType="end"/>
        </w:r>
      </w:hyperlink>
    </w:p>
    <w:p>
      <w:pPr>
        <w:pStyle w:val="TOC2"/>
        <w:tabs>
          <w:tab w:val="right" w:leader="dot" w:pos="8306"/>
        </w:tabs>
      </w:pPr>
      <w:hyperlink w:anchor="_Toc8265" w:history="1">
        <w:r>
          <w:rPr>
            <w:rFonts w:ascii="仿宋" w:eastAsia="仿宋" w:hAnsi="仿宋" w:cs="仿宋" w:hint="eastAsia"/>
            <w:lang w:eastAsia="zh-CN"/>
          </w:rPr>
          <w:t>(三)、绩效评估周期</w:t>
        </w:r>
        <w:r>
          <w:tab/>
        </w:r>
        <w:r>
          <w:fldChar w:fldCharType="begin"/>
        </w:r>
        <w:r>
          <w:instrText xml:space="preserve"> PAGEREF _Toc8265 \h </w:instrText>
        </w:r>
        <w:r>
          <w:fldChar w:fldCharType="separate"/>
        </w:r>
        <w:r>
          <w:t>12</w:t>
        </w:r>
        <w:r>
          <w:fldChar w:fldCharType="end"/>
        </w:r>
      </w:hyperlink>
    </w:p>
    <w:p>
      <w:pPr>
        <w:pStyle w:val="TOC1"/>
        <w:tabs>
          <w:tab w:val="right" w:leader="dot" w:pos="8306"/>
        </w:tabs>
      </w:pPr>
      <w:hyperlink w:anchor="_Toc4695" w:history="1">
        <w:r>
          <w:rPr>
            <w:rFonts w:ascii="仿宋" w:eastAsia="仿宋" w:hAnsi="仿宋" w:cs="仿宋" w:hint="eastAsia"/>
            <w:lang w:eastAsia="zh-CN"/>
          </w:rPr>
          <w:t>五、发酵甘油项目文档管理</w:t>
        </w:r>
        <w:r>
          <w:tab/>
        </w:r>
        <w:r>
          <w:fldChar w:fldCharType="begin"/>
        </w:r>
        <w:r>
          <w:instrText xml:space="preserve"> PAGEREF _Toc4695 \h </w:instrText>
        </w:r>
        <w:r>
          <w:fldChar w:fldCharType="separate"/>
        </w:r>
        <w:r>
          <w:t>13</w:t>
        </w:r>
        <w:r>
          <w:fldChar w:fldCharType="end"/>
        </w:r>
      </w:hyperlink>
    </w:p>
    <w:p>
      <w:pPr>
        <w:pStyle w:val="TOC2"/>
        <w:tabs>
          <w:tab w:val="right" w:leader="dot" w:pos="8306"/>
        </w:tabs>
      </w:pPr>
      <w:hyperlink w:anchor="_Toc14011" w:history="1">
        <w:r>
          <w:rPr>
            <w:rFonts w:ascii="仿宋" w:eastAsia="仿宋" w:hAnsi="仿宋" w:cs="仿宋" w:hint="eastAsia"/>
            <w:lang w:eastAsia="zh-CN"/>
          </w:rPr>
          <w:t>(一)、文档编制与审查</w:t>
        </w:r>
        <w:r>
          <w:tab/>
        </w:r>
        <w:r>
          <w:fldChar w:fldCharType="begin"/>
        </w:r>
        <w:r>
          <w:instrText xml:space="preserve"> PAGEREF _Toc14011 \h </w:instrText>
        </w:r>
        <w:r>
          <w:fldChar w:fldCharType="separate"/>
        </w:r>
        <w:r>
          <w:t>13</w:t>
        </w:r>
        <w:r>
          <w:fldChar w:fldCharType="end"/>
        </w:r>
      </w:hyperlink>
    </w:p>
    <w:p>
      <w:pPr>
        <w:pStyle w:val="TOC2"/>
        <w:tabs>
          <w:tab w:val="right" w:leader="dot" w:pos="8306"/>
        </w:tabs>
      </w:pPr>
      <w:hyperlink w:anchor="_Toc25303" w:history="1">
        <w:r>
          <w:rPr>
            <w:rFonts w:ascii="仿宋" w:eastAsia="仿宋" w:hAnsi="仿宋" w:cs="仿宋" w:hint="eastAsia"/>
            <w:lang w:eastAsia="zh-CN"/>
          </w:rPr>
          <w:t>(二)、文档发布与分发</w:t>
        </w:r>
        <w:r>
          <w:tab/>
        </w:r>
        <w:r>
          <w:fldChar w:fldCharType="begin"/>
        </w:r>
        <w:r>
          <w:instrText xml:space="preserve"> PAGEREF _Toc25303 \h </w:instrText>
        </w:r>
        <w:r>
          <w:fldChar w:fldCharType="separate"/>
        </w:r>
        <w:r>
          <w:t>14</w:t>
        </w:r>
        <w:r>
          <w:fldChar w:fldCharType="end"/>
        </w:r>
      </w:hyperlink>
    </w:p>
    <w:p>
      <w:pPr>
        <w:pStyle w:val="TOC2"/>
        <w:tabs>
          <w:tab w:val="right" w:leader="dot" w:pos="8306"/>
        </w:tabs>
      </w:pPr>
      <w:hyperlink w:anchor="_Toc14299" w:history="1">
        <w:r>
          <w:rPr>
            <w:rFonts w:ascii="仿宋" w:eastAsia="仿宋" w:hAnsi="仿宋" w:cs="仿宋" w:hint="eastAsia"/>
            <w:lang w:eastAsia="zh-CN"/>
          </w:rPr>
          <w:t>(三)、文档存档与归档</w:t>
        </w:r>
        <w:r>
          <w:tab/>
        </w:r>
        <w:r>
          <w:fldChar w:fldCharType="begin"/>
        </w:r>
        <w:r>
          <w:instrText xml:space="preserve"> PAGEREF _Toc14299 \h </w:instrText>
        </w:r>
        <w:r>
          <w:fldChar w:fldCharType="separate"/>
        </w:r>
        <w:r>
          <w:t>15</w:t>
        </w:r>
        <w:r>
          <w:fldChar w:fldCharType="end"/>
        </w:r>
      </w:hyperlink>
    </w:p>
    <w:p>
      <w:pPr>
        <w:pStyle w:val="TOC1"/>
        <w:tabs>
          <w:tab w:val="right" w:leader="dot" w:pos="8306"/>
        </w:tabs>
      </w:pPr>
      <w:hyperlink w:anchor="_Toc32051" w:history="1">
        <w:r>
          <w:rPr>
            <w:rFonts w:ascii="仿宋" w:eastAsia="仿宋" w:hAnsi="仿宋" w:cs="仿宋" w:hint="eastAsia"/>
            <w:lang w:eastAsia="zh-CN"/>
          </w:rPr>
          <w:t>六、发酵甘油项目危机管理</w:t>
        </w:r>
        <w:r>
          <w:tab/>
        </w:r>
        <w:r>
          <w:fldChar w:fldCharType="begin"/>
        </w:r>
        <w:r>
          <w:instrText xml:space="preserve"> PAGEREF _Toc32051 \h </w:instrText>
        </w:r>
        <w:r>
          <w:fldChar w:fldCharType="separate"/>
        </w:r>
        <w:r>
          <w:t>16</w:t>
        </w:r>
        <w:r>
          <w:fldChar w:fldCharType="end"/>
        </w:r>
      </w:hyperlink>
    </w:p>
    <w:p>
      <w:pPr>
        <w:pStyle w:val="TOC2"/>
        <w:tabs>
          <w:tab w:val="right" w:leader="dot" w:pos="8306"/>
        </w:tabs>
      </w:pPr>
      <w:hyperlink w:anchor="_Toc11952" w:history="1">
        <w:r>
          <w:rPr>
            <w:rFonts w:ascii="仿宋" w:eastAsia="仿宋" w:hAnsi="仿宋" w:cs="仿宋" w:hint="eastAsia"/>
            <w:lang w:eastAsia="zh-CN"/>
          </w:rPr>
          <w:t>(一)、危机预警与识别</w:t>
        </w:r>
        <w:r>
          <w:tab/>
        </w:r>
        <w:r>
          <w:fldChar w:fldCharType="begin"/>
        </w:r>
        <w:r>
          <w:instrText xml:space="preserve"> PAGEREF _Toc11952 \h </w:instrText>
        </w:r>
        <w:r>
          <w:fldChar w:fldCharType="separate"/>
        </w:r>
        <w:r>
          <w:t>16</w:t>
        </w:r>
        <w:r>
          <w:fldChar w:fldCharType="end"/>
        </w:r>
      </w:hyperlink>
    </w:p>
    <w:p>
      <w:pPr>
        <w:pStyle w:val="TOC2"/>
        <w:tabs>
          <w:tab w:val="right" w:leader="dot" w:pos="8306"/>
        </w:tabs>
      </w:pPr>
      <w:hyperlink w:anchor="_Toc27036" w:history="1">
        <w:r>
          <w:rPr>
            <w:rFonts w:ascii="仿宋" w:eastAsia="仿宋" w:hAnsi="仿宋" w:cs="仿宋" w:hint="eastAsia"/>
            <w:lang w:eastAsia="zh-CN"/>
          </w:rPr>
          <w:t>(二)、危机应对与恢复</w:t>
        </w:r>
        <w:r>
          <w:tab/>
        </w:r>
        <w:r>
          <w:fldChar w:fldCharType="begin"/>
        </w:r>
        <w:r>
          <w:instrText xml:space="preserve"> PAGEREF _Toc27036 \h </w:instrText>
        </w:r>
        <w:r>
          <w:fldChar w:fldCharType="separate"/>
        </w:r>
        <w:r>
          <w:t>17</w:t>
        </w:r>
        <w:r>
          <w:fldChar w:fldCharType="end"/>
        </w:r>
      </w:hyperlink>
    </w:p>
    <w:p>
      <w:pPr>
        <w:pStyle w:val="TOC1"/>
        <w:tabs>
          <w:tab w:val="right" w:leader="dot" w:pos="8306"/>
        </w:tabs>
      </w:pPr>
      <w:hyperlink w:anchor="_Toc3806" w:history="1">
        <w:r>
          <w:rPr>
            <w:rFonts w:ascii="仿宋" w:eastAsia="仿宋" w:hAnsi="仿宋" w:cs="仿宋" w:hint="eastAsia"/>
            <w:lang w:eastAsia="zh-CN"/>
          </w:rPr>
          <w:t>七、发酵甘油项目财务管理</w:t>
        </w:r>
        <w:r>
          <w:tab/>
        </w:r>
        <w:r>
          <w:fldChar w:fldCharType="begin"/>
        </w:r>
        <w:r>
          <w:instrText xml:space="preserve"> PAGEREF _Toc3806 \h </w:instrText>
        </w:r>
        <w:r>
          <w:fldChar w:fldCharType="separate"/>
        </w:r>
        <w:r>
          <w:t>18</w:t>
        </w:r>
        <w:r>
          <w:fldChar w:fldCharType="end"/>
        </w:r>
      </w:hyperlink>
    </w:p>
    <w:p>
      <w:pPr>
        <w:pStyle w:val="TOC2"/>
        <w:tabs>
          <w:tab w:val="right" w:leader="dot" w:pos="8306"/>
        </w:tabs>
      </w:pPr>
      <w:hyperlink w:anchor="_Toc4215" w:history="1">
        <w:r>
          <w:rPr>
            <w:rFonts w:ascii="仿宋" w:eastAsia="仿宋" w:hAnsi="仿宋" w:cs="仿宋" w:hint="eastAsia"/>
            <w:lang w:eastAsia="zh-CN"/>
          </w:rPr>
          <w:t>(一)、资金需求大</w:t>
        </w:r>
        <w:r>
          <w:tab/>
        </w:r>
        <w:r>
          <w:fldChar w:fldCharType="begin"/>
        </w:r>
        <w:r>
          <w:instrText xml:space="preserve"> PAGEREF _Toc4215 \h </w:instrText>
        </w:r>
        <w:r>
          <w:fldChar w:fldCharType="separate"/>
        </w:r>
        <w:r>
          <w:t>18</w:t>
        </w:r>
        <w:r>
          <w:fldChar w:fldCharType="end"/>
        </w:r>
      </w:hyperlink>
    </w:p>
    <w:p>
      <w:pPr>
        <w:pStyle w:val="TOC2"/>
        <w:tabs>
          <w:tab w:val="right" w:leader="dot" w:pos="8306"/>
        </w:tabs>
      </w:pPr>
      <w:hyperlink w:anchor="_Toc7490" w:history="1">
        <w:r>
          <w:rPr>
            <w:rFonts w:ascii="仿宋" w:eastAsia="仿宋" w:hAnsi="仿宋" w:cs="仿宋" w:hint="eastAsia"/>
            <w:lang w:eastAsia="zh-CN"/>
          </w:rPr>
          <w:t>(二)、研发周期长</w:t>
        </w:r>
        <w:r>
          <w:tab/>
        </w:r>
        <w:r>
          <w:fldChar w:fldCharType="begin"/>
        </w:r>
        <w:r>
          <w:instrText xml:space="preserve"> PAGEREF _Toc7490 \h </w:instrText>
        </w:r>
        <w:r>
          <w:fldChar w:fldCharType="separate"/>
        </w:r>
        <w:r>
          <w:t>20</w:t>
        </w:r>
        <w:r>
          <w:fldChar w:fldCharType="end"/>
        </w:r>
      </w:hyperlink>
    </w:p>
    <w:p>
      <w:pPr>
        <w:pStyle w:val="TOC2"/>
        <w:tabs>
          <w:tab w:val="right" w:leader="dot" w:pos="8306"/>
        </w:tabs>
      </w:pPr>
      <w:hyperlink w:anchor="_Toc20747" w:history="1">
        <w:r>
          <w:rPr>
            <w:rFonts w:ascii="仿宋" w:eastAsia="仿宋" w:hAnsi="仿宋" w:cs="仿宋" w:hint="eastAsia"/>
            <w:lang w:eastAsia="zh-CN"/>
          </w:rPr>
          <w:t>(三)、市场风险大</w:t>
        </w:r>
        <w:r>
          <w:tab/>
        </w:r>
        <w:r>
          <w:fldChar w:fldCharType="begin"/>
        </w:r>
        <w:r>
          <w:instrText xml:space="preserve"> PAGEREF _Toc20747 \h </w:instrText>
        </w:r>
        <w:r>
          <w:fldChar w:fldCharType="separate"/>
        </w:r>
        <w:r>
          <w:t>21</w:t>
        </w:r>
        <w:r>
          <w:fldChar w:fldCharType="end"/>
        </w:r>
      </w:hyperlink>
    </w:p>
    <w:p>
      <w:pPr>
        <w:pStyle w:val="TOC2"/>
        <w:tabs>
          <w:tab w:val="right" w:leader="dot" w:pos="8306"/>
        </w:tabs>
      </w:pPr>
      <w:hyperlink w:anchor="_Toc14945" w:history="1">
        <w:r>
          <w:rPr>
            <w:rFonts w:ascii="仿宋" w:eastAsia="仿宋" w:hAnsi="仿宋" w:cs="仿宋" w:hint="eastAsia"/>
            <w:lang w:eastAsia="zh-CN"/>
          </w:rPr>
          <w:t>(四)、利润率高</w:t>
        </w:r>
        <w:r>
          <w:tab/>
        </w:r>
        <w:r>
          <w:fldChar w:fldCharType="begin"/>
        </w:r>
        <w:r>
          <w:instrText xml:space="preserve"> PAGEREF _Toc14945 \h </w:instrText>
        </w:r>
        <w:r>
          <w:fldChar w:fldCharType="separate"/>
        </w:r>
        <w:r>
          <w:t>23</w:t>
        </w:r>
        <w:r>
          <w:fldChar w:fldCharType="end"/>
        </w:r>
      </w:hyperlink>
    </w:p>
    <w:p>
      <w:pPr>
        <w:pStyle w:val="TOC1"/>
        <w:tabs>
          <w:tab w:val="right" w:leader="dot" w:pos="8306"/>
        </w:tabs>
      </w:pPr>
      <w:hyperlink w:anchor="_Toc30402" w:history="1">
        <w:r>
          <w:rPr>
            <w:rFonts w:ascii="仿宋" w:eastAsia="仿宋" w:hAnsi="仿宋" w:cs="仿宋" w:hint="eastAsia"/>
            <w:lang w:eastAsia="zh-CN"/>
          </w:rPr>
          <w:t>八、发酵甘油项目技术管理</w:t>
        </w:r>
        <w:r>
          <w:tab/>
        </w:r>
        <w:r>
          <w:fldChar w:fldCharType="begin"/>
        </w:r>
        <w:r>
          <w:instrText xml:space="preserve"> PAGEREF _Toc30402 \h </w:instrText>
        </w:r>
        <w:r>
          <w:fldChar w:fldCharType="separate"/>
        </w:r>
        <w:r>
          <w:t>25</w:t>
        </w:r>
        <w:r>
          <w:fldChar w:fldCharType="end"/>
        </w:r>
      </w:hyperlink>
    </w:p>
    <w:p>
      <w:pPr>
        <w:pStyle w:val="TOC2"/>
        <w:tabs>
          <w:tab w:val="right" w:leader="dot" w:pos="8306"/>
        </w:tabs>
      </w:pPr>
      <w:hyperlink w:anchor="_Toc1316" w:history="1">
        <w:r>
          <w:rPr>
            <w:rFonts w:ascii="仿宋" w:eastAsia="仿宋" w:hAnsi="仿宋" w:cs="仿宋" w:hint="eastAsia"/>
            <w:lang w:eastAsia="zh-CN"/>
          </w:rPr>
          <w:t>(一)、技术方案选用方向</w:t>
        </w:r>
        <w:r>
          <w:tab/>
        </w:r>
        <w:r>
          <w:fldChar w:fldCharType="begin"/>
        </w:r>
        <w:r>
          <w:instrText xml:space="preserve"> PAGEREF _Toc1316 \h </w:instrText>
        </w:r>
        <w:r>
          <w:fldChar w:fldCharType="separate"/>
        </w:r>
        <w:r>
          <w:t>25</w:t>
        </w:r>
        <w:r>
          <w:fldChar w:fldCharType="end"/>
        </w:r>
      </w:hyperlink>
    </w:p>
    <w:p>
      <w:pPr>
        <w:pStyle w:val="TOC2"/>
        <w:tabs>
          <w:tab w:val="right" w:leader="dot" w:pos="8306"/>
        </w:tabs>
      </w:pPr>
      <w:hyperlink w:anchor="_Toc18781" w:history="1">
        <w:r>
          <w:rPr>
            <w:rFonts w:ascii="仿宋" w:eastAsia="仿宋" w:hAnsi="仿宋" w:cs="仿宋" w:hint="eastAsia"/>
            <w:lang w:eastAsia="zh-CN"/>
          </w:rPr>
          <w:t>(二)、工艺技术方案选用原则</w:t>
        </w:r>
        <w:r>
          <w:tab/>
        </w:r>
        <w:r>
          <w:fldChar w:fldCharType="begin"/>
        </w:r>
        <w:r>
          <w:instrText xml:space="preserve"> PAGEREF _Toc18781 \h </w:instrText>
        </w:r>
        <w:r>
          <w:fldChar w:fldCharType="separate"/>
        </w:r>
        <w:r>
          <w:t>27</w:t>
        </w:r>
        <w:r>
          <w:fldChar w:fldCharType="end"/>
        </w:r>
      </w:hyperlink>
    </w:p>
    <w:p>
      <w:pPr>
        <w:pStyle w:val="TOC2"/>
        <w:tabs>
          <w:tab w:val="right" w:leader="dot" w:pos="8306"/>
        </w:tabs>
      </w:pPr>
      <w:hyperlink w:anchor="_Toc16581" w:history="1">
        <w:r>
          <w:rPr>
            <w:rFonts w:ascii="仿宋" w:eastAsia="仿宋" w:hAnsi="仿宋" w:cs="仿宋" w:hint="eastAsia"/>
            <w:lang w:eastAsia="zh-CN"/>
          </w:rPr>
          <w:t>(三)、工艺技术方案要求</w:t>
        </w:r>
        <w:r>
          <w:tab/>
        </w:r>
        <w:r>
          <w:fldChar w:fldCharType="begin"/>
        </w:r>
        <w:r>
          <w:instrText xml:space="preserve"> PAGEREF _Toc16581 \h </w:instrText>
        </w:r>
        <w:r>
          <w:fldChar w:fldCharType="separate"/>
        </w:r>
        <w:r>
          <w:t>29</w:t>
        </w:r>
        <w:r>
          <w:fldChar w:fldCharType="end"/>
        </w:r>
      </w:hyperlink>
    </w:p>
    <w:p>
      <w:pPr>
        <w:pStyle w:val="TOC1"/>
        <w:tabs>
          <w:tab w:val="right" w:leader="dot" w:pos="8306"/>
        </w:tabs>
      </w:pPr>
      <w:hyperlink w:anchor="_Toc6083" w:history="1">
        <w:r>
          <w:rPr>
            <w:rFonts w:ascii="仿宋" w:eastAsia="仿宋" w:hAnsi="仿宋" w:cs="仿宋" w:hint="eastAsia"/>
            <w:lang w:eastAsia="zh-CN"/>
          </w:rPr>
          <w:t>九、发酵甘油项目创新与研发</w:t>
        </w:r>
        <w:r>
          <w:tab/>
        </w:r>
        <w:r>
          <w:fldChar w:fldCharType="begin"/>
        </w:r>
        <w:r>
          <w:instrText xml:space="preserve"> PAGEREF _Toc6083 \h </w:instrText>
        </w:r>
        <w:r>
          <w:fldChar w:fldCharType="separate"/>
        </w:r>
        <w:r>
          <w:t>32</w:t>
        </w:r>
        <w:r>
          <w:fldChar w:fldCharType="end"/>
        </w:r>
      </w:hyperlink>
    </w:p>
    <w:p>
      <w:pPr>
        <w:pStyle w:val="TOC2"/>
        <w:tabs>
          <w:tab w:val="right" w:leader="dot" w:pos="8306"/>
        </w:tabs>
      </w:pPr>
      <w:hyperlink w:anchor="_Toc32472" w:history="1">
        <w:r>
          <w:rPr>
            <w:rFonts w:ascii="仿宋" w:eastAsia="仿宋" w:hAnsi="仿宋" w:cs="仿宋" w:hint="eastAsia"/>
            <w:lang w:eastAsia="zh-CN"/>
          </w:rPr>
          <w:t>(一)、创新策略与方向</w:t>
        </w:r>
        <w:r>
          <w:tab/>
        </w:r>
        <w:r>
          <w:fldChar w:fldCharType="begin"/>
        </w:r>
        <w:r>
          <w:instrText xml:space="preserve"> PAGEREF _Toc32472 \h </w:instrText>
        </w:r>
        <w:r>
          <w:fldChar w:fldCharType="separate"/>
        </w:r>
        <w:r>
          <w:t>32</w:t>
        </w:r>
        <w:r>
          <w:fldChar w:fldCharType="end"/>
        </w:r>
      </w:hyperlink>
    </w:p>
    <w:p>
      <w:pPr>
        <w:pStyle w:val="TOC2"/>
        <w:tabs>
          <w:tab w:val="right" w:leader="dot" w:pos="8306"/>
        </w:tabs>
      </w:pPr>
      <w:hyperlink w:anchor="_Toc23128" w:history="1">
        <w:r>
          <w:rPr>
            <w:rFonts w:ascii="仿宋" w:eastAsia="仿宋" w:hAnsi="仿宋" w:cs="仿宋" w:hint="eastAsia"/>
            <w:lang w:eastAsia="zh-CN"/>
          </w:rPr>
          <w:t>(二)、研发规划与投入</w:t>
        </w:r>
        <w:r>
          <w:tab/>
        </w:r>
        <w:r>
          <w:fldChar w:fldCharType="begin"/>
        </w:r>
        <w:r>
          <w:instrText xml:space="preserve"> PAGEREF _Toc23128 \h </w:instrText>
        </w:r>
        <w:r>
          <w:fldChar w:fldCharType="separate"/>
        </w:r>
        <w:r>
          <w:t>33</w:t>
        </w:r>
        <w:r>
          <w:fldChar w:fldCharType="end"/>
        </w:r>
      </w:hyperlink>
    </w:p>
    <w:p>
      <w:pPr>
        <w:pStyle w:val="TOC1"/>
        <w:tabs>
          <w:tab w:val="right" w:leader="dot" w:pos="8306"/>
        </w:tabs>
      </w:pPr>
      <w:hyperlink w:anchor="_Toc22223" w:history="1">
        <w:r>
          <w:rPr>
            <w:rFonts w:ascii="仿宋" w:eastAsia="仿宋" w:hAnsi="仿宋" w:cs="仿宋" w:hint="eastAsia"/>
            <w:lang w:eastAsia="zh-CN"/>
          </w:rPr>
          <w:t>十、发酵甘油项目人力资源培养与发展</w:t>
        </w:r>
        <w:r>
          <w:tab/>
        </w:r>
        <w:r>
          <w:fldChar w:fldCharType="begin"/>
        </w:r>
        <w:r>
          <w:instrText xml:space="preserve"> PAGEREF _Toc22223 \h </w:instrText>
        </w:r>
        <w:r>
          <w:fldChar w:fldCharType="separate"/>
        </w:r>
        <w:r>
          <w:t>35</w:t>
        </w:r>
        <w:r>
          <w:fldChar w:fldCharType="end"/>
        </w:r>
      </w:hyperlink>
    </w:p>
    <w:p>
      <w:pPr>
        <w:pStyle w:val="TOC2"/>
        <w:tabs>
          <w:tab w:val="right" w:leader="dot" w:pos="8306"/>
        </w:tabs>
      </w:pPr>
      <w:hyperlink w:anchor="_Toc12540" w:history="1">
        <w:r>
          <w:rPr>
            <w:rFonts w:ascii="仿宋" w:eastAsia="仿宋" w:hAnsi="仿宋" w:cs="仿宋" w:hint="eastAsia"/>
            <w:lang w:eastAsia="zh-CN"/>
          </w:rPr>
          <w:t>(一)、人才需求与规划</w:t>
        </w:r>
        <w:r>
          <w:tab/>
        </w:r>
        <w:r>
          <w:fldChar w:fldCharType="begin"/>
        </w:r>
        <w:r>
          <w:instrText xml:space="preserve"> PAGEREF _Toc12540 \h </w:instrText>
        </w:r>
        <w:r>
          <w:fldChar w:fldCharType="separate"/>
        </w:r>
        <w:r>
          <w:t>35</w:t>
        </w:r>
        <w:r>
          <w:fldChar w:fldCharType="end"/>
        </w:r>
      </w:hyperlink>
    </w:p>
    <w:p>
      <w:pPr>
        <w:pStyle w:val="TOC2"/>
        <w:tabs>
          <w:tab w:val="right" w:leader="dot" w:pos="8306"/>
        </w:tabs>
      </w:pPr>
      <w:hyperlink w:anchor="_Toc32362" w:history="1">
        <w:r>
          <w:rPr>
            <w:rFonts w:ascii="仿宋" w:eastAsia="仿宋" w:hAnsi="仿宋" w:cs="仿宋" w:hint="eastAsia"/>
            <w:lang w:eastAsia="zh-CN"/>
          </w:rPr>
          <w:t>(二)、培训与发展计划</w:t>
        </w:r>
        <w:r>
          <w:tab/>
        </w:r>
        <w:r>
          <w:fldChar w:fldCharType="begin"/>
        </w:r>
        <w:r>
          <w:instrText xml:space="preserve"> PAGEREF _Toc32362 \h </w:instrText>
        </w:r>
        <w:r>
          <w:fldChar w:fldCharType="separate"/>
        </w:r>
        <w:r>
          <w:t>35</w:t>
        </w:r>
        <w:r>
          <w:fldChar w:fldCharType="end"/>
        </w:r>
      </w:hyperlink>
    </w:p>
    <w:p>
      <w:pPr>
        <w:pStyle w:val="TOC1"/>
        <w:tabs>
          <w:tab w:val="right" w:leader="dot" w:pos="8306"/>
        </w:tabs>
      </w:pPr>
      <w:hyperlink w:anchor="_Toc25131" w:history="1">
        <w:r>
          <w:rPr>
            <w:rFonts w:ascii="仿宋" w:eastAsia="仿宋" w:hAnsi="仿宋" w:cs="仿宋" w:hint="eastAsia"/>
            <w:lang w:eastAsia="zh-CN"/>
          </w:rPr>
          <w:t>十一、发酵甘油项目经营效益</w:t>
        </w:r>
        <w:r>
          <w:tab/>
        </w:r>
        <w:r>
          <w:fldChar w:fldCharType="begin"/>
        </w:r>
        <w:r>
          <w:instrText xml:space="preserve"> PAGEREF _Toc25131 \h </w:instrText>
        </w:r>
        <w:r>
          <w:fldChar w:fldCharType="separate"/>
        </w:r>
        <w:r>
          <w:t>36</w:t>
        </w:r>
        <w:r>
          <w:fldChar w:fldCharType="end"/>
        </w:r>
      </w:hyperlink>
    </w:p>
    <w:p>
      <w:pPr>
        <w:pStyle w:val="TOC2"/>
        <w:tabs>
          <w:tab w:val="right" w:leader="dot" w:pos="8306"/>
        </w:tabs>
      </w:pPr>
      <w:hyperlink w:anchor="_Toc29435" w:history="1">
        <w:r>
          <w:rPr>
            <w:rFonts w:ascii="仿宋" w:eastAsia="仿宋" w:hAnsi="仿宋" w:cs="仿宋" w:hint="eastAsia"/>
            <w:lang w:eastAsia="zh-CN"/>
          </w:rPr>
          <w:t>(一)、经济评价财务测算</w:t>
        </w:r>
        <w:r>
          <w:tab/>
        </w:r>
        <w:r>
          <w:fldChar w:fldCharType="begin"/>
        </w:r>
        <w:r>
          <w:instrText xml:space="preserve"> PAGEREF _Toc29435 \h </w:instrText>
        </w:r>
        <w:r>
          <w:fldChar w:fldCharType="separate"/>
        </w:r>
        <w:r>
          <w:t>36</w:t>
        </w:r>
        <w:r>
          <w:fldChar w:fldCharType="end"/>
        </w:r>
      </w:hyperlink>
    </w:p>
    <w:p>
      <w:pPr>
        <w:pStyle w:val="TOC2"/>
        <w:tabs>
          <w:tab w:val="right" w:leader="dot" w:pos="8306"/>
        </w:tabs>
      </w:pPr>
      <w:hyperlink w:anchor="_Toc27590" w:history="1">
        <w:r>
          <w:rPr>
            <w:rFonts w:ascii="仿宋" w:eastAsia="仿宋" w:hAnsi="仿宋" w:cs="仿宋" w:hint="eastAsia"/>
            <w:lang w:eastAsia="zh-CN"/>
          </w:rPr>
          <w:t>(二)、发酵甘油项目盈利能力分析</w:t>
        </w:r>
        <w:r>
          <w:tab/>
        </w:r>
        <w:r>
          <w:fldChar w:fldCharType="begin"/>
        </w:r>
        <w:r>
          <w:instrText xml:space="preserve"> PAGEREF _Toc27590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42" w:history="1">
        <w:r>
          <w:rPr>
            <w:rFonts w:ascii="仿宋" w:eastAsia="仿宋" w:hAnsi="仿宋" w:cs="仿宋" w:hint="eastAsia"/>
            <w:lang w:eastAsia="zh-CN"/>
          </w:rPr>
          <w:t>十二、发酵甘油项目人力资源管理</w:t>
        </w:r>
        <w:r>
          <w:tab/>
        </w:r>
        <w:r>
          <w:fldChar w:fldCharType="begin"/>
        </w:r>
        <w:r>
          <w:instrText xml:space="preserve"> PAGEREF _Toc8542 \h </w:instrText>
        </w:r>
        <w:r>
          <w:fldChar w:fldCharType="separate"/>
        </w:r>
        <w:r>
          <w:t>38</w:t>
        </w:r>
        <w:r>
          <w:fldChar w:fldCharType="end"/>
        </w:r>
      </w:hyperlink>
    </w:p>
    <w:p>
      <w:pPr>
        <w:pStyle w:val="TOC2"/>
        <w:tabs>
          <w:tab w:val="right" w:leader="dot" w:pos="8306"/>
        </w:tabs>
      </w:pPr>
      <w:hyperlink w:anchor="_Toc31641" w:history="1">
        <w:r>
          <w:rPr>
            <w:rFonts w:ascii="仿宋" w:eastAsia="仿宋" w:hAnsi="仿宋" w:cs="仿宋" w:hint="eastAsia"/>
            <w:lang w:eastAsia="zh-CN"/>
          </w:rPr>
          <w:t>(一)、建立健全的预算管理制度</w:t>
        </w:r>
        <w:r>
          <w:tab/>
        </w:r>
        <w:r>
          <w:fldChar w:fldCharType="begin"/>
        </w:r>
        <w:r>
          <w:instrText xml:space="preserve"> PAGEREF _Toc31641 \h </w:instrText>
        </w:r>
        <w:r>
          <w:fldChar w:fldCharType="separate"/>
        </w:r>
        <w:r>
          <w:t>38</w:t>
        </w:r>
        <w:r>
          <w:fldChar w:fldCharType="end"/>
        </w:r>
      </w:hyperlink>
    </w:p>
    <w:p>
      <w:pPr>
        <w:pStyle w:val="TOC2"/>
        <w:tabs>
          <w:tab w:val="right" w:leader="dot" w:pos="8306"/>
        </w:tabs>
      </w:pPr>
      <w:hyperlink w:anchor="_Toc11027" w:history="1">
        <w:r>
          <w:rPr>
            <w:rFonts w:ascii="仿宋" w:eastAsia="仿宋" w:hAnsi="仿宋" w:cs="仿宋" w:hint="eastAsia"/>
            <w:lang w:eastAsia="zh-CN"/>
          </w:rPr>
          <w:t>(二)、加强资金流动监控</w:t>
        </w:r>
        <w:r>
          <w:tab/>
        </w:r>
        <w:r>
          <w:fldChar w:fldCharType="begin"/>
        </w:r>
        <w:r>
          <w:instrText xml:space="preserve"> PAGEREF _Toc11027 \h </w:instrText>
        </w:r>
        <w:r>
          <w:fldChar w:fldCharType="separate"/>
        </w:r>
        <w:r>
          <w:t>40</w:t>
        </w:r>
        <w:r>
          <w:fldChar w:fldCharType="end"/>
        </w:r>
      </w:hyperlink>
    </w:p>
    <w:p>
      <w:pPr>
        <w:pStyle w:val="TOC2"/>
        <w:tabs>
          <w:tab w:val="right" w:leader="dot" w:pos="8306"/>
        </w:tabs>
      </w:pPr>
      <w:hyperlink w:anchor="_Toc5270" w:history="1">
        <w:r>
          <w:rPr>
            <w:rFonts w:ascii="仿宋" w:eastAsia="仿宋" w:hAnsi="仿宋" w:cs="仿宋" w:hint="eastAsia"/>
            <w:lang w:eastAsia="zh-CN"/>
          </w:rPr>
          <w:t>(三)、制定完善的风险控制机制</w:t>
        </w:r>
        <w:r>
          <w:tab/>
        </w:r>
        <w:r>
          <w:fldChar w:fldCharType="begin"/>
        </w:r>
        <w:r>
          <w:instrText xml:space="preserve"> PAGEREF _Toc5270 \h </w:instrText>
        </w:r>
        <w:r>
          <w:fldChar w:fldCharType="separate"/>
        </w:r>
        <w:r>
          <w:t>41</w:t>
        </w:r>
        <w:r>
          <w:fldChar w:fldCharType="end"/>
        </w:r>
      </w:hyperlink>
    </w:p>
    <w:p>
      <w:pPr>
        <w:pStyle w:val="TOC2"/>
        <w:tabs>
          <w:tab w:val="right" w:leader="dot" w:pos="8306"/>
        </w:tabs>
      </w:pPr>
      <w:hyperlink w:anchor="_Toc6375" w:history="1">
        <w:r>
          <w:rPr>
            <w:rFonts w:ascii="仿宋" w:eastAsia="仿宋" w:hAnsi="仿宋" w:cs="仿宋" w:hint="eastAsia"/>
            <w:lang w:eastAsia="zh-CN"/>
          </w:rPr>
          <w:t>(四)、优化成本管理</w:t>
        </w:r>
        <w:r>
          <w:tab/>
        </w:r>
        <w:r>
          <w:fldChar w:fldCharType="begin"/>
        </w:r>
        <w:r>
          <w:instrText xml:space="preserve"> PAGEREF _Toc6375 \h </w:instrText>
        </w:r>
        <w:r>
          <w:fldChar w:fldCharType="separate"/>
        </w:r>
        <w:r>
          <w:t>42</w:t>
        </w:r>
        <w:r>
          <w:fldChar w:fldCharType="end"/>
        </w:r>
      </w:hyperlink>
    </w:p>
    <w:p>
      <w:pPr>
        <w:pStyle w:val="TOC1"/>
        <w:tabs>
          <w:tab w:val="right" w:leader="dot" w:pos="8306"/>
        </w:tabs>
      </w:pPr>
      <w:hyperlink w:anchor="_Toc3929" w:history="1">
        <w:r>
          <w:rPr>
            <w:rFonts w:ascii="仿宋" w:eastAsia="仿宋" w:hAnsi="仿宋" w:cs="仿宋" w:hint="eastAsia"/>
            <w:lang w:eastAsia="zh-CN"/>
          </w:rPr>
          <w:t>十三、发酵甘油项目实施保障措施</w:t>
        </w:r>
        <w:r>
          <w:tab/>
        </w:r>
        <w:r>
          <w:fldChar w:fldCharType="begin"/>
        </w:r>
        <w:r>
          <w:instrText xml:space="preserve"> PAGEREF _Toc3929 \h </w:instrText>
        </w:r>
        <w:r>
          <w:fldChar w:fldCharType="separate"/>
        </w:r>
        <w:r>
          <w:t>43</w:t>
        </w:r>
        <w:r>
          <w:fldChar w:fldCharType="end"/>
        </w:r>
      </w:hyperlink>
    </w:p>
    <w:p>
      <w:pPr>
        <w:pStyle w:val="TOC2"/>
        <w:tabs>
          <w:tab w:val="right" w:leader="dot" w:pos="8306"/>
        </w:tabs>
      </w:pPr>
      <w:hyperlink w:anchor="_Toc4097" w:history="1">
        <w:r>
          <w:rPr>
            <w:rFonts w:ascii="仿宋" w:eastAsia="仿宋" w:hAnsi="仿宋" w:cs="仿宋" w:hint="eastAsia"/>
            <w:lang w:eastAsia="zh-CN"/>
          </w:rPr>
          <w:t>(一)、发酵甘油项目实施保障机制</w:t>
        </w:r>
        <w:r>
          <w:tab/>
        </w:r>
        <w:r>
          <w:fldChar w:fldCharType="begin"/>
        </w:r>
        <w:r>
          <w:instrText xml:space="preserve"> PAGEREF _Toc4097 \h </w:instrText>
        </w:r>
        <w:r>
          <w:fldChar w:fldCharType="separate"/>
        </w:r>
        <w:r>
          <w:t>43</w:t>
        </w:r>
        <w:r>
          <w:fldChar w:fldCharType="end"/>
        </w:r>
      </w:hyperlink>
    </w:p>
    <w:p>
      <w:pPr>
        <w:pStyle w:val="TOC2"/>
        <w:tabs>
          <w:tab w:val="right" w:leader="dot" w:pos="8306"/>
        </w:tabs>
      </w:pPr>
      <w:hyperlink w:anchor="_Toc22398" w:history="1">
        <w:r>
          <w:rPr>
            <w:rFonts w:ascii="仿宋" w:eastAsia="仿宋" w:hAnsi="仿宋" w:cs="仿宋" w:hint="eastAsia"/>
            <w:lang w:eastAsia="zh-CN"/>
          </w:rPr>
          <w:t>(二)、发酵甘油项目法律合规要求</w:t>
        </w:r>
        <w:r>
          <w:tab/>
        </w:r>
        <w:r>
          <w:fldChar w:fldCharType="begin"/>
        </w:r>
        <w:r>
          <w:instrText xml:space="preserve"> PAGEREF _Toc22398 \h </w:instrText>
        </w:r>
        <w:r>
          <w:fldChar w:fldCharType="separate"/>
        </w:r>
        <w:r>
          <w:t>47</w:t>
        </w:r>
        <w:r>
          <w:fldChar w:fldCharType="end"/>
        </w:r>
      </w:hyperlink>
    </w:p>
    <w:p>
      <w:pPr>
        <w:pStyle w:val="TOC2"/>
        <w:tabs>
          <w:tab w:val="right" w:leader="dot" w:pos="8306"/>
        </w:tabs>
      </w:pPr>
      <w:hyperlink w:anchor="_Toc1114" w:history="1">
        <w:r>
          <w:rPr>
            <w:rFonts w:ascii="仿宋" w:eastAsia="仿宋" w:hAnsi="仿宋" w:cs="仿宋" w:hint="eastAsia"/>
            <w:lang w:eastAsia="zh-CN"/>
          </w:rPr>
          <w:t>(三)、发酵甘油项目合同管理与法律事务</w:t>
        </w:r>
        <w:r>
          <w:tab/>
        </w:r>
        <w:r>
          <w:fldChar w:fldCharType="begin"/>
        </w:r>
        <w:r>
          <w:instrText xml:space="preserve"> PAGEREF _Toc1114 \h </w:instrText>
        </w:r>
        <w:r>
          <w:fldChar w:fldCharType="separate"/>
        </w:r>
        <w:r>
          <w:t>51</w:t>
        </w:r>
        <w:r>
          <w:fldChar w:fldCharType="end"/>
        </w:r>
      </w:hyperlink>
    </w:p>
    <w:p>
      <w:pPr>
        <w:pStyle w:val="TOC2"/>
        <w:tabs>
          <w:tab w:val="right" w:leader="dot" w:pos="8306"/>
        </w:tabs>
      </w:pPr>
      <w:hyperlink w:anchor="_Toc5309" w:history="1">
        <w:r>
          <w:rPr>
            <w:rFonts w:ascii="仿宋" w:eastAsia="仿宋" w:hAnsi="仿宋" w:cs="仿宋" w:hint="eastAsia"/>
            <w:lang w:eastAsia="zh-CN"/>
          </w:rPr>
          <w:t>(四)、发酵甘油项目知识产权保护策略</w:t>
        </w:r>
        <w:r>
          <w:tab/>
        </w:r>
        <w:r>
          <w:fldChar w:fldCharType="begin"/>
        </w:r>
        <w:r>
          <w:instrText xml:space="preserve"> PAGEREF _Toc5309 \h </w:instrText>
        </w:r>
        <w:r>
          <w:fldChar w:fldCharType="separate"/>
        </w:r>
        <w:r>
          <w:t>57</w:t>
        </w:r>
        <w:r>
          <w:fldChar w:fldCharType="end"/>
        </w:r>
      </w:hyperlink>
    </w:p>
    <w:p>
      <w:pPr>
        <w:pStyle w:val="TOC1"/>
        <w:tabs>
          <w:tab w:val="right" w:leader="dot" w:pos="8306"/>
        </w:tabs>
      </w:pPr>
      <w:hyperlink w:anchor="_Toc31714" w:history="1">
        <w:r>
          <w:rPr>
            <w:rFonts w:ascii="仿宋" w:eastAsia="仿宋" w:hAnsi="仿宋" w:cs="仿宋" w:hint="eastAsia"/>
            <w:lang w:eastAsia="zh-CN"/>
          </w:rPr>
          <w:t>十四、质量管理体系</w:t>
        </w:r>
        <w:r>
          <w:tab/>
        </w:r>
        <w:r>
          <w:fldChar w:fldCharType="begin"/>
        </w:r>
        <w:r>
          <w:instrText xml:space="preserve"> PAGEREF _Toc31714 \h </w:instrText>
        </w:r>
        <w:r>
          <w:fldChar w:fldCharType="separate"/>
        </w:r>
        <w:r>
          <w:t>60</w:t>
        </w:r>
        <w:r>
          <w:fldChar w:fldCharType="end"/>
        </w:r>
      </w:hyperlink>
    </w:p>
    <w:p>
      <w:pPr>
        <w:pStyle w:val="TOC2"/>
        <w:tabs>
          <w:tab w:val="right" w:leader="dot" w:pos="8306"/>
        </w:tabs>
      </w:pPr>
      <w:hyperlink w:anchor="_Toc9719" w:history="1">
        <w:r>
          <w:rPr>
            <w:rFonts w:ascii="仿宋" w:eastAsia="仿宋" w:hAnsi="仿宋" w:cs="仿宋" w:hint="eastAsia"/>
            <w:lang w:eastAsia="zh-CN"/>
          </w:rPr>
          <w:t>(一)、质量目标与方针</w:t>
        </w:r>
        <w:r>
          <w:tab/>
        </w:r>
        <w:r>
          <w:fldChar w:fldCharType="begin"/>
        </w:r>
        <w:r>
          <w:instrText xml:space="preserve"> PAGEREF _Toc9719 \h </w:instrText>
        </w:r>
        <w:r>
          <w:fldChar w:fldCharType="separate"/>
        </w:r>
        <w:r>
          <w:t>60</w:t>
        </w:r>
        <w:r>
          <w:fldChar w:fldCharType="end"/>
        </w:r>
      </w:hyperlink>
    </w:p>
    <w:p>
      <w:pPr>
        <w:pStyle w:val="TOC2"/>
        <w:tabs>
          <w:tab w:val="right" w:leader="dot" w:pos="8306"/>
        </w:tabs>
      </w:pPr>
      <w:hyperlink w:anchor="_Toc20449" w:history="1">
        <w:r>
          <w:rPr>
            <w:rFonts w:ascii="仿宋" w:eastAsia="仿宋" w:hAnsi="仿宋" w:cs="仿宋" w:hint="eastAsia"/>
            <w:lang w:eastAsia="zh-CN"/>
          </w:rPr>
          <w:t>(二)、质量管理责任</w:t>
        </w:r>
        <w:r>
          <w:tab/>
        </w:r>
        <w:r>
          <w:fldChar w:fldCharType="begin"/>
        </w:r>
        <w:r>
          <w:instrText xml:space="preserve"> PAGEREF _Toc20449 \h </w:instrText>
        </w:r>
        <w:r>
          <w:fldChar w:fldCharType="separate"/>
        </w:r>
        <w:r>
          <w:t>61</w:t>
        </w:r>
        <w:r>
          <w:fldChar w:fldCharType="end"/>
        </w:r>
      </w:hyperlink>
    </w:p>
    <w:p>
      <w:pPr>
        <w:pStyle w:val="TOC2"/>
        <w:tabs>
          <w:tab w:val="right" w:leader="dot" w:pos="8306"/>
        </w:tabs>
      </w:pPr>
      <w:hyperlink w:anchor="_Toc17811" w:history="1">
        <w:r>
          <w:rPr>
            <w:rFonts w:ascii="仿宋" w:eastAsia="仿宋" w:hAnsi="仿宋" w:cs="仿宋" w:hint="eastAsia"/>
            <w:lang w:eastAsia="zh-CN"/>
          </w:rPr>
          <w:t>(三)、质量管理体系文件</w:t>
        </w:r>
        <w:r>
          <w:tab/>
        </w:r>
        <w:r>
          <w:fldChar w:fldCharType="begin"/>
        </w:r>
        <w:r>
          <w:instrText xml:space="preserve"> PAGEREF _Toc17811 \h </w:instrText>
        </w:r>
        <w:r>
          <w:fldChar w:fldCharType="separate"/>
        </w:r>
        <w:r>
          <w:t>62</w:t>
        </w:r>
        <w:r>
          <w:fldChar w:fldCharType="end"/>
        </w:r>
      </w:hyperlink>
    </w:p>
    <w:p>
      <w:pPr>
        <w:pStyle w:val="TOC2"/>
        <w:tabs>
          <w:tab w:val="right" w:leader="dot" w:pos="8306"/>
        </w:tabs>
      </w:pPr>
      <w:hyperlink w:anchor="_Toc1627" w:history="1">
        <w:r>
          <w:rPr>
            <w:rFonts w:ascii="仿宋" w:eastAsia="仿宋" w:hAnsi="仿宋" w:cs="仿宋" w:hint="eastAsia"/>
            <w:lang w:eastAsia="zh-CN"/>
          </w:rPr>
          <w:t>(四)、质量培训与教育</w:t>
        </w:r>
        <w:r>
          <w:tab/>
        </w:r>
        <w:r>
          <w:fldChar w:fldCharType="begin"/>
        </w:r>
        <w:r>
          <w:instrText xml:space="preserve"> PAGEREF _Toc1627 \h </w:instrText>
        </w:r>
        <w:r>
          <w:fldChar w:fldCharType="separate"/>
        </w:r>
        <w:r>
          <w:t>64</w:t>
        </w:r>
        <w:r>
          <w:fldChar w:fldCharType="end"/>
        </w:r>
      </w:hyperlink>
    </w:p>
    <w:p>
      <w:pPr>
        <w:pStyle w:val="TOC2"/>
        <w:tabs>
          <w:tab w:val="right" w:leader="dot" w:pos="8306"/>
        </w:tabs>
      </w:pPr>
      <w:hyperlink w:anchor="_Toc10717" w:history="1">
        <w:r>
          <w:rPr>
            <w:rFonts w:ascii="仿宋" w:eastAsia="仿宋" w:hAnsi="仿宋" w:cs="仿宋" w:hint="eastAsia"/>
            <w:lang w:eastAsia="zh-CN"/>
          </w:rPr>
          <w:t>(五)、质量审核与评价</w:t>
        </w:r>
        <w:r>
          <w:tab/>
        </w:r>
        <w:r>
          <w:fldChar w:fldCharType="begin"/>
        </w:r>
        <w:r>
          <w:instrText xml:space="preserve"> PAGEREF _Toc10717 \h </w:instrText>
        </w:r>
        <w:r>
          <w:fldChar w:fldCharType="separate"/>
        </w:r>
        <w:r>
          <w:t>65</w:t>
        </w:r>
        <w:r>
          <w:fldChar w:fldCharType="end"/>
        </w:r>
      </w:hyperlink>
    </w:p>
    <w:p>
      <w:pPr>
        <w:pStyle w:val="TOC2"/>
        <w:tabs>
          <w:tab w:val="right" w:leader="dot" w:pos="8306"/>
        </w:tabs>
      </w:pPr>
      <w:hyperlink w:anchor="_Toc27508" w:history="1">
        <w:r>
          <w:rPr>
            <w:rFonts w:ascii="仿宋" w:eastAsia="仿宋" w:hAnsi="仿宋" w:cs="仿宋" w:hint="eastAsia"/>
            <w:lang w:eastAsia="zh-CN"/>
          </w:rPr>
          <w:t>(六)、不符合与纠正措施</w:t>
        </w:r>
        <w:r>
          <w:tab/>
        </w:r>
        <w:r>
          <w:fldChar w:fldCharType="begin"/>
        </w:r>
        <w:r>
          <w:instrText xml:space="preserve"> PAGEREF _Toc27508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252"/>
      <w:r>
        <w:rPr>
          <w:rFonts w:ascii="仿宋" w:eastAsia="仿宋" w:hAnsi="仿宋" w:cs="仿宋" w:hint="eastAsia"/>
          <w:sz w:val="28"/>
          <w:lang w:eastAsia="zh-CN"/>
        </w:rPr>
        <w:t>一、发酵甘油项目建设单位说明</w:t>
      </w:r>
      <w:bookmarkEnd w:id="2"/>
    </w:p>
    <w:p>
      <w:pPr>
        <w:pStyle w:val="Heading2"/>
        <w:rPr>
          <w:rFonts w:ascii="仿宋" w:eastAsia="仿宋" w:hAnsi="仿宋" w:cs="仿宋" w:hint="eastAsia"/>
          <w:lang w:eastAsia="zh-CN"/>
        </w:rPr>
      </w:pPr>
      <w:bookmarkStart w:id="3" w:name="_Toc16563"/>
      <w:r>
        <w:rPr>
          <w:rFonts w:ascii="仿宋" w:eastAsia="仿宋" w:hAnsi="仿宋" w:cs="仿宋" w:hint="eastAsia"/>
          <w:lang w:eastAsia="zh-CN"/>
        </w:rPr>
        <w:t>(一)、发酵甘油项目承办单位基本情况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3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发酵甘油项目承办单位的XXXX，我们着眼于实现可持续的经济效益。通过技术创新和解决方案的提供，公司预计在发酵甘油项目执行期间将获得可观的收入增长。这一收入来源主要包括发酵甘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同时，我们注重成本控制和效率提升，以确保发酵甘油项目的可持续盈利。透过精细的管理和资源优化，公司期望实现发酵甘油项目利润最大化。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发酵甘油项目实施进行全面的投资评估，包括发酵甘油项目启动阶段的资金投入和后续运营成本。通过对发酵甘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发酵甘油项目实施过程中具备足够的资金流动性，公司将进行详尽的现金流分析。这包括资金需求的合理预测、发酵甘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50"/>
      <w:r>
        <w:rPr>
          <w:rFonts w:ascii="仿宋" w:eastAsia="仿宋" w:hAnsi="仿宋" w:cs="仿宋" w:hint="eastAsia"/>
          <w:sz w:val="28"/>
          <w:lang w:eastAsia="zh-CN"/>
        </w:rPr>
        <w:t>二、发酵甘油项目可持续发展</w:t>
      </w:r>
      <w:bookmarkEnd w:id="5"/>
    </w:p>
    <w:p>
      <w:pPr>
        <w:pStyle w:val="Heading2"/>
        <w:rPr>
          <w:rFonts w:ascii="仿宋" w:eastAsia="仿宋" w:hAnsi="仿宋" w:cs="仿宋" w:hint="eastAsia"/>
          <w:lang w:eastAsia="zh-CN"/>
        </w:rPr>
      </w:pPr>
      <w:bookmarkStart w:id="6" w:name="_Toc2512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中，发酵甘油项目团队着眼于未来，明确了可持续发展的战略方向。制定的具体可持续发展目标包括降低资源使用、采用环保技术、最大化社会效益等。这一步骤不仅有助于发酵甘油项目在环保和社会责任方面达到最高标准，也为未来提供了明确的指引，确保发酵甘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可持续实践的融入发酵甘油项目管理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发酵甘油项目管理周期。从发酵甘油项目规划开始，发酵甘油项目团队就考虑了环境和社会的因素。在执行阶段，发酵甘油项目团队积极推动绿色技术的应用，优化资源利用。此外，关注员工的社会责任，通过培训和沟通活动提高员工对可持续发展的认知，使他们能够在日常工作中践行可持续实践。这些举措不仅为发酵甘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548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扎根于发酵甘油项目的可持续发展理念，我们深信环保与社会责任是发酵甘油项目成功的关键支柱。在发酵甘油项目的每一步，我们都致力于通过创新和实践，履行对环境和社会的坚定责任。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团队通过引入先进的环保技术、建立高效的废物处理系统以及推动能源节约措施，积极履行环保责任。定期的环保监测和评估确保发酵甘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不仅致力于自身可持续发展，还注重对社会的回馈。通过支持社区发酵甘油项目、参与慈善事业、提供培训机会等方式，发酵甘油项目积极履行社会责任。与当地社区建立积极互动，关注员工的工作与生活平衡，以及员工的身心健康，是发酵甘油项目在社会责任层面的关键举措。这样的实践不仅增强了发酵甘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7950"/>
      <w:r>
        <w:rPr>
          <w:rFonts w:ascii="仿宋" w:eastAsia="仿宋" w:hAnsi="仿宋" w:cs="仿宋" w:hint="eastAsia"/>
          <w:sz w:val="28"/>
          <w:lang w:eastAsia="zh-CN"/>
        </w:rPr>
        <w:t>三、发酵甘油项目土建工程</w:t>
      </w:r>
      <w:bookmarkEnd w:id="8"/>
    </w:p>
    <w:p>
      <w:pPr>
        <w:pStyle w:val="Heading2"/>
        <w:rPr>
          <w:rFonts w:ascii="仿宋" w:eastAsia="仿宋" w:hAnsi="仿宋" w:cs="仿宋" w:hint="eastAsia"/>
          <w:lang w:eastAsia="zh-CN"/>
        </w:rPr>
      </w:pPr>
      <w:bookmarkStart w:id="9" w:name="_Toc1351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在发酵甘油项目的建筑工程设计中，我们将秉承一系列重要的设计原则，以确保发酵甘油项目建筑在功能、美观、可持续性等方面达到最佳效果。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首要原则是确保建筑的功能性得到最大化的发挥。我们将充分理解发酵甘油项目的实际需求，合理布局各个功能区域，保证建筑在满足业务需求的同时，提供高效的工作环境。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在建筑设计中，我们将综合考虑建设和运营成本。通过精细的经济效益分析，确保设计方案在高效利用资源的同时，对发酵甘油项目的长期盈利能力有积极的贡献。</w:t>
      </w:r>
    </w:p>
    <w:p>
      <w:pPr>
        <w:pStyle w:val="Heading2"/>
        <w:ind w:firstLine="560" w:firstLineChars="200"/>
        <w:rPr>
          <w:rFonts w:ascii="仿宋" w:eastAsia="仿宋" w:hAnsi="仿宋" w:cs="仿宋" w:hint="eastAsia"/>
          <w:sz w:val="28"/>
          <w:lang w:eastAsia="zh-CN"/>
        </w:rPr>
      </w:pPr>
      <w:bookmarkStart w:id="10" w:name="_Toc1754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的土建工程设计中，我们将精准设定设计年限，结合发酵甘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发酵甘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597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发酵甘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发酵甘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发酵甘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45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本期工程发酵甘油项目预计总建筑面积XXX平方米，其中：计容建筑面积XXX平方米，计划建筑工程投资XX万元，占发酵甘油项目总投资的XX%。</w:t>
      </w:r>
    </w:p>
    <w:p>
      <w:pPr>
        <w:pStyle w:val="Heading1"/>
        <w:ind w:firstLine="560" w:firstLineChars="200"/>
        <w:rPr>
          <w:rFonts w:ascii="仿宋" w:eastAsia="仿宋" w:hAnsi="仿宋" w:cs="仿宋" w:hint="eastAsia"/>
          <w:sz w:val="28"/>
          <w:lang w:eastAsia="zh-CN"/>
        </w:rPr>
      </w:pPr>
      <w:bookmarkStart w:id="13" w:name="_Toc25295"/>
      <w:r>
        <w:rPr>
          <w:rFonts w:ascii="仿宋" w:eastAsia="仿宋" w:hAnsi="仿宋" w:cs="仿宋" w:hint="eastAsia"/>
          <w:sz w:val="28"/>
          <w:lang w:eastAsia="zh-CN"/>
        </w:rPr>
        <w:t>四、发酵甘油项目绩效评估</w:t>
      </w:r>
      <w:bookmarkEnd w:id="13"/>
    </w:p>
    <w:p>
      <w:pPr>
        <w:pStyle w:val="Heading2"/>
        <w:rPr>
          <w:rFonts w:ascii="仿宋" w:eastAsia="仿宋" w:hAnsi="仿宋" w:cs="仿宋" w:hint="eastAsia"/>
          <w:lang w:eastAsia="zh-CN"/>
        </w:rPr>
      </w:pPr>
      <w:bookmarkStart w:id="14" w:name="_Toc1409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中，我们设计了一套全面的绩效评估指标，以确保发酵甘油项目的可控和成功交付。这些指标跨足发酵甘油项目目标、成本、进度和质量等多个维度，为我们提供了全面洞察发酵甘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目标达成率是我们关注的首要指标。我们设定了明确的目标，并通过定期监测和评估，迅速发现并应对潜在的目标偏差。这为发酵甘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成本绩效是另一个核心关注点。通过实际成本与预算成本的对比分析，我们深入了解成本差异的原因，及时调整资源分配，保持发酵甘油项目在经济效益方面的合理水平。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进度作为关键的绩效指标之一，得到了精心的关注。我们制定了详细的发酵甘油项目进度计划，并设立了进度符合度指标，确保实际进度与计划进度保持一致。这使我们能够快速发现和解决潜在的进度问题，保持发酵甘油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发酵甘油项目绩效的不可或缺的一环。我们引入了一系列的质量标准和客户满意度指标，以确保发酵甘油项目交付的成果在质量上达到或超越预期水平。通过持续监测这些指标，我们努力提升发酵甘油项目整体质量水平，为发酵甘油项目的成功交付提供有力保障。通过这些科学且全面的绩效评估，我们能够更好地引导发酵甘油项目的持续改进，确保发酵甘油项目目标的顺利达成。</w:t>
      </w:r>
    </w:p>
    <w:p>
      <w:pPr>
        <w:pStyle w:val="Heading2"/>
        <w:ind w:firstLine="560" w:firstLineChars="200"/>
        <w:rPr>
          <w:rFonts w:ascii="仿宋" w:eastAsia="仿宋" w:hAnsi="仿宋" w:cs="仿宋" w:hint="eastAsia"/>
          <w:sz w:val="28"/>
          <w:lang w:eastAsia="zh-CN"/>
        </w:rPr>
      </w:pPr>
      <w:bookmarkStart w:id="15" w:name="_Toc18534"/>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绩效评估是发酵甘油项目中的关键环节，为确保发酵甘油项目达到预期目标，我们采用了多层次、多维度的绩效评估方法。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发酵甘油项目的战略目标对齐，确保每个决策和行动都与发酵甘油项目整体目标保持一致。团队会定期召开战略对齐会议，审视当前工作与发酵甘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发酵甘油项目进度、质量、成本和风险等方面。这些指标通过数据收集和分析，为发酵甘油项目管理团队提供了客观的评估依据。例如，我们通过发酵甘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绩效评估不仅仅停留在发酵甘油项目内部，还考虑了发酵甘油项目对外部环境的影响。我们定期进行干系人满意度调查，以了解各利益相关方对发酵甘油项目的期望和满意度，并及时做出调整。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这种多层次、多角度的绩效评估方法，使得我们能够全面了解发酵甘油项目的运行状态，及时做出调整，确保发酵甘油项目在不断变化的环境中保持稳健前行。</w:t>
      </w:r>
    </w:p>
    <w:p>
      <w:pPr>
        <w:pStyle w:val="Heading2"/>
        <w:ind w:firstLine="560" w:firstLineChars="200"/>
        <w:rPr>
          <w:rFonts w:ascii="仿宋" w:eastAsia="仿宋" w:hAnsi="仿宋" w:cs="仿宋" w:hint="eastAsia"/>
          <w:sz w:val="28"/>
          <w:lang w:eastAsia="zh-CN"/>
        </w:rPr>
      </w:pPr>
      <w:bookmarkStart w:id="16" w:name="_Toc826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为了确保发酵甘油项目的有效管理和不断优化，我们采用了精心设计的绩效评估周期。这个周期旨在实现灵活、实时和全面的评估，以适应发酵甘油项目执行中的各种挑战。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发酵甘油项目的不同需求，分为短期、中期和长期。短期评估关注每个迭代或工作周期，以及时发现和解决当前任务中的问题。中期评估涵盖几个迭代，深入了解整体发酵甘油项目的趋势和性能。长期评估则着眼于整个发酵甘油项目阶段，确保发酵甘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发酵甘油项目管理工具和协作平台，团队成员能够随时更新和分享发酵甘油项目数据。这种实时性的反馈机制使我们能够及时察觉潜在问题，快速调整，保持发酵甘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发酵甘油项目的决策制定密不可分。每个周期的发酵甘油项目回顾会议成为集体总结经验、识别问题深层次原因并找到创新解决方案的平台。这种定期的反思与调整机制使发酵甘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4695"/>
      <w:r>
        <w:rPr>
          <w:rFonts w:ascii="仿宋" w:eastAsia="仿宋" w:hAnsi="仿宋" w:cs="仿宋" w:hint="eastAsia"/>
          <w:sz w:val="28"/>
          <w:lang w:eastAsia="zh-CN"/>
        </w:rPr>
        <w:t>五、发酵甘油项目文档管理</w:t>
      </w:r>
      <w:bookmarkEnd w:id="17"/>
    </w:p>
    <w:p>
      <w:pPr>
        <w:pStyle w:val="Heading2"/>
        <w:rPr>
          <w:rFonts w:ascii="仿宋" w:eastAsia="仿宋" w:hAnsi="仿宋" w:cs="仿宋" w:hint="eastAsia"/>
          <w:lang w:eastAsia="zh-CN"/>
        </w:rPr>
      </w:pPr>
      <w:bookmarkStart w:id="18" w:name="_Toc14011"/>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发酵甘油项目高度重视文档的质量和准确性，以支持发酵甘油项目的各项活动和决策。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文档的编制始于发酵甘油项目计划的初期，我们制定了详细的文档编制计划，明确了每个文档的内容、格式和编写责任人。在发酵甘油项目启动阶段，我们首先编制了发酵甘油项目章程，明确定义了发酵甘油项目的目标、范围、风险等关键要素。随后，发酵甘油项目团队根据计划陆续编制了需求文档、设计文档、测试文档等各类文档，确保发酵甘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酵甘油项目管理中的重要环节，旨在确保发酵甘油项目文档符合质量标准和发酵甘油项目需求。在发酵甘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除了内部审查，我们还进行了外部审查，邀请发酵甘油项目相关利益方和专业领域的专家对文档进行独立审查。这有助于获取更全面、客观的反馈，确保发酵甘油项目文档不仅符合内部标准，也满足外部需求。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发酵甘油项目在文档编制与审查方面建立了严格的管理机制，通过规范的流程和多维度的审查，确保发酵甘油项目文档的质量、准确性和可靠性，为发酵甘油项目的顺利推进提供了有力支持。</w:t>
      </w:r>
    </w:p>
    <w:p>
      <w:pPr>
        <w:pStyle w:val="Heading2"/>
        <w:ind w:firstLine="560" w:firstLineChars="200"/>
        <w:rPr>
          <w:rFonts w:ascii="仿宋" w:eastAsia="仿宋" w:hAnsi="仿宋" w:cs="仿宋" w:hint="eastAsia"/>
          <w:sz w:val="28"/>
          <w:lang w:eastAsia="zh-CN"/>
        </w:rPr>
      </w:pPr>
      <w:bookmarkStart w:id="19" w:name="_Toc25303"/>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我们通过多渠道发布文档，包括电子邮件、发酵甘油项目管理平台、内部网站等，以满足不同团队成员的偏好和需求。多渠道发布确保了信息的全面覆盖。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我们采用了精细的权限控制，确保只有授权人员可以访问敏感信息。这种安全措施保护了发酵甘油项目文档的机密性，防止了未经授权的信息泄露。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4299"/>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文档存档与归档是发酵甘油项目生命周期中一个至关重要的环节，直接关系到发酵甘油项目信息的长期保存和历史记录的完整性。在发酵甘油项目中，我们实施了一系列有效的文档存档与归档管理策略：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32051"/>
      <w:r>
        <w:rPr>
          <w:rFonts w:ascii="仿宋" w:eastAsia="仿宋" w:hAnsi="仿宋" w:cs="仿宋" w:hint="eastAsia"/>
          <w:sz w:val="28"/>
          <w:lang w:eastAsia="zh-CN"/>
        </w:rPr>
        <w:t>六、发酵甘油项目危机管理</w:t>
      </w:r>
      <w:bookmarkEnd w:id="21"/>
    </w:p>
    <w:p>
      <w:pPr>
        <w:pStyle w:val="Heading2"/>
        <w:rPr>
          <w:rFonts w:ascii="仿宋" w:eastAsia="仿宋" w:hAnsi="仿宋" w:cs="仿宋" w:hint="eastAsia"/>
          <w:lang w:eastAsia="zh-CN"/>
        </w:rPr>
      </w:pPr>
      <w:bookmarkStart w:id="22" w:name="_Toc11952"/>
      <w:r>
        <w:rPr>
          <w:rFonts w:ascii="仿宋" w:eastAsia="仿宋" w:hAnsi="仿宋" w:cs="仿宋" w:hint="eastAsia"/>
          <w:lang w:eastAsia="zh-CN"/>
        </w:rPr>
        <w:t>(一)、危机预警与识别</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甘油项目危机管理中，危机预警与识别是确保发酵甘油项目稳健运行的核心步骤。通过建立全面的监测机制，发酵甘油项目团队旨在及时发现和理解潜在的风险和危机因素，以便采取及时的预防和应对措施，确保发酵甘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首先，通过深入的风险评估，发酵甘油项目团队全面分析了整个发酵甘油项目和各个阶段可能存在的威胁。这包括准确评估每个潜在风险的发生概率和可能影响的程度，为后续危机预警提供了有力支持。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https://d.book118.com/968115061107006032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发酵甘油项目规划设计方案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EE4E4E"/>
    <w:rsid w:val="47EE4E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15061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2024-01-30T20:05:00Z</dcterms:created>
  <dcterms:modified xsi:type="dcterms:W3CDTF">2024-01-30T20:05:59Z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E434605A85994E41874A91BE5BC043FD_11</vt:lpwstr>
  </property>
  <property fmtid="{D5CDD505-2E9C-101B-9397-08002B2CF9AE}" pid="3" name="KSOProductBuildVer">
    <vt:lpwstr>2052-12.1.0.16250</vt:lpwstr>
  </property>
</Properties>
</file>