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44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-365961</wp:posOffset>
                </wp:positionH>
                <wp:positionV relativeFrom="page">
                  <wp:posOffset>3090232</wp:posOffset>
                </wp:positionV>
                <wp:extent cx="1129664" cy="414019"/>
                <wp:effectExtent l="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-365961" y="3090232"/>
                          <a:ext cx="1129664" cy="41401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105" w:line="226" w:lineRule="auto"/>
                              <w:ind w:left="20"/>
                              <w:rPr>
                                <w:sz w:val="43"/>
                                <w:szCs w:val="43"/>
                              </w:rPr>
                            </w:pPr>
                            <w:r>
                              <w:rPr>
                                <w:color w:val="737373"/>
                                <w:spacing w:val="4"/>
                                <w:sz w:val="43"/>
                                <w:szCs w:val="43"/>
                                <w14:textOutline w14:w="7968">
                                  <w14:solidFill>
                                    <w14:srgbClr w14:val="737373"/>
                                  </w14:solidFill>
                                  <w14:prstDash w14:val="solid"/>
                                  <w14:miter w14:lim="10"/>
                                </w14:textOutline>
                              </w:rPr>
                              <w:t>行业报告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5" type="#_x0000_t202" style="width:88.95pt;height:32.6pt;margin-top:243.33pt;margin-left:-28.82pt;mso-position-horizontal-relative:page;mso-position-vertical-relative:page;mso-wrap-distance-bottom:0;mso-wrap-distance-left:0;mso-wrap-distance-right:0;mso-wrap-distance-top:0;position:absolute;rotation:270;v-text-anchor:top;z-index:251659264" o:allowincell="f" filled="f" fillcolor="this" stroked="f">
                <v:textbox inset="0,0,0,0">
                  <w:txbxContent>
                    <w:p>
                      <w:pPr>
                        <w:pStyle w:val="BodyText"/>
                        <w:spacing w:before="105" w:line="226" w:lineRule="auto"/>
                        <w:ind w:left="20"/>
                        <w:rPr>
                          <w:sz w:val="43"/>
                          <w:szCs w:val="43"/>
                        </w:rPr>
                      </w:pPr>
                      <w:r>
                        <w:rPr>
                          <w:color w:val="737373"/>
                          <w:spacing w:val="4"/>
                          <w:sz w:val="43"/>
                          <w:szCs w:val="43"/>
                        </w:rPr>
                        <w:t>行业报告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17" w:line="221" w:lineRule="auto"/>
        <w:ind w:left="769"/>
        <w:rPr>
          <w:sz w:val="36"/>
          <w:szCs w:val="3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-878267</wp:posOffset>
            </wp:positionV>
            <wp:extent cx="7529828" cy="5482463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29828" cy="5482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-15"/>
          <w:sz w:val="36"/>
          <w:szCs w:val="36"/>
          <w14:textOutline w14:w="6531">
            <w14:solidFill>
              <w14:srgbClr w14:val="FFFFFF"/>
            </w14:solidFill>
            <w14:prstDash w14:val="solid"/>
            <w14:miter w14:lim="10"/>
          </w14:textOutline>
        </w:rPr>
        <w:t>医药生物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58" w:line="221" w:lineRule="auto"/>
        <w:ind w:left="738"/>
        <w:rPr>
          <w:sz w:val="18"/>
          <w:szCs w:val="18"/>
        </w:rPr>
      </w:pPr>
      <w:r>
        <w:rPr>
          <w:color w:val="FFFFFF"/>
          <w:spacing w:val="-8"/>
          <w:sz w:val="18"/>
          <w:szCs w:val="18"/>
          <w14:textOutline w14:w="3265">
            <w14:solidFill>
              <w14:srgbClr w14:val="FFFFFF"/>
            </w14:solidFill>
            <w14:prstDash w14:val="solid"/>
            <w14:miter w14:lim="10"/>
          </w14:textOutline>
        </w:rPr>
        <w:t>医药生物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40" w:line="219" w:lineRule="auto"/>
        <w:ind w:left="733"/>
        <w:outlineLvl w:val="0"/>
        <w:rPr>
          <w:sz w:val="43"/>
          <w:szCs w:val="43"/>
        </w:rPr>
      </w:pPr>
      <w:r>
        <w:rPr>
          <w:color w:val="FFFFFF"/>
          <w:spacing w:val="-3"/>
          <w:sz w:val="43"/>
          <w:szCs w:val="43"/>
          <w14:textOutline w14:w="7968">
            <w14:solidFill>
              <w14:srgbClr w14:val="FFFFFF"/>
            </w14:solidFill>
            <w14:prstDash w14:val="solid"/>
            <w14:miter w14:lim="10"/>
          </w14:textOutline>
        </w:rPr>
        <w:t>慢病系列报告（二</w:t>
      </w:r>
      <w:r>
        <w:rPr>
          <w:color w:val="FFFFFF"/>
          <w:spacing w:val="38"/>
          <w:sz w:val="43"/>
          <w:szCs w:val="43"/>
          <w14:textOutline w14:w="7968">
            <w14:solidFill>
              <w14:srgbClr w14:val="FFFFFF"/>
            </w14:solidFill>
            <w14:prstDash w14:val="solid"/>
            <w14:miter w14:lim="10"/>
          </w14:textOutline>
        </w:rPr>
        <w:t>）：</w:t>
      </w:r>
      <w:r>
        <w:rPr>
          <w:rFonts w:ascii="Arial" w:eastAsia="Arial" w:hAnsi="Arial" w:cs="Arial"/>
          <w:b/>
          <w:bCs/>
          <w:color w:val="FFFFFF"/>
          <w:spacing w:val="-3"/>
          <w:sz w:val="43"/>
          <w:szCs w:val="43"/>
        </w:rPr>
        <w:t xml:space="preserve">GLP-1RA </w:t>
      </w:r>
      <w:r>
        <w:rPr>
          <w:color w:val="FFFFFF"/>
          <w:spacing w:val="-3"/>
          <w:sz w:val="43"/>
          <w:szCs w:val="43"/>
          <w14:textOutline w14:w="7968">
            <w14:solidFill>
              <w14:srgbClr w14:val="FFFFFF"/>
            </w14:solidFill>
            <w14:prstDash w14:val="solid"/>
            <w14:miter w14:lim="10"/>
          </w14:textOutline>
        </w:rPr>
        <w:t>产业链行业深度报告</w:t>
      </w:r>
    </w:p>
    <w:p>
      <w:pPr>
        <w:spacing w:line="160" w:lineRule="exact"/>
      </w:pPr>
    </w:p>
    <w:p>
      <w:pPr>
        <w:spacing w:line="160" w:lineRule="exact"/>
        <w:sectPr>
          <w:headerReference w:type="default" r:id="rId5"/>
          <w:pgSz w:w="11907" w:h="16839"/>
          <w:pgMar w:top="400" w:right="48" w:bottom="0" w:left="0" w:header="0" w:footer="0" w:gutter="0"/>
          <w:cols w:num="1" w:space="708" w:equalWidth="0">
            <w:col w:w="11858" w:space="0"/>
          </w:cols>
        </w:sectPr>
      </w:pPr>
    </w:p>
    <w:p>
      <w:pPr>
        <w:pStyle w:val="BodyText"/>
        <w:spacing w:before="63" w:line="218" w:lineRule="auto"/>
        <w:ind w:left="729"/>
        <w:rPr>
          <w:sz w:val="31"/>
          <w:szCs w:val="31"/>
        </w:rPr>
      </w:pPr>
      <w:r>
        <w:rPr>
          <w:spacing w:val="9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减重药物时代来临，适应症拓展范围广泛</w:t>
      </w:r>
    </w:p>
    <w:p>
      <w:pPr>
        <w:pStyle w:val="BodyText"/>
        <w:spacing w:before="122" w:line="253" w:lineRule="auto"/>
        <w:ind w:left="1132" w:right="74" w:hanging="424"/>
      </w:pPr>
      <w:r>
        <w:rPr>
          <w:rFonts w:ascii="Arial" w:eastAsia="Arial" w:hAnsi="Arial" w:cs="Arial"/>
          <w:color w:val="BF0000"/>
          <w:spacing w:val="-2"/>
          <w:position w:val="3"/>
          <w:sz w:val="13"/>
          <w:szCs w:val="13"/>
        </w:rPr>
        <w:t>1</w:t>
      </w:r>
      <w:r>
        <w:rPr>
          <w:rFonts w:ascii="Arial" w:eastAsia="Arial" w:hAnsi="Arial" w:cs="Arial"/>
          <w:color w:val="BF0000"/>
          <w:spacing w:val="3"/>
          <w:position w:val="3"/>
          <w:sz w:val="13"/>
          <w:szCs w:val="13"/>
        </w:rPr>
        <w:t xml:space="preserve">         </w:t>
      </w:r>
      <w:r>
        <w:rPr>
          <w:rFonts w:ascii="Arial" w:eastAsia="Arial" w:hAnsi="Arial" w:cs="Arial"/>
          <w:b/>
          <w:bCs/>
          <w:color w:val="C00000"/>
          <w:spacing w:val="-2"/>
        </w:rPr>
        <w:t xml:space="preserve">GLP-1RA </w:t>
      </w:r>
      <w:r>
        <w:rPr>
          <w:color w:val="C00000"/>
          <w:spacing w:val="-14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在研多点开花，</w:t>
      </w:r>
      <w:r>
        <w:rPr>
          <w:color w:val="C00000"/>
          <w:spacing w:val="-14"/>
        </w:rPr>
        <w:t xml:space="preserve"> </w:t>
      </w:r>
      <w:r>
        <w:rPr>
          <w:color w:val="C00000"/>
          <w:spacing w:val="-14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多靶点、小分子大放异彩。</w:t>
      </w:r>
      <w:r>
        <w:rPr>
          <w:rFonts w:ascii="Arial" w:eastAsia="Arial" w:hAnsi="Arial" w:cs="Arial"/>
          <w:spacing w:val="-14"/>
        </w:rPr>
        <w:t>GLP-1R</w:t>
      </w:r>
      <w:r>
        <w:rPr>
          <w:spacing w:val="-14"/>
        </w:rPr>
        <w:t>、</w:t>
      </w:r>
      <w:r>
        <w:rPr>
          <w:rFonts w:ascii="Arial" w:eastAsia="Arial" w:hAnsi="Arial" w:cs="Arial"/>
          <w:spacing w:val="-14"/>
        </w:rPr>
        <w:t>GIPR</w:t>
      </w:r>
      <w:r>
        <w:rPr>
          <w:spacing w:val="-15"/>
        </w:rPr>
        <w:t>、</w:t>
      </w:r>
      <w:r>
        <w:rPr>
          <w:rFonts w:ascii="Arial" w:eastAsia="Arial" w:hAnsi="Arial" w:cs="Arial"/>
          <w:spacing w:val="-15"/>
        </w:rPr>
        <w:t>GCGR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spacing w:val="-1"/>
        </w:rPr>
        <w:t>三个靶点在降糖、减重适应症上具备较强的协同性，能够发挥出</w:t>
      </w:r>
      <w:r>
        <w:rPr>
          <w:spacing w:val="-1"/>
        </w:rPr>
        <w:t xml:space="preserve"> </w:t>
      </w:r>
      <w:r>
        <w:rPr>
          <w:rFonts w:ascii="Arial" w:eastAsia="Arial" w:hAnsi="Arial" w:cs="Arial"/>
          <w:spacing w:val="-1"/>
        </w:rPr>
        <w:t xml:space="preserve">1+1&gt;2  </w:t>
      </w:r>
      <w:r>
        <w:rPr>
          <w:spacing w:val="-1"/>
        </w:rPr>
        <w:t>的</w:t>
      </w:r>
      <w:r>
        <w:rPr>
          <w:spacing w:val="8"/>
        </w:rPr>
        <w:t xml:space="preserve"> </w:t>
      </w:r>
      <w:r>
        <w:rPr>
          <w:spacing w:val="-5"/>
        </w:rPr>
        <w:t>效果，</w:t>
      </w:r>
      <w:r>
        <w:rPr>
          <w:spacing w:val="-5"/>
        </w:rPr>
        <w:t xml:space="preserve"> </w:t>
      </w:r>
      <w:r>
        <w:rPr>
          <w:spacing w:val="-5"/>
        </w:rPr>
        <w:t>靶点间的相互组合是当前研发的主流方向。</w:t>
      </w:r>
    </w:p>
    <w:p>
      <w:pPr>
        <w:pStyle w:val="BodyText"/>
        <w:spacing w:before="160" w:line="267" w:lineRule="auto"/>
        <w:ind w:left="1128" w:hanging="420"/>
      </w:pPr>
      <w:r>
        <w:rPr>
          <w:color w:val="C00000"/>
        </w:rPr>
        <w:drawing>
          <wp:inline distT="0" distB="0" distL="0" distR="0">
            <wp:extent cx="46990" cy="107948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" cy="10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00000"/>
          <w:spacing w:val="21"/>
        </w:rPr>
        <w:t xml:space="preserve">   </w:t>
      </w:r>
      <w:r>
        <w:rPr>
          <w:color w:val="C00000"/>
          <w:spacing w:val="-1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国内</w:t>
      </w:r>
      <w:r>
        <w:rPr>
          <w:color w:val="C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-1"/>
        </w:rPr>
        <w:t xml:space="preserve">GLP-1  </w:t>
      </w:r>
      <w:r>
        <w:rPr>
          <w:color w:val="C00000"/>
          <w:spacing w:val="-1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行业即将步入收获期，降糖</w:t>
      </w:r>
      <w:r>
        <w:rPr>
          <w:rFonts w:ascii="Arial" w:eastAsia="Arial" w:hAnsi="Arial" w:cs="Arial"/>
          <w:b/>
          <w:bCs/>
          <w:color w:val="C00000"/>
          <w:spacing w:val="-1"/>
        </w:rPr>
        <w:t>+</w:t>
      </w:r>
      <w:r>
        <w:rPr>
          <w:color w:val="C00000"/>
          <w:spacing w:val="-1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减重</w:t>
      </w:r>
      <w:r>
        <w:rPr>
          <w:color w:val="C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-2"/>
        </w:rPr>
        <w:t>2030</w:t>
      </w:r>
      <w:r>
        <w:rPr>
          <w:rFonts w:ascii="Arial" w:eastAsia="Arial" w:hAnsi="Arial" w:cs="Arial"/>
          <w:b/>
          <w:bCs/>
          <w:color w:val="C00000"/>
          <w:spacing w:val="51"/>
          <w:w w:val="101"/>
        </w:rPr>
        <w:t xml:space="preserve"> </w:t>
      </w:r>
      <w:r>
        <w:rPr>
          <w:color w:val="C00000"/>
          <w:spacing w:val="-2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年市场规模有望达到</w:t>
      </w:r>
      <w:r>
        <w:rPr>
          <w:color w:val="C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-4"/>
        </w:rPr>
        <w:t xml:space="preserve">1000 </w:t>
      </w:r>
      <w:r>
        <w:rPr>
          <w:color w:val="C00000"/>
          <w:spacing w:val="-4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亿元。</w:t>
      </w:r>
      <w:r>
        <w:rPr>
          <w:spacing w:val="-4"/>
        </w:rPr>
        <w:t>（</w:t>
      </w:r>
      <w:r>
        <w:rPr>
          <w:rFonts w:ascii="Arial" w:eastAsia="Arial" w:hAnsi="Arial" w:cs="Arial"/>
          <w:spacing w:val="-4"/>
        </w:rPr>
        <w:t>1</w:t>
      </w:r>
      <w:r>
        <w:rPr>
          <w:spacing w:val="-4"/>
        </w:rPr>
        <w:t>）信达生物的</w:t>
      </w:r>
      <w:r>
        <w:rPr>
          <w:color w:val="191919"/>
          <w:spacing w:val="-4"/>
        </w:rPr>
        <w:t>玛仕度肽</w:t>
      </w:r>
      <w:r>
        <w:rPr>
          <w:spacing w:val="-4"/>
        </w:rPr>
        <w:t>（</w:t>
      </w:r>
      <w:r>
        <w:rPr>
          <w:rFonts w:ascii="Arial" w:eastAsia="Arial" w:hAnsi="Arial" w:cs="Arial"/>
          <w:spacing w:val="-4"/>
        </w:rPr>
        <w:t>GLP-1</w:t>
      </w:r>
      <w:r>
        <w:rPr>
          <w:rFonts w:ascii="Arial" w:eastAsia="Arial" w:hAnsi="Arial" w:cs="Arial"/>
          <w:spacing w:val="-5"/>
        </w:rPr>
        <w:t>R/GCGR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spacing w:val="-5"/>
        </w:rPr>
        <w:t>双重激动剂）</w:t>
      </w:r>
      <w:r>
        <w:rPr>
          <w:spacing w:val="-35"/>
        </w:rPr>
        <w:t xml:space="preserve"> </w:t>
      </w:r>
      <w:r>
        <w:rPr>
          <w:rFonts w:ascii="Arial" w:eastAsia="Arial" w:hAnsi="Arial" w:cs="Arial"/>
          <w:spacing w:val="-5"/>
        </w:rPr>
        <w:t xml:space="preserve">9mg  </w:t>
      </w:r>
      <w:r>
        <w:rPr>
          <w:spacing w:val="-4"/>
        </w:rPr>
        <w:t>剂量组</w:t>
      </w:r>
      <w:r>
        <w:rPr>
          <w:spacing w:val="-46"/>
        </w:rPr>
        <w:t xml:space="preserve"> </w:t>
      </w:r>
      <w:r>
        <w:rPr>
          <w:rFonts w:ascii="Arial" w:eastAsia="Arial" w:hAnsi="Arial" w:cs="Arial"/>
          <w:spacing w:val="-4"/>
        </w:rPr>
        <w:t xml:space="preserve">24 </w:t>
      </w:r>
      <w:r>
        <w:rPr>
          <w:spacing w:val="-4"/>
        </w:rPr>
        <w:t>周减重</w:t>
      </w:r>
      <w:r>
        <w:rPr>
          <w:spacing w:val="-29"/>
        </w:rPr>
        <w:t xml:space="preserve"> </w:t>
      </w:r>
      <w:r>
        <w:rPr>
          <w:rFonts w:ascii="Arial" w:eastAsia="Arial" w:hAnsi="Arial" w:cs="Arial"/>
          <w:spacing w:val="-4"/>
        </w:rPr>
        <w:t>15.4%</w:t>
      </w:r>
      <w:r>
        <w:rPr>
          <w:spacing w:val="-4"/>
        </w:rPr>
        <w:t>，具备双靶</w:t>
      </w:r>
      <w:r>
        <w:rPr>
          <w:spacing w:val="-39"/>
        </w:rPr>
        <w:t xml:space="preserve"> </w:t>
      </w:r>
      <w:r>
        <w:rPr>
          <w:rFonts w:ascii="Arial" w:eastAsia="Arial" w:hAnsi="Arial" w:cs="Arial"/>
          <w:spacing w:val="-4"/>
        </w:rPr>
        <w:t>BIC</w:t>
      </w:r>
      <w:r>
        <w:rPr>
          <w:rFonts w:ascii="Arial" w:eastAsia="Arial" w:hAnsi="Arial" w:cs="Arial"/>
          <w:spacing w:val="14"/>
          <w:w w:val="101"/>
        </w:rPr>
        <w:t xml:space="preserve"> </w:t>
      </w:r>
      <w:r>
        <w:rPr>
          <w:spacing w:val="-4"/>
        </w:rPr>
        <w:t>的潜力</w:t>
      </w:r>
      <w:r>
        <w:rPr>
          <w:spacing w:val="-34"/>
        </w:rPr>
        <w:t>；（</w:t>
      </w:r>
      <w:r>
        <w:rPr>
          <w:rFonts w:ascii="Arial" w:eastAsia="Arial" w:hAnsi="Arial" w:cs="Arial"/>
          <w:spacing w:val="-4"/>
        </w:rPr>
        <w:t>2</w:t>
      </w:r>
      <w:r>
        <w:rPr>
          <w:spacing w:val="-4"/>
        </w:rPr>
        <w:t>）华东医药利拉鲁肽减</w:t>
      </w:r>
      <w:r>
        <w:rPr>
          <w:spacing w:val="-4"/>
        </w:rPr>
        <w:t xml:space="preserve"> </w:t>
      </w:r>
      <w:r>
        <w:rPr>
          <w:spacing w:val="-3"/>
        </w:rPr>
        <w:t>肥适应症已获批，在研药物中双靶、三靶、小分子全面布局</w:t>
      </w:r>
      <w:r>
        <w:rPr>
          <w:spacing w:val="-35"/>
        </w:rPr>
        <w:t>；（</w:t>
      </w:r>
      <w:r>
        <w:rPr>
          <w:rFonts w:ascii="Arial" w:eastAsia="Arial" w:hAnsi="Arial" w:cs="Arial"/>
          <w:spacing w:val="-3"/>
        </w:rPr>
        <w:t>3</w:t>
      </w:r>
      <w:r>
        <w:rPr>
          <w:spacing w:val="-4"/>
        </w:rPr>
        <w:t>）恒瑞小分</w:t>
      </w:r>
      <w:r>
        <w:rPr>
          <w:spacing w:val="-4"/>
        </w:rPr>
        <w:t xml:space="preserve"> </w:t>
      </w:r>
      <w:r>
        <w:rPr>
          <w:spacing w:val="-2"/>
        </w:rPr>
        <w:t>子</w:t>
      </w:r>
      <w:r>
        <w:rPr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>GLP-1RA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spacing w:val="-2"/>
        </w:rPr>
        <w:t>及</w:t>
      </w:r>
      <w:r>
        <w:rPr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>GLP-1R/G</w:t>
      </w:r>
      <w:r>
        <w:rPr>
          <w:rFonts w:ascii="Arial" w:eastAsia="Arial" w:hAnsi="Arial" w:cs="Arial"/>
          <w:spacing w:val="-3"/>
        </w:rPr>
        <w:t xml:space="preserve">IPR  </w:t>
      </w:r>
      <w:r>
        <w:rPr>
          <w:spacing w:val="-3"/>
        </w:rPr>
        <w:t>双靶点激动剂</w:t>
      </w:r>
      <w:r>
        <w:rPr>
          <w:spacing w:val="-3"/>
        </w:rPr>
        <w:t xml:space="preserve"> </w:t>
      </w:r>
      <w:r>
        <w:rPr>
          <w:rFonts w:ascii="Arial" w:eastAsia="Arial" w:hAnsi="Arial" w:cs="Arial"/>
          <w:spacing w:val="-3"/>
        </w:rPr>
        <w:t xml:space="preserve">I  </w:t>
      </w:r>
      <w:r>
        <w:rPr>
          <w:spacing w:val="-3"/>
        </w:rPr>
        <w:t>期数据优异</w:t>
      </w:r>
      <w:r>
        <w:rPr>
          <w:spacing w:val="-29"/>
        </w:rPr>
        <w:t>；（</w:t>
      </w:r>
      <w:r>
        <w:rPr>
          <w:rFonts w:ascii="Arial" w:eastAsia="Arial" w:hAnsi="Arial" w:cs="Arial"/>
          <w:spacing w:val="-3"/>
        </w:rPr>
        <w:t>4</w:t>
      </w:r>
      <w:r>
        <w:rPr>
          <w:spacing w:val="-3"/>
        </w:rPr>
        <w:t>）先为达</w:t>
      </w:r>
      <w:r>
        <w:rPr>
          <w:spacing w:val="-3"/>
        </w:rPr>
        <w:t xml:space="preserve"> </w:t>
      </w:r>
      <w:r>
        <w:rPr>
          <w:rFonts w:ascii="Arial" w:eastAsia="Arial" w:hAnsi="Arial" w:cs="Arial"/>
          <w:spacing w:val="-3"/>
        </w:rPr>
        <w:t xml:space="preserve">2.4mg </w:t>
      </w:r>
      <w:r>
        <w:rPr>
          <w:spacing w:val="-3"/>
        </w:rPr>
        <w:t>剂量组</w:t>
      </w:r>
      <w:r>
        <w:rPr>
          <w:spacing w:val="-45"/>
        </w:rPr>
        <w:t xml:space="preserve"> </w:t>
      </w:r>
      <w:r>
        <w:rPr>
          <w:rFonts w:ascii="Arial" w:eastAsia="Arial" w:hAnsi="Arial" w:cs="Arial"/>
          <w:spacing w:val="-3"/>
        </w:rPr>
        <w:t xml:space="preserve">26 </w:t>
      </w:r>
      <w:r>
        <w:rPr>
          <w:spacing w:val="-3"/>
        </w:rPr>
        <w:t>周减重</w:t>
      </w:r>
      <w:r>
        <w:rPr>
          <w:spacing w:val="-29"/>
        </w:rPr>
        <w:t xml:space="preserve"> </w:t>
      </w:r>
      <w:r>
        <w:rPr>
          <w:rFonts w:ascii="Arial" w:eastAsia="Arial" w:hAnsi="Arial" w:cs="Arial"/>
          <w:spacing w:val="-3"/>
        </w:rPr>
        <w:t>14.7%</w:t>
      </w:r>
      <w:r>
        <w:rPr>
          <w:spacing w:val="-48"/>
          <w:w w:val="81"/>
        </w:rPr>
        <w:t>；（</w:t>
      </w:r>
      <w:r>
        <w:rPr>
          <w:rFonts w:ascii="Arial" w:eastAsia="Arial" w:hAnsi="Arial" w:cs="Arial"/>
          <w:spacing w:val="-3"/>
        </w:rPr>
        <w:t>4</w:t>
      </w:r>
      <w:r>
        <w:rPr>
          <w:spacing w:val="-3"/>
        </w:rPr>
        <w:t>）根</w:t>
      </w:r>
      <w:r>
        <w:rPr>
          <w:spacing w:val="-4"/>
        </w:rPr>
        <w:t>据我们的测算，</w:t>
      </w:r>
      <w:r>
        <w:rPr>
          <w:rFonts w:ascii="Arial" w:eastAsia="Arial" w:hAnsi="Arial" w:cs="Arial"/>
          <w:spacing w:val="-4"/>
        </w:rPr>
        <w:t xml:space="preserve">GLP-1 </w:t>
      </w:r>
      <w:r>
        <w:rPr>
          <w:spacing w:val="-4"/>
        </w:rPr>
        <w:t>针对糖尿病、</w:t>
      </w:r>
      <w:r>
        <w:t xml:space="preserve"> </w:t>
      </w:r>
      <w:r>
        <w:rPr>
          <w:spacing w:val="-1"/>
        </w:rPr>
        <w:t>超重、肥胖三种适应症的市场空间分别有望达到</w:t>
      </w:r>
      <w:r>
        <w:rPr>
          <w:spacing w:val="-43"/>
        </w:rPr>
        <w:t xml:space="preserve"> </w:t>
      </w:r>
      <w:r>
        <w:rPr>
          <w:rFonts w:ascii="Arial" w:eastAsia="Arial" w:hAnsi="Arial" w:cs="Arial"/>
          <w:spacing w:val="-1"/>
        </w:rPr>
        <w:t xml:space="preserve">430 </w:t>
      </w:r>
      <w:r>
        <w:rPr>
          <w:spacing w:val="-1"/>
        </w:rPr>
        <w:t>亿元、</w:t>
      </w:r>
      <w:r>
        <w:rPr>
          <w:rFonts w:ascii="Arial" w:eastAsia="Arial" w:hAnsi="Arial" w:cs="Arial"/>
          <w:spacing w:val="-1"/>
        </w:rPr>
        <w:t xml:space="preserve">150 </w:t>
      </w:r>
      <w:r>
        <w:rPr>
          <w:spacing w:val="-1"/>
        </w:rPr>
        <w:t>亿元、</w:t>
      </w:r>
      <w:r>
        <w:rPr>
          <w:rFonts w:ascii="Arial" w:eastAsia="Arial" w:hAnsi="Arial" w:cs="Arial"/>
          <w:spacing w:val="-1"/>
        </w:rPr>
        <w:t xml:space="preserve">430  </w:t>
      </w:r>
      <w:r>
        <w:rPr>
          <w:spacing w:val="-16"/>
        </w:rPr>
        <w:t>亿元，</w:t>
      </w:r>
      <w:r>
        <w:rPr>
          <w:spacing w:val="24"/>
        </w:rPr>
        <w:t xml:space="preserve"> </w:t>
      </w:r>
      <w:r>
        <w:rPr>
          <w:spacing w:val="-16"/>
        </w:rPr>
        <w:t>空间巨大。</w:t>
      </w:r>
    </w:p>
    <w:p>
      <w:pPr>
        <w:pStyle w:val="BodyText"/>
        <w:spacing w:before="160" w:line="265" w:lineRule="auto"/>
        <w:ind w:left="1141" w:right="76" w:hanging="433"/>
        <w:sectPr>
          <w:headerReference w:type="default" r:id="rId7"/>
          <w:type w:val="continuous"/>
          <w:pgSz w:w="11907" w:h="16839"/>
          <w:pgMar w:top="400" w:right="48" w:bottom="0" w:left="0" w:header="0" w:footer="0" w:gutter="0"/>
          <w:pgNumType w:start="2"/>
          <w:cols w:num="2" w:space="708" w:equalWidth="0">
            <w:col w:w="8088" w:space="28"/>
            <w:col w:w="3743" w:space="0"/>
          </w:cols>
        </w:sectPr>
      </w:pPr>
      <w:r>
        <w:rPr>
          <w:rFonts w:ascii="Arial" w:eastAsia="Arial" w:hAnsi="Arial" w:cs="Arial"/>
          <w:color w:val="BF0000"/>
          <w:spacing w:val="1"/>
          <w:position w:val="3"/>
          <w:sz w:val="13"/>
          <w:szCs w:val="13"/>
        </w:rPr>
        <w:t>1</w:t>
      </w:r>
      <w:r>
        <w:rPr>
          <w:rFonts w:ascii="Arial" w:eastAsia="Arial" w:hAnsi="Arial" w:cs="Arial"/>
          <w:color w:val="BF0000"/>
          <w:spacing w:val="3"/>
          <w:position w:val="3"/>
          <w:sz w:val="13"/>
          <w:szCs w:val="13"/>
        </w:rPr>
        <w:t xml:space="preserve">         </w:t>
      </w:r>
      <w:r>
        <w:rPr>
          <w:color w:val="CA2420"/>
          <w:spacing w:val="-7"/>
          <w14:textOutline w14:w="3831">
            <w14:solidFill>
              <w14:srgbClr w14:val="CA2420"/>
            </w14:solidFill>
            <w14:prstDash w14:val="solid"/>
            <w14:miter w14:lim="10"/>
          </w14:textOutline>
        </w:rPr>
        <w:t>早期临床数据优异，</w:t>
      </w:r>
      <w:r>
        <w:rPr>
          <w:color w:val="CA2420"/>
          <w:spacing w:val="62"/>
        </w:rPr>
        <w:t xml:space="preserve"> </w:t>
      </w:r>
      <w:r>
        <w:rPr>
          <w:rFonts w:ascii="Arial" w:eastAsia="Arial" w:hAnsi="Arial" w:cs="Arial"/>
          <w:b/>
          <w:bCs/>
          <w:color w:val="CA2420"/>
          <w:spacing w:val="-7"/>
        </w:rPr>
        <w:t xml:space="preserve">NASH </w:t>
      </w:r>
      <w:r>
        <w:rPr>
          <w:color w:val="CA2420"/>
          <w:spacing w:val="-7"/>
          <w14:textOutline w14:w="3831">
            <w14:solidFill>
              <w14:srgbClr w14:val="CA2420"/>
            </w14:solidFill>
            <w14:prstDash w14:val="solid"/>
            <w14:miter w14:lim="10"/>
          </w14:textOutline>
        </w:rPr>
        <w:t>有望成为</w:t>
      </w:r>
      <w:r>
        <w:rPr>
          <w:color w:val="CA2420"/>
          <w:spacing w:val="-34"/>
        </w:rPr>
        <w:t xml:space="preserve"> </w:t>
      </w:r>
      <w:r>
        <w:rPr>
          <w:rFonts w:ascii="Arial" w:eastAsia="Arial" w:hAnsi="Arial" w:cs="Arial"/>
          <w:b/>
          <w:bCs/>
          <w:color w:val="CA2420"/>
          <w:spacing w:val="-7"/>
        </w:rPr>
        <w:t>GLP-1</w:t>
      </w:r>
      <w:r>
        <w:rPr>
          <w:rFonts w:ascii="Arial" w:eastAsia="Arial" w:hAnsi="Arial" w:cs="Arial"/>
          <w:b/>
          <w:bCs/>
          <w:color w:val="CA2420"/>
          <w:spacing w:val="19"/>
          <w:w w:val="101"/>
        </w:rPr>
        <w:t xml:space="preserve"> </w:t>
      </w:r>
      <w:r>
        <w:rPr>
          <w:color w:val="CA2420"/>
          <w:spacing w:val="-8"/>
          <w14:textOutline w14:w="3831">
            <w14:solidFill>
              <w14:srgbClr w14:val="CA2420"/>
            </w14:solidFill>
            <w14:prstDash w14:val="solid"/>
            <w14:miter w14:lim="10"/>
          </w14:textOutline>
        </w:rPr>
        <w:t>药物下一主战场。</w:t>
      </w:r>
      <w:r>
        <w:rPr>
          <w:color w:val="CA2420"/>
          <w:spacing w:val="-8"/>
        </w:rPr>
        <w:t xml:space="preserve"> </w:t>
      </w:r>
      <w:r>
        <w:rPr>
          <w:rFonts w:ascii="Arial" w:eastAsia="Arial" w:hAnsi="Arial" w:cs="Arial"/>
          <w:spacing w:val="-8"/>
        </w:rPr>
        <w:t xml:space="preserve">NASH </w:t>
      </w:r>
      <w:r>
        <w:rPr>
          <w:spacing w:val="-8"/>
        </w:rPr>
        <w:t>将是</w:t>
      </w:r>
      <w:r>
        <w:t xml:space="preserve"> </w:t>
      </w:r>
      <w:r>
        <w:rPr>
          <w:spacing w:val="-3"/>
        </w:rPr>
        <w:t>减重之后的蓝海市场，</w:t>
      </w:r>
      <w:r>
        <w:rPr>
          <w:spacing w:val="-3"/>
        </w:rPr>
        <w:t xml:space="preserve"> </w:t>
      </w:r>
      <w:r>
        <w:rPr>
          <w:spacing w:val="-3"/>
        </w:rPr>
        <w:t>由于发病机制复杂，</w:t>
      </w:r>
      <w:r>
        <w:rPr>
          <w:spacing w:val="-46"/>
        </w:rPr>
        <w:t xml:space="preserve"> </w:t>
      </w:r>
      <w:r>
        <w:rPr>
          <w:spacing w:val="-3"/>
        </w:rPr>
        <w:t>目前尚无药物获批。</w:t>
      </w:r>
      <w:r>
        <w:rPr>
          <w:rFonts w:ascii="Arial" w:eastAsia="Arial" w:hAnsi="Arial" w:cs="Arial"/>
          <w:spacing w:val="-3"/>
        </w:rPr>
        <w:t xml:space="preserve">GLP-1  </w:t>
      </w:r>
      <w:r>
        <w:rPr>
          <w:spacing w:val="-3"/>
        </w:rPr>
        <w:t>在</w:t>
      </w:r>
      <w:r>
        <w:t xml:space="preserve"> </w:t>
      </w:r>
      <w:r>
        <w:rPr>
          <w:rFonts w:ascii="Arial" w:eastAsia="Arial" w:hAnsi="Arial" w:cs="Arial"/>
        </w:rPr>
        <w:t>NASH</w:t>
      </w:r>
      <w:r>
        <w:rPr>
          <w:rFonts w:ascii="Arial" w:eastAsia="Arial" w:hAnsi="Arial" w:cs="Arial"/>
          <w:spacing w:val="2"/>
        </w:rPr>
        <w:t xml:space="preserve">  </w:t>
      </w:r>
    </w:p>
    <w:p>
      <w:pPr>
        <w:pStyle w:val="BodyText"/>
        <w:spacing w:before="160" w:line="265" w:lineRule="auto"/>
        <w:ind w:left="1141" w:right="76" w:hanging="433"/>
      </w:pPr>
      <w:r>
        <w:rPr>
          <w:spacing w:val="2"/>
        </w:rPr>
        <w:t>适应症上展现出了较大的潜力，</w:t>
      </w:r>
      <w:r>
        <w:rPr>
          <w:spacing w:val="-43"/>
        </w:rPr>
        <w:t xml:space="preserve"> </w:t>
      </w:r>
      <w:r>
        <w:rPr>
          <w:spacing w:val="2"/>
        </w:rPr>
        <w:t>司美格鲁肽针对</w:t>
      </w:r>
      <w:r>
        <w:rPr>
          <w:spacing w:val="2"/>
        </w:rPr>
        <w:t xml:space="preserve"> </w:t>
      </w:r>
      <w:r>
        <w:rPr>
          <w:rFonts w:ascii="Arial" w:eastAsia="Arial" w:hAnsi="Arial" w:cs="Arial"/>
          <w:spacing w:val="2"/>
        </w:rPr>
        <w:t xml:space="preserve">F2-F3  </w:t>
      </w:r>
      <w:r>
        <w:rPr>
          <w:spacing w:val="2"/>
        </w:rPr>
        <w:t>级纤维化</w:t>
      </w:r>
      <w:r>
        <w:t xml:space="preserve"> </w:t>
      </w:r>
      <w:r>
        <w:rPr>
          <w:rFonts w:ascii="Arial" w:eastAsia="Arial" w:hAnsi="Arial" w:cs="Arial"/>
          <w:spacing w:val="-2"/>
        </w:rPr>
        <w:t>NASH</w:t>
      </w:r>
      <w:r>
        <w:rPr>
          <w:rFonts w:ascii="Arial" w:eastAsia="Arial" w:hAnsi="Arial" w:cs="Arial"/>
          <w:spacing w:val="27"/>
          <w:w w:val="101"/>
        </w:rPr>
        <w:t xml:space="preserve"> </w:t>
      </w:r>
      <w:r>
        <w:rPr>
          <w:spacing w:val="-2"/>
        </w:rPr>
        <w:t>患者</w:t>
      </w:r>
      <w:r>
        <w:rPr>
          <w:spacing w:val="-30"/>
        </w:rPr>
        <w:t xml:space="preserve"> </w:t>
      </w:r>
      <w:r>
        <w:rPr>
          <w:rFonts w:ascii="Arial" w:eastAsia="Arial" w:hAnsi="Arial" w:cs="Arial"/>
          <w:spacing w:val="-2"/>
        </w:rPr>
        <w:t xml:space="preserve">II </w:t>
      </w:r>
      <w:r>
        <w:rPr>
          <w:spacing w:val="-2"/>
        </w:rPr>
        <w:t>期数据积极，默沙东</w:t>
      </w:r>
      <w:r>
        <w:rPr>
          <w:spacing w:val="-39"/>
        </w:rPr>
        <w:t xml:space="preserve"> </w:t>
      </w:r>
      <w:r>
        <w:rPr>
          <w:rFonts w:ascii="Arial" w:eastAsia="Arial" w:hAnsi="Arial" w:cs="Arial"/>
          <w:spacing w:val="-2"/>
        </w:rPr>
        <w:t xml:space="preserve">GLP-1R/GCGR </w:t>
      </w:r>
      <w:r>
        <w:rPr>
          <w:spacing w:val="-2"/>
        </w:rPr>
        <w:t>双靶</w:t>
      </w:r>
      <w:r>
        <w:rPr>
          <w:spacing w:val="-32"/>
        </w:rPr>
        <w:t xml:space="preserve"> </w:t>
      </w:r>
      <w:r>
        <w:rPr>
          <w:rFonts w:ascii="Arial" w:eastAsia="Arial" w:hAnsi="Arial" w:cs="Arial"/>
          <w:spacing w:val="-2"/>
        </w:rPr>
        <w:t xml:space="preserve">Efinopegdutide </w:t>
      </w:r>
      <w:r>
        <w:rPr>
          <w:spacing w:val="-2"/>
        </w:rPr>
        <w:t>在</w:t>
      </w:r>
      <w:r>
        <w:t xml:space="preserve"> </w:t>
      </w:r>
      <w:r>
        <w:rPr>
          <w:rFonts w:ascii="Arial" w:eastAsia="Arial" w:hAnsi="Arial" w:cs="Arial"/>
          <w:spacing w:val="-5"/>
        </w:rPr>
        <w:t>NAFLD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spacing w:val="-5"/>
        </w:rPr>
        <w:t>患者中数据显著优于司美格鲁肽，</w:t>
      </w:r>
      <w:r>
        <w:rPr>
          <w:spacing w:val="-59"/>
        </w:rPr>
        <w:t xml:space="preserve"> </w:t>
      </w:r>
      <w:r>
        <w:rPr>
          <w:rFonts w:ascii="Arial" w:eastAsia="Arial" w:hAnsi="Arial" w:cs="Arial"/>
          <w:spacing w:val="-5"/>
        </w:rPr>
        <w:t>GLP-1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spacing w:val="-5"/>
        </w:rPr>
        <w:t>与其他</w:t>
      </w:r>
      <w:r>
        <w:rPr>
          <w:spacing w:val="-39"/>
        </w:rPr>
        <w:t xml:space="preserve"> </w:t>
      </w:r>
      <w:r>
        <w:rPr>
          <w:rFonts w:ascii="Arial" w:eastAsia="Arial" w:hAnsi="Arial" w:cs="Arial"/>
          <w:spacing w:val="-5"/>
        </w:rPr>
        <w:t>NASH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spacing w:val="-5"/>
        </w:rPr>
        <w:t>药物联用协</w:t>
      </w:r>
      <w:r>
        <w:t xml:space="preserve"> </w:t>
      </w:r>
      <w:r>
        <w:rPr>
          <w:spacing w:val="-2"/>
        </w:rPr>
        <w:t>同效应明显。</w:t>
      </w:r>
    </w:p>
    <w:p>
      <w:pPr>
        <w:pStyle w:val="BodyText"/>
        <w:spacing w:before="159" w:line="245" w:lineRule="auto"/>
        <w:ind w:left="1132" w:right="74" w:hanging="424"/>
      </w:pPr>
      <w:r>
        <w:rPr>
          <w:rFonts w:ascii="Arial" w:eastAsia="Arial" w:hAnsi="Arial" w:cs="Arial"/>
          <w:color w:val="CA2420"/>
        </w:rPr>
        <w:drawing>
          <wp:inline distT="0" distB="0" distL="0" distR="0">
            <wp:extent cx="46990" cy="107948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90" cy="10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CA2420"/>
          <w:spacing w:val="1"/>
        </w:rPr>
        <w:t xml:space="preserve">      </w:t>
      </w:r>
      <w:r>
        <w:rPr>
          <w:rFonts w:ascii="Arial" w:eastAsia="Arial" w:hAnsi="Arial" w:cs="Arial"/>
          <w:b/>
          <w:bCs/>
          <w:color w:val="CA2420"/>
          <w:spacing w:val="-5"/>
        </w:rPr>
        <w:t>GLP-1</w:t>
      </w:r>
      <w:r>
        <w:rPr>
          <w:rFonts w:ascii="Arial" w:eastAsia="Arial" w:hAnsi="Arial" w:cs="Arial"/>
          <w:b/>
          <w:bCs/>
          <w:color w:val="CA2420"/>
          <w:spacing w:val="22"/>
        </w:rPr>
        <w:t xml:space="preserve"> </w:t>
      </w:r>
      <w:r>
        <w:rPr>
          <w:color w:val="CA2420"/>
          <w:spacing w:val="-5"/>
          <w14:textOutline w14:w="3831">
            <w14:solidFill>
              <w14:srgbClr w14:val="CA2420"/>
            </w14:solidFill>
            <w14:prstDash w14:val="solid"/>
            <w14:miter w14:lim="10"/>
          </w14:textOutline>
        </w:rPr>
        <w:t>药物带动产业链上游景气度提升。</w:t>
      </w:r>
      <w:r>
        <w:rPr>
          <w:color w:val="CA2420"/>
          <w:spacing w:val="43"/>
        </w:rPr>
        <w:t xml:space="preserve"> </w:t>
      </w:r>
      <w:r>
        <w:rPr>
          <w:spacing w:val="-5"/>
        </w:rPr>
        <w:t>下游</w:t>
      </w:r>
      <w:r>
        <w:rPr>
          <w:spacing w:val="-34"/>
        </w:rPr>
        <w:t xml:space="preserve"> </w:t>
      </w:r>
      <w:r>
        <w:rPr>
          <w:rFonts w:ascii="Arial" w:eastAsia="Arial" w:hAnsi="Arial" w:cs="Arial"/>
          <w:spacing w:val="-5"/>
        </w:rPr>
        <w:t>GLP-1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spacing w:val="-5"/>
        </w:rPr>
        <w:t>制剂</w:t>
      </w:r>
      <w:r>
        <w:rPr>
          <w:spacing w:val="-6"/>
        </w:rPr>
        <w:t>的空间拉动上游</w:t>
      </w:r>
      <w:r>
        <w:t xml:space="preserve"> </w:t>
      </w:r>
      <w:r>
        <w:rPr>
          <w:spacing w:val="-4"/>
        </w:rPr>
        <w:t>产业链的需求提升，</w:t>
      </w:r>
      <w:r>
        <w:rPr>
          <w:spacing w:val="-25"/>
        </w:rPr>
        <w:t xml:space="preserve"> </w:t>
      </w:r>
      <w:r>
        <w:rPr>
          <w:spacing w:val="-4"/>
        </w:rPr>
        <w:t>包括合成原料药所需的原材料、生产过程涉及到的合成</w:t>
      </w:r>
      <w:r>
        <w:t xml:space="preserve"> </w:t>
      </w:r>
      <w:r>
        <w:rPr>
          <w:spacing w:val="-4"/>
        </w:rPr>
        <w:t>载体和分离纯化装置、注射笔、原料药、</w:t>
      </w:r>
      <w:r>
        <w:rPr>
          <w:spacing w:val="-13"/>
        </w:rPr>
        <w:t xml:space="preserve"> </w:t>
      </w:r>
      <w:r>
        <w:rPr>
          <w:rFonts w:ascii="Arial" w:eastAsia="Arial" w:hAnsi="Arial" w:cs="Arial"/>
          <w:spacing w:val="-4"/>
        </w:rPr>
        <w:t>CDMO</w:t>
      </w:r>
      <w:r>
        <w:rPr>
          <w:spacing w:val="-4"/>
        </w:rPr>
        <w:t>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69" w:line="218" w:lineRule="auto"/>
      </w:pPr>
      <w:r>
        <w:rPr>
          <w:color w:val="C00000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证券研究报告</w:t>
      </w:r>
    </w:p>
    <w:p>
      <w:pPr>
        <w:pStyle w:val="BodyText"/>
        <w:spacing w:before="157" w:line="217" w:lineRule="auto"/>
        <w:ind w:left="10"/>
        <w:rPr>
          <w:sz w:val="18"/>
          <w:szCs w:val="18"/>
        </w:rPr>
      </w:pPr>
      <w:r>
        <w:rPr>
          <w:rFonts w:ascii="Arial" w:eastAsia="Arial" w:hAnsi="Arial" w:cs="Arial"/>
          <w:spacing w:val="-5"/>
          <w:sz w:val="18"/>
          <w:szCs w:val="18"/>
        </w:rPr>
        <w:t xml:space="preserve">2024 </w:t>
      </w:r>
      <w:r>
        <w:rPr>
          <w:spacing w:val="-5"/>
          <w:sz w:val="18"/>
          <w:szCs w:val="18"/>
        </w:rPr>
        <w:t>年</w:t>
      </w:r>
      <w:r>
        <w:rPr>
          <w:spacing w:val="-3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01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spacing w:val="-5"/>
          <w:sz w:val="18"/>
          <w:szCs w:val="18"/>
        </w:rPr>
        <w:t>月</w:t>
      </w:r>
      <w:r>
        <w:rPr>
          <w:spacing w:val="-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10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spacing w:val="-5"/>
          <w:sz w:val="18"/>
          <w:szCs w:val="18"/>
        </w:rPr>
        <w:t>日</w:t>
      </w:r>
    </w:p>
    <w:p>
      <w:pPr>
        <w:spacing w:line="317" w:lineRule="auto"/>
        <w:rPr>
          <w:rFonts w:ascii="Arial"/>
          <w:sz w:val="21"/>
        </w:rPr>
      </w:pPr>
    </w:p>
    <w:p>
      <w:pPr>
        <w:pStyle w:val="BodyText"/>
        <w:spacing w:before="70" w:line="218" w:lineRule="auto"/>
        <w:ind w:left="16"/>
      </w:pP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分析师</w:t>
      </w:r>
    </w:p>
    <w:p>
      <w:pPr>
        <w:spacing w:line="14" w:lineRule="exact"/>
      </w:pPr>
    </w:p>
    <w:tbl>
      <w:tblPr>
        <w:tblStyle w:val="TableNormal0"/>
        <w:tblW w:w="3106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106"/>
      </w:tblGrid>
      <w:tr>
        <w:tblPrEx>
          <w:tblW w:w="3106" w:type="dxa"/>
          <w:tblInd w:w="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81"/>
        </w:trPr>
        <w:tc>
          <w:tcPr>
            <w:tcW w:w="3106" w:type="dxa"/>
            <w:tcBorders>
              <w:top w:val="single" w:sz="2" w:space="0" w:color="CA2420"/>
              <w:bottom w:val="single" w:sz="2" w:space="0" w:color="CA2420"/>
            </w:tcBorders>
            <w:vAlign w:val="top"/>
          </w:tcPr>
          <w:p>
            <w:pPr>
              <w:spacing w:before="71" w:line="205" w:lineRule="auto"/>
              <w:ind w:left="30"/>
              <w:rPr>
                <w:rFonts w:ascii="KaiTi" w:eastAsia="KaiTi" w:hAnsi="KaiTi" w:cs="KaiTi"/>
                <w:sz w:val="18"/>
                <w:szCs w:val="18"/>
              </w:rPr>
            </w:pPr>
            <w:r>
              <w:rPr>
                <w:rFonts w:ascii="KaiTi" w:eastAsia="KaiTi" w:hAnsi="KaiTi" w:cs="KaiTi"/>
                <w:spacing w:val="-5"/>
                <w:sz w:val="18"/>
                <w:szCs w:val="18"/>
              </w:rPr>
              <w:t>医药研究团队</w:t>
            </w:r>
          </w:p>
        </w:tc>
      </w:tr>
      <w:tr>
        <w:tblPrEx>
          <w:tblW w:w="3106" w:type="dxa"/>
          <w:tblInd w:w="5" w:type="dxa"/>
          <w:tblLayout w:type="fixed"/>
        </w:tblPrEx>
        <w:trPr>
          <w:trHeight w:val="848"/>
        </w:trPr>
        <w:tc>
          <w:tcPr>
            <w:tcW w:w="3106" w:type="dxa"/>
            <w:tcBorders>
              <w:top w:val="single" w:sz="2" w:space="0" w:color="CA2420"/>
              <w:bottom w:val="single" w:sz="2" w:space="0" w:color="CA2420"/>
            </w:tcBorders>
            <w:vAlign w:val="top"/>
          </w:tcPr>
          <w:p>
            <w:pPr>
              <w:spacing w:before="68" w:line="220" w:lineRule="auto"/>
              <w:ind w:left="1318"/>
              <w:rPr>
                <w:rFonts w:ascii="KaiTi" w:eastAsia="KaiTi" w:hAnsi="KaiTi" w:cs="KaiTi"/>
                <w:sz w:val="18"/>
                <w:szCs w:val="18"/>
              </w:rPr>
            </w:pPr>
            <w:r>
              <w:rPr>
                <w:rFonts w:ascii="KaiTi" w:eastAsia="KaiTi" w:hAnsi="KaiTi" w:cs="KaiTi"/>
                <w:spacing w:val="-12"/>
                <w:sz w:val="18"/>
                <w:szCs w:val="18"/>
                <w14:textOutline w14:w="326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肖鸿德</w:t>
            </w:r>
          </w:p>
          <w:p>
            <w:pPr>
              <w:spacing w:before="92" w:line="276" w:lineRule="auto"/>
              <w:ind w:left="343" w:right="335" w:firstLine="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hongde.xiao@nomuraoi-sec.com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SAC </w:t>
            </w:r>
            <w:r>
              <w:rPr>
                <w:rFonts w:ascii="KaiTi" w:eastAsia="KaiTi" w:hAnsi="KaiTi" w:cs="KaiTi"/>
                <w:spacing w:val="-3"/>
                <w:sz w:val="16"/>
                <w:szCs w:val="16"/>
              </w:rPr>
              <w:t>执证编号：</w:t>
            </w:r>
            <w:r>
              <w:rPr>
                <w:rFonts w:ascii="KaiTi" w:eastAsia="KaiTi" w:hAnsi="KaiTi" w:cs="KaiTi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S172052307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0001</w:t>
            </w:r>
          </w:p>
        </w:tc>
      </w:tr>
    </w:tbl>
    <w:p>
      <w:pPr>
        <w:spacing w:line="279" w:lineRule="auto"/>
        <w:rPr>
          <w:rFonts w:ascii="Arial"/>
          <w:sz w:val="21"/>
        </w:rPr>
      </w:pPr>
    </w:p>
    <w:p>
      <w:pPr>
        <w:pStyle w:val="BodyText"/>
        <w:spacing w:before="60" w:line="222" w:lineRule="auto"/>
        <w:ind w:left="1297"/>
        <w:rPr>
          <w:sz w:val="18"/>
          <w:szCs w:val="18"/>
        </w:rPr>
      </w:pPr>
      <w:r>
        <w:rPr>
          <w:spacing w:val="-3"/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孔令岩</w:t>
      </w:r>
    </w:p>
    <w:p>
      <w:pPr>
        <w:spacing w:before="101" w:line="261" w:lineRule="exact"/>
        <w:ind w:left="38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9"/>
          <w:sz w:val="16"/>
          <w:szCs w:val="16"/>
        </w:rPr>
        <w:t>lingyan.kong@nomuraoi</w:t>
      </w:r>
      <w:r>
        <w:rPr>
          <w:rFonts w:ascii="Arial" w:eastAsia="Arial" w:hAnsi="Arial" w:cs="Arial"/>
          <w:spacing w:val="-1"/>
          <w:position w:val="9"/>
          <w:sz w:val="16"/>
          <w:szCs w:val="16"/>
        </w:rPr>
        <w:t>-sec.com</w:t>
      </w:r>
    </w:p>
    <w:p>
      <w:pPr>
        <w:pStyle w:val="BodyText"/>
        <w:spacing w:line="218" w:lineRule="auto"/>
        <w:ind w:left="34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sz w:val="16"/>
          <w:szCs w:val="16"/>
        </w:rPr>
        <w:t xml:space="preserve">SAC </w:t>
      </w:r>
      <w:r>
        <w:rPr>
          <w:spacing w:val="-3"/>
          <w:sz w:val="16"/>
          <w:szCs w:val="16"/>
        </w:rPr>
        <w:t>执证编号：</w:t>
      </w:r>
      <w:r>
        <w:rPr>
          <w:spacing w:val="-1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3"/>
          <w:sz w:val="16"/>
          <w:szCs w:val="16"/>
        </w:rPr>
        <w:t>S172052305</w:t>
      </w:r>
      <w:r>
        <w:rPr>
          <w:rFonts w:ascii="Arial" w:eastAsia="Arial" w:hAnsi="Arial" w:cs="Arial"/>
          <w:spacing w:val="-4"/>
          <w:sz w:val="16"/>
          <w:szCs w:val="16"/>
        </w:rPr>
        <w:t>0001</w:t>
      </w:r>
    </w:p>
    <w:p>
      <w:pPr>
        <w:spacing w:line="218" w:lineRule="auto"/>
        <w:rPr>
          <w:rFonts w:ascii="Arial" w:eastAsia="Arial" w:hAnsi="Arial" w:cs="Arial"/>
          <w:sz w:val="16"/>
          <w:szCs w:val="16"/>
        </w:rPr>
        <w:sectPr>
          <w:headerReference w:type="default" r:id="rId9"/>
          <w:type w:val="nextPage"/>
          <w:pgSz w:w="11907" w:h="16839"/>
          <w:pgMar w:top="400" w:right="48" w:bottom="0" w:left="0" w:header="0" w:footer="0" w:gutter="0"/>
          <w:pgNumType w:start="3"/>
          <w:cols w:num="2" w:space="708" w:equalWidth="0">
            <w:col w:w="8088" w:space="28"/>
            <w:col w:w="3743" w:space="0"/>
          </w:cols>
          <w:titlePg w:val="0"/>
        </w:sectPr>
      </w:pPr>
    </w:p>
    <w:p>
      <w:pPr>
        <w:pStyle w:val="BodyText"/>
        <w:spacing w:line="2709" w:lineRule="exact"/>
      </w:pPr>
      <w:r>
        <w:rPr>
          <w:position w:val="-54"/>
        </w:rPr>
        <w:pict>
          <v:group id="_x0000_i1026" style="width:593pt;height:135.5pt;mso-position-horizontal-relative:char;mso-position-vertical-relative:line" coordorigin="0,0" coordsize="11860,271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width:11860;height:2710;position:absolute" filled="f" stroked="f">
              <v:imagedata r:id="rId10" o:title=""/>
            </v:shape>
            <v:shape id="_x0000_s1028" type="#_x0000_t202" style="width:11900;height:2750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21" w:lineRule="auto"/>
                      <w:ind w:left="801"/>
                      <w:rPr>
                        <w:rFonts w:ascii="KaiTi" w:eastAsia="KaiTi" w:hAnsi="KaiTi" w:cs="KaiTi"/>
                        <w:sz w:val="36"/>
                        <w:szCs w:val="36"/>
                      </w:rPr>
                    </w:pPr>
                    <w:r>
                      <w:rPr>
                        <w:rFonts w:ascii="KaiTi" w:eastAsia="KaiTi" w:hAnsi="KaiTi" w:cs="KaiTi"/>
                        <w:color w:val="FFFFFF"/>
                        <w:spacing w:val="-15"/>
                        <w:sz w:val="36"/>
                        <w:szCs w:val="36"/>
                        <w14:textOutline w14:w="6531">
                          <w14:solidFill>
                            <w14:srgbClr w14:val="FFFFFF"/>
                          </w14:solidFill>
                          <w14:prstDash w14:val="solid"/>
                          <w14:miter w14:lim="10"/>
                        </w14:textOutline>
                      </w:rPr>
                      <w:t>医药生物</w:t>
                    </w:r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9" w:line="221" w:lineRule="auto"/>
                      <w:ind w:left="770"/>
                      <w:rPr>
                        <w:rFonts w:ascii="KaiTi" w:eastAsia="KaiTi" w:hAnsi="KaiTi" w:cs="KaiTi"/>
                        <w:sz w:val="18"/>
                        <w:szCs w:val="18"/>
                      </w:rPr>
                    </w:pPr>
                    <w:r>
                      <w:rPr>
                        <w:rFonts w:ascii="KaiTi" w:eastAsia="KaiTi" w:hAnsi="KaiTi" w:cs="KaiTi"/>
                        <w:color w:val="FFFFFF"/>
                        <w:spacing w:val="-8"/>
                        <w:sz w:val="18"/>
                        <w:szCs w:val="18"/>
                        <w14:textOutline w14:w="3265">
                          <w14:solidFill>
                            <w14:srgbClr w14:val="FFFFFF"/>
                          </w14:solidFill>
                          <w14:prstDash w14:val="solid"/>
                          <w14:miter w14:lim="10"/>
                        </w14:textOutline>
                      </w:rPr>
                      <w:t>医药生物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71" w:lineRule="exact"/>
      </w:pPr>
    </w:p>
    <w:p>
      <w:pPr>
        <w:spacing w:line="71" w:lineRule="exact"/>
        <w:sectPr>
          <w:headerReference w:type="default" r:id="rId11"/>
          <w:pgSz w:w="11907" w:h="16839"/>
          <w:pgMar w:top="4" w:right="46" w:bottom="0" w:left="0" w:header="0" w:footer="0" w:gutter="0"/>
          <w:pgNumType w:start="4"/>
          <w:cols w:num="1" w:space="708" w:equalWidth="0">
            <w:col w:w="11860" w:space="0"/>
          </w:cols>
        </w:sectPr>
      </w:pPr>
    </w:p>
    <w:p>
      <w:pPr>
        <w:pStyle w:val="BodyText"/>
        <w:spacing w:line="215" w:lineRule="auto"/>
        <w:ind w:left="743"/>
        <w:rPr>
          <w:sz w:val="48"/>
          <w:szCs w:val="48"/>
        </w:rPr>
      </w:pPr>
      <w:r>
        <w:rPr>
          <w:rFonts w:ascii="Arial" w:eastAsia="Arial" w:hAnsi="Arial" w:cs="Arial"/>
          <w:b/>
          <w:bCs/>
          <w:spacing w:val="-2"/>
          <w:sz w:val="48"/>
          <w:szCs w:val="48"/>
        </w:rPr>
        <w:t xml:space="preserve">GLP-1RA </w:t>
      </w:r>
      <w:r>
        <w:rPr>
          <w:spacing w:val="-2"/>
          <w:sz w:val="48"/>
          <w:szCs w:val="48"/>
          <w14:textOutline w14:w="8708">
            <w14:solidFill>
              <w14:srgbClr w14:val="000000"/>
            </w14:solidFill>
            <w14:prstDash w14:val="solid"/>
            <w14:miter w14:lim="10"/>
          </w14:textOutline>
        </w:rPr>
        <w:t>产业链行业深度报告</w:t>
      </w:r>
    </w:p>
    <w:p>
      <w:pPr>
        <w:pStyle w:val="BodyText"/>
        <w:spacing w:before="5" w:line="218" w:lineRule="auto"/>
        <w:ind w:left="741"/>
        <w:rPr>
          <w:sz w:val="31"/>
          <w:szCs w:val="31"/>
        </w:rPr>
      </w:pPr>
      <w:r>
        <w:rPr>
          <w:color w:val="737373"/>
          <w:spacing w:val="9"/>
          <w:sz w:val="31"/>
          <w:szCs w:val="31"/>
          <w14:textOutline w14:w="5791">
            <w14:solidFill>
              <w14:srgbClr w14:val="737373"/>
            </w14:solidFill>
            <w14:prstDash w14:val="solid"/>
            <w14:miter w14:lim="10"/>
          </w14:textOutline>
        </w:rPr>
        <w:t>减重药物时代来临，适应症拓展范围广泛</w:t>
      </w:r>
    </w:p>
    <w:p>
      <w:pPr>
        <w:pStyle w:val="BodyText"/>
        <w:spacing w:before="51" w:line="259" w:lineRule="auto"/>
        <w:ind w:left="1140" w:right="79" w:hanging="421"/>
      </w:pPr>
      <w:r>
        <w:rPr>
          <w:color w:val="C00000"/>
        </w:rPr>
        <w:drawing>
          <wp:inline distT="0" distB="0" distL="0" distR="0">
            <wp:extent cx="46990" cy="10795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90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00000"/>
          <w:spacing w:val="14"/>
        </w:rPr>
        <w:t xml:space="preserve">   </w:t>
      </w:r>
      <w:r>
        <w:rPr>
          <w:color w:val="C00000"/>
          <w:spacing w:val="-7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减肥市场潜力巨大，</w:t>
      </w:r>
      <w:r>
        <w:rPr>
          <w:color w:val="C00000"/>
          <w:spacing w:val="61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-7"/>
        </w:rPr>
        <w:t xml:space="preserve">GLP-1  </w:t>
      </w:r>
      <w:r>
        <w:rPr>
          <w:color w:val="C00000"/>
          <w:spacing w:val="-7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类药物开启减重新纪元。</w:t>
      </w:r>
      <w:r>
        <w:rPr>
          <w:spacing w:val="-7"/>
        </w:rPr>
        <w:t>（</w:t>
      </w:r>
      <w:r>
        <w:rPr>
          <w:rFonts w:ascii="Arial" w:eastAsia="Arial" w:hAnsi="Arial" w:cs="Arial"/>
          <w:spacing w:val="-7"/>
        </w:rPr>
        <w:t>1</w:t>
      </w:r>
      <w:r>
        <w:rPr>
          <w:spacing w:val="-7"/>
        </w:rPr>
        <w:t>）肥胖已成为日益严</w:t>
      </w:r>
      <w:r>
        <w:t xml:space="preserve"> </w:t>
      </w:r>
      <w:r>
        <w:rPr>
          <w:spacing w:val="-3"/>
        </w:rPr>
        <w:t>重的公共问题，会显著提高多种并发症风险。中国有约</w:t>
      </w:r>
      <w:r>
        <w:rPr>
          <w:spacing w:val="-45"/>
        </w:rPr>
        <w:t xml:space="preserve"> </w:t>
      </w:r>
      <w:r>
        <w:rPr>
          <w:rFonts w:ascii="Arial" w:eastAsia="Arial" w:hAnsi="Arial" w:cs="Arial"/>
          <w:spacing w:val="-3"/>
        </w:rPr>
        <w:t xml:space="preserve">5 </w:t>
      </w:r>
      <w:r>
        <w:rPr>
          <w:spacing w:val="-3"/>
        </w:rPr>
        <w:t>亿超重或肥胖</w:t>
      </w:r>
      <w:r>
        <w:rPr>
          <w:spacing w:val="-4"/>
        </w:rPr>
        <w:t>的成年</w:t>
      </w:r>
      <w:r>
        <w:t xml:space="preserve"> </w:t>
      </w:r>
      <w:r>
        <w:rPr>
          <w:spacing w:val="-5"/>
        </w:rPr>
        <w:t>人，全球排名第一</w:t>
      </w:r>
      <w:r>
        <w:rPr>
          <w:spacing w:val="-57"/>
          <w:w w:val="97"/>
        </w:rPr>
        <w:t>；（</w:t>
      </w:r>
      <w:r>
        <w:rPr>
          <w:rFonts w:ascii="Arial" w:eastAsia="Arial" w:hAnsi="Arial" w:cs="Arial"/>
          <w:spacing w:val="-5"/>
        </w:rPr>
        <w:t>2</w:t>
      </w:r>
      <w:r>
        <w:rPr>
          <w:spacing w:val="-5"/>
        </w:rPr>
        <w:t>）对比</w:t>
      </w:r>
      <w:r>
        <w:rPr>
          <w:spacing w:val="-30"/>
        </w:rPr>
        <w:t xml:space="preserve"> </w:t>
      </w:r>
      <w:r>
        <w:rPr>
          <w:rFonts w:ascii="Arial" w:eastAsia="Arial" w:hAnsi="Arial" w:cs="Arial"/>
          <w:spacing w:val="-5"/>
        </w:rPr>
        <w:t>FDA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spacing w:val="-5"/>
        </w:rPr>
        <w:t>已经批准的减重药物，</w:t>
      </w:r>
      <w:r>
        <w:rPr>
          <w:spacing w:val="30"/>
        </w:rPr>
        <w:t xml:space="preserve"> </w:t>
      </w:r>
      <w:r>
        <w:rPr>
          <w:spacing w:val="-5"/>
        </w:rPr>
        <w:t>司美格鲁肽展现出</w:t>
      </w:r>
      <w:r>
        <w:t xml:space="preserve"> </w:t>
      </w:r>
      <w:r>
        <w:rPr>
          <w:spacing w:val="-2"/>
        </w:rPr>
        <w:t>压倒性优势，</w:t>
      </w:r>
      <w:r>
        <w:rPr>
          <w:rFonts w:ascii="Arial" w:eastAsia="Arial" w:hAnsi="Arial" w:cs="Arial"/>
          <w:spacing w:val="-2"/>
        </w:rPr>
        <w:t xml:space="preserve">68 </w:t>
      </w:r>
      <w:r>
        <w:rPr>
          <w:spacing w:val="-2"/>
        </w:rPr>
        <w:t>周减重</w:t>
      </w:r>
      <w:r>
        <w:rPr>
          <w:spacing w:val="-26"/>
        </w:rPr>
        <w:t xml:space="preserve"> </w:t>
      </w:r>
      <w:r>
        <w:rPr>
          <w:rFonts w:ascii="Arial" w:eastAsia="Arial" w:hAnsi="Arial" w:cs="Arial"/>
          <w:spacing w:val="-2"/>
        </w:rPr>
        <w:t>17.1%</w:t>
      </w:r>
      <w:r>
        <w:rPr>
          <w:spacing w:val="-2"/>
        </w:rPr>
        <w:t>，且安全性良好。</w:t>
      </w:r>
    </w:p>
    <w:p>
      <w:pPr>
        <w:pStyle w:val="BodyText"/>
        <w:spacing w:before="165" w:line="268" w:lineRule="auto"/>
        <w:ind w:left="1144" w:right="31" w:hanging="424"/>
      </w:pPr>
      <w:r>
        <w:rPr>
          <w:rFonts w:ascii="Arial" w:eastAsia="Arial" w:hAnsi="Arial" w:cs="Arial"/>
          <w:color w:val="C00000"/>
        </w:rPr>
        <w:drawing>
          <wp:inline distT="0" distB="0" distL="0" distR="0">
            <wp:extent cx="46990" cy="108584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990" cy="10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C00000"/>
          <w:spacing w:val="2"/>
        </w:rPr>
        <w:t xml:space="preserve">      </w:t>
      </w:r>
      <w:r>
        <w:rPr>
          <w:rFonts w:ascii="Arial" w:eastAsia="Arial" w:hAnsi="Arial" w:cs="Arial"/>
          <w:b/>
          <w:bCs/>
          <w:color w:val="C00000"/>
          <w:spacing w:val="-7"/>
        </w:rPr>
        <w:t xml:space="preserve">GLP-1RA </w:t>
      </w:r>
      <w:r>
        <w:rPr>
          <w:color w:val="C00000"/>
          <w:spacing w:val="-7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在研多点开花，</w:t>
      </w:r>
      <w:r>
        <w:rPr>
          <w:color w:val="C00000"/>
          <w:spacing w:val="62"/>
        </w:rPr>
        <w:t xml:space="preserve"> </w:t>
      </w:r>
      <w:r>
        <w:rPr>
          <w:color w:val="C00000"/>
          <w:spacing w:val="-7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多靶点、小分子大放异彩。</w:t>
      </w:r>
      <w:r>
        <w:rPr>
          <w:spacing w:val="-7"/>
        </w:rPr>
        <w:t>（</w:t>
      </w:r>
      <w:r>
        <w:rPr>
          <w:rFonts w:ascii="Arial" w:eastAsia="Arial" w:hAnsi="Arial" w:cs="Arial"/>
          <w:spacing w:val="-7"/>
        </w:rPr>
        <w:t>1</w:t>
      </w:r>
      <w:r>
        <w:rPr>
          <w:spacing w:val="-7"/>
        </w:rPr>
        <w:t>）</w:t>
      </w:r>
      <w:r>
        <w:rPr>
          <w:rFonts w:ascii="Arial" w:eastAsia="Arial" w:hAnsi="Arial" w:cs="Arial"/>
          <w:spacing w:val="-7"/>
        </w:rPr>
        <w:t>GLP-1R</w:t>
      </w:r>
      <w:r>
        <w:rPr>
          <w:spacing w:val="-7"/>
        </w:rPr>
        <w:t>、</w:t>
      </w:r>
      <w:r>
        <w:rPr>
          <w:rFonts w:ascii="Arial" w:eastAsia="Arial" w:hAnsi="Arial" w:cs="Arial"/>
          <w:spacing w:val="-7"/>
        </w:rPr>
        <w:t>GIPR</w:t>
      </w:r>
      <w:r>
        <w:rPr>
          <w:rFonts w:ascii="Arial" w:eastAsia="Arial" w:hAnsi="Arial" w:cs="Arial"/>
          <w:spacing w:val="-35"/>
        </w:rPr>
        <w:t xml:space="preserve"> </w:t>
      </w:r>
      <w:r>
        <w:rPr>
          <w:spacing w:val="-7"/>
        </w:rPr>
        <w:t>、</w:t>
      </w:r>
      <w:r>
        <w:t xml:space="preserve"> </w:t>
      </w:r>
      <w:r>
        <w:rPr>
          <w:rFonts w:ascii="Arial" w:eastAsia="Arial" w:hAnsi="Arial" w:cs="Arial"/>
          <w:spacing w:val="-5"/>
        </w:rPr>
        <w:t xml:space="preserve">GCGR </w:t>
      </w:r>
      <w:r>
        <w:rPr>
          <w:spacing w:val="-5"/>
        </w:rPr>
        <w:t>三个靶点在降糖、减重适应症上具备较强的协同性，能够发挥出</w:t>
      </w:r>
      <w:r>
        <w:rPr>
          <w:spacing w:val="-21"/>
        </w:rPr>
        <w:t xml:space="preserve"> </w:t>
      </w:r>
      <w:r>
        <w:rPr>
          <w:rFonts w:ascii="Arial" w:eastAsia="Arial" w:hAnsi="Arial" w:cs="Arial"/>
          <w:spacing w:val="-5"/>
        </w:rPr>
        <w:t>1+1&gt;2</w:t>
      </w:r>
      <w:r>
        <w:rPr>
          <w:rFonts w:ascii="Arial" w:eastAsia="Arial" w:hAnsi="Arial" w:cs="Arial"/>
        </w:rPr>
        <w:t xml:space="preserve">  </w:t>
      </w:r>
      <w:r>
        <w:rPr>
          <w:spacing w:val="-1"/>
        </w:rPr>
        <w:t>的效果，靶点间的相互组合是当前研发的主流方向</w:t>
      </w:r>
      <w:r>
        <w:rPr>
          <w:spacing w:val="-50"/>
          <w:w w:val="85"/>
        </w:rPr>
        <w:t>；（</w:t>
      </w:r>
      <w:r>
        <w:rPr>
          <w:rFonts w:ascii="Arial" w:eastAsia="Arial" w:hAnsi="Arial" w:cs="Arial"/>
          <w:spacing w:val="-1"/>
        </w:rPr>
        <w:t>2</w:t>
      </w:r>
      <w:r>
        <w:rPr>
          <w:spacing w:val="-1"/>
        </w:rPr>
        <w:t>）双靶药物以</w:t>
      </w:r>
      <w:r>
        <w:rPr>
          <w:spacing w:val="-2"/>
        </w:rPr>
        <w:t>礼来替尔</w:t>
      </w:r>
      <w:r>
        <w:rPr>
          <w:spacing w:val="1"/>
        </w:rPr>
        <w:t xml:space="preserve"> </w:t>
      </w:r>
      <w:r>
        <w:rPr>
          <w:spacing w:val="-2"/>
        </w:rPr>
        <w:t>泊肽（</w:t>
      </w:r>
      <w:r>
        <w:rPr>
          <w:rFonts w:ascii="Arial" w:eastAsia="Arial" w:hAnsi="Arial" w:cs="Arial"/>
          <w:spacing w:val="-2"/>
        </w:rPr>
        <w:t xml:space="preserve">GLP-1R/GIPR </w:t>
      </w:r>
      <w:r>
        <w:rPr>
          <w:spacing w:val="-2"/>
        </w:rPr>
        <w:t>双重激动剂）为代表，</w:t>
      </w:r>
      <w:r>
        <w:rPr>
          <w:rFonts w:ascii="Arial" w:eastAsia="Arial" w:hAnsi="Arial" w:cs="Arial"/>
          <w:spacing w:val="-2"/>
        </w:rPr>
        <w:t xml:space="preserve">15mg </w:t>
      </w:r>
      <w:r>
        <w:rPr>
          <w:spacing w:val="-2"/>
        </w:rPr>
        <w:t>剂量组</w:t>
      </w:r>
      <w:r>
        <w:rPr>
          <w:spacing w:val="-27"/>
        </w:rPr>
        <w:t xml:space="preserve"> </w:t>
      </w:r>
      <w:r>
        <w:rPr>
          <w:rFonts w:ascii="Arial" w:eastAsia="Arial" w:hAnsi="Arial" w:cs="Arial"/>
          <w:spacing w:val="-2"/>
        </w:rPr>
        <w:t xml:space="preserve">72 </w:t>
      </w:r>
      <w:r>
        <w:rPr>
          <w:spacing w:val="-2"/>
        </w:rPr>
        <w:t>周减重</w:t>
      </w:r>
      <w:r>
        <w:rPr>
          <w:spacing w:val="-46"/>
        </w:rPr>
        <w:t xml:space="preserve"> </w:t>
      </w:r>
      <w:r>
        <w:rPr>
          <w:rFonts w:ascii="Arial" w:eastAsia="Arial" w:hAnsi="Arial" w:cs="Arial"/>
          <w:spacing w:val="-2"/>
        </w:rPr>
        <w:t>22.5%</w:t>
      </w:r>
      <w:r>
        <w:rPr>
          <w:spacing w:val="-2"/>
        </w:rPr>
        <w:t>；</w:t>
      </w:r>
      <w:r>
        <w:t xml:space="preserve"> </w:t>
      </w:r>
      <w:r>
        <w:rPr>
          <w:spacing w:val="-3"/>
        </w:rPr>
        <w:t>三靶药物以礼来</w:t>
      </w:r>
      <w:r>
        <w:rPr>
          <w:spacing w:val="-35"/>
        </w:rPr>
        <w:t xml:space="preserve"> </w:t>
      </w:r>
      <w:r>
        <w:rPr>
          <w:rFonts w:ascii="Arial" w:eastAsia="Arial" w:hAnsi="Arial" w:cs="Arial"/>
          <w:spacing w:val="-3"/>
        </w:rPr>
        <w:t>Retatrutide</w:t>
      </w:r>
      <w:r>
        <w:rPr>
          <w:spacing w:val="-3"/>
        </w:rPr>
        <w:t>（</w:t>
      </w:r>
      <w:r>
        <w:rPr>
          <w:rFonts w:ascii="Arial" w:eastAsia="Arial" w:hAnsi="Arial" w:cs="Arial"/>
          <w:spacing w:val="-3"/>
        </w:rPr>
        <w:t xml:space="preserve">GLP-1R/GIPR/GCGR </w:t>
      </w:r>
      <w:r>
        <w:rPr>
          <w:spacing w:val="-3"/>
        </w:rPr>
        <w:t>三靶点激</w:t>
      </w:r>
      <w:r>
        <w:rPr>
          <w:spacing w:val="-4"/>
        </w:rPr>
        <w:t>动剂）</w:t>
      </w:r>
      <w:r>
        <w:rPr>
          <w:spacing w:val="-28"/>
        </w:rPr>
        <w:t xml:space="preserve"> </w:t>
      </w:r>
      <w:r>
        <w:rPr>
          <w:spacing w:val="-4"/>
        </w:rPr>
        <w:t>为代表，</w:t>
      </w:r>
      <w:r>
        <w:t xml:space="preserve"> </w:t>
      </w:r>
      <w:r>
        <w:rPr>
          <w:rFonts w:ascii="Arial" w:eastAsia="Arial" w:hAnsi="Arial" w:cs="Arial"/>
        </w:rPr>
        <w:t>12mg</w:t>
      </w:r>
      <w:r>
        <w:rPr>
          <w:rFonts w:ascii="Arial" w:eastAsia="Arial" w:hAnsi="Arial" w:cs="Arial"/>
          <w:spacing w:val="20"/>
        </w:rPr>
        <w:t xml:space="preserve"> </w:t>
      </w:r>
      <w:r>
        <w:t>剂量组</w:t>
      </w:r>
      <w:r>
        <w:rPr>
          <w:spacing w:val="-38"/>
        </w:rPr>
        <w:t xml:space="preserve"> </w:t>
      </w:r>
      <w:r>
        <w:rPr>
          <w:rFonts w:ascii="Arial" w:eastAsia="Arial" w:hAnsi="Arial" w:cs="Arial"/>
        </w:rPr>
        <w:t xml:space="preserve">48 </w:t>
      </w:r>
      <w:r>
        <w:t>周减重</w:t>
      </w:r>
      <w:r>
        <w:rPr>
          <w:spacing w:val="-34"/>
        </w:rPr>
        <w:t xml:space="preserve"> </w:t>
      </w:r>
      <w:r>
        <w:rPr>
          <w:rFonts w:ascii="Arial" w:eastAsia="Arial" w:hAnsi="Arial" w:cs="Arial"/>
        </w:rPr>
        <w:t>24.2%</w:t>
      </w:r>
      <w:r>
        <w:rPr>
          <w:spacing w:val="-57"/>
          <w:w w:val="97"/>
        </w:rPr>
        <w:t>；（</w:t>
      </w:r>
      <w:r>
        <w:rPr>
          <w:rFonts w:ascii="Arial" w:eastAsia="Arial" w:hAnsi="Arial" w:cs="Arial"/>
        </w:rPr>
        <w:t>3</w:t>
      </w:r>
      <w:r>
        <w:t>）小分子</w:t>
      </w:r>
      <w:r>
        <w:rPr>
          <w:spacing w:val="-29"/>
        </w:rPr>
        <w:t xml:space="preserve"> </w:t>
      </w:r>
      <w:r>
        <w:rPr>
          <w:rFonts w:ascii="Arial" w:eastAsia="Arial" w:hAnsi="Arial" w:cs="Arial"/>
        </w:rPr>
        <w:t xml:space="preserve">GLP-1RA </w:t>
      </w:r>
      <w:r>
        <w:t>在生产成本与</w:t>
      </w:r>
      <w:r>
        <w:rPr>
          <w:spacing w:val="-1"/>
        </w:rPr>
        <w:t>给药便</w:t>
      </w:r>
      <w:r>
        <w:t xml:space="preserve"> </w:t>
      </w:r>
      <w:r>
        <w:rPr>
          <w:spacing w:val="-4"/>
        </w:rPr>
        <w:t>捷性方面更具优势，</w:t>
      </w:r>
      <w:r>
        <w:rPr>
          <w:spacing w:val="-4"/>
        </w:rPr>
        <w:t xml:space="preserve"> </w:t>
      </w:r>
      <w:r>
        <w:rPr>
          <w:spacing w:val="-4"/>
        </w:rPr>
        <w:t>以礼来</w:t>
      </w:r>
      <w:r>
        <w:rPr>
          <w:spacing w:val="-16"/>
        </w:rPr>
        <w:t xml:space="preserve"> </w:t>
      </w:r>
      <w:r>
        <w:rPr>
          <w:rFonts w:ascii="Arial" w:eastAsia="Arial" w:hAnsi="Arial" w:cs="Arial"/>
          <w:spacing w:val="-4"/>
        </w:rPr>
        <w:t>Orforglipron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spacing w:val="-4"/>
        </w:rPr>
        <w:t>为代表，</w:t>
      </w:r>
      <w:r>
        <w:rPr>
          <w:rFonts w:ascii="Arial" w:eastAsia="Arial" w:hAnsi="Arial" w:cs="Arial"/>
          <w:spacing w:val="-4"/>
        </w:rPr>
        <w:t>36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spacing w:val="-4"/>
        </w:rPr>
        <w:t>周减重</w:t>
      </w:r>
      <w:r>
        <w:rPr>
          <w:spacing w:val="-4"/>
        </w:rPr>
        <w:t xml:space="preserve"> </w:t>
      </w:r>
      <w:r>
        <w:rPr>
          <w:rFonts w:ascii="Arial" w:eastAsia="Arial" w:hAnsi="Arial" w:cs="Arial"/>
          <w:spacing w:val="-4"/>
        </w:rPr>
        <w:t>14.7%</w:t>
      </w:r>
      <w:r>
        <w:rPr>
          <w:spacing w:val="-4"/>
        </w:rPr>
        <w:t>，可与司</w:t>
      </w:r>
      <w:r>
        <w:t xml:space="preserve"> </w:t>
      </w:r>
      <w:r>
        <w:rPr>
          <w:spacing w:val="-2"/>
        </w:rPr>
        <w:t>美格鲁肽注射版</w:t>
      </w:r>
      <w:r>
        <w:rPr>
          <w:spacing w:val="-43"/>
        </w:rPr>
        <w:t xml:space="preserve"> </w:t>
      </w:r>
      <w:r>
        <w:rPr>
          <w:rFonts w:ascii="Arial" w:eastAsia="Arial" w:hAnsi="Arial" w:cs="Arial"/>
          <w:spacing w:val="-2"/>
        </w:rPr>
        <w:t xml:space="preserve">68 </w:t>
      </w:r>
      <w:r>
        <w:rPr>
          <w:spacing w:val="-2"/>
        </w:rPr>
        <w:t>周减重效果媲美</w:t>
      </w:r>
      <w:r>
        <w:rPr>
          <w:spacing w:val="-32"/>
        </w:rPr>
        <w:t>；（</w:t>
      </w:r>
      <w:r>
        <w:rPr>
          <w:rFonts w:ascii="Arial" w:eastAsia="Arial" w:hAnsi="Arial" w:cs="Arial"/>
          <w:spacing w:val="-2"/>
        </w:rPr>
        <w:t>4</w:t>
      </w:r>
      <w:r>
        <w:rPr>
          <w:spacing w:val="-2"/>
        </w:rPr>
        <w:t>）诺和诺德新一代减重药物未选择多</w:t>
      </w:r>
      <w:r>
        <w:t xml:space="preserve"> </w:t>
      </w:r>
      <w:r>
        <w:rPr>
          <w:spacing w:val="-3"/>
        </w:rPr>
        <w:t>靶点，而是胰淀素类似物</w:t>
      </w:r>
      <w:r>
        <w:rPr>
          <w:rFonts w:ascii="Arial" w:eastAsia="Arial" w:hAnsi="Arial" w:cs="Arial"/>
          <w:spacing w:val="-3"/>
        </w:rPr>
        <w:t>+GLP-1RA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spacing w:val="-3"/>
        </w:rPr>
        <w:t>的复方制剂</w:t>
      </w:r>
      <w:r>
        <w:rPr>
          <w:spacing w:val="-44"/>
        </w:rPr>
        <w:t xml:space="preserve"> </w:t>
      </w:r>
      <w:r>
        <w:rPr>
          <w:rFonts w:ascii="Arial" w:eastAsia="Arial" w:hAnsi="Arial" w:cs="Arial"/>
          <w:spacing w:val="-3"/>
        </w:rPr>
        <w:t>CagriSema</w:t>
      </w:r>
      <w:r>
        <w:rPr>
          <w:rFonts w:ascii="Arial" w:eastAsia="Arial" w:hAnsi="Arial" w:cs="Arial"/>
          <w:spacing w:val="-34"/>
        </w:rPr>
        <w:t xml:space="preserve"> </w:t>
      </w:r>
      <w:r>
        <w:rPr>
          <w:spacing w:val="-3"/>
        </w:rPr>
        <w:t>，</w:t>
      </w:r>
      <w:r>
        <w:rPr>
          <w:rFonts w:ascii="Arial" w:eastAsia="Arial" w:hAnsi="Arial" w:cs="Arial"/>
          <w:spacing w:val="-3"/>
        </w:rPr>
        <w:t xml:space="preserve">II </w:t>
      </w:r>
      <w:r>
        <w:rPr>
          <w:spacing w:val="-3"/>
        </w:rPr>
        <w:t>期临床</w:t>
      </w:r>
      <w:r>
        <w:rPr>
          <w:spacing w:val="-44"/>
        </w:rPr>
        <w:t xml:space="preserve"> </w:t>
      </w:r>
      <w:r>
        <w:rPr>
          <w:rFonts w:ascii="Arial" w:eastAsia="Arial" w:hAnsi="Arial" w:cs="Arial"/>
          <w:spacing w:val="-3"/>
        </w:rPr>
        <w:t xml:space="preserve">32 </w:t>
      </w:r>
      <w:r>
        <w:rPr>
          <w:spacing w:val="-3"/>
        </w:rPr>
        <w:t>周</w:t>
      </w:r>
      <w:r>
        <w:t xml:space="preserve"> </w:t>
      </w:r>
      <w:r>
        <w:rPr>
          <w:spacing w:val="-2"/>
        </w:rPr>
        <w:t>减重</w:t>
      </w:r>
      <w:r>
        <w:rPr>
          <w:spacing w:val="-29"/>
        </w:rPr>
        <w:t xml:space="preserve"> </w:t>
      </w:r>
      <w:r>
        <w:rPr>
          <w:rFonts w:ascii="Arial" w:eastAsia="Arial" w:hAnsi="Arial" w:cs="Arial"/>
          <w:spacing w:val="-2"/>
        </w:rPr>
        <w:t>15.6%</w:t>
      </w:r>
      <w:r>
        <w:rPr>
          <w:spacing w:val="-2"/>
        </w:rPr>
        <w:t>，并预计</w:t>
      </w:r>
      <w:r>
        <w:rPr>
          <w:spacing w:val="-33"/>
        </w:rPr>
        <w:t xml:space="preserve"> </w:t>
      </w:r>
      <w:r>
        <w:rPr>
          <w:rFonts w:ascii="Arial" w:eastAsia="Arial" w:hAnsi="Arial" w:cs="Arial"/>
          <w:spacing w:val="-2"/>
        </w:rPr>
        <w:t xml:space="preserve">III </w:t>
      </w:r>
      <w:r>
        <w:rPr>
          <w:spacing w:val="-2"/>
        </w:rPr>
        <w:t>期临床至</w:t>
      </w:r>
      <w:r>
        <w:rPr>
          <w:spacing w:val="-3"/>
        </w:rPr>
        <w:t>少减重</w:t>
      </w:r>
      <w:r>
        <w:rPr>
          <w:spacing w:val="-45"/>
        </w:rPr>
        <w:t xml:space="preserve"> </w:t>
      </w:r>
      <w:r>
        <w:rPr>
          <w:rFonts w:ascii="Arial" w:eastAsia="Arial" w:hAnsi="Arial" w:cs="Arial"/>
          <w:spacing w:val="-3"/>
        </w:rPr>
        <w:t>25%</w:t>
      </w:r>
      <w:r>
        <w:rPr>
          <w:spacing w:val="-3"/>
        </w:rPr>
        <w:t>。</w:t>
      </w:r>
    </w:p>
    <w:p>
      <w:pPr>
        <w:pStyle w:val="BodyText"/>
        <w:spacing w:before="158" w:line="266" w:lineRule="auto"/>
        <w:ind w:left="1144" w:right="80" w:hanging="424"/>
      </w:pPr>
      <w:r>
        <w:rPr>
          <w:color w:val="C00000"/>
        </w:rPr>
        <w:drawing>
          <wp:inline distT="0" distB="0" distL="0" distR="0">
            <wp:extent cx="46990" cy="108584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990" cy="10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00000"/>
          <w:spacing w:val="21"/>
        </w:rPr>
        <w:t xml:space="preserve">   </w:t>
      </w:r>
      <w:r>
        <w:rPr>
          <w:color w:val="C00000"/>
          <w:spacing w:val="-4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国内</w:t>
      </w:r>
      <w:r>
        <w:rPr>
          <w:color w:val="C00000"/>
          <w:spacing w:val="-47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-4"/>
        </w:rPr>
        <w:t xml:space="preserve">GLP-1 </w:t>
      </w:r>
      <w:r>
        <w:rPr>
          <w:color w:val="C00000"/>
          <w:spacing w:val="-4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行业即将步入收获期，降糖</w:t>
      </w:r>
      <w:r>
        <w:rPr>
          <w:rFonts w:ascii="Arial" w:eastAsia="Arial" w:hAnsi="Arial" w:cs="Arial"/>
          <w:b/>
          <w:bCs/>
          <w:color w:val="C00000"/>
          <w:spacing w:val="-4"/>
        </w:rPr>
        <w:t>+</w:t>
      </w:r>
      <w:r>
        <w:rPr>
          <w:color w:val="C00000"/>
          <w:spacing w:val="-4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减重</w:t>
      </w:r>
      <w:r>
        <w:rPr>
          <w:color w:val="C00000"/>
          <w:spacing w:val="-54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-4"/>
        </w:rPr>
        <w:t>20</w:t>
      </w:r>
      <w:r>
        <w:rPr>
          <w:rFonts w:ascii="Arial" w:eastAsia="Arial" w:hAnsi="Arial" w:cs="Arial"/>
          <w:b/>
          <w:bCs/>
          <w:color w:val="C00000"/>
          <w:spacing w:val="-5"/>
        </w:rPr>
        <w:t xml:space="preserve">30 </w:t>
      </w:r>
      <w:r>
        <w:rPr>
          <w:color w:val="C00000"/>
          <w:spacing w:val="-5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年市场规模有望达到</w:t>
      </w:r>
      <w:r>
        <w:rPr>
          <w:color w:val="C00000"/>
          <w:spacing w:val="-45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-5"/>
        </w:rPr>
        <w:t>1000</w:t>
      </w:r>
      <w:r>
        <w:rPr>
          <w:rFonts w:ascii="Arial" w:eastAsia="Arial" w:hAnsi="Arial" w:cs="Arial"/>
          <w:b/>
          <w:bCs/>
          <w:color w:val="C00000"/>
        </w:rPr>
        <w:t xml:space="preserve"> </w:t>
      </w:r>
      <w:r>
        <w:rPr>
          <w:color w:val="C00000"/>
          <w:spacing w:val="-3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亿元。</w:t>
      </w:r>
      <w:r>
        <w:rPr>
          <w:spacing w:val="-3"/>
        </w:rPr>
        <w:t>（</w:t>
      </w:r>
      <w:r>
        <w:rPr>
          <w:rFonts w:ascii="Arial" w:eastAsia="Arial" w:hAnsi="Arial" w:cs="Arial"/>
          <w:spacing w:val="-3"/>
        </w:rPr>
        <w:t>1</w:t>
      </w:r>
      <w:r>
        <w:rPr>
          <w:spacing w:val="-3"/>
        </w:rPr>
        <w:t>）信达生物的</w:t>
      </w:r>
      <w:r>
        <w:rPr>
          <w:color w:val="191919"/>
          <w:spacing w:val="-3"/>
        </w:rPr>
        <w:t>玛仕度肽</w:t>
      </w:r>
      <w:r>
        <w:rPr>
          <w:spacing w:val="-3"/>
        </w:rPr>
        <w:t>（</w:t>
      </w:r>
      <w:r>
        <w:rPr>
          <w:rFonts w:ascii="Arial" w:eastAsia="Arial" w:hAnsi="Arial" w:cs="Arial"/>
          <w:spacing w:val="-3"/>
        </w:rPr>
        <w:t>GLP-1R/GCGR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spacing w:val="-3"/>
        </w:rPr>
        <w:t>双重激动剂）</w:t>
      </w:r>
      <w:r>
        <w:rPr>
          <w:rFonts w:ascii="Arial" w:eastAsia="Arial" w:hAnsi="Arial" w:cs="Arial"/>
          <w:spacing w:val="-3"/>
        </w:rPr>
        <w:t>9m</w:t>
      </w:r>
      <w:r>
        <w:rPr>
          <w:rFonts w:ascii="Arial" w:eastAsia="Arial" w:hAnsi="Arial" w:cs="Arial"/>
          <w:spacing w:val="-4"/>
        </w:rPr>
        <w:t>g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spacing w:val="-4"/>
        </w:rPr>
        <w:t>剂量组</w:t>
      </w:r>
      <w:r>
        <w:t xml:space="preserve"> </w:t>
      </w:r>
      <w:r>
        <w:rPr>
          <w:rFonts w:ascii="Arial" w:eastAsia="Arial" w:hAnsi="Arial" w:cs="Arial"/>
          <w:spacing w:val="-1"/>
        </w:rPr>
        <w:t xml:space="preserve">24 </w:t>
      </w:r>
      <w:r>
        <w:rPr>
          <w:spacing w:val="-1"/>
        </w:rPr>
        <w:t>周减重</w:t>
      </w:r>
      <w:r>
        <w:rPr>
          <w:spacing w:val="-32"/>
        </w:rPr>
        <w:t xml:space="preserve"> </w:t>
      </w:r>
      <w:r>
        <w:rPr>
          <w:rFonts w:ascii="Arial" w:eastAsia="Arial" w:hAnsi="Arial" w:cs="Arial"/>
          <w:spacing w:val="-1"/>
        </w:rPr>
        <w:t>15.4%</w:t>
      </w:r>
      <w:r>
        <w:rPr>
          <w:spacing w:val="-1"/>
        </w:rPr>
        <w:t>，具备双靶</w:t>
      </w:r>
      <w:r>
        <w:rPr>
          <w:spacing w:val="-37"/>
        </w:rPr>
        <w:t xml:space="preserve"> </w:t>
      </w:r>
      <w:r>
        <w:rPr>
          <w:rFonts w:ascii="Arial" w:eastAsia="Arial" w:hAnsi="Arial" w:cs="Arial"/>
          <w:spacing w:val="-1"/>
        </w:rPr>
        <w:t>BIC</w:t>
      </w:r>
      <w:r>
        <w:rPr>
          <w:rFonts w:ascii="Arial" w:eastAsia="Arial" w:hAnsi="Arial" w:cs="Arial"/>
          <w:spacing w:val="17"/>
          <w:w w:val="101"/>
        </w:rPr>
        <w:t xml:space="preserve"> </w:t>
      </w:r>
      <w:r>
        <w:rPr>
          <w:spacing w:val="-1"/>
        </w:rPr>
        <w:t>的潜力</w:t>
      </w:r>
      <w:r>
        <w:rPr>
          <w:spacing w:val="-56"/>
          <w:w w:val="95"/>
        </w:rPr>
        <w:t>；（</w:t>
      </w:r>
      <w:r>
        <w:rPr>
          <w:rFonts w:ascii="Arial" w:eastAsia="Arial" w:hAnsi="Arial" w:cs="Arial"/>
          <w:spacing w:val="-1"/>
        </w:rPr>
        <w:t>2</w:t>
      </w:r>
      <w:r>
        <w:rPr>
          <w:spacing w:val="-1"/>
        </w:rPr>
        <w:t>）华</w:t>
      </w:r>
      <w:r>
        <w:rPr>
          <w:spacing w:val="-2"/>
        </w:rPr>
        <w:t>东医药利拉鲁肽减肥适应症</w:t>
      </w:r>
      <w:r>
        <w:t xml:space="preserve"> </w:t>
      </w:r>
      <w:r>
        <w:rPr>
          <w:spacing w:val="-6"/>
        </w:rPr>
        <w:t>已获批，在研药物中双靶、三靶、小分子全面布局</w:t>
      </w:r>
      <w:r>
        <w:rPr>
          <w:spacing w:val="-49"/>
        </w:rPr>
        <w:t>；（</w:t>
      </w:r>
      <w:r>
        <w:rPr>
          <w:rFonts w:ascii="Arial" w:eastAsia="Arial" w:hAnsi="Arial" w:cs="Arial"/>
          <w:spacing w:val="-6"/>
        </w:rPr>
        <w:t>3</w:t>
      </w:r>
      <w:r>
        <w:rPr>
          <w:spacing w:val="-6"/>
        </w:rPr>
        <w:t>）恒</w:t>
      </w:r>
      <w:r>
        <w:rPr>
          <w:spacing w:val="-7"/>
        </w:rPr>
        <w:t>瑞小分子</w:t>
      </w:r>
      <w:r>
        <w:rPr>
          <w:spacing w:val="-40"/>
        </w:rPr>
        <w:t xml:space="preserve"> </w:t>
      </w:r>
      <w:r>
        <w:rPr>
          <w:rFonts w:ascii="Arial" w:eastAsia="Arial" w:hAnsi="Arial" w:cs="Arial"/>
          <w:spacing w:val="-7"/>
        </w:rPr>
        <w:t>GLP-1RA</w:t>
      </w:r>
      <w:r>
        <w:rPr>
          <w:rFonts w:ascii="Arial" w:eastAsia="Arial" w:hAnsi="Arial" w:cs="Arial"/>
        </w:rPr>
        <w:t xml:space="preserve"> </w:t>
      </w:r>
      <w:r>
        <w:rPr>
          <w:spacing w:val="-3"/>
        </w:rPr>
        <w:t>及</w:t>
      </w:r>
      <w:r>
        <w:rPr>
          <w:spacing w:val="-30"/>
        </w:rPr>
        <w:t xml:space="preserve"> </w:t>
      </w:r>
      <w:r>
        <w:rPr>
          <w:rFonts w:ascii="Arial" w:eastAsia="Arial" w:hAnsi="Arial" w:cs="Arial"/>
          <w:spacing w:val="-3"/>
        </w:rPr>
        <w:t xml:space="preserve">GLP-1R/GIPR </w:t>
      </w:r>
      <w:r>
        <w:rPr>
          <w:spacing w:val="-3"/>
        </w:rPr>
        <w:t>双靶点激动剂</w:t>
      </w:r>
      <w:r>
        <w:rPr>
          <w:spacing w:val="-23"/>
        </w:rPr>
        <w:t xml:space="preserve"> </w:t>
      </w:r>
      <w:r>
        <w:rPr>
          <w:rFonts w:ascii="Arial" w:eastAsia="Arial" w:hAnsi="Arial" w:cs="Arial"/>
          <w:spacing w:val="-3"/>
        </w:rPr>
        <w:t xml:space="preserve">I </w:t>
      </w:r>
      <w:r>
        <w:rPr>
          <w:spacing w:val="-3"/>
        </w:rPr>
        <w:t>期数据优异</w:t>
      </w:r>
      <w:r>
        <w:rPr>
          <w:spacing w:val="-17"/>
        </w:rPr>
        <w:t>；（</w:t>
      </w:r>
      <w:r>
        <w:rPr>
          <w:rFonts w:ascii="Arial" w:eastAsia="Arial" w:hAnsi="Arial" w:cs="Arial"/>
          <w:spacing w:val="-3"/>
        </w:rPr>
        <w:t>4</w:t>
      </w:r>
      <w:r>
        <w:rPr>
          <w:spacing w:val="-3"/>
        </w:rPr>
        <w:t>）先为达</w:t>
      </w:r>
      <w:r>
        <w:rPr>
          <w:spacing w:val="-38"/>
        </w:rPr>
        <w:t xml:space="preserve"> </w:t>
      </w:r>
      <w:r>
        <w:rPr>
          <w:rFonts w:ascii="Arial" w:eastAsia="Arial" w:hAnsi="Arial" w:cs="Arial"/>
          <w:spacing w:val="-3"/>
        </w:rPr>
        <w:t>2.4mg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spacing w:val="-3"/>
        </w:rPr>
        <w:t>剂量组</w:t>
      </w:r>
      <w:r>
        <w:rPr>
          <w:spacing w:val="-37"/>
        </w:rPr>
        <w:t xml:space="preserve"> </w:t>
      </w:r>
      <w:r>
        <w:rPr>
          <w:rFonts w:ascii="Arial" w:eastAsia="Arial" w:hAnsi="Arial" w:cs="Arial"/>
          <w:spacing w:val="-3"/>
        </w:rPr>
        <w:t>26</w:t>
      </w:r>
      <w:r>
        <w:rPr>
          <w:rFonts w:ascii="Arial" w:eastAsia="Arial" w:hAnsi="Arial" w:cs="Arial"/>
        </w:rPr>
        <w:t xml:space="preserve"> </w:t>
      </w:r>
      <w:r>
        <w:rPr>
          <w:spacing w:val="-3"/>
        </w:rPr>
        <w:t>周减重</w:t>
      </w:r>
      <w:r>
        <w:rPr>
          <w:spacing w:val="-26"/>
        </w:rPr>
        <w:t xml:space="preserve"> </w:t>
      </w:r>
      <w:r>
        <w:rPr>
          <w:rFonts w:ascii="Arial" w:eastAsia="Arial" w:hAnsi="Arial" w:cs="Arial"/>
          <w:spacing w:val="-3"/>
        </w:rPr>
        <w:t>14.7%</w:t>
      </w:r>
      <w:r>
        <w:rPr>
          <w:spacing w:val="-51"/>
          <w:w w:val="86"/>
        </w:rPr>
        <w:t>；（</w:t>
      </w:r>
      <w:r>
        <w:rPr>
          <w:rFonts w:ascii="Arial" w:eastAsia="Arial" w:hAnsi="Arial" w:cs="Arial"/>
          <w:spacing w:val="-3"/>
        </w:rPr>
        <w:t>4</w:t>
      </w:r>
      <w:r>
        <w:rPr>
          <w:spacing w:val="-3"/>
        </w:rPr>
        <w:t>）根据我们的测算，</w:t>
      </w:r>
      <w:r>
        <w:rPr>
          <w:rFonts w:ascii="Arial" w:eastAsia="Arial" w:hAnsi="Arial" w:cs="Arial"/>
          <w:spacing w:val="-3"/>
        </w:rPr>
        <w:t xml:space="preserve">GLP-1 </w:t>
      </w:r>
      <w:r>
        <w:rPr>
          <w:spacing w:val="-3"/>
        </w:rPr>
        <w:t>针对糖尿病、超重、</w:t>
      </w:r>
      <w:r>
        <w:rPr>
          <w:spacing w:val="-4"/>
        </w:rPr>
        <w:t>肥胖三种适</w:t>
      </w:r>
      <w:r>
        <w:t xml:space="preserve"> </w:t>
      </w:r>
      <w:r>
        <w:rPr>
          <w:spacing w:val="-6"/>
        </w:rPr>
        <w:t>应症的市场空间分别有望达到</w:t>
      </w:r>
      <w:r>
        <w:rPr>
          <w:spacing w:val="-34"/>
        </w:rPr>
        <w:t xml:space="preserve"> </w:t>
      </w:r>
      <w:r>
        <w:rPr>
          <w:rFonts w:ascii="Arial" w:eastAsia="Arial" w:hAnsi="Arial" w:cs="Arial"/>
          <w:spacing w:val="-6"/>
        </w:rPr>
        <w:t xml:space="preserve">430 </w:t>
      </w:r>
      <w:r>
        <w:rPr>
          <w:spacing w:val="-6"/>
        </w:rPr>
        <w:t>亿元、</w:t>
      </w:r>
      <w:r>
        <w:rPr>
          <w:rFonts w:ascii="Arial" w:eastAsia="Arial" w:hAnsi="Arial" w:cs="Arial"/>
          <w:spacing w:val="-6"/>
        </w:rPr>
        <w:t xml:space="preserve">150 </w:t>
      </w:r>
      <w:r>
        <w:rPr>
          <w:spacing w:val="-6"/>
        </w:rPr>
        <w:t>亿元、</w:t>
      </w:r>
      <w:r>
        <w:rPr>
          <w:spacing w:val="-6"/>
        </w:rPr>
        <w:t xml:space="preserve"> </w:t>
      </w:r>
      <w:r>
        <w:rPr>
          <w:rFonts w:ascii="Arial" w:eastAsia="Arial" w:hAnsi="Arial" w:cs="Arial"/>
          <w:spacing w:val="-6"/>
        </w:rPr>
        <w:t xml:space="preserve">430 </w:t>
      </w:r>
      <w:r>
        <w:rPr>
          <w:spacing w:val="-6"/>
        </w:rPr>
        <w:t>亿元，</w:t>
      </w:r>
      <w:r>
        <w:rPr>
          <w:spacing w:val="-6"/>
        </w:rPr>
        <w:t xml:space="preserve"> </w:t>
      </w:r>
      <w:r>
        <w:rPr>
          <w:spacing w:val="-6"/>
        </w:rPr>
        <w:t>空间巨大。</w:t>
      </w:r>
    </w:p>
    <w:p>
      <w:pPr>
        <w:pStyle w:val="BodyText"/>
        <w:spacing w:before="163" w:line="262" w:lineRule="auto"/>
        <w:ind w:left="1150" w:right="79" w:hanging="430"/>
      </w:pPr>
      <w:r>
        <w:rPr>
          <w:color w:val="CA2420"/>
        </w:rPr>
        <w:drawing>
          <wp:inline distT="0" distB="0" distL="0" distR="0">
            <wp:extent cx="46990" cy="107948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90" cy="10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A2420"/>
          <w:spacing w:val="17"/>
        </w:rPr>
        <w:t xml:space="preserve">   </w:t>
      </w:r>
      <w:r>
        <w:rPr>
          <w:color w:val="CA2420"/>
          <w:spacing w:val="-8"/>
          <w14:textOutline w14:w="3831">
            <w14:solidFill>
              <w14:srgbClr w14:val="CA2420"/>
            </w14:solidFill>
            <w14:prstDash w14:val="solid"/>
            <w14:miter w14:lim="10"/>
          </w14:textOutline>
        </w:rPr>
        <w:t>早期临床数据优异，</w:t>
      </w:r>
      <w:r>
        <w:rPr>
          <w:color w:val="CA2420"/>
          <w:spacing w:val="61"/>
        </w:rPr>
        <w:t xml:space="preserve"> </w:t>
      </w:r>
      <w:r>
        <w:rPr>
          <w:rFonts w:ascii="Arial" w:eastAsia="Arial" w:hAnsi="Arial" w:cs="Arial"/>
          <w:b/>
          <w:bCs/>
          <w:color w:val="CA2420"/>
          <w:spacing w:val="-8"/>
        </w:rPr>
        <w:t xml:space="preserve">NASH </w:t>
      </w:r>
      <w:r>
        <w:rPr>
          <w:color w:val="CA2420"/>
          <w:spacing w:val="-8"/>
          <w14:textOutline w14:w="3831">
            <w14:solidFill>
              <w14:srgbClr w14:val="CA2420"/>
            </w14:solidFill>
            <w14:prstDash w14:val="solid"/>
            <w14:miter w14:lim="10"/>
          </w14:textOutline>
        </w:rPr>
        <w:t>有望成为</w:t>
      </w:r>
      <w:r>
        <w:rPr>
          <w:color w:val="CA2420"/>
          <w:spacing w:val="-39"/>
        </w:rPr>
        <w:t xml:space="preserve"> </w:t>
      </w:r>
      <w:r>
        <w:rPr>
          <w:rFonts w:ascii="Arial" w:eastAsia="Arial" w:hAnsi="Arial" w:cs="Arial"/>
          <w:b/>
          <w:bCs/>
          <w:color w:val="CA2420"/>
          <w:spacing w:val="-8"/>
        </w:rPr>
        <w:t>GLP-1</w:t>
      </w:r>
      <w:r>
        <w:rPr>
          <w:rFonts w:ascii="Arial" w:eastAsia="Arial" w:hAnsi="Arial" w:cs="Arial"/>
          <w:b/>
          <w:bCs/>
          <w:color w:val="CA2420"/>
          <w:spacing w:val="14"/>
          <w:w w:val="101"/>
        </w:rPr>
        <w:t xml:space="preserve"> </w:t>
      </w:r>
      <w:r>
        <w:rPr>
          <w:color w:val="CA2420"/>
          <w:spacing w:val="-8"/>
          <w14:textOutline w14:w="3831">
            <w14:solidFill>
              <w14:srgbClr w14:val="CA2420"/>
            </w14:solidFill>
            <w14:prstDash w14:val="solid"/>
            <w14:miter w14:lim="10"/>
          </w14:textOutline>
        </w:rPr>
        <w:t>药物下一主战场。</w:t>
      </w:r>
      <w:r>
        <w:rPr>
          <w:color w:val="CA2420"/>
          <w:spacing w:val="-8"/>
        </w:rPr>
        <w:t xml:space="preserve"> </w:t>
      </w:r>
      <w:r>
        <w:rPr>
          <w:rFonts w:ascii="Arial" w:eastAsia="Arial" w:hAnsi="Arial" w:cs="Arial"/>
          <w:spacing w:val="-8"/>
        </w:rPr>
        <w:t xml:space="preserve">NASH </w:t>
      </w:r>
      <w:r>
        <w:rPr>
          <w:spacing w:val="-8"/>
        </w:rPr>
        <w:t>将是减</w:t>
      </w:r>
      <w:r>
        <w:t xml:space="preserve"> </w:t>
      </w:r>
      <w:r>
        <w:rPr>
          <w:spacing w:val="-8"/>
        </w:rPr>
        <w:t>重之后的蓝海市场，</w:t>
      </w:r>
      <w:r>
        <w:rPr>
          <w:spacing w:val="-40"/>
        </w:rPr>
        <w:t xml:space="preserve"> </w:t>
      </w:r>
      <w:r>
        <w:rPr>
          <w:spacing w:val="-8"/>
        </w:rPr>
        <w:t>由于发病机制复杂，</w:t>
      </w:r>
      <w:r>
        <w:rPr>
          <w:spacing w:val="-8"/>
        </w:rPr>
        <w:t xml:space="preserve"> </w:t>
      </w:r>
      <w:r>
        <w:rPr>
          <w:spacing w:val="-8"/>
        </w:rPr>
        <w:t>目前尚无药物获批。</w:t>
      </w:r>
      <w:r>
        <w:rPr>
          <w:rFonts w:ascii="Arial" w:eastAsia="Arial" w:hAnsi="Arial" w:cs="Arial"/>
          <w:spacing w:val="-8"/>
        </w:rPr>
        <w:t xml:space="preserve">GLP-1 </w:t>
      </w:r>
      <w:r>
        <w:rPr>
          <w:spacing w:val="-8"/>
        </w:rPr>
        <w:t>在</w:t>
      </w:r>
      <w:r>
        <w:rPr>
          <w:spacing w:val="-38"/>
        </w:rPr>
        <w:t xml:space="preserve"> </w:t>
      </w:r>
      <w:r>
        <w:rPr>
          <w:rFonts w:ascii="Arial" w:eastAsia="Arial" w:hAnsi="Arial" w:cs="Arial"/>
          <w:spacing w:val="-8"/>
        </w:rPr>
        <w:t>NASH</w:t>
      </w:r>
      <w:r>
        <w:rPr>
          <w:rFonts w:ascii="Arial" w:eastAsia="Arial" w:hAnsi="Arial" w:cs="Arial"/>
        </w:rPr>
        <w:t xml:space="preserve"> </w:t>
      </w:r>
      <w:r>
        <w:rPr>
          <w:spacing w:val="-6"/>
        </w:rPr>
        <w:t>适应症上展现出了较大的潜力，</w:t>
      </w:r>
      <w:r>
        <w:rPr>
          <w:spacing w:val="35"/>
        </w:rPr>
        <w:t xml:space="preserve"> </w:t>
      </w:r>
      <w:r>
        <w:rPr>
          <w:spacing w:val="-6"/>
        </w:rPr>
        <w:t>司美格鲁肽针对</w:t>
      </w:r>
      <w:r>
        <w:rPr>
          <w:spacing w:val="-28"/>
        </w:rPr>
        <w:t xml:space="preserve"> </w:t>
      </w:r>
      <w:r>
        <w:rPr>
          <w:rFonts w:ascii="Arial" w:eastAsia="Arial" w:hAnsi="Arial" w:cs="Arial"/>
          <w:spacing w:val="-6"/>
        </w:rPr>
        <w:t>F2-F3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spacing w:val="-6"/>
        </w:rPr>
        <w:t>级纤维化</w:t>
      </w:r>
      <w:r>
        <w:rPr>
          <w:spacing w:val="-29"/>
        </w:rPr>
        <w:t xml:space="preserve"> </w:t>
      </w:r>
      <w:r>
        <w:rPr>
          <w:rFonts w:ascii="Arial" w:eastAsia="Arial" w:hAnsi="Arial" w:cs="Arial"/>
          <w:spacing w:val="-6"/>
        </w:rPr>
        <w:t>NASH</w:t>
      </w:r>
      <w:r>
        <w:rPr>
          <w:rFonts w:ascii="Arial" w:eastAsia="Arial" w:hAnsi="Arial" w:cs="Arial"/>
          <w:spacing w:val="27"/>
          <w:w w:val="101"/>
        </w:rPr>
        <w:t xml:space="preserve"> </w:t>
      </w:r>
      <w:r>
        <w:rPr>
          <w:spacing w:val="-6"/>
        </w:rPr>
        <w:t>患者</w:t>
      </w:r>
      <w:r>
        <w:t xml:space="preserve"> </w:t>
      </w:r>
      <w:r>
        <w:rPr>
          <w:rFonts w:ascii="Arial" w:eastAsia="Arial" w:hAnsi="Arial" w:cs="Arial"/>
          <w:spacing w:val="-1"/>
        </w:rPr>
        <w:t>II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spacing w:val="-1"/>
        </w:rPr>
        <w:t>期数据积极，默沙东</w:t>
      </w:r>
      <w:r>
        <w:rPr>
          <w:spacing w:val="-27"/>
        </w:rPr>
        <w:t xml:space="preserve"> </w:t>
      </w:r>
      <w:r>
        <w:rPr>
          <w:rFonts w:ascii="Arial" w:eastAsia="Arial" w:hAnsi="Arial" w:cs="Arial"/>
          <w:spacing w:val="-1"/>
        </w:rPr>
        <w:t xml:space="preserve">GLP-1R/GCGR </w:t>
      </w:r>
      <w:r>
        <w:rPr>
          <w:spacing w:val="-1"/>
        </w:rPr>
        <w:t>双靶</w:t>
      </w:r>
      <w:r>
        <w:rPr>
          <w:spacing w:val="-24"/>
        </w:rPr>
        <w:t xml:space="preserve"> </w:t>
      </w:r>
      <w:r>
        <w:rPr>
          <w:rFonts w:ascii="Arial" w:eastAsia="Arial" w:hAnsi="Arial" w:cs="Arial"/>
          <w:spacing w:val="-1"/>
        </w:rPr>
        <w:t>Efinopeg</w:t>
      </w:r>
      <w:r>
        <w:rPr>
          <w:rFonts w:ascii="Arial" w:eastAsia="Arial" w:hAnsi="Arial" w:cs="Arial"/>
          <w:spacing w:val="-2"/>
        </w:rPr>
        <w:t xml:space="preserve">dutide </w:t>
      </w:r>
      <w:r>
        <w:rPr>
          <w:spacing w:val="-2"/>
        </w:rPr>
        <w:t>在</w:t>
      </w:r>
      <w:r>
        <w:rPr>
          <w:spacing w:val="-24"/>
        </w:rPr>
        <w:t xml:space="preserve"> </w:t>
      </w:r>
      <w:r>
        <w:rPr>
          <w:rFonts w:ascii="Arial" w:eastAsia="Arial" w:hAnsi="Arial" w:cs="Arial"/>
          <w:spacing w:val="-2"/>
        </w:rPr>
        <w:t>NAFLD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spacing w:val="-2"/>
        </w:rPr>
        <w:t>患者</w:t>
      </w:r>
      <w:r>
        <w:t xml:space="preserve"> </w:t>
      </w:r>
      <w:r>
        <w:rPr>
          <w:spacing w:val="-4"/>
        </w:rPr>
        <w:t>中数据显著优于司美格鲁肽，</w:t>
      </w:r>
      <w:r>
        <w:rPr>
          <w:spacing w:val="-4"/>
        </w:rPr>
        <w:t xml:space="preserve"> </w:t>
      </w:r>
      <w:r>
        <w:rPr>
          <w:rFonts w:ascii="Arial" w:eastAsia="Arial" w:hAnsi="Arial" w:cs="Arial"/>
          <w:spacing w:val="-4"/>
        </w:rPr>
        <w:t xml:space="preserve">GLP-1 </w:t>
      </w:r>
      <w:r>
        <w:rPr>
          <w:spacing w:val="-4"/>
        </w:rPr>
        <w:t>与其他</w:t>
      </w:r>
      <w:r>
        <w:rPr>
          <w:spacing w:val="-38"/>
        </w:rPr>
        <w:t xml:space="preserve"> </w:t>
      </w:r>
      <w:r>
        <w:rPr>
          <w:rFonts w:ascii="Arial" w:eastAsia="Arial" w:hAnsi="Arial" w:cs="Arial"/>
          <w:spacing w:val="-5"/>
        </w:rPr>
        <w:t>NASH</w:t>
      </w:r>
      <w:r>
        <w:rPr>
          <w:rFonts w:ascii="Arial" w:eastAsia="Arial" w:hAnsi="Arial" w:cs="Arial"/>
          <w:spacing w:val="15"/>
          <w:w w:val="101"/>
        </w:rPr>
        <w:t xml:space="preserve"> </w:t>
      </w:r>
      <w:r>
        <w:rPr>
          <w:spacing w:val="-5"/>
        </w:rPr>
        <w:t>药物联用协同效应明显。</w:t>
      </w:r>
    </w:p>
    <w:p>
      <w:pPr>
        <w:pStyle w:val="BodyText"/>
        <w:spacing w:before="164" w:line="256" w:lineRule="auto"/>
        <w:ind w:left="1145" w:right="80" w:hanging="426"/>
      </w:pPr>
      <w:r>
        <w:rPr>
          <w:rFonts w:ascii="Arial" w:eastAsia="Arial" w:hAnsi="Arial" w:cs="Arial"/>
          <w:color w:val="CA2420"/>
        </w:rPr>
        <w:drawing>
          <wp:inline distT="0" distB="0" distL="0" distR="0">
            <wp:extent cx="46990" cy="107948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990" cy="10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CA2420"/>
          <w:spacing w:val="2"/>
        </w:rPr>
        <w:t xml:space="preserve">      </w:t>
      </w:r>
      <w:r>
        <w:rPr>
          <w:rFonts w:ascii="Arial" w:eastAsia="Arial" w:hAnsi="Arial" w:cs="Arial"/>
          <w:b/>
          <w:bCs/>
          <w:color w:val="CA2420"/>
          <w:spacing w:val="-5"/>
        </w:rPr>
        <w:t>GLP-1</w:t>
      </w:r>
      <w:r>
        <w:rPr>
          <w:rFonts w:ascii="Arial" w:eastAsia="Arial" w:hAnsi="Arial" w:cs="Arial"/>
          <w:b/>
          <w:bCs/>
          <w:color w:val="CA2420"/>
          <w:spacing w:val="18"/>
        </w:rPr>
        <w:t xml:space="preserve"> </w:t>
      </w:r>
      <w:r>
        <w:rPr>
          <w:color w:val="CA2420"/>
          <w:spacing w:val="-5"/>
          <w14:textOutline w14:w="3831">
            <w14:solidFill>
              <w14:srgbClr w14:val="CA2420"/>
            </w14:solidFill>
            <w14:prstDash w14:val="solid"/>
            <w14:miter w14:lim="10"/>
          </w14:textOutline>
        </w:rPr>
        <w:t>药物带动产业链上游景气度提升。</w:t>
      </w:r>
      <w:r>
        <w:rPr>
          <w:color w:val="CA2420"/>
          <w:spacing w:val="38"/>
        </w:rPr>
        <w:t xml:space="preserve"> </w:t>
      </w:r>
      <w:r>
        <w:rPr>
          <w:spacing w:val="-5"/>
        </w:rPr>
        <w:t>下游</w:t>
      </w:r>
      <w:r>
        <w:rPr>
          <w:spacing w:val="-41"/>
        </w:rPr>
        <w:t xml:space="preserve"> </w:t>
      </w:r>
      <w:r>
        <w:rPr>
          <w:rFonts w:ascii="Arial" w:eastAsia="Arial" w:hAnsi="Arial" w:cs="Arial"/>
          <w:spacing w:val="-5"/>
        </w:rPr>
        <w:t xml:space="preserve">GLP-1 </w:t>
      </w:r>
      <w:r>
        <w:rPr>
          <w:spacing w:val="-5"/>
        </w:rPr>
        <w:t>制剂的空间拉动上游产</w:t>
      </w:r>
      <w:r>
        <w:t xml:space="preserve"> </w:t>
      </w:r>
      <w:r>
        <w:rPr>
          <w:spacing w:val="-3"/>
        </w:rPr>
        <w:t>业链的需求提升，包括合成原料药所需的原材料、生产过程涉及到的合成载体</w:t>
      </w:r>
      <w:r>
        <w:rPr>
          <w:spacing w:val="18"/>
        </w:rPr>
        <w:t xml:space="preserve"> </w:t>
      </w:r>
      <w:r>
        <w:rPr>
          <w:spacing w:val="-4"/>
        </w:rPr>
        <w:t>和分离纯化装置、注射笔、原料药、</w:t>
      </w:r>
      <w:r>
        <w:rPr>
          <w:spacing w:val="-23"/>
        </w:rPr>
        <w:t xml:space="preserve"> </w:t>
      </w:r>
      <w:r>
        <w:rPr>
          <w:rFonts w:ascii="Arial" w:eastAsia="Arial" w:hAnsi="Arial" w:cs="Arial"/>
          <w:spacing w:val="-4"/>
        </w:rPr>
        <w:t>CDMO</w:t>
      </w:r>
      <w:r>
        <w:rPr>
          <w:spacing w:val="-4"/>
        </w:rPr>
        <w:t>。</w:t>
      </w:r>
    </w:p>
    <w:p>
      <w:pPr>
        <w:pStyle w:val="BodyText"/>
        <w:spacing w:before="157" w:line="258" w:lineRule="auto"/>
        <w:ind w:left="1144" w:right="76" w:hanging="424"/>
      </w:pPr>
      <w:r>
        <w:rPr>
          <w:color w:val="CA2420"/>
        </w:rPr>
        <w:drawing>
          <wp:inline distT="0" distB="0" distL="0" distR="0">
            <wp:extent cx="46990" cy="10858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90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A2420"/>
          <w:spacing w:val="13"/>
        </w:rPr>
        <w:t xml:space="preserve">   </w:t>
      </w:r>
      <w:r>
        <w:rPr>
          <w:color w:val="CA2420"/>
          <w:spacing w:val="-4"/>
          <w14:textOutline w14:w="3831">
            <w14:solidFill>
              <w14:srgbClr w14:val="CA2420"/>
            </w14:solidFill>
            <w14:prstDash w14:val="solid"/>
            <w14:miter w14:lim="10"/>
          </w14:textOutline>
        </w:rPr>
        <w:t>投资建议。</w:t>
      </w:r>
      <w:r>
        <w:rPr>
          <w:spacing w:val="-4"/>
        </w:rPr>
        <w:t>基于</w:t>
      </w:r>
      <w:r>
        <w:rPr>
          <w:spacing w:val="-39"/>
        </w:rPr>
        <w:t xml:space="preserve"> </w:t>
      </w:r>
      <w:r>
        <w:rPr>
          <w:rFonts w:ascii="Arial" w:eastAsia="Arial" w:hAnsi="Arial" w:cs="Arial"/>
          <w:spacing w:val="-4"/>
        </w:rPr>
        <w:t>GLP-1RA</w:t>
      </w:r>
      <w:r>
        <w:rPr>
          <w:rFonts w:ascii="Arial" w:eastAsia="Arial" w:hAnsi="Arial" w:cs="Arial"/>
          <w:spacing w:val="17"/>
          <w:w w:val="101"/>
        </w:rPr>
        <w:t xml:space="preserve"> </w:t>
      </w:r>
      <w:r>
        <w:rPr>
          <w:spacing w:val="-4"/>
        </w:rPr>
        <w:t>类药物在全球范围内巨大的市场空间，</w:t>
      </w:r>
      <w:r>
        <w:rPr>
          <w:spacing w:val="-36"/>
        </w:rPr>
        <w:t xml:space="preserve"> </w:t>
      </w:r>
      <w:r>
        <w:rPr>
          <w:spacing w:val="-4"/>
        </w:rPr>
        <w:t>我们</w:t>
      </w:r>
      <w:r>
        <w:rPr>
          <w:spacing w:val="-5"/>
        </w:rPr>
        <w:t>推荐国</w:t>
      </w:r>
      <w:r>
        <w:t xml:space="preserve"> </w:t>
      </w:r>
      <w:r>
        <w:rPr>
          <w:spacing w:val="-3"/>
        </w:rPr>
        <w:t>内在</w:t>
      </w:r>
      <w:r>
        <w:rPr>
          <w:spacing w:val="-24"/>
        </w:rPr>
        <w:t xml:space="preserve"> </w:t>
      </w:r>
      <w:r>
        <w:rPr>
          <w:rFonts w:ascii="Arial" w:eastAsia="Arial" w:hAnsi="Arial" w:cs="Arial"/>
          <w:spacing w:val="-3"/>
        </w:rPr>
        <w:t xml:space="preserve">GLP-1 </w:t>
      </w:r>
      <w:r>
        <w:rPr>
          <w:spacing w:val="-3"/>
        </w:rPr>
        <w:t>领域布局全面的华东医药；建议关注长效单靶</w:t>
      </w:r>
      <w:r>
        <w:rPr>
          <w:spacing w:val="-41"/>
        </w:rPr>
        <w:t xml:space="preserve"> </w:t>
      </w:r>
      <w:r>
        <w:rPr>
          <w:rFonts w:ascii="Arial" w:eastAsia="Arial" w:hAnsi="Arial" w:cs="Arial"/>
          <w:spacing w:val="-3"/>
        </w:rPr>
        <w:t>GLP-1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spacing w:val="-3"/>
        </w:rPr>
        <w:t>已上市、双</w:t>
      </w:r>
      <w:r>
        <w:t xml:space="preserve"> </w:t>
      </w:r>
      <w:r>
        <w:rPr>
          <w:spacing w:val="-3"/>
        </w:rPr>
        <w:t>靶在研布局的翰森制药，</w:t>
      </w:r>
      <w:r>
        <w:rPr>
          <w:spacing w:val="-3"/>
        </w:rPr>
        <w:t xml:space="preserve"> </w:t>
      </w:r>
      <w:r>
        <w:rPr>
          <w:spacing w:val="-3"/>
        </w:rPr>
        <w:t>以及</w:t>
      </w:r>
      <w:r>
        <w:rPr>
          <w:spacing w:val="-41"/>
        </w:rPr>
        <w:t xml:space="preserve"> </w:t>
      </w:r>
      <w:r>
        <w:rPr>
          <w:rFonts w:ascii="Arial" w:eastAsia="Arial" w:hAnsi="Arial" w:cs="Arial"/>
          <w:spacing w:val="-3"/>
        </w:rPr>
        <w:t>GLP-1R/G</w:t>
      </w:r>
      <w:r>
        <w:rPr>
          <w:rFonts w:ascii="Arial" w:eastAsia="Arial" w:hAnsi="Arial" w:cs="Arial"/>
          <w:spacing w:val="-4"/>
        </w:rPr>
        <w:t xml:space="preserve">CGR </w:t>
      </w:r>
      <w:r>
        <w:rPr>
          <w:spacing w:val="-4"/>
        </w:rPr>
        <w:t>进度最快的信达生物。</w:t>
      </w:r>
    </w:p>
    <w:p>
      <w:pPr>
        <w:pStyle w:val="BodyText"/>
        <w:spacing w:before="145" w:line="186" w:lineRule="auto"/>
        <w:jc w:val="right"/>
      </w:pPr>
      <w:r>
        <w:rPr>
          <w:color w:val="C00000"/>
        </w:rPr>
        <w:drawing>
          <wp:inline distT="0" distB="0" distL="0" distR="0">
            <wp:extent cx="46990" cy="10858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990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00000"/>
          <w:spacing w:val="12"/>
        </w:rPr>
        <w:t xml:space="preserve">   </w:t>
      </w:r>
      <w:r>
        <w:rPr>
          <w:color w:val="C00000"/>
          <w:spacing w:val="-6"/>
          <w14:textOutline w14:w="3831">
            <w14:solidFill>
              <w14:srgbClr w14:val="C00000"/>
            </w14:solidFill>
            <w14:prstDash w14:val="solid"/>
            <w14:miter w14:lim="10"/>
          </w14:textOutline>
        </w:rPr>
        <w:t>风险提示。</w:t>
      </w:r>
      <w:r>
        <w:rPr>
          <w:spacing w:val="-6"/>
        </w:rPr>
        <w:t>新药研发的风险、竞争加剧的风险、医保谈判的风险、集采的风</w:t>
      </w:r>
      <w:r>
        <w:rPr>
          <w:spacing w:val="-7"/>
        </w:rPr>
        <w:t>险。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49" w:lineRule="exact"/>
      </w:pPr>
    </w:p>
    <w:tbl>
      <w:tblPr>
        <w:tblStyle w:val="TableNormal1"/>
        <w:tblW w:w="312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126"/>
      </w:tblGrid>
      <w:tr>
        <w:tblPrEx>
          <w:tblW w:w="3126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988"/>
        </w:trPr>
        <w:tc>
          <w:tcPr>
            <w:tcW w:w="3126" w:type="dxa"/>
            <w:tcBorders>
              <w:bottom w:val="single" w:sz="8" w:space="0" w:color="FFFFFF"/>
            </w:tcBorders>
            <w:vAlign w:val="top"/>
          </w:tcPr>
          <w:p>
            <w:pPr>
              <w:spacing w:line="218" w:lineRule="auto"/>
              <w:rPr>
                <w:rFonts w:ascii="KaiTi" w:eastAsia="KaiTi" w:hAnsi="KaiTi" w:cs="KaiTi"/>
                <w:sz w:val="21"/>
                <w:szCs w:val="21"/>
              </w:rPr>
            </w:pPr>
            <w:r>
              <w:rPr>
                <w:rFonts w:ascii="KaiTi" w:eastAsia="KaiTi" w:hAnsi="KaiTi" w:cs="KaiTi"/>
                <w:color w:val="C00000"/>
                <w:sz w:val="21"/>
                <w:szCs w:val="21"/>
                <w14:textOutline w14:w="3831">
                  <w14:solidFill>
                    <w14:srgbClr w14:val="C00000"/>
                  </w14:solidFill>
                  <w14:prstDash w14:val="solid"/>
                  <w14:miter w14:lim="10"/>
                </w14:textOutline>
              </w:rPr>
              <w:t>证券研究报告</w:t>
            </w:r>
          </w:p>
          <w:p>
            <w:pPr>
              <w:pStyle w:val="TableText"/>
              <w:spacing w:before="157" w:line="217" w:lineRule="auto"/>
              <w:ind w:left="10"/>
              <w:rPr>
                <w:rFonts w:ascii="KaiTi" w:eastAsia="KaiTi" w:hAnsi="KaiTi" w:cs="KaiTi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 xml:space="preserve">2024 </w:t>
            </w:r>
            <w:r>
              <w:rPr>
                <w:rFonts w:ascii="KaiTi" w:eastAsia="KaiTi" w:hAnsi="KaiTi" w:cs="KaiTi"/>
                <w:spacing w:val="-5"/>
                <w:sz w:val="18"/>
                <w:szCs w:val="18"/>
              </w:rPr>
              <w:t>年</w:t>
            </w:r>
            <w:r>
              <w:rPr>
                <w:rFonts w:ascii="KaiTi" w:eastAsia="KaiTi" w:hAnsi="KaiTi" w:cs="KaiTi"/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01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ascii="KaiTi" w:eastAsia="KaiTi" w:hAnsi="KaiTi" w:cs="KaiTi"/>
                <w:spacing w:val="-5"/>
                <w:sz w:val="18"/>
                <w:szCs w:val="18"/>
              </w:rPr>
              <w:t>月</w:t>
            </w:r>
            <w:r>
              <w:rPr>
                <w:rFonts w:ascii="KaiTi" w:eastAsia="KaiTi" w:hAnsi="KaiTi" w:cs="KaiTi"/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10</w:t>
            </w:r>
            <w:r>
              <w:rPr>
                <w:spacing w:val="39"/>
                <w:sz w:val="18"/>
                <w:szCs w:val="18"/>
              </w:rPr>
              <w:t xml:space="preserve"> </w:t>
            </w:r>
            <w:r>
              <w:rPr>
                <w:rFonts w:ascii="KaiTi" w:eastAsia="KaiTi" w:hAnsi="KaiTi" w:cs="KaiTi"/>
                <w:spacing w:val="-5"/>
                <w:sz w:val="18"/>
                <w:szCs w:val="18"/>
              </w:rPr>
              <w:t>日</w:t>
            </w:r>
          </w:p>
        </w:tc>
      </w:tr>
      <w:tr>
        <w:tblPrEx>
          <w:tblW w:w="3126" w:type="dxa"/>
          <w:tblInd w:w="0" w:type="dxa"/>
          <w:tblLayout w:type="fixed"/>
        </w:tblPrEx>
        <w:trPr>
          <w:trHeight w:val="618"/>
        </w:trPr>
        <w:tc>
          <w:tcPr>
            <w:tcW w:w="3126" w:type="dxa"/>
            <w:tcBorders>
              <w:top w:val="single" w:sz="2" w:space="0" w:color="CA2420"/>
              <w:bottom w:val="single" w:sz="2" w:space="0" w:color="CA2420"/>
            </w:tcBorders>
            <w:vAlign w:val="top"/>
          </w:tcPr>
          <w:p>
            <w:pPr>
              <w:pStyle w:val="TableText"/>
              <w:spacing w:before="160" w:line="214" w:lineRule="auto"/>
              <w:jc w:val="right"/>
              <w:rPr>
                <w:rFonts w:ascii="KaiTi" w:eastAsia="KaiTi" w:hAnsi="KaiTi" w:cs="KaiTi"/>
                <w:sz w:val="28"/>
                <w:szCs w:val="28"/>
              </w:rPr>
            </w:pPr>
            <w:r>
              <w:rPr>
                <w:rFonts w:ascii="KaiTi" w:eastAsia="KaiTi" w:hAnsi="KaiTi" w:cs="KaiTi"/>
                <w:spacing w:val="-1"/>
                <w:sz w:val="24"/>
                <w:szCs w:val="24"/>
                <w14:textOutline w14:w="435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行业评级</w:t>
            </w:r>
            <w:r>
              <w:rPr>
                <w:spacing w:val="-1"/>
                <w:sz w:val="18"/>
                <w:szCs w:val="18"/>
              </w:rPr>
              <w:t>(</w:t>
            </w:r>
            <w:r>
              <w:rPr>
                <w:rFonts w:ascii="KaiTi" w:eastAsia="KaiTi" w:hAnsi="KaiTi" w:cs="KaiTi"/>
                <w:spacing w:val="-1"/>
                <w:sz w:val="18"/>
                <w:szCs w:val="18"/>
              </w:rPr>
              <w:t>维持</w:t>
            </w:r>
            <w:r>
              <w:rPr>
                <w:spacing w:val="-1"/>
                <w:sz w:val="18"/>
                <w:szCs w:val="18"/>
              </w:rPr>
              <w:t xml:space="preserve">)           </w:t>
            </w:r>
            <w:r>
              <w:rPr>
                <w:rFonts w:ascii="KaiTi" w:eastAsia="KaiTi" w:hAnsi="KaiTi" w:cs="KaiTi"/>
                <w:spacing w:val="-1"/>
                <w:sz w:val="28"/>
                <w:szCs w:val="28"/>
                <w14:textOutline w14:w="509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强于大市</w:t>
            </w:r>
          </w:p>
        </w:tc>
      </w:tr>
      <w:tr>
        <w:tblPrEx>
          <w:tblW w:w="3126" w:type="dxa"/>
          <w:tblInd w:w="0" w:type="dxa"/>
          <w:tblLayout w:type="fixed"/>
        </w:tblPrEx>
        <w:trPr>
          <w:trHeight w:val="670"/>
        </w:trPr>
        <w:tc>
          <w:tcPr>
            <w:tcW w:w="3126" w:type="dxa"/>
            <w:tcBorders>
              <w:top w:val="single" w:sz="2" w:space="0" w:color="CA2420"/>
            </w:tcBorders>
            <w:vAlign w:val="top"/>
          </w:tcPr>
          <w:p>
            <w:pPr>
              <w:pStyle w:val="TableText"/>
              <w:spacing w:line="293" w:lineRule="auto"/>
              <w:rPr>
                <w:sz w:val="21"/>
              </w:rPr>
            </w:pPr>
          </w:p>
          <w:p>
            <w:pPr>
              <w:spacing w:before="68" w:line="220" w:lineRule="auto"/>
              <w:ind w:left="14"/>
              <w:rPr>
                <w:rFonts w:ascii="KaiTi" w:eastAsia="KaiTi" w:hAnsi="KaiTi" w:cs="KaiTi"/>
                <w:sz w:val="21"/>
                <w:szCs w:val="21"/>
              </w:rPr>
            </w:pPr>
            <w:r>
              <w:rPr>
                <w:rFonts w:ascii="KaiTi" w:eastAsia="KaiTi" w:hAnsi="KaiTi" w:cs="KaiTi"/>
                <w:spacing w:val="-1"/>
                <w:sz w:val="21"/>
                <w:szCs w:val="2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相对市场表现</w:t>
            </w:r>
          </w:p>
        </w:tc>
      </w:tr>
      <w:tr>
        <w:tblPrEx>
          <w:tblW w:w="3126" w:type="dxa"/>
          <w:tblInd w:w="0" w:type="dxa"/>
          <w:tblLayout w:type="fixed"/>
        </w:tblPrEx>
        <w:trPr>
          <w:trHeight w:val="1643"/>
        </w:trPr>
        <w:tc>
          <w:tcPr>
            <w:tcW w:w="3126" w:type="dxa"/>
            <w:vAlign w:val="top"/>
          </w:tcPr>
          <w:p>
            <w:pPr>
              <w:spacing w:before="96" w:line="234" w:lineRule="auto"/>
              <w:ind w:left="988"/>
              <w:rPr>
                <w:rFonts w:ascii="KaiTi" w:eastAsia="KaiTi" w:hAnsi="KaiTi" w:cs="KaiTi"/>
                <w:sz w:val="13"/>
                <w:szCs w:val="13"/>
              </w:rPr>
            </w:pPr>
            <w:r>
              <w:pict>
                <v:shape id="_x0000_s1029" type="#_x0000_t202" style="width:26.7pt;height:10.25pt;margin-top:3.8pt;margin-left:110.54pt;position:absolute;z-index:251665408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34" w:lineRule="auto"/>
                          <w:ind w:left="20"/>
                        </w:pPr>
                        <w:r>
                          <w:rPr>
                            <w:rFonts w:ascii="KaiTi" w:eastAsia="KaiTi" w:hAnsi="KaiTi" w:cs="KaiTi"/>
                            <w:spacing w:val="3"/>
                          </w:rPr>
                          <w:t>沪深</w:t>
                        </w:r>
                        <w:r>
                          <w:rPr>
                            <w:spacing w:val="3"/>
                          </w:rPr>
                          <w:t>300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0" type="#_x0000_t202" style="width:7.8pt;height:9.75pt;margin-top:4pt;margin-left:3.31pt;position:absolute;z-index:251664384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154" w:lineRule="exact"/>
                          <w:ind w:left="20"/>
                        </w:pPr>
                        <w:r>
                          <w:t>%</w:t>
                        </w:r>
                      </w:p>
                    </w:txbxContent>
                  </v:textbox>
                </v:shape>
              </w:pict>
            </w:r>
            <w:r>
              <w:pict>
                <v:rect id="_x0000_s1031" style="width:20.25pt;height:1pt;margin-top:7.93pt;margin-left:-129.86pt;mso-position-horizontal-relative:right-margin-area;mso-position-vertical-relative:top-margin-area;position:absolute;z-index:251662336" filled="t" fillcolor="#d50000" stroked="f"/>
              </w:pict>
            </w:r>
            <w:r>
              <w:pict>
                <v:rect id="_x0000_s1032" style="width:20.25pt;height:1pt;margin-top:7.93pt;margin-left:-67.41pt;mso-position-horizontal-relative:right-margin-area;mso-position-vertical-relative:top-margin-area;position:absolute;z-index:251663360" filled="t" fillcolor="#7f7f7f" stroked="f"/>
              </w:pict>
            </w:r>
            <w: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rightMargin">
                    <wp:posOffset>-1763044</wp:posOffset>
                  </wp:positionH>
                  <wp:positionV relativeFrom="topMargin">
                    <wp:posOffset>200291</wp:posOffset>
                  </wp:positionV>
                  <wp:extent cx="1652968" cy="799084"/>
                  <wp:effectExtent l="0" t="0" r="0" b="0"/>
                  <wp:wrapNone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968" cy="799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KaiTi" w:eastAsia="KaiTi" w:hAnsi="KaiTi" w:cs="KaiTi"/>
                <w:spacing w:val="3"/>
                <w:sz w:val="13"/>
                <w:szCs w:val="13"/>
              </w:rPr>
              <w:t>医药生物</w:t>
            </w:r>
          </w:p>
          <w:p>
            <w:pPr>
              <w:pStyle w:val="TableText"/>
              <w:spacing w:before="4" w:line="205" w:lineRule="auto"/>
              <w:ind w:left="166"/>
            </w:pPr>
            <w:r>
              <w:t>9</w:t>
            </w:r>
          </w:p>
          <w:p>
            <w:pPr>
              <w:pStyle w:val="TableText"/>
              <w:spacing w:before="121" w:line="204" w:lineRule="auto"/>
              <w:ind w:left="162"/>
            </w:pPr>
            <w:r>
              <w:rPr>
                <w:spacing w:val="3"/>
              </w:rPr>
              <w:t>4</w:t>
            </w:r>
          </w:p>
          <w:p>
            <w:pPr>
              <w:pStyle w:val="TableText"/>
              <w:spacing w:before="120" w:line="205" w:lineRule="auto"/>
              <w:ind w:left="118"/>
            </w:pPr>
            <w:r>
              <w:rPr>
                <w:spacing w:val="1"/>
              </w:rPr>
              <w:t>-0</w:t>
            </w:r>
          </w:p>
          <w:p>
            <w:pPr>
              <w:pStyle w:val="TableText"/>
              <w:spacing w:before="123" w:line="202" w:lineRule="auto"/>
              <w:ind w:left="118"/>
            </w:pPr>
            <w:r>
              <w:rPr>
                <w:spacing w:val="1"/>
              </w:rPr>
              <w:t>-5</w:t>
            </w:r>
          </w:p>
          <w:p>
            <w:pPr>
              <w:pStyle w:val="TableText"/>
              <w:spacing w:before="121" w:line="205" w:lineRule="auto"/>
              <w:ind w:left="40"/>
            </w:pPr>
            <w:r>
              <w:rPr>
                <w:spacing w:val="3"/>
              </w:rPr>
              <w:t>-10</w:t>
            </w:r>
          </w:p>
          <w:p>
            <w:pPr>
              <w:pStyle w:val="TableText"/>
              <w:spacing w:before="121" w:line="198" w:lineRule="auto"/>
              <w:ind w:left="40"/>
            </w:pPr>
            <w:r>
              <w:rPr>
                <w:spacing w:val="3"/>
              </w:rPr>
              <w:t>-15</w:t>
            </w:r>
          </w:p>
        </w:tc>
      </w:tr>
      <w:tr>
        <w:tblPrEx>
          <w:tblW w:w="3126" w:type="dxa"/>
          <w:tblInd w:w="0" w:type="dxa"/>
          <w:tblLayout w:type="fixed"/>
        </w:tblPrEx>
        <w:trPr>
          <w:trHeight w:val="824"/>
        </w:trPr>
        <w:tc>
          <w:tcPr>
            <w:tcW w:w="3126" w:type="dxa"/>
            <w:tcBorders>
              <w:bottom w:val="single" w:sz="2" w:space="0" w:color="CA2420"/>
            </w:tcBorders>
            <w:vAlign w:val="top"/>
          </w:tcPr>
          <w:p>
            <w:pPr>
              <w:pStyle w:val="TableText"/>
              <w:spacing w:before="32" w:line="207" w:lineRule="auto"/>
              <w:ind w:left="190"/>
            </w:pPr>
            <w:r>
              <w:rPr>
                <w:spacing w:val="4"/>
              </w:rPr>
              <w:t>22/12</w:t>
            </w:r>
            <w:r>
              <w:t xml:space="preserve">        </w:t>
            </w:r>
            <w:r>
              <w:rPr>
                <w:spacing w:val="4"/>
              </w:rPr>
              <w:t>23/03</w:t>
            </w:r>
            <w:r>
              <w:rPr>
                <w:spacing w:val="1"/>
              </w:rPr>
              <w:t xml:space="preserve">        </w:t>
            </w:r>
            <w:r>
              <w:rPr>
                <w:spacing w:val="4"/>
              </w:rPr>
              <w:t>23/06</w:t>
            </w:r>
            <w:r>
              <w:t xml:space="preserve">        </w:t>
            </w:r>
            <w:r>
              <w:rPr>
                <w:spacing w:val="4"/>
              </w:rPr>
              <w:t>23/09</w:t>
            </w:r>
            <w:r>
              <w:t xml:space="preserve">        </w:t>
            </w:r>
            <w:r>
              <w:rPr>
                <w:spacing w:val="4"/>
              </w:rPr>
              <w:t>23/12</w:t>
            </w:r>
          </w:p>
          <w:p>
            <w:pPr>
              <w:pStyle w:val="TableText"/>
              <w:spacing w:line="328" w:lineRule="auto"/>
              <w:rPr>
                <w:sz w:val="21"/>
              </w:rPr>
            </w:pPr>
          </w:p>
          <w:p>
            <w:pPr>
              <w:spacing w:before="68" w:line="218" w:lineRule="auto"/>
              <w:ind w:left="16"/>
              <w:rPr>
                <w:rFonts w:ascii="KaiTi" w:eastAsia="KaiTi" w:hAnsi="KaiTi" w:cs="KaiTi"/>
                <w:sz w:val="21"/>
                <w:szCs w:val="21"/>
              </w:rPr>
            </w:pPr>
            <w:r>
              <w:rPr>
                <w:rFonts w:ascii="KaiTi" w:eastAsia="KaiTi" w:hAnsi="KaiTi" w:cs="KaiTi"/>
                <w:spacing w:val="-2"/>
                <w:sz w:val="21"/>
                <w:szCs w:val="2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分析师</w:t>
            </w:r>
          </w:p>
        </w:tc>
      </w:tr>
      <w:tr>
        <w:tblPrEx>
          <w:tblW w:w="3126" w:type="dxa"/>
          <w:tblInd w:w="0" w:type="dxa"/>
          <w:tblLayout w:type="fixed"/>
        </w:tblPrEx>
        <w:trPr>
          <w:trHeight w:val="318"/>
        </w:trPr>
        <w:tc>
          <w:tcPr>
            <w:tcW w:w="3126" w:type="dxa"/>
            <w:tcBorders>
              <w:top w:val="single" w:sz="2" w:space="0" w:color="CA2420"/>
            </w:tcBorders>
            <w:vAlign w:val="top"/>
          </w:tcPr>
          <w:p>
            <w:pPr>
              <w:spacing w:before="66" w:line="220" w:lineRule="auto"/>
              <w:ind w:left="36"/>
              <w:rPr>
                <w:rFonts w:ascii="KaiTi" w:eastAsia="KaiTi" w:hAnsi="KaiTi" w:cs="KaiTi"/>
                <w:sz w:val="18"/>
                <w:szCs w:val="18"/>
              </w:rPr>
            </w:pPr>
            <w:r>
              <w:rPr>
                <w:rFonts w:ascii="KaiTi" w:eastAsia="KaiTi" w:hAnsi="KaiTi" w:cs="KaiTi"/>
                <w:spacing w:val="-6"/>
                <w:sz w:val="18"/>
                <w:szCs w:val="18"/>
                <w:u w:val="single" w:color="CA2420"/>
              </w:rPr>
              <w:t>医药研究团队</w:t>
            </w:r>
            <w:r>
              <w:rPr>
                <w:rFonts w:ascii="KaiTi" w:eastAsia="KaiTi" w:hAnsi="KaiTi" w:cs="KaiTi"/>
                <w:sz w:val="18"/>
                <w:szCs w:val="18"/>
                <w:u w:val="single" w:color="CA2420"/>
              </w:rPr>
              <w:t xml:space="preserve">                       </w:t>
            </w:r>
          </w:p>
        </w:tc>
      </w:tr>
      <w:tr>
        <w:tblPrEx>
          <w:tblW w:w="3126" w:type="dxa"/>
          <w:tblInd w:w="0" w:type="dxa"/>
          <w:tblLayout w:type="fixed"/>
        </w:tblPrEx>
        <w:trPr>
          <w:trHeight w:val="1898"/>
        </w:trPr>
        <w:tc>
          <w:tcPr>
            <w:tcW w:w="3126" w:type="dxa"/>
            <w:vAlign w:val="top"/>
          </w:tcPr>
          <w:p>
            <w:pPr>
              <w:spacing w:before="34" w:line="220" w:lineRule="auto"/>
              <w:ind w:left="1323"/>
              <w:rPr>
                <w:rFonts w:ascii="KaiTi" w:eastAsia="KaiTi" w:hAnsi="KaiTi" w:cs="KaiTi"/>
                <w:sz w:val="18"/>
                <w:szCs w:val="18"/>
              </w:rPr>
            </w:pPr>
            <w:r>
              <w:rPr>
                <w:rFonts w:ascii="KaiTi" w:eastAsia="KaiTi" w:hAnsi="KaiTi" w:cs="KaiTi"/>
                <w:spacing w:val="-12"/>
                <w:sz w:val="18"/>
                <w:szCs w:val="18"/>
                <w14:textOutline w14:w="326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肖鸿德</w:t>
            </w:r>
          </w:p>
          <w:p>
            <w:pPr>
              <w:pStyle w:val="TableText"/>
              <w:spacing w:before="91" w:line="275" w:lineRule="auto"/>
              <w:ind w:left="348" w:right="350" w:firstLine="44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hongde.xiao@nomuraoi-sec.com</w:t>
            </w:r>
            <w:r>
              <w:rPr>
                <w:spacing w:val="8"/>
                <w:sz w:val="16"/>
                <w:szCs w:val="16"/>
              </w:rPr>
              <w:t xml:space="preserve">  </w:t>
            </w:r>
            <w:r>
              <w:rPr>
                <w:spacing w:val="-3"/>
                <w:sz w:val="16"/>
                <w:szCs w:val="16"/>
              </w:rPr>
              <w:t xml:space="preserve">SAC </w:t>
            </w:r>
            <w:r>
              <w:rPr>
                <w:rFonts w:ascii="KaiTi" w:eastAsia="KaiTi" w:hAnsi="KaiTi" w:cs="KaiTi"/>
                <w:spacing w:val="-3"/>
                <w:sz w:val="16"/>
                <w:szCs w:val="16"/>
              </w:rPr>
              <w:t>执证编号：</w:t>
            </w:r>
            <w:r>
              <w:rPr>
                <w:rFonts w:ascii="KaiTi" w:eastAsia="KaiTi" w:hAnsi="KaiTi" w:cs="KaiTi"/>
                <w:spacing w:val="-18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S172052307</w:t>
            </w:r>
            <w:r>
              <w:rPr>
                <w:spacing w:val="-4"/>
                <w:sz w:val="16"/>
                <w:szCs w:val="16"/>
              </w:rPr>
              <w:t>0001</w:t>
            </w:r>
          </w:p>
          <w:p>
            <w:pPr>
              <w:pStyle w:val="TableText"/>
              <w:spacing w:line="310" w:lineRule="auto"/>
              <w:rPr>
                <w:sz w:val="21"/>
              </w:rPr>
            </w:pPr>
          </w:p>
          <w:p>
            <w:pPr>
              <w:spacing w:before="59" w:line="222" w:lineRule="auto"/>
              <w:ind w:left="1297"/>
              <w:rPr>
                <w:rFonts w:ascii="KaiTi" w:eastAsia="KaiTi" w:hAnsi="KaiTi" w:cs="KaiTi"/>
                <w:sz w:val="18"/>
                <w:szCs w:val="18"/>
              </w:rPr>
            </w:pPr>
            <w:r>
              <w:rPr>
                <w:rFonts w:ascii="KaiTi" w:eastAsia="KaiTi" w:hAnsi="KaiTi" w:cs="KaiTi"/>
                <w:spacing w:val="-3"/>
                <w:sz w:val="18"/>
                <w:szCs w:val="18"/>
                <w14:textOutline w14:w="326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孔令岩</w:t>
            </w:r>
          </w:p>
          <w:p>
            <w:pPr>
              <w:pStyle w:val="TableText"/>
              <w:spacing w:before="99" w:line="252" w:lineRule="auto"/>
              <w:ind w:left="348" w:right="350" w:firstLine="3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lingyan.kong@nomuraoi-sec.com</w:t>
            </w:r>
            <w:r>
              <w:rPr>
                <w:spacing w:val="9"/>
                <w:sz w:val="16"/>
                <w:szCs w:val="16"/>
              </w:rPr>
              <w:t xml:space="preserve">  </w:t>
            </w:r>
            <w:r>
              <w:rPr>
                <w:spacing w:val="-3"/>
                <w:sz w:val="16"/>
                <w:szCs w:val="16"/>
              </w:rPr>
              <w:t xml:space="preserve">SAC </w:t>
            </w:r>
            <w:r>
              <w:rPr>
                <w:rFonts w:ascii="KaiTi" w:eastAsia="KaiTi" w:hAnsi="KaiTi" w:cs="KaiTi"/>
                <w:spacing w:val="-3"/>
                <w:sz w:val="16"/>
                <w:szCs w:val="16"/>
              </w:rPr>
              <w:t>执证编号：</w:t>
            </w:r>
            <w:r>
              <w:rPr>
                <w:rFonts w:ascii="KaiTi" w:eastAsia="KaiTi" w:hAnsi="KaiTi" w:cs="KaiTi"/>
                <w:spacing w:val="-18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S172052305</w:t>
            </w:r>
            <w:r>
              <w:rPr>
                <w:spacing w:val="-4"/>
                <w:sz w:val="16"/>
                <w:szCs w:val="16"/>
              </w:rPr>
              <w:t>0001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15"/>
          <w:type w:val="continuous"/>
          <w:pgSz w:w="11907" w:h="16839"/>
          <w:pgMar w:top="4" w:right="46" w:bottom="0" w:left="0" w:header="0" w:footer="0" w:gutter="0"/>
          <w:pgNumType w:start="5"/>
          <w:cols w:num="2" w:space="708" w:equalWidth="0">
            <w:col w:w="8285" w:space="56"/>
            <w:col w:w="3520" w:space="0"/>
          </w:cols>
        </w:sectPr>
      </w:pPr>
    </w:p>
    <w:p>
      <w:pPr>
        <w:pStyle w:val="BodyText"/>
        <w:spacing w:before="166" w:line="219" w:lineRule="auto"/>
        <w:ind w:left="34"/>
        <w:rPr>
          <w:sz w:val="30"/>
          <w:szCs w:val="30"/>
        </w:rPr>
      </w:pPr>
      <w:bookmarkStart w:id="0" w:name="bookmark1"/>
      <w:bookmarkEnd w:id="0"/>
      <w:r>
        <w:rPr>
          <w:color w:val="CA2420"/>
          <w:spacing w:val="-3"/>
          <w:sz w:val="30"/>
          <w:szCs w:val="30"/>
          <w14:textOutline w14:w="5442">
            <w14:solidFill>
              <w14:srgbClr w14:val="CA2420"/>
            </w14:solidFill>
            <w14:prstDash w14:val="solid"/>
            <w14:miter w14:lim="10"/>
          </w14:textOutline>
        </w:rPr>
        <w:t>正文目录</w:t>
      </w:r>
    </w:p>
    <w:sdt>
      <w:sdtPr>
        <w:rPr>
          <w:rFonts w:ascii="KaiTi" w:eastAsia="KaiTi" w:hAnsi="KaiTi" w:cs="KaiTi"/>
          <w:sz w:val="21"/>
          <w:szCs w:val="21"/>
        </w:rPr>
        <w:id w:val="696487571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sz w:val="21"/>
          <w:szCs w:val="21"/>
        </w:rPr>
      </w:sdtEndPr>
      <w:sdtContent>
        <w:p>
          <w:pPr>
            <w:pStyle w:val="BodyText"/>
            <w:tabs>
              <w:tab w:val="right" w:leader="dot" w:pos="10480"/>
            </w:tabs>
            <w:spacing w:before="157" w:line="213" w:lineRule="auto"/>
            <w:ind w:left="35"/>
            <w:rPr>
              <w:rFonts w:ascii="Arial" w:eastAsia="Arial" w:hAnsi="Arial" w:cs="Arial"/>
            </w:rPr>
          </w:pP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减肥药市场潜力巨大，</w:t>
          </w:r>
          <w:r>
            <w:rPr>
              <w:rFonts w:ascii="Arial" w:eastAsia="Arial" w:hAnsi="Arial" w:cs="Arial"/>
              <w:b/>
              <w:bCs/>
            </w:rPr>
            <w:t xml:space="preserve">GLP-1 </w:t>
          </w: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展现多重临</w:t>
          </w: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床优势</w:t>
          </w:r>
          <w:r>
            <w:rPr>
              <w:spacing w:val="-36"/>
            </w:rPr>
            <w:t xml:space="preserve"> </w:t>
          </w:r>
          <w:r>
            <w:tab/>
          </w:r>
          <w:hyperlink w:anchor="bookmark2" w:history="1">
            <w:r>
              <w:rPr>
                <w:rFonts w:ascii="Arial" w:eastAsia="Arial" w:hAnsi="Arial" w:cs="Arial"/>
                <w:b/>
                <w:bCs/>
              </w:rPr>
              <w:t>6</w:t>
            </w:r>
          </w:hyperlink>
        </w:p>
        <w:p>
          <w:pPr>
            <w:pStyle w:val="BodyText"/>
            <w:tabs>
              <w:tab w:val="right" w:leader="dot" w:pos="10480"/>
            </w:tabs>
            <w:spacing w:before="70" w:line="213" w:lineRule="auto"/>
            <w:ind w:left="455"/>
            <w:rPr>
              <w:rFonts w:ascii="Arial" w:eastAsia="Arial" w:hAnsi="Arial" w:cs="Arial"/>
            </w:rPr>
          </w:pP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减肥药市场存在较大未满足需求，市场前景广阔</w:t>
          </w:r>
          <w:r>
            <w:rPr>
              <w:spacing w:val="-67"/>
            </w:rPr>
            <w:t xml:space="preserve"> </w:t>
          </w:r>
          <w:r>
            <w:tab/>
          </w:r>
          <w:hyperlink w:anchor="bookmark3" w:history="1">
            <w:r>
              <w:rPr>
                <w:rFonts w:ascii="Arial" w:eastAsia="Arial" w:hAnsi="Arial" w:cs="Arial"/>
                <w:b/>
                <w:bCs/>
              </w:rPr>
              <w:t>6</w:t>
            </w:r>
          </w:hyperlink>
        </w:p>
        <w:p>
          <w:pPr>
            <w:pStyle w:val="BodyText"/>
            <w:tabs>
              <w:tab w:val="right" w:leader="dot" w:pos="10480"/>
            </w:tabs>
            <w:spacing w:before="69" w:line="213" w:lineRule="auto"/>
            <w:ind w:left="457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  <w:spacing w:val="-4"/>
            </w:rPr>
            <w:t xml:space="preserve">FDA </w:t>
          </w: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获批减重药物：</w:t>
          </w:r>
          <w:r>
            <w:rPr>
              <w:spacing w:val="50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4"/>
            </w:rPr>
            <w:t xml:space="preserve">GLP-1RA </w:t>
          </w: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优势显著，司美格鲁肽开启减</w:t>
          </w:r>
          <w:r>
            <w:rPr>
              <w:spacing w:val="-5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重药物新纪元</w:t>
          </w:r>
          <w:r>
            <w:rPr>
              <w:spacing w:val="-51"/>
            </w:rPr>
            <w:t xml:space="preserve"> </w:t>
          </w:r>
          <w:r>
            <w:tab/>
          </w:r>
          <w:hyperlink w:anchor="bookmark4" w:history="1">
            <w:r>
              <w:rPr>
                <w:rFonts w:ascii="Arial" w:eastAsia="Arial" w:hAnsi="Arial" w:cs="Arial"/>
                <w:b/>
                <w:bCs/>
              </w:rPr>
              <w:t>6</w:t>
            </w:r>
          </w:hyperlink>
        </w:p>
        <w:p>
          <w:pPr>
            <w:pStyle w:val="BodyText"/>
            <w:tabs>
              <w:tab w:val="right" w:leader="dot" w:pos="10480"/>
            </w:tabs>
            <w:spacing w:before="70" w:line="213" w:lineRule="auto"/>
            <w:ind w:left="898"/>
            <w:rPr>
              <w:rFonts w:ascii="Arial" w:eastAsia="Arial" w:hAnsi="Arial" w:cs="Arial"/>
            </w:rPr>
          </w:pP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司美格鲁肽：需求激增致供货紧缺，销售额年内有望突破</w:t>
          </w:r>
          <w:r>
            <w:rPr>
              <w:spacing w:val="-41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1"/>
            </w:rPr>
            <w:t xml:space="preserve">200 </w:t>
          </w: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亿美元</w:t>
          </w:r>
          <w:r>
            <w:rPr>
              <w:spacing w:val="-59"/>
            </w:rPr>
            <w:t xml:space="preserve"> </w:t>
          </w:r>
          <w:r>
            <w:tab/>
          </w:r>
          <w:hyperlink w:anchor="bookmark5" w:history="1">
            <w:r>
              <w:rPr>
                <w:rFonts w:ascii="Arial" w:eastAsia="Arial" w:hAnsi="Arial" w:cs="Arial"/>
                <w:b/>
                <w:bCs/>
              </w:rPr>
              <w:t>7</w:t>
            </w:r>
          </w:hyperlink>
        </w:p>
        <w:p>
          <w:pPr>
            <w:pStyle w:val="BodyText"/>
            <w:tabs>
              <w:tab w:val="right" w:leader="dot" w:pos="10480"/>
            </w:tabs>
            <w:spacing w:before="69" w:line="213" w:lineRule="auto"/>
            <w:ind w:left="445"/>
            <w:rPr>
              <w:rFonts w:ascii="Arial" w:eastAsia="Arial" w:hAnsi="Arial" w:cs="Arial"/>
            </w:rPr>
          </w:pPr>
          <w:r>
            <w:rPr>
              <w:spacing w:val="-5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在研减肥药物：</w:t>
          </w:r>
          <w:r>
            <w:rPr>
              <w:spacing w:val="55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5"/>
            </w:rPr>
            <w:t xml:space="preserve">GLP-1R </w:t>
          </w:r>
          <w:r>
            <w:rPr>
              <w:spacing w:val="-5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全面开花，多靶点、小分子大放异彩</w:t>
          </w:r>
          <w:r>
            <w:rPr>
              <w:spacing w:val="-48"/>
            </w:rPr>
            <w:t xml:space="preserve"> </w:t>
          </w:r>
          <w:r>
            <w:tab/>
          </w:r>
          <w:hyperlink w:anchor="bookmark6" w:history="1">
            <w:r>
              <w:rPr>
                <w:rFonts w:ascii="Arial" w:eastAsia="Arial" w:hAnsi="Arial" w:cs="Arial"/>
                <w:b/>
                <w:bCs/>
              </w:rPr>
              <w:t>8</w:t>
            </w:r>
          </w:hyperlink>
        </w:p>
        <w:p>
          <w:pPr>
            <w:pStyle w:val="BodyText"/>
            <w:tabs>
              <w:tab w:val="right" w:leader="dot" w:pos="10480"/>
            </w:tabs>
            <w:spacing w:before="69" w:line="221" w:lineRule="auto"/>
            <w:ind w:left="876"/>
            <w:rPr>
              <w:rFonts w:ascii="Arial" w:eastAsia="Arial" w:hAnsi="Arial" w:cs="Arial"/>
            </w:rPr>
          </w:pPr>
          <w:r>
            <w:rPr>
              <w:spacing w:val="-7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减肥药物三大靶点：</w:t>
          </w:r>
          <w:r>
            <w:rPr>
              <w:spacing w:val="66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7"/>
            </w:rPr>
            <w:t>GLP-1R</w:t>
          </w:r>
          <w:r>
            <w:rPr>
              <w:spacing w:val="-7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、</w:t>
          </w:r>
          <w:r>
            <w:rPr>
              <w:rFonts w:ascii="Arial" w:eastAsia="Arial" w:hAnsi="Arial" w:cs="Arial"/>
              <w:b/>
              <w:bCs/>
              <w:spacing w:val="-7"/>
            </w:rPr>
            <w:t>GIPR</w:t>
          </w:r>
          <w:r>
            <w:rPr>
              <w:spacing w:val="-7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、</w:t>
          </w:r>
          <w:r>
            <w:rPr>
              <w:rFonts w:ascii="Arial" w:eastAsia="Arial" w:hAnsi="Arial" w:cs="Arial"/>
              <w:b/>
              <w:bCs/>
              <w:spacing w:val="-7"/>
            </w:rPr>
            <w:t>GCGR</w:t>
          </w:r>
          <w:r>
            <w:rPr>
              <w:rFonts w:ascii="Arial" w:eastAsia="Arial" w:hAnsi="Arial" w:cs="Arial"/>
              <w:b/>
              <w:bCs/>
              <w:spacing w:val="-20"/>
            </w:rPr>
            <w:t xml:space="preserve"> </w:t>
          </w:r>
          <w:r>
            <w:rPr>
              <w:rFonts w:ascii="Arial" w:eastAsia="Arial" w:hAnsi="Arial" w:cs="Arial"/>
              <w:b/>
              <w:bCs/>
            </w:rPr>
            <w:tab/>
          </w:r>
          <w:hyperlink w:anchor="bookmark7" w:history="1">
            <w:r>
              <w:rPr>
                <w:rFonts w:ascii="Arial" w:eastAsia="Arial" w:hAnsi="Arial" w:cs="Arial"/>
                <w:b/>
                <w:bCs/>
              </w:rPr>
              <w:t>9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2" w:line="213" w:lineRule="auto"/>
            <w:ind w:left="879"/>
            <w:rPr>
              <w:rFonts w:ascii="Arial" w:eastAsia="Arial" w:hAnsi="Arial" w:cs="Arial"/>
            </w:rPr>
          </w:pP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多靶点在研药物：礼来替尔泊肽为代表，双靶、三靶持续突破</w:t>
          </w:r>
          <w:r>
            <w:rPr>
              <w:spacing w:val="-80"/>
            </w:rPr>
            <w:t xml:space="preserve"> </w:t>
          </w:r>
          <w:r>
            <w:tab/>
          </w:r>
          <w:hyperlink w:anchor="bookmark8" w:history="1">
            <w:r>
              <w:rPr>
                <w:rFonts w:ascii="Arial" w:eastAsia="Arial" w:hAnsi="Arial" w:cs="Arial"/>
                <w:b/>
                <w:bCs/>
              </w:rPr>
              <w:t>10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3" w:lineRule="auto"/>
            <w:ind w:left="887"/>
            <w:rPr>
              <w:rFonts w:ascii="Arial" w:eastAsia="Arial" w:hAnsi="Arial" w:cs="Arial"/>
            </w:rPr>
          </w:pPr>
          <w:r>
            <w:rPr>
              <w:spacing w:val="-16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小分子在研药物：</w:t>
          </w:r>
          <w:r>
            <w:rPr>
              <w:spacing w:val="67"/>
            </w:rPr>
            <w:t xml:space="preserve"> </w:t>
          </w:r>
          <w:r>
            <w:rPr>
              <w:spacing w:val="-16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一半海水，</w:t>
          </w:r>
          <w:r>
            <w:rPr>
              <w:spacing w:val="-16"/>
            </w:rPr>
            <w:t xml:space="preserve"> </w:t>
          </w:r>
          <w:r>
            <w:rPr>
              <w:spacing w:val="-16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一半火焰</w:t>
          </w:r>
          <w:r>
            <w:rPr>
              <w:spacing w:val="-51"/>
            </w:rPr>
            <w:t xml:space="preserve"> </w:t>
          </w:r>
          <w:r>
            <w:tab/>
          </w:r>
          <w:hyperlink w:anchor="bookmark9" w:history="1">
            <w:r>
              <w:rPr>
                <w:rFonts w:ascii="Arial" w:eastAsia="Arial" w:hAnsi="Arial" w:cs="Arial"/>
                <w:b/>
                <w:bCs/>
              </w:rPr>
              <w:t>18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9" w:line="213" w:lineRule="auto"/>
            <w:ind w:left="866"/>
            <w:rPr>
              <w:rFonts w:ascii="Arial" w:eastAsia="Arial" w:hAnsi="Arial" w:cs="Arial"/>
            </w:rPr>
          </w:pP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诺和诺德</w:t>
          </w:r>
          <w:r>
            <w:rPr>
              <w:spacing w:val="-42"/>
            </w:rPr>
            <w:t xml:space="preserve"> </w:t>
          </w:r>
          <w:r>
            <w:rPr>
              <w:rFonts w:ascii="Arial" w:eastAsia="Arial" w:hAnsi="Arial" w:cs="Arial"/>
              <w:b/>
              <w:bCs/>
            </w:rPr>
            <w:t>CagriSema</w:t>
          </w: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：联用为王，胰淀素类似物</w:t>
          </w:r>
          <w:r>
            <w:rPr>
              <w:rFonts w:ascii="Arial" w:eastAsia="Arial" w:hAnsi="Arial" w:cs="Arial"/>
              <w:b/>
              <w:bCs/>
            </w:rPr>
            <w:t xml:space="preserve">+GLP-1RA </w:t>
          </w: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协同效应明显</w:t>
          </w:r>
          <w:r>
            <w:rPr>
              <w:spacing w:val="-70"/>
            </w:rPr>
            <w:t xml:space="preserve"> </w:t>
          </w:r>
          <w:r>
            <w:tab/>
          </w:r>
          <w:hyperlink w:anchor="bookmark10" w:history="1">
            <w:r>
              <w:rPr>
                <w:rFonts w:ascii="Arial" w:eastAsia="Arial" w:hAnsi="Arial" w:cs="Arial"/>
                <w:b/>
                <w:bCs/>
              </w:rPr>
              <w:t>19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6" w:lineRule="auto"/>
            <w:ind w:left="460"/>
            <w:rPr>
              <w:rFonts w:ascii="Arial" w:eastAsia="Arial" w:hAnsi="Arial" w:cs="Arial"/>
            </w:rPr>
          </w:pPr>
          <w:r>
            <w:rPr>
              <w:spacing w:val="-9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海外管线进展：</w:t>
          </w:r>
          <w:r>
            <w:rPr>
              <w:spacing w:val="59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9"/>
            </w:rPr>
            <w:t>GLP-1</w:t>
          </w:r>
          <w:r>
            <w:rPr>
              <w:rFonts w:ascii="Arial" w:eastAsia="Arial" w:hAnsi="Arial" w:cs="Arial"/>
              <w:b/>
              <w:bCs/>
              <w:spacing w:val="15"/>
            </w:rPr>
            <w:t xml:space="preserve"> </w:t>
          </w:r>
          <w:r>
            <w:rPr>
              <w:spacing w:val="-9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类药物研发如火如荼</w:t>
          </w:r>
          <w:r>
            <w:rPr>
              <w:spacing w:val="-92"/>
            </w:rPr>
            <w:t xml:space="preserve"> </w:t>
          </w:r>
          <w:r>
            <w:tab/>
          </w:r>
          <w:hyperlink w:anchor="bookmark11" w:history="1">
            <w:r>
              <w:rPr>
                <w:rFonts w:ascii="Arial" w:eastAsia="Arial" w:hAnsi="Arial" w:cs="Arial"/>
                <w:b/>
                <w:bCs/>
              </w:rPr>
              <w:t>21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13" w:lineRule="auto"/>
            <w:ind w:left="452"/>
            <w:rPr>
              <w:rFonts w:ascii="Arial" w:eastAsia="Arial" w:hAnsi="Arial" w:cs="Arial"/>
            </w:rPr>
          </w:pP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市场空间广阔，龙头企业市值持续创新高</w:t>
          </w:r>
          <w:r>
            <w:rPr>
              <w:spacing w:val="-67"/>
            </w:rPr>
            <w:t xml:space="preserve"> </w:t>
          </w:r>
          <w:r>
            <w:tab/>
          </w:r>
          <w:hyperlink w:anchor="bookmark12" w:history="1">
            <w:r>
              <w:rPr>
                <w:rFonts w:ascii="Arial" w:eastAsia="Arial" w:hAnsi="Arial" w:cs="Arial"/>
                <w:b/>
                <w:bCs/>
              </w:rPr>
              <w:t>22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9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国内</w:t>
          </w:r>
          <w:r>
            <w:rPr>
              <w:spacing w:val="-28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4"/>
            </w:rPr>
            <w:t>GLP-1</w:t>
          </w:r>
          <w:r>
            <w:rPr>
              <w:rFonts w:ascii="Arial" w:eastAsia="Arial" w:hAnsi="Arial" w:cs="Arial"/>
              <w:b/>
              <w:bCs/>
              <w:spacing w:val="14"/>
            </w:rPr>
            <w:t xml:space="preserve"> </w:t>
          </w: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类药物研发进入爆发期</w:t>
          </w:r>
          <w:r>
            <w:rPr>
              <w:spacing w:val="-89"/>
            </w:rPr>
            <w:t xml:space="preserve"> </w:t>
          </w:r>
          <w:r>
            <w:tab/>
          </w:r>
          <w:hyperlink w:anchor="bookmark13" w:history="1">
            <w:r>
              <w:rPr>
                <w:rFonts w:ascii="Arial" w:eastAsia="Arial" w:hAnsi="Arial" w:cs="Arial"/>
                <w:b/>
                <w:bCs/>
              </w:rPr>
              <w:t>26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18" w:lineRule="auto"/>
            <w:ind w:left="475"/>
            <w:rPr>
              <w:rFonts w:ascii="Arial" w:eastAsia="Arial" w:hAnsi="Arial" w:cs="Arial"/>
            </w:rPr>
          </w:pP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国内</w:t>
          </w:r>
          <w:r>
            <w:rPr>
              <w:spacing w:val="-39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4"/>
            </w:rPr>
            <w:t xml:space="preserve">GLP-1 </w:t>
          </w: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研发格局</w:t>
          </w:r>
          <w:r>
            <w:rPr>
              <w:spacing w:val="-51"/>
            </w:rPr>
            <w:t xml:space="preserve"> </w:t>
          </w:r>
          <w:r>
            <w:tab/>
          </w:r>
          <w:hyperlink w:anchor="bookmark14" w:history="1">
            <w:r>
              <w:rPr>
                <w:rFonts w:ascii="Arial" w:eastAsia="Arial" w:hAnsi="Arial" w:cs="Arial"/>
                <w:b/>
                <w:bCs/>
              </w:rPr>
              <w:t>26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6" w:lineRule="auto"/>
            <w:ind w:left="452"/>
            <w:rPr>
              <w:rFonts w:ascii="Arial" w:eastAsia="Arial" w:hAnsi="Arial" w:cs="Arial"/>
            </w:rPr>
          </w:pP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代表性国产药物及临床数据</w:t>
          </w:r>
          <w:r>
            <w:rPr>
              <w:spacing w:val="-63"/>
            </w:rPr>
            <w:t xml:space="preserve"> </w:t>
          </w:r>
          <w:r>
            <w:tab/>
          </w:r>
          <w:hyperlink w:anchor="bookmark15" w:history="1">
            <w:r>
              <w:rPr>
                <w:rFonts w:ascii="Arial" w:eastAsia="Arial" w:hAnsi="Arial" w:cs="Arial"/>
                <w:b/>
                <w:bCs/>
              </w:rPr>
              <w:t>27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7" w:line="213" w:lineRule="auto"/>
            <w:ind w:left="878"/>
            <w:rPr>
              <w:rFonts w:ascii="Arial" w:eastAsia="Arial" w:hAnsi="Arial" w:cs="Arial"/>
            </w:rPr>
          </w:pP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华东医药：利拉鲁肽已获批，在研围绕</w:t>
          </w:r>
          <w:r>
            <w:rPr>
              <w:spacing w:val="-27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1"/>
            </w:rPr>
            <w:t xml:space="preserve">GLP-1 </w:t>
          </w: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靶点全面布局</w:t>
          </w:r>
          <w:r>
            <w:rPr>
              <w:spacing w:val="-80"/>
            </w:rPr>
            <w:t xml:space="preserve"> </w:t>
          </w:r>
          <w:r>
            <w:tab/>
          </w:r>
          <w:hyperlink w:anchor="bookmark16" w:history="1">
            <w:r>
              <w:rPr>
                <w:rFonts w:ascii="Arial" w:eastAsia="Arial" w:hAnsi="Arial" w:cs="Arial"/>
                <w:b/>
                <w:bCs/>
              </w:rPr>
              <w:t>27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9" w:line="219" w:lineRule="auto"/>
            <w:ind w:left="878"/>
            <w:rPr>
              <w:rFonts w:ascii="Arial" w:eastAsia="Arial" w:hAnsi="Arial" w:cs="Arial"/>
            </w:rPr>
          </w:pP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恒瑞医药：口服及双靶点全面布局</w:t>
          </w:r>
          <w:r>
            <w:rPr>
              <w:spacing w:val="-79"/>
            </w:rPr>
            <w:t xml:space="preserve"> </w:t>
          </w:r>
          <w:r>
            <w:tab/>
          </w:r>
          <w:hyperlink w:anchor="bookmark17" w:history="1">
            <w:r>
              <w:rPr>
                <w:rFonts w:ascii="Arial" w:eastAsia="Arial" w:hAnsi="Arial" w:cs="Arial"/>
                <w:b/>
                <w:bCs/>
              </w:rPr>
              <w:t>28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3" w:line="213" w:lineRule="auto"/>
            <w:ind w:left="872"/>
            <w:rPr>
              <w:rFonts w:ascii="Arial" w:eastAsia="Arial" w:hAnsi="Arial" w:cs="Arial"/>
            </w:rPr>
          </w:pP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先为达：长效</w:t>
          </w:r>
          <w:r>
            <w:rPr>
              <w:spacing w:val="-33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1"/>
            </w:rPr>
            <w:t xml:space="preserve">GLP-1RA Ecnoglutide </w:t>
          </w: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减重效果优异</w:t>
          </w:r>
          <w:r>
            <w:rPr>
              <w:spacing w:val="-68"/>
            </w:rPr>
            <w:t xml:space="preserve"> </w:t>
          </w:r>
          <w:r>
            <w:tab/>
          </w:r>
          <w:hyperlink w:anchor="bookmark18" w:history="1">
            <w:r>
              <w:rPr>
                <w:rFonts w:ascii="Arial" w:eastAsia="Arial" w:hAnsi="Arial" w:cs="Arial"/>
                <w:b/>
                <w:bCs/>
              </w:rPr>
              <w:t>29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9" w:line="218" w:lineRule="auto"/>
            <w:ind w:left="31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  <w:spacing w:val="-2"/>
            </w:rPr>
            <w:t>GLP-1</w:t>
          </w:r>
          <w:r>
            <w:rPr>
              <w:rFonts w:ascii="Arial" w:eastAsia="Arial" w:hAnsi="Arial" w:cs="Arial"/>
              <w:b/>
              <w:bCs/>
              <w:spacing w:val="18"/>
              <w:w w:val="101"/>
            </w:rPr>
            <w:t xml:space="preserve"> </w:t>
          </w:r>
          <w:r>
            <w:rPr>
              <w:spacing w:val="-2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类药物减重效果对比</w:t>
          </w:r>
          <w:r>
            <w:rPr>
              <w:spacing w:val="-38"/>
            </w:rPr>
            <w:t xml:space="preserve"> </w:t>
          </w:r>
          <w:r>
            <w:tab/>
          </w:r>
          <w:hyperlink w:anchor="bookmark19" w:history="1">
            <w:r>
              <w:rPr>
                <w:rFonts w:ascii="Arial" w:eastAsia="Arial" w:hAnsi="Arial" w:cs="Arial"/>
                <w:b/>
                <w:bCs/>
              </w:rPr>
              <w:t>30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8" w:lineRule="auto"/>
            <w:ind w:left="451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  <w:spacing w:val="-2"/>
            </w:rPr>
            <w:t>GLP-1</w:t>
          </w:r>
          <w:r>
            <w:rPr>
              <w:rFonts w:ascii="Arial" w:eastAsia="Arial" w:hAnsi="Arial" w:cs="Arial"/>
              <w:b/>
              <w:bCs/>
              <w:spacing w:val="18"/>
              <w:w w:val="101"/>
            </w:rPr>
            <w:t xml:space="preserve"> </w:t>
          </w:r>
          <w:r>
            <w:rPr>
              <w:spacing w:val="-2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类药物减重效果对比</w:t>
          </w:r>
          <w:r>
            <w:rPr>
              <w:spacing w:val="-54"/>
            </w:rPr>
            <w:t xml:space="preserve"> </w:t>
          </w:r>
          <w:r>
            <w:tab/>
          </w:r>
          <w:hyperlink w:anchor="bookmark20" w:history="1">
            <w:r>
              <w:rPr>
                <w:rFonts w:ascii="Arial" w:eastAsia="Arial" w:hAnsi="Arial" w:cs="Arial"/>
                <w:b/>
                <w:bCs/>
              </w:rPr>
              <w:t>30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23" w:lineRule="auto"/>
            <w:ind w:left="452"/>
            <w:rPr>
              <w:rFonts w:ascii="Arial" w:eastAsia="Arial" w:hAnsi="Arial" w:cs="Arial"/>
            </w:rPr>
          </w:pP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安全性对比</w:t>
          </w:r>
          <w:r>
            <w:rPr>
              <w:spacing w:val="-39"/>
            </w:rPr>
            <w:t xml:space="preserve"> </w:t>
          </w:r>
          <w:r>
            <w:tab/>
          </w:r>
          <w:hyperlink w:anchor="bookmark21" w:history="1">
            <w:r>
              <w:rPr>
                <w:rFonts w:ascii="Arial" w:eastAsia="Arial" w:hAnsi="Arial" w:cs="Arial"/>
                <w:b/>
                <w:bCs/>
              </w:rPr>
              <w:t>31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58" w:line="226" w:lineRule="auto"/>
            <w:ind w:left="464"/>
            <w:rPr>
              <w:rFonts w:ascii="Arial" w:eastAsia="Arial" w:hAnsi="Arial" w:cs="Arial"/>
            </w:rPr>
          </w:pPr>
          <w:r>
            <w:rPr>
              <w:spacing w:val="-2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降糖</w:t>
          </w:r>
          <w:r>
            <w:rPr>
              <w:rFonts w:ascii="Arial" w:eastAsia="Arial" w:hAnsi="Arial" w:cs="Arial"/>
              <w:b/>
              <w:bCs/>
              <w:spacing w:val="-2"/>
            </w:rPr>
            <w:t>+</w:t>
          </w:r>
          <w:r>
            <w:rPr>
              <w:spacing w:val="-2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减重，国内</w:t>
          </w:r>
          <w:r>
            <w:rPr>
              <w:spacing w:val="-35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2"/>
            </w:rPr>
            <w:t xml:space="preserve">GLP-1 </w:t>
          </w:r>
          <w:r>
            <w:rPr>
              <w:spacing w:val="-2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市场规模有望达</w:t>
          </w:r>
          <w:r>
            <w:rPr>
              <w:spacing w:val="-35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2"/>
            </w:rPr>
            <w:t xml:space="preserve">1000 </w:t>
          </w:r>
          <w:r>
            <w:rPr>
              <w:spacing w:val="-2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亿元</w:t>
          </w:r>
          <w:r>
            <w:rPr>
              <w:spacing w:val="-89"/>
            </w:rPr>
            <w:t xml:space="preserve"> </w:t>
          </w:r>
          <w:r>
            <w:tab/>
          </w:r>
          <w:hyperlink w:anchor="bookmark22" w:history="1">
            <w:r>
              <w:rPr>
                <w:rFonts w:ascii="Arial" w:eastAsia="Arial" w:hAnsi="Arial" w:cs="Arial"/>
                <w:b/>
                <w:bCs/>
              </w:rPr>
              <w:t>31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55" w:line="218" w:lineRule="auto"/>
            <w:ind w:left="37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</w:rPr>
            <w:t>NASH</w:t>
          </w: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：减肥适应症之后的下一个蓝海市场</w:t>
          </w:r>
          <w:r>
            <w:rPr>
              <w:spacing w:val="-58"/>
            </w:rPr>
            <w:t xml:space="preserve"> </w:t>
          </w:r>
          <w:r>
            <w:tab/>
          </w:r>
          <w:hyperlink w:anchor="bookmark23" w:history="1">
            <w:r>
              <w:rPr>
                <w:rFonts w:ascii="Arial" w:eastAsia="Arial" w:hAnsi="Arial" w:cs="Arial"/>
                <w:b/>
                <w:bCs/>
              </w:rPr>
              <w:t>33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13" w:lineRule="auto"/>
            <w:ind w:left="457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  <w:spacing w:val="-2"/>
            </w:rPr>
            <w:t>NASH</w:t>
          </w:r>
          <w:r>
            <w:rPr>
              <w:spacing w:val="-2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：药物研发难度大，市场空间广阔</w:t>
          </w:r>
          <w:r>
            <w:rPr>
              <w:spacing w:val="-2"/>
            </w:rPr>
            <w:t xml:space="preserve"> </w:t>
          </w:r>
          <w:r>
            <w:tab/>
          </w:r>
          <w:hyperlink w:anchor="bookmark24" w:history="1">
            <w:r>
              <w:rPr>
                <w:rFonts w:ascii="Arial" w:eastAsia="Arial" w:hAnsi="Arial" w:cs="Arial"/>
                <w:b/>
                <w:bCs/>
              </w:rPr>
              <w:t>33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9" w:line="213" w:lineRule="auto"/>
            <w:ind w:left="877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  <w:spacing w:val="-9"/>
            </w:rPr>
            <w:t>NASH</w:t>
          </w:r>
          <w:r>
            <w:rPr>
              <w:spacing w:val="-9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：发病机制复杂，</w:t>
          </w:r>
          <w:r>
            <w:rPr>
              <w:spacing w:val="75"/>
            </w:rPr>
            <w:t xml:space="preserve"> </w:t>
          </w:r>
          <w:r>
            <w:rPr>
              <w:spacing w:val="-9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目前尚无药物获批</w:t>
          </w:r>
          <w:r>
            <w:rPr>
              <w:spacing w:val="-92"/>
            </w:rPr>
            <w:t xml:space="preserve"> </w:t>
          </w:r>
          <w:r>
            <w:tab/>
          </w:r>
          <w:hyperlink w:anchor="bookmark25" w:history="1">
            <w:r>
              <w:rPr>
                <w:rFonts w:ascii="Arial" w:eastAsia="Arial" w:hAnsi="Arial" w:cs="Arial"/>
                <w:b/>
                <w:bCs/>
              </w:rPr>
              <w:t>33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3" w:lineRule="auto"/>
            <w:ind w:left="877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  <w:spacing w:val="-2"/>
            </w:rPr>
            <w:t>NASH</w:t>
          </w:r>
          <w:r>
            <w:rPr>
              <w:spacing w:val="-2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：发病人群基数大，市场空间广阔</w:t>
          </w:r>
          <w:r>
            <w:rPr>
              <w:spacing w:val="-17"/>
            </w:rPr>
            <w:t xml:space="preserve"> </w:t>
          </w:r>
          <w:r>
            <w:tab/>
          </w:r>
          <w:hyperlink w:anchor="bookmark26" w:history="1">
            <w:r>
              <w:rPr>
                <w:rFonts w:ascii="Arial" w:eastAsia="Arial" w:hAnsi="Arial" w:cs="Arial"/>
                <w:b/>
                <w:bCs/>
              </w:rPr>
              <w:t>34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3" w:lineRule="auto"/>
            <w:ind w:left="477"/>
            <w:rPr>
              <w:rFonts w:ascii="Arial" w:eastAsia="Arial" w:hAnsi="Arial" w:cs="Arial"/>
            </w:rPr>
          </w:pPr>
          <w:r>
            <w:rPr>
              <w:spacing w:val="-7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司美格鲁肽：</w:t>
          </w:r>
          <w:r>
            <w:rPr>
              <w:spacing w:val="54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7"/>
            </w:rPr>
            <w:t xml:space="preserve">II </w:t>
          </w:r>
          <w:r>
            <w:rPr>
              <w:spacing w:val="-7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期临床数据积极，但纤维化改善不显著</w:t>
          </w:r>
          <w:r>
            <w:rPr>
              <w:spacing w:val="-85"/>
            </w:rPr>
            <w:t xml:space="preserve"> </w:t>
          </w:r>
          <w:r>
            <w:tab/>
          </w:r>
          <w:hyperlink w:anchor="bookmark27" w:history="1">
            <w:r>
              <w:rPr>
                <w:rFonts w:ascii="Arial" w:eastAsia="Arial" w:hAnsi="Arial" w:cs="Arial"/>
                <w:b/>
                <w:bCs/>
              </w:rPr>
              <w:t>35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3" w:lineRule="auto"/>
            <w:ind w:left="877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</w:rPr>
            <w:t xml:space="preserve">NASH </w:t>
          </w: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伴</w:t>
          </w:r>
          <w:r>
            <w:rPr>
              <w:spacing w:val="-37"/>
            </w:rPr>
            <w:t xml:space="preserve"> </w:t>
          </w:r>
          <w:r>
            <w:rPr>
              <w:rFonts w:ascii="Arial" w:eastAsia="Arial" w:hAnsi="Arial" w:cs="Arial"/>
              <w:b/>
              <w:bCs/>
            </w:rPr>
            <w:t xml:space="preserve">F1-F3 </w:t>
          </w: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级肝硬化：</w:t>
          </w:r>
          <w:r>
            <w:rPr>
              <w:rFonts w:ascii="Arial" w:eastAsia="Arial" w:hAnsi="Arial" w:cs="Arial"/>
              <w:b/>
              <w:bCs/>
            </w:rPr>
            <w:t>NA</w:t>
          </w:r>
          <w:r>
            <w:rPr>
              <w:rFonts w:ascii="Arial" w:eastAsia="Arial" w:hAnsi="Arial" w:cs="Arial"/>
              <w:b/>
              <w:bCs/>
              <w:spacing w:val="-1"/>
            </w:rPr>
            <w:t xml:space="preserve">SH </w:t>
          </w: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组织病理学改善显著获益，纤维化改善无显著获益</w:t>
          </w:r>
          <w:r>
            <w:rPr>
              <w:spacing w:val="-67"/>
            </w:rPr>
            <w:t xml:space="preserve"> </w:t>
          </w:r>
          <w:r>
            <w:tab/>
          </w:r>
          <w:hyperlink w:anchor="bookmark28" w:history="1">
            <w:r>
              <w:rPr>
                <w:rFonts w:ascii="Arial" w:eastAsia="Arial" w:hAnsi="Arial" w:cs="Arial"/>
                <w:b/>
                <w:bCs/>
              </w:rPr>
              <w:t>35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9" w:line="217" w:lineRule="auto"/>
            <w:ind w:left="877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  <w:spacing w:val="-1"/>
            </w:rPr>
            <w:t xml:space="preserve">NASH </w:t>
          </w: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导致的代偿性肝硬化（纤维化</w:t>
          </w:r>
          <w:r>
            <w:rPr>
              <w:spacing w:val="-36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1"/>
            </w:rPr>
            <w:t>F4</w:t>
          </w: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）患者：效果不</w:t>
          </w:r>
          <w:r>
            <w:rPr>
              <w:spacing w:val="-2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理想</w:t>
          </w:r>
          <w:r>
            <w:rPr>
              <w:spacing w:val="-22"/>
            </w:rPr>
            <w:t xml:space="preserve"> </w:t>
          </w:r>
          <w:r>
            <w:tab/>
          </w:r>
          <w:hyperlink w:anchor="bookmark29" w:history="1">
            <w:r>
              <w:rPr>
                <w:rFonts w:ascii="Arial" w:eastAsia="Arial" w:hAnsi="Arial" w:cs="Arial"/>
                <w:b/>
                <w:bCs/>
              </w:rPr>
              <w:t>36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13" w:lineRule="auto"/>
            <w:ind w:left="876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  <w:spacing w:val="-2"/>
            </w:rPr>
            <w:t xml:space="preserve">III </w:t>
          </w:r>
          <w:r>
            <w:rPr>
              <w:spacing w:val="-2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期临床正在进行，治疗周期长达</w:t>
          </w:r>
          <w:r>
            <w:rPr>
              <w:spacing w:val="-25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2"/>
            </w:rPr>
            <w:t xml:space="preserve">5 </w:t>
          </w:r>
          <w:r>
            <w:rPr>
              <w:spacing w:val="-2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78"/>
            </w:rPr>
            <w:t xml:space="preserve"> </w:t>
          </w:r>
          <w:r>
            <w:tab/>
          </w:r>
          <w:hyperlink w:anchor="bookmark30" w:history="1">
            <w:r>
              <w:rPr>
                <w:rFonts w:ascii="Arial" w:eastAsia="Arial" w:hAnsi="Arial" w:cs="Arial"/>
                <w:b/>
                <w:bCs/>
              </w:rPr>
              <w:t>37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9" w:line="218" w:lineRule="auto"/>
            <w:ind w:left="451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  <w:spacing w:val="-5"/>
            </w:rPr>
            <w:t xml:space="preserve">GLP-1 </w:t>
          </w:r>
          <w:r>
            <w:rPr>
              <w:spacing w:val="-5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多靶点：</w:t>
          </w:r>
          <w:r>
            <w:rPr>
              <w:spacing w:val="-5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5"/>
            </w:rPr>
            <w:t xml:space="preserve">NASH </w:t>
          </w:r>
          <w:r>
            <w:rPr>
              <w:spacing w:val="-5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领域较单靶潜在更优</w:t>
          </w:r>
          <w:r>
            <w:rPr>
              <w:spacing w:val="-39"/>
            </w:rPr>
            <w:t xml:space="preserve"> </w:t>
          </w:r>
          <w:r>
            <w:tab/>
          </w:r>
          <w:hyperlink w:anchor="bookmark31" w:history="1">
            <w:r>
              <w:rPr>
                <w:rFonts w:ascii="Arial" w:eastAsia="Arial" w:hAnsi="Arial" w:cs="Arial"/>
                <w:b/>
                <w:bCs/>
              </w:rPr>
              <w:t>37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6" w:lineRule="auto"/>
            <w:ind w:left="451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</w:rPr>
            <w:t xml:space="preserve">GLP-1 </w:t>
          </w: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联合用药：与其他通路用药协同效应明显</w:t>
          </w:r>
          <w:r>
            <w:rPr>
              <w:spacing w:val="-52"/>
            </w:rPr>
            <w:t xml:space="preserve"> </w:t>
          </w:r>
          <w:r>
            <w:tab/>
          </w:r>
          <w:hyperlink w:anchor="bookmark32" w:history="1">
            <w:r>
              <w:rPr>
                <w:rFonts w:ascii="Arial" w:eastAsia="Arial" w:hAnsi="Arial" w:cs="Arial"/>
                <w:b/>
                <w:bCs/>
              </w:rPr>
              <w:t>38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21" w:lineRule="auto"/>
            <w:ind w:left="868"/>
            <w:rPr>
              <w:rFonts w:ascii="Arial" w:eastAsia="Arial" w:hAnsi="Arial" w:cs="Arial"/>
            </w:rPr>
          </w:pPr>
          <w:r>
            <w:rPr>
              <w:spacing w:val="-3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联合</w:t>
          </w:r>
          <w:r>
            <w:rPr>
              <w:spacing w:val="-38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3"/>
            </w:rPr>
            <w:t>Efruxifermin</w:t>
          </w:r>
          <w:r>
            <w:rPr>
              <w:spacing w:val="-3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（长效</w:t>
          </w:r>
          <w:r>
            <w:rPr>
              <w:spacing w:val="-33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3"/>
            </w:rPr>
            <w:t>FG</w:t>
          </w:r>
          <w:r>
            <w:rPr>
              <w:rFonts w:ascii="Arial" w:eastAsia="Arial" w:hAnsi="Arial" w:cs="Arial"/>
              <w:b/>
              <w:bCs/>
              <w:spacing w:val="-4"/>
            </w:rPr>
            <w:t>F21</w:t>
          </w:r>
          <w:r>
            <w:rPr>
              <w:rFonts w:ascii="Arial" w:eastAsia="Arial" w:hAnsi="Arial" w:cs="Arial"/>
              <w:b/>
              <w:bCs/>
              <w:spacing w:val="15"/>
            </w:rPr>
            <w:t xml:space="preserve"> </w:t>
          </w: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类似物</w:t>
          </w:r>
          <w:r>
            <w:rPr>
              <w:spacing w:val="-16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）：</w:t>
          </w: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完成</w:t>
          </w:r>
          <w:r>
            <w:rPr>
              <w:spacing w:val="-24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4"/>
            </w:rPr>
            <w:t xml:space="preserve">FGF21 </w:t>
          </w: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与</w:t>
          </w:r>
          <w:r>
            <w:rPr>
              <w:spacing w:val="-39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4"/>
            </w:rPr>
            <w:t xml:space="preserve">GLP-1 </w:t>
          </w: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联合的概念验证</w:t>
          </w:r>
          <w:r>
            <w:rPr>
              <w:spacing w:val="-78"/>
            </w:rPr>
            <w:t xml:space="preserve"> </w:t>
          </w:r>
          <w:r>
            <w:tab/>
          </w:r>
          <w:hyperlink w:anchor="bookmark33" w:history="1">
            <w:r>
              <w:rPr>
                <w:rFonts w:ascii="Arial" w:eastAsia="Arial" w:hAnsi="Arial" w:cs="Arial"/>
                <w:b/>
                <w:bCs/>
              </w:rPr>
              <w:t>38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1" w:line="213" w:lineRule="auto"/>
            <w:ind w:left="868"/>
            <w:rPr>
              <w:rFonts w:ascii="Arial" w:eastAsia="Arial" w:hAnsi="Arial" w:cs="Arial"/>
            </w:rPr>
          </w:pP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联合</w:t>
          </w:r>
          <w:r>
            <w:rPr>
              <w:spacing w:val="-34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4"/>
            </w:rPr>
            <w:t xml:space="preserve">FXR </w:t>
          </w: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激动剂</w:t>
          </w:r>
          <w:r>
            <w:rPr>
              <w:rFonts w:ascii="Arial" w:eastAsia="Arial" w:hAnsi="Arial" w:cs="Arial"/>
              <w:b/>
              <w:bCs/>
              <w:spacing w:val="-4"/>
            </w:rPr>
            <w:t xml:space="preserve">+ACC </w:t>
          </w: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抑制剂：</w:t>
          </w:r>
          <w:r>
            <w:rPr>
              <w:spacing w:val="-4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4"/>
            </w:rPr>
            <w:t xml:space="preserve">GLP-1 </w:t>
          </w: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有望挽救失败组合</w:t>
          </w:r>
          <w:r>
            <w:rPr>
              <w:spacing w:val="-35"/>
            </w:rPr>
            <w:t xml:space="preserve"> </w:t>
          </w:r>
          <w:r>
            <w:tab/>
          </w:r>
          <w:hyperlink w:anchor="bookmark34" w:history="1">
            <w:r>
              <w:rPr>
                <w:rFonts w:ascii="Arial" w:eastAsia="Arial" w:hAnsi="Arial" w:cs="Arial"/>
                <w:b/>
                <w:bCs/>
              </w:rPr>
              <w:t>40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21" w:lineRule="auto"/>
            <w:ind w:left="451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  <w:spacing w:val="-3"/>
            </w:rPr>
            <w:t>GLP-1</w:t>
          </w:r>
          <w:r>
            <w:rPr>
              <w:rFonts w:ascii="Arial" w:eastAsia="Arial" w:hAnsi="Arial" w:cs="Arial"/>
              <w:b/>
              <w:bCs/>
              <w:spacing w:val="28"/>
              <w:w w:val="101"/>
            </w:rPr>
            <w:t xml:space="preserve"> </w:t>
          </w:r>
          <w:r>
            <w:rPr>
              <w:spacing w:val="-3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类药物用于</w:t>
          </w:r>
          <w:r>
            <w:rPr>
              <w:spacing w:val="-37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3"/>
            </w:rPr>
            <w:t xml:space="preserve">NASH </w:t>
          </w:r>
          <w:r>
            <w:rPr>
              <w:spacing w:val="-3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对比总结</w:t>
          </w:r>
          <w:r>
            <w:rPr>
              <w:spacing w:val="-65"/>
            </w:rPr>
            <w:t xml:space="preserve"> </w:t>
          </w:r>
          <w:r>
            <w:tab/>
          </w:r>
          <w:hyperlink w:anchor="bookmark35" w:history="1">
            <w:r>
              <w:rPr>
                <w:rFonts w:ascii="Arial" w:eastAsia="Arial" w:hAnsi="Arial" w:cs="Arial"/>
                <w:b/>
                <w:bCs/>
              </w:rPr>
              <w:t>41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1" w:line="213" w:lineRule="auto"/>
            <w:ind w:left="32"/>
            <w:rPr>
              <w:rFonts w:ascii="Arial" w:eastAsia="Arial" w:hAnsi="Arial" w:cs="Arial"/>
            </w:rPr>
          </w:pP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适应症布局持续拓展，后续催化丰富</w:t>
          </w:r>
          <w:r>
            <w:rPr>
              <w:spacing w:val="-34"/>
            </w:rPr>
            <w:t xml:space="preserve"> </w:t>
          </w:r>
          <w:r>
            <w:tab/>
          </w:r>
          <w:hyperlink w:anchor="bookmark36" w:history="1">
            <w:r>
              <w:rPr>
                <w:rFonts w:ascii="Arial" w:eastAsia="Arial" w:hAnsi="Arial" w:cs="Arial"/>
                <w:b/>
                <w:bCs/>
              </w:rPr>
              <w:t>43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6" w:lineRule="auto"/>
            <w:ind w:left="31"/>
            <w:rPr>
              <w:rFonts w:ascii="Arial" w:eastAsia="Arial" w:hAnsi="Arial" w:cs="Arial"/>
            </w:rPr>
            <w:sectPr>
              <w:headerReference w:type="default" r:id="rId16"/>
              <w:footerReference w:type="default" r:id="rId17"/>
              <w:pgSz w:w="11907" w:h="16839"/>
              <w:pgMar w:top="715" w:right="694" w:bottom="734" w:left="698" w:header="454" w:footer="479" w:gutter="0"/>
              <w:pgNumType w:start="6"/>
              <w:cols w:space="708"/>
            </w:sectPr>
          </w:pPr>
          <w:r>
            <w:rPr>
              <w:rFonts w:ascii="Arial" w:eastAsia="Arial" w:hAnsi="Arial" w:cs="Arial"/>
              <w:b/>
              <w:bCs/>
              <w:spacing w:val="-1"/>
            </w:rPr>
            <w:t xml:space="preserve">GLP-1 </w:t>
          </w: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全产业链景气度上升</w:t>
          </w:r>
          <w:r>
            <w:rPr>
              <w:spacing w:val="-32"/>
            </w:rPr>
            <w:t xml:space="preserve"> </w:t>
          </w:r>
          <w:r>
            <w:tab/>
          </w:r>
          <w:hyperlink w:anchor="bookmark37" w:history="1">
            <w:r>
              <w:rPr>
                <w:rFonts w:ascii="Arial" w:eastAsia="Arial" w:hAnsi="Arial" w:cs="Arial"/>
                <w:b/>
                <w:bCs/>
              </w:rPr>
              <w:t>44</w:t>
            </w:r>
          </w:hyperlink>
        </w:p>
      </w:sdtContent>
    </w:sdt>
    <w:sdt>
      <w:sdtPr>
        <w:rPr>
          <w:rFonts w:ascii="KaiTi" w:eastAsia="KaiTi" w:hAnsi="KaiTi" w:cs="KaiTi"/>
          <w:sz w:val="21"/>
          <w:szCs w:val="21"/>
        </w:rPr>
        <w:id w:val="392102166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sz w:val="21"/>
          <w:szCs w:val="21"/>
        </w:rPr>
      </w:sdtEndPr>
      <w:sdtContent>
        <w:p>
          <w:pPr>
            <w:pStyle w:val="BodyText"/>
            <w:tabs>
              <w:tab w:val="right" w:leader="dot" w:pos="10481"/>
            </w:tabs>
            <w:spacing w:before="66" w:line="219" w:lineRule="auto"/>
            <w:ind w:left="31"/>
            <w:rPr>
              <w:rFonts w:ascii="Arial" w:eastAsia="Arial" w:hAnsi="Arial" w:cs="Arial"/>
            </w:rPr>
          </w:pP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投资建议</w:t>
          </w:r>
          <w:r>
            <w:rPr>
              <w:spacing w:val="-44"/>
            </w:rPr>
            <w:t xml:space="preserve"> </w:t>
          </w:r>
          <w:r>
            <w:tab/>
          </w:r>
          <w:hyperlink w:anchor="bookmark38" w:history="1">
            <w:r>
              <w:rPr>
                <w:rFonts w:ascii="Arial" w:eastAsia="Arial" w:hAnsi="Arial" w:cs="Arial"/>
                <w:b/>
                <w:bCs/>
              </w:rPr>
              <w:t>45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3" w:line="213" w:lineRule="auto"/>
            <w:ind w:left="458"/>
            <w:rPr>
              <w:rFonts w:ascii="Arial" w:eastAsia="Arial" w:hAnsi="Arial" w:cs="Arial"/>
            </w:rPr>
          </w:pPr>
          <w:r>
            <w:rPr>
              <w:spacing w:val="-7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华东医药：</w:t>
          </w:r>
          <w:r>
            <w:rPr>
              <w:spacing w:val="51"/>
            </w:rPr>
            <w:t xml:space="preserve"> </w:t>
          </w:r>
          <w:r>
            <w:rPr>
              <w:spacing w:val="-7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底蕴深厚老牌药企，创新变革迸发活力</w:t>
          </w:r>
          <w:r>
            <w:rPr>
              <w:spacing w:val="-51"/>
            </w:rPr>
            <w:t xml:space="preserve"> </w:t>
          </w:r>
          <w:r>
            <w:tab/>
          </w:r>
          <w:hyperlink w:anchor="bookmark39" w:history="1">
            <w:r>
              <w:rPr>
                <w:rFonts w:ascii="Arial" w:eastAsia="Arial" w:hAnsi="Arial" w:cs="Arial"/>
                <w:b/>
                <w:bCs/>
              </w:rPr>
              <w:t>45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9" w:line="216" w:lineRule="auto"/>
            <w:ind w:left="448"/>
            <w:rPr>
              <w:rFonts w:ascii="Arial" w:eastAsia="Arial" w:hAnsi="Arial" w:cs="Arial"/>
            </w:rPr>
          </w:pP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信达生物：研发及商业化领先的</w:t>
          </w:r>
          <w:r>
            <w:rPr>
              <w:spacing w:val="-23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1"/>
            </w:rPr>
            <w:t>Biopharma</w:t>
          </w:r>
          <w:r>
            <w:rPr>
              <w:rFonts w:ascii="Arial" w:eastAsia="Arial" w:hAnsi="Arial" w:cs="Arial"/>
              <w:b/>
              <w:bCs/>
            </w:rPr>
            <w:tab/>
          </w:r>
          <w:hyperlink w:anchor="bookmark40" w:history="1">
            <w:r>
              <w:rPr>
                <w:rFonts w:ascii="Arial" w:eastAsia="Arial" w:hAnsi="Arial" w:cs="Arial"/>
                <w:b/>
                <w:bCs/>
              </w:rPr>
              <w:t>46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7" w:line="213" w:lineRule="auto"/>
            <w:ind w:left="444"/>
            <w:rPr>
              <w:rFonts w:ascii="Arial" w:eastAsia="Arial" w:hAnsi="Arial" w:cs="Arial"/>
            </w:rPr>
          </w:pPr>
          <w:r>
            <w:rPr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翰森制药：研发销售强助力，创新赋能启新程</w:t>
          </w:r>
          <w:r>
            <w:rPr>
              <w:spacing w:val="-76"/>
            </w:rPr>
            <w:t xml:space="preserve"> </w:t>
          </w:r>
          <w:r>
            <w:tab/>
          </w:r>
          <w:hyperlink w:anchor="bookmark41" w:history="1">
            <w:r>
              <w:rPr>
                <w:rFonts w:ascii="Arial" w:eastAsia="Arial" w:hAnsi="Arial" w:cs="Arial"/>
                <w:b/>
                <w:bCs/>
              </w:rPr>
              <w:t>47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23" w:lineRule="auto"/>
            <w:ind w:left="26"/>
            <w:rPr>
              <w:rFonts w:ascii="Arial" w:eastAsia="Arial" w:hAnsi="Arial" w:cs="Arial"/>
            </w:rPr>
          </w:pPr>
          <w:r>
            <w:rPr>
              <w:spacing w:val="-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风险提示</w:t>
          </w:r>
          <w:r>
            <w:rPr>
              <w:spacing w:val="-39"/>
            </w:rPr>
            <w:t xml:space="preserve"> </w:t>
          </w:r>
          <w:r>
            <w:tab/>
          </w:r>
          <w:hyperlink w:anchor="bookmark42" w:history="1">
            <w:r>
              <w:rPr>
                <w:rFonts w:ascii="Arial" w:eastAsia="Arial" w:hAnsi="Arial" w:cs="Arial"/>
                <w:b/>
                <w:bCs/>
              </w:rPr>
              <w:t>49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58" w:line="220" w:lineRule="auto"/>
            <w:ind w:left="44"/>
            <w:rPr>
              <w:rFonts w:ascii="Arial" w:eastAsia="Arial" w:hAnsi="Arial" w:cs="Arial"/>
            </w:rPr>
          </w:pPr>
          <w:r>
            <w:rPr>
              <w:spacing w:val="-1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附录</w:t>
          </w:r>
          <w:r>
            <w:rPr>
              <w:spacing w:val="-80"/>
            </w:rPr>
            <w:t xml:space="preserve"> </w:t>
          </w:r>
          <w:r>
            <w:tab/>
          </w:r>
          <w:hyperlink w:anchor="bookmark43" w:history="1">
            <w:r>
              <w:rPr>
                <w:rFonts w:ascii="Arial" w:eastAsia="Arial" w:hAnsi="Arial" w:cs="Arial"/>
                <w:b/>
                <w:bCs/>
              </w:rPr>
              <w:t>50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1" w:line="218" w:lineRule="auto"/>
            <w:ind w:left="885"/>
            <w:rPr>
              <w:rFonts w:ascii="Arial" w:eastAsia="Arial" w:hAnsi="Arial" w:cs="Arial"/>
            </w:rPr>
          </w:pPr>
          <w:r>
            <w:rPr>
              <w:spacing w:val="-3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附</w:t>
          </w:r>
          <w:r>
            <w:rPr>
              <w:spacing w:val="-30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3"/>
            </w:rPr>
            <w:t xml:space="preserve">1. GLP-1 </w:t>
          </w:r>
          <w:r>
            <w:rPr>
              <w:spacing w:val="-3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糖尿病市场</w:t>
          </w:r>
          <w:r>
            <w:rPr>
              <w:spacing w:val="-72"/>
            </w:rPr>
            <w:t xml:space="preserve"> </w:t>
          </w:r>
          <w:r>
            <w:tab/>
          </w:r>
          <w:hyperlink w:anchor="bookmark44" w:history="1">
            <w:r>
              <w:rPr>
                <w:rFonts w:ascii="Arial" w:eastAsia="Arial" w:hAnsi="Arial" w:cs="Arial"/>
                <w:b/>
                <w:bCs/>
              </w:rPr>
              <w:t>50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8" w:lineRule="auto"/>
            <w:ind w:left="885"/>
            <w:rPr>
              <w:rFonts w:ascii="Arial" w:eastAsia="Arial" w:hAnsi="Arial" w:cs="Arial"/>
            </w:rPr>
          </w:pP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附</w:t>
          </w:r>
          <w:r>
            <w:rPr>
              <w:spacing w:val="-46"/>
            </w:rPr>
            <w:t xml:space="preserve"> </w:t>
          </w:r>
          <w:r>
            <w:rPr>
              <w:rFonts w:ascii="Arial" w:eastAsia="Arial" w:hAnsi="Arial" w:cs="Arial"/>
              <w:b/>
              <w:bCs/>
              <w:spacing w:val="-4"/>
            </w:rPr>
            <w:t xml:space="preserve">2.  </w:t>
          </w:r>
          <w:r>
            <w:rPr>
              <w:spacing w:val="-4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资料来源</w:t>
          </w:r>
          <w:r>
            <w:rPr>
              <w:spacing w:val="-44"/>
            </w:rPr>
            <w:t xml:space="preserve"> </w:t>
          </w:r>
          <w:r>
            <w:tab/>
          </w:r>
          <w:hyperlink w:anchor="bookmark45" w:history="1">
            <w:r>
              <w:rPr>
                <w:rFonts w:ascii="Arial" w:eastAsia="Arial" w:hAnsi="Arial" w:cs="Arial"/>
                <w:b/>
                <w:bCs/>
              </w:rPr>
              <w:t>52</w:t>
            </w:r>
          </w:hyperlink>
        </w:p>
      </w:sdtContent>
    </w:sdt>
    <w:p>
      <w:pPr>
        <w:spacing w:line="218" w:lineRule="auto"/>
        <w:rPr>
          <w:rFonts w:ascii="Arial" w:eastAsia="Arial" w:hAnsi="Arial" w:cs="Arial"/>
        </w:rPr>
        <w:sectPr>
          <w:headerReference w:type="default" r:id="rId18"/>
          <w:footerReference w:type="default" r:id="rId19"/>
          <w:type w:val="nextPage"/>
          <w:pgSz w:w="11907" w:h="16839"/>
          <w:pgMar w:top="715" w:right="694" w:bottom="734" w:left="698" w:header="454" w:footer="479" w:gutter="0"/>
          <w:pgNumType w:start="7"/>
          <w:cols w:space="708"/>
          <w:titlePg w:val="0"/>
        </w:sectPr>
      </w:pPr>
    </w:p>
    <w:sdt>
      <w:sdtPr>
        <w:rPr>
          <w:rFonts w:ascii="KaiTi" w:eastAsia="KaiTi" w:hAnsi="KaiTi" w:cs="KaiTi"/>
          <w:sz w:val="30"/>
          <w:szCs w:val="30"/>
        </w:rPr>
        <w:id w:val="1997287525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sz w:val="21"/>
          <w:szCs w:val="21"/>
        </w:rPr>
      </w:sdtEndPr>
      <w:sdtContent>
        <w:p>
          <w:pPr>
            <w:pStyle w:val="BodyText"/>
            <w:spacing w:before="166" w:line="219" w:lineRule="auto"/>
            <w:ind w:left="69"/>
            <w:rPr>
              <w:sz w:val="30"/>
              <w:szCs w:val="30"/>
            </w:rPr>
          </w:pPr>
          <w:bookmarkStart w:id="1" w:name="bookmark46"/>
          <w:bookmarkEnd w:id="1"/>
          <w:r>
            <w:rPr>
              <w:color w:val="CA2420"/>
              <w:spacing w:val="-11"/>
              <w:sz w:val="30"/>
              <w:szCs w:val="30"/>
              <w14:textOutline w14:w="5442">
                <w14:solidFill>
                  <w14:srgbClr w14:val="CA2420"/>
                </w14:solidFill>
                <w14:prstDash w14:val="solid"/>
                <w14:miter w14:lim="10"/>
              </w14:textOutline>
            </w:rPr>
            <w:t>图表目录</w:t>
          </w:r>
        </w:p>
        <w:p>
          <w:pPr>
            <w:pStyle w:val="BodyText"/>
            <w:tabs>
              <w:tab w:val="right" w:leader="dot" w:pos="10480"/>
            </w:tabs>
            <w:spacing w:before="156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5"/>
            </w:rPr>
            <w:t>图表</w:t>
          </w:r>
          <w:r>
            <w:rPr>
              <w:spacing w:val="-25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1</w:t>
          </w:r>
          <w:r>
            <w:rPr>
              <w:spacing w:val="-5"/>
            </w:rPr>
            <w:t>：中国肥胖人群数量</w:t>
          </w:r>
          <w:r>
            <w:rPr>
              <w:spacing w:val="-62"/>
            </w:rPr>
            <w:t xml:space="preserve"> </w:t>
          </w:r>
          <w:r>
            <w:tab/>
          </w:r>
          <w:hyperlink w:anchor="bookmark2" w:history="1">
            <w:r>
              <w:rPr>
                <w:rFonts w:ascii="Arial" w:eastAsia="Arial" w:hAnsi="Arial" w:cs="Arial"/>
              </w:rPr>
              <w:t>6</w:t>
            </w:r>
          </w:hyperlink>
        </w:p>
        <w:p>
          <w:pPr>
            <w:pStyle w:val="BodyText"/>
            <w:tabs>
              <w:tab w:val="right" w:leader="dot" w:pos="10480"/>
            </w:tabs>
            <w:spacing w:before="66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4"/>
            </w:rPr>
            <w:t>图表</w:t>
          </w:r>
          <w:r>
            <w:rPr>
              <w:spacing w:val="-40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>2</w:t>
          </w:r>
          <w:r>
            <w:rPr>
              <w:spacing w:val="-4"/>
            </w:rPr>
            <w:t>：肥胖相关并发症</w:t>
          </w:r>
          <w:r>
            <w:rPr>
              <w:spacing w:val="-83"/>
            </w:rPr>
            <w:t xml:space="preserve"> </w:t>
          </w:r>
          <w:r>
            <w:tab/>
          </w:r>
          <w:hyperlink w:anchor="bookmark3" w:history="1">
            <w:r>
              <w:rPr>
                <w:rFonts w:ascii="Arial" w:eastAsia="Arial" w:hAnsi="Arial" w:cs="Arial"/>
              </w:rPr>
              <w:t>6</w:t>
            </w:r>
          </w:hyperlink>
        </w:p>
        <w:p>
          <w:pPr>
            <w:pStyle w:val="BodyText"/>
            <w:tabs>
              <w:tab w:val="right" w:leader="dot" w:pos="10480"/>
            </w:tabs>
            <w:spacing w:before="67" w:line="220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4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3</w:t>
          </w:r>
          <w:r>
            <w:rPr>
              <w:spacing w:val="-3"/>
            </w:rPr>
            <w:t>：全球已上市减肥药对比总结</w:t>
          </w:r>
          <w:r>
            <w:rPr>
              <w:spacing w:val="-40"/>
            </w:rPr>
            <w:t xml:space="preserve"> </w:t>
          </w:r>
          <w:r>
            <w:tab/>
          </w:r>
          <w:hyperlink w:anchor="bookmark47" w:history="1">
            <w:r>
              <w:rPr>
                <w:rFonts w:ascii="Arial" w:eastAsia="Arial" w:hAnsi="Arial" w:cs="Arial"/>
              </w:rPr>
              <w:t>7</w:t>
            </w:r>
          </w:hyperlink>
        </w:p>
        <w:p>
          <w:pPr>
            <w:pStyle w:val="BodyText"/>
            <w:tabs>
              <w:tab w:val="right" w:leader="dot" w:pos="10480"/>
            </w:tabs>
            <w:spacing w:before="62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5"/>
            </w:rPr>
            <w:t>图表</w:t>
          </w:r>
          <w:r>
            <w:rPr>
              <w:spacing w:val="-43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4</w:t>
          </w:r>
          <w:r>
            <w:rPr>
              <w:spacing w:val="-5"/>
            </w:rPr>
            <w:t>：</w:t>
          </w:r>
          <w:r>
            <w:rPr>
              <w:rFonts w:ascii="Arial" w:eastAsia="Arial" w:hAnsi="Arial" w:cs="Arial"/>
              <w:spacing w:val="-5"/>
            </w:rPr>
            <w:t>STEP</w:t>
          </w:r>
          <w:r>
            <w:rPr>
              <w:rFonts w:ascii="Arial" w:eastAsia="Arial" w:hAnsi="Arial" w:cs="Arial"/>
              <w:spacing w:val="34"/>
            </w:rPr>
            <w:t xml:space="preserve"> </w:t>
          </w:r>
          <w:r>
            <w:rPr>
              <w:spacing w:val="-5"/>
            </w:rPr>
            <w:t>系列研究结果总结</w:t>
          </w:r>
          <w:r>
            <w:rPr>
              <w:spacing w:val="-88"/>
            </w:rPr>
            <w:t xml:space="preserve"> </w:t>
          </w:r>
          <w:r>
            <w:tab/>
          </w:r>
          <w:hyperlink w:anchor="bookmark48" w:history="1">
            <w:r>
              <w:rPr>
                <w:rFonts w:ascii="Arial" w:eastAsia="Arial" w:hAnsi="Arial" w:cs="Arial"/>
              </w:rPr>
              <w:t>8</w:t>
            </w:r>
          </w:hyperlink>
        </w:p>
        <w:p>
          <w:pPr>
            <w:pStyle w:val="BodyText"/>
            <w:tabs>
              <w:tab w:val="right" w:leader="dot" w:pos="10480"/>
            </w:tabs>
            <w:spacing w:before="65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27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5</w:t>
          </w:r>
          <w:r>
            <w:rPr>
              <w:spacing w:val="-3"/>
            </w:rPr>
            <w:t>：司美格鲁肽全球销售额（亿美元）</w:t>
          </w:r>
          <w:r>
            <w:rPr>
              <w:spacing w:val="-35"/>
            </w:rPr>
            <w:t xml:space="preserve"> </w:t>
          </w:r>
          <w:r>
            <w:tab/>
          </w:r>
          <w:hyperlink w:anchor="bookmark6" w:history="1">
            <w:r>
              <w:rPr>
                <w:rFonts w:ascii="Arial" w:eastAsia="Arial" w:hAnsi="Arial" w:cs="Arial"/>
              </w:rPr>
              <w:t>8</w:t>
            </w:r>
          </w:hyperlink>
        </w:p>
        <w:p>
          <w:pPr>
            <w:pStyle w:val="BodyText"/>
            <w:tabs>
              <w:tab w:val="right" w:leader="dot" w:pos="10480"/>
            </w:tabs>
            <w:spacing w:before="67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8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6</w:t>
          </w:r>
          <w:r>
            <w:rPr>
              <w:spacing w:val="-3"/>
            </w:rPr>
            <w:t>：司美格鲁肽当前供货紧张</w:t>
          </w:r>
          <w:r>
            <w:rPr>
              <w:spacing w:val="-60"/>
            </w:rPr>
            <w:t xml:space="preserve"> </w:t>
          </w:r>
          <w:r>
            <w:tab/>
          </w:r>
          <w:hyperlink w:anchor="bookmark49" w:history="1">
            <w:r>
              <w:rPr>
                <w:rFonts w:ascii="Arial" w:eastAsia="Arial" w:hAnsi="Arial" w:cs="Arial"/>
              </w:rPr>
              <w:t>8</w:t>
            </w:r>
          </w:hyperlink>
        </w:p>
        <w:p>
          <w:pPr>
            <w:pStyle w:val="BodyText"/>
            <w:tabs>
              <w:tab w:val="right" w:leader="dot" w:pos="10480"/>
            </w:tabs>
            <w:spacing w:before="67" w:line="221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43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7</w:t>
          </w:r>
          <w:r>
            <w:rPr>
              <w:spacing w:val="-3"/>
            </w:rPr>
            <w:t>：</w:t>
          </w:r>
          <w:r>
            <w:rPr>
              <w:rFonts w:ascii="Arial" w:eastAsia="Arial" w:hAnsi="Arial" w:cs="Arial"/>
              <w:spacing w:val="-3"/>
            </w:rPr>
            <w:t xml:space="preserve">GLP-1RA </w:t>
          </w:r>
          <w:r>
            <w:rPr>
              <w:spacing w:val="-3"/>
            </w:rPr>
            <w:t>减重机制</w:t>
          </w:r>
          <w:r>
            <w:rPr>
              <w:spacing w:val="-58"/>
            </w:rPr>
            <w:t xml:space="preserve"> </w:t>
          </w:r>
          <w:r>
            <w:tab/>
          </w:r>
          <w:hyperlink w:anchor="bookmark50" w:history="1">
            <w:r>
              <w:rPr>
                <w:rFonts w:ascii="Arial" w:eastAsia="Arial" w:hAnsi="Arial" w:cs="Arial"/>
              </w:rPr>
              <w:t>9</w:t>
            </w:r>
          </w:hyperlink>
        </w:p>
        <w:p>
          <w:pPr>
            <w:pStyle w:val="BodyText"/>
            <w:tabs>
              <w:tab w:val="right" w:leader="dot" w:pos="10480"/>
            </w:tabs>
            <w:spacing w:before="60" w:line="221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0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8</w:t>
          </w:r>
          <w:r>
            <w:rPr>
              <w:spacing w:val="-2"/>
            </w:rPr>
            <w:t>：</w:t>
          </w:r>
          <w:r>
            <w:rPr>
              <w:rFonts w:ascii="Arial" w:eastAsia="Arial" w:hAnsi="Arial" w:cs="Arial"/>
              <w:spacing w:val="-2"/>
            </w:rPr>
            <w:t xml:space="preserve">GLP-1R/GIPR </w:t>
          </w:r>
          <w:r>
            <w:rPr>
              <w:spacing w:val="-2"/>
            </w:rPr>
            <w:t>双靶激动剂减重机制</w:t>
          </w:r>
          <w:r>
            <w:rPr>
              <w:spacing w:val="-42"/>
            </w:rPr>
            <w:t xml:space="preserve"> </w:t>
          </w:r>
          <w:r>
            <w:tab/>
          </w:r>
          <w:hyperlink w:anchor="bookmark51" w:history="1">
            <w:r>
              <w:rPr>
                <w:rFonts w:ascii="Arial" w:eastAsia="Arial" w:hAnsi="Arial" w:cs="Arial"/>
              </w:rPr>
              <w:t>9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1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3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9</w:t>
          </w:r>
          <w:r>
            <w:rPr>
              <w:spacing w:val="-2"/>
            </w:rPr>
            <w:t>：</w:t>
          </w:r>
          <w:r>
            <w:rPr>
              <w:rFonts w:ascii="Arial" w:eastAsia="Arial" w:hAnsi="Arial" w:cs="Arial"/>
              <w:spacing w:val="-2"/>
            </w:rPr>
            <w:t xml:space="preserve">GCGR </w:t>
          </w:r>
          <w:r>
            <w:rPr>
              <w:spacing w:val="-2"/>
            </w:rPr>
            <w:t>激动剂与</w:t>
          </w:r>
          <w:r>
            <w:rPr>
              <w:spacing w:val="-44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 xml:space="preserve">GLP-1RA </w:t>
          </w:r>
          <w:r>
            <w:rPr>
              <w:spacing w:val="-2"/>
            </w:rPr>
            <w:t>在减肥上的协同</w:t>
          </w:r>
          <w:r>
            <w:rPr>
              <w:spacing w:val="-3"/>
            </w:rPr>
            <w:t>作用</w:t>
          </w:r>
          <w:r>
            <w:rPr>
              <w:spacing w:val="-33"/>
            </w:rPr>
            <w:t xml:space="preserve"> </w:t>
          </w:r>
          <w:r>
            <w:tab/>
          </w:r>
          <w:hyperlink w:anchor="bookmark52" w:history="1">
            <w:r>
              <w:rPr>
                <w:rFonts w:ascii="Arial" w:eastAsia="Arial" w:hAnsi="Arial" w:cs="Arial"/>
              </w:rPr>
              <w:t>10</w:t>
            </w:r>
          </w:hyperlink>
        </w:p>
        <w:p>
          <w:pPr>
            <w:pStyle w:val="BodyText"/>
            <w:tabs>
              <w:tab w:val="right" w:leader="dot" w:pos="10480"/>
            </w:tabs>
            <w:spacing w:before="66" w:line="215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29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10</w:t>
          </w:r>
          <w:r>
            <w:rPr>
              <w:spacing w:val="-2"/>
            </w:rPr>
            <w:t>：</w:t>
          </w:r>
          <w:r>
            <w:rPr>
              <w:rFonts w:ascii="Arial" w:eastAsia="Arial" w:hAnsi="Arial" w:cs="Arial"/>
              <w:spacing w:val="-2"/>
            </w:rPr>
            <w:t xml:space="preserve">Tirzepatide  </w:t>
          </w:r>
          <w:r>
            <w:rPr>
              <w:spacing w:val="-2"/>
            </w:rPr>
            <w:t>减肥适应症注册临床</w:t>
          </w:r>
          <w:r>
            <w:rPr>
              <w:spacing w:val="-45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SURM</w:t>
          </w:r>
          <w:r>
            <w:rPr>
              <w:rFonts w:ascii="Arial" w:eastAsia="Arial" w:hAnsi="Arial" w:cs="Arial"/>
              <w:spacing w:val="-3"/>
            </w:rPr>
            <w:t xml:space="preserve">OUNT-1 </w:t>
          </w:r>
          <w:r>
            <w:rPr>
              <w:spacing w:val="-3"/>
            </w:rPr>
            <w:t>有效性数据</w:t>
          </w:r>
          <w:r>
            <w:rPr>
              <w:spacing w:val="-37"/>
            </w:rPr>
            <w:t xml:space="preserve"> </w:t>
          </w:r>
          <w:r>
            <w:tab/>
          </w:r>
          <w:r>
            <w:rPr>
              <w:spacing w:val="-68"/>
            </w:rPr>
            <w:t xml:space="preserve"> </w:t>
          </w:r>
          <w:hyperlink w:anchor="bookmark53" w:history="1">
            <w:r>
              <w:rPr>
                <w:rFonts w:ascii="Arial" w:eastAsia="Arial" w:hAnsi="Arial" w:cs="Arial"/>
                <w:spacing w:val="-10"/>
              </w:rPr>
              <w:t>11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8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6"/>
            </w:rPr>
            <w:t>图表</w:t>
          </w:r>
          <w:r>
            <w:rPr>
              <w:spacing w:val="-25"/>
            </w:rPr>
            <w:t xml:space="preserve"> </w:t>
          </w:r>
          <w:r>
            <w:rPr>
              <w:rFonts w:ascii="Arial" w:eastAsia="Arial" w:hAnsi="Arial" w:cs="Arial"/>
              <w:spacing w:val="-6"/>
            </w:rPr>
            <w:t>11</w:t>
          </w:r>
          <w:r>
            <w:rPr>
              <w:spacing w:val="-6"/>
            </w:rPr>
            <w:t>：</w:t>
          </w:r>
          <w:r>
            <w:rPr>
              <w:rFonts w:ascii="Arial" w:eastAsia="Arial" w:hAnsi="Arial" w:cs="Arial"/>
              <w:spacing w:val="-6"/>
            </w:rPr>
            <w:t>SURPASS</w:t>
          </w:r>
          <w:r>
            <w:rPr>
              <w:rFonts w:ascii="Arial" w:eastAsia="Arial" w:hAnsi="Arial" w:cs="Arial"/>
              <w:spacing w:val="31"/>
            </w:rPr>
            <w:t xml:space="preserve"> </w:t>
          </w:r>
          <w:r>
            <w:rPr>
              <w:spacing w:val="-6"/>
            </w:rPr>
            <w:t>系列研究安全性数据</w:t>
          </w:r>
          <w:r>
            <w:rPr>
              <w:spacing w:val="-33"/>
            </w:rPr>
            <w:t xml:space="preserve"> </w:t>
          </w:r>
          <w:r>
            <w:tab/>
          </w:r>
          <w:hyperlink w:anchor="bookmark54" w:history="1">
            <w:r>
              <w:rPr>
                <w:rFonts w:ascii="Arial" w:eastAsia="Arial" w:hAnsi="Arial" w:cs="Arial"/>
              </w:rPr>
              <w:t>12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5"/>
            </w:rPr>
            <w:t>图表</w:t>
          </w:r>
          <w:r>
            <w:rPr>
              <w:spacing w:val="-21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12</w:t>
          </w:r>
          <w:r>
            <w:rPr>
              <w:spacing w:val="-5"/>
            </w:rPr>
            <w:t>：替尔泊肽迅速放量</w:t>
          </w:r>
          <w:r>
            <w:rPr>
              <w:spacing w:val="-62"/>
            </w:rPr>
            <w:t xml:space="preserve"> </w:t>
          </w:r>
          <w:r>
            <w:tab/>
          </w:r>
          <w:hyperlink w:anchor="bookmark55" w:history="1">
            <w:r>
              <w:rPr>
                <w:rFonts w:ascii="Arial" w:eastAsia="Arial" w:hAnsi="Arial" w:cs="Arial"/>
              </w:rPr>
              <w:t>13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3" w:lineRule="auto"/>
            <w:ind w:left="55"/>
            <w:rPr>
              <w:rFonts w:ascii="Arial" w:eastAsia="Arial" w:hAnsi="Arial" w:cs="Arial"/>
            </w:rPr>
          </w:pPr>
          <w:r>
            <w:rPr>
              <w:spacing w:val="-4"/>
            </w:rPr>
            <w:t>图表</w:t>
          </w:r>
          <w:r>
            <w:rPr>
              <w:spacing w:val="-26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>13</w:t>
          </w:r>
          <w:r>
            <w:rPr>
              <w:spacing w:val="-4"/>
            </w:rPr>
            <w:t>：</w:t>
          </w:r>
          <w:r>
            <w:rPr>
              <w:rFonts w:ascii="Arial" w:eastAsia="Arial" w:hAnsi="Arial" w:cs="Arial"/>
              <w:spacing w:val="-4"/>
            </w:rPr>
            <w:t xml:space="preserve">Wegovy </w:t>
          </w:r>
          <w:r>
            <w:rPr>
              <w:spacing w:val="-4"/>
            </w:rPr>
            <w:t>处方量激增</w:t>
          </w:r>
          <w:r>
            <w:rPr>
              <w:spacing w:val="-69"/>
            </w:rPr>
            <w:t xml:space="preserve"> </w:t>
          </w:r>
          <w:r>
            <w:tab/>
          </w:r>
          <w:hyperlink w:anchor="bookmark56" w:history="1">
            <w:r>
              <w:rPr>
                <w:rFonts w:ascii="Arial" w:eastAsia="Arial" w:hAnsi="Arial" w:cs="Arial"/>
              </w:rPr>
              <w:t>13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4"/>
            </w:rPr>
            <w:t>图表</w:t>
          </w:r>
          <w:r>
            <w:rPr>
              <w:spacing w:val="-24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>14</w:t>
          </w:r>
          <w:r>
            <w:rPr>
              <w:spacing w:val="-4"/>
            </w:rPr>
            <w:t>：礼来替尔泊肽供应紧缺</w:t>
          </w:r>
          <w:r>
            <w:rPr>
              <w:spacing w:val="-81"/>
            </w:rPr>
            <w:t xml:space="preserve"> </w:t>
          </w:r>
          <w:r>
            <w:tab/>
          </w:r>
          <w:hyperlink w:anchor="bookmark57" w:history="1">
            <w:r>
              <w:rPr>
                <w:rFonts w:ascii="Arial" w:eastAsia="Arial" w:hAnsi="Arial" w:cs="Arial"/>
              </w:rPr>
              <w:t>13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26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15</w:t>
          </w:r>
          <w:r>
            <w:rPr>
              <w:spacing w:val="-3"/>
            </w:rPr>
            <w:t>：玛仕度肽低剂量减肥适应症临床</w:t>
          </w:r>
          <w:r>
            <w:rPr>
              <w:spacing w:val="-46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2 </w:t>
          </w:r>
          <w:r>
            <w:rPr>
              <w:spacing w:val="-3"/>
            </w:rPr>
            <w:t>期数据</w:t>
          </w:r>
          <w:r>
            <w:rPr>
              <w:spacing w:val="-43"/>
            </w:rPr>
            <w:t xml:space="preserve"> </w:t>
          </w:r>
          <w:r>
            <w:tab/>
          </w:r>
          <w:hyperlink w:anchor="bookmark58" w:history="1">
            <w:r>
              <w:rPr>
                <w:rFonts w:ascii="Arial" w:eastAsia="Arial" w:hAnsi="Arial" w:cs="Arial"/>
              </w:rPr>
              <w:t>14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21" w:lineRule="auto"/>
            <w:ind w:left="55"/>
            <w:rPr>
              <w:rFonts w:ascii="Arial" w:eastAsia="Arial" w:hAnsi="Arial" w:cs="Arial"/>
            </w:rPr>
          </w:pPr>
          <w:r>
            <w:rPr>
              <w:spacing w:val="-4"/>
            </w:rPr>
            <w:t>图表</w:t>
          </w:r>
          <w:r>
            <w:rPr>
              <w:spacing w:val="-16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>16</w:t>
          </w:r>
          <w:r>
            <w:rPr>
              <w:spacing w:val="-4"/>
            </w:rPr>
            <w:t>：玛仕度肽后续临床开发计划</w:t>
          </w:r>
          <w:r>
            <w:rPr>
              <w:spacing w:val="-40"/>
            </w:rPr>
            <w:t xml:space="preserve"> </w:t>
          </w:r>
          <w:r>
            <w:tab/>
          </w:r>
          <w:hyperlink w:anchor="bookmark59" w:history="1">
            <w:r>
              <w:rPr>
                <w:rFonts w:ascii="Arial" w:eastAsia="Arial" w:hAnsi="Arial" w:cs="Arial"/>
              </w:rPr>
              <w:t>14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0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29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17</w:t>
          </w:r>
          <w:r>
            <w:rPr>
              <w:spacing w:val="-3"/>
            </w:rPr>
            <w:t>：玛仕度肽高剂量组</w:t>
          </w:r>
          <w:r>
            <w:rPr>
              <w:spacing w:val="-47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2 </w:t>
          </w:r>
          <w:r>
            <w:rPr>
              <w:spacing w:val="-3"/>
            </w:rPr>
            <w:t>期临床主</w:t>
          </w:r>
          <w:r>
            <w:rPr>
              <w:spacing w:val="-4"/>
            </w:rPr>
            <w:t>要终点</w:t>
          </w:r>
          <w:r>
            <w:rPr>
              <w:spacing w:val="-83"/>
            </w:rPr>
            <w:t xml:space="preserve"> </w:t>
          </w:r>
          <w:r>
            <w:tab/>
          </w:r>
          <w:hyperlink w:anchor="bookmark60" w:history="1">
            <w:r>
              <w:rPr>
                <w:rFonts w:ascii="Arial" w:eastAsia="Arial" w:hAnsi="Arial" w:cs="Arial"/>
              </w:rPr>
              <w:t>15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29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18</w:t>
          </w:r>
          <w:r>
            <w:rPr>
              <w:spacing w:val="-3"/>
            </w:rPr>
            <w:t>：玛仕度肽高剂量组</w:t>
          </w:r>
          <w:r>
            <w:rPr>
              <w:spacing w:val="-47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2 </w:t>
          </w:r>
          <w:r>
            <w:rPr>
              <w:spacing w:val="-3"/>
            </w:rPr>
            <w:t>期临床次</w:t>
          </w:r>
          <w:r>
            <w:rPr>
              <w:spacing w:val="-4"/>
            </w:rPr>
            <w:t>要终点</w:t>
          </w:r>
          <w:r>
            <w:rPr>
              <w:spacing w:val="-83"/>
            </w:rPr>
            <w:t xml:space="preserve"> </w:t>
          </w:r>
          <w:r>
            <w:tab/>
          </w:r>
          <w:hyperlink w:anchor="bookmark61" w:history="1">
            <w:r>
              <w:rPr>
                <w:rFonts w:ascii="Arial" w:eastAsia="Arial" w:hAnsi="Arial" w:cs="Arial"/>
              </w:rPr>
              <w:t>15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4"/>
            </w:rPr>
            <w:t>图表</w:t>
          </w:r>
          <w:r>
            <w:rPr>
              <w:spacing w:val="-18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>19</w:t>
          </w:r>
          <w:r>
            <w:rPr>
              <w:spacing w:val="-4"/>
            </w:rPr>
            <w:t>：</w:t>
          </w:r>
          <w:r>
            <w:rPr>
              <w:rFonts w:ascii="Arial" w:eastAsia="Arial" w:hAnsi="Arial" w:cs="Arial"/>
              <w:spacing w:val="-4"/>
            </w:rPr>
            <w:t>GLP-1</w:t>
          </w:r>
          <w:r>
            <w:rPr>
              <w:rFonts w:ascii="Arial" w:eastAsia="Arial" w:hAnsi="Arial" w:cs="Arial"/>
              <w:spacing w:val="14"/>
            </w:rPr>
            <w:t xml:space="preserve"> </w:t>
          </w:r>
          <w:r>
            <w:rPr>
              <w:spacing w:val="-4"/>
            </w:rPr>
            <w:t>类药物减重效果间接对比</w:t>
          </w:r>
          <w:r>
            <w:rPr>
              <w:spacing w:val="-88"/>
            </w:rPr>
            <w:t xml:space="preserve"> </w:t>
          </w:r>
          <w:r>
            <w:tab/>
          </w:r>
          <w:hyperlink w:anchor="bookmark62" w:history="1">
            <w:r>
              <w:rPr>
                <w:rFonts w:ascii="Arial" w:eastAsia="Arial" w:hAnsi="Arial" w:cs="Arial"/>
              </w:rPr>
              <w:t>15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2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20</w:t>
          </w:r>
          <w:r>
            <w:rPr>
              <w:spacing w:val="-2"/>
            </w:rPr>
            <w:t>：玛仕度肽可带来代谢层面的多项益处</w:t>
          </w:r>
          <w:r>
            <w:rPr>
              <w:spacing w:val="-73"/>
            </w:rPr>
            <w:t xml:space="preserve"> </w:t>
          </w:r>
          <w:r>
            <w:tab/>
          </w:r>
          <w:hyperlink w:anchor="bookmark63" w:history="1">
            <w:r>
              <w:rPr>
                <w:rFonts w:ascii="Arial" w:eastAsia="Arial" w:hAnsi="Arial" w:cs="Arial"/>
              </w:rPr>
              <w:t>15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45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21</w:t>
          </w:r>
          <w:r>
            <w:rPr>
              <w:spacing w:val="-3"/>
            </w:rPr>
            <w:t>：</w:t>
          </w:r>
          <w:r>
            <w:rPr>
              <w:rFonts w:ascii="Arial" w:eastAsia="Arial" w:hAnsi="Arial" w:cs="Arial"/>
              <w:spacing w:val="-3"/>
            </w:rPr>
            <w:t xml:space="preserve">AMG133 </w:t>
          </w:r>
          <w:r>
            <w:rPr>
              <w:spacing w:val="-3"/>
            </w:rPr>
            <w:t>作用机制</w:t>
          </w:r>
          <w:r>
            <w:rPr>
              <w:spacing w:val="-45"/>
            </w:rPr>
            <w:t xml:space="preserve"> </w:t>
          </w:r>
          <w:r>
            <w:tab/>
          </w:r>
          <w:hyperlink w:anchor="bookmark64" w:history="1">
            <w:r>
              <w:rPr>
                <w:rFonts w:ascii="Arial" w:eastAsia="Arial" w:hAnsi="Arial" w:cs="Arial"/>
              </w:rPr>
              <w:t>16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46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22</w:t>
          </w:r>
          <w:r>
            <w:rPr>
              <w:spacing w:val="-3"/>
            </w:rPr>
            <w:t>：</w:t>
          </w:r>
          <w:r>
            <w:rPr>
              <w:rFonts w:ascii="Arial" w:eastAsia="Arial" w:hAnsi="Arial" w:cs="Arial"/>
              <w:spacing w:val="-3"/>
            </w:rPr>
            <w:t xml:space="preserve">AMG133 </w:t>
          </w:r>
          <w:r>
            <w:rPr>
              <w:spacing w:val="-3"/>
            </w:rPr>
            <w:t>减重</w:t>
          </w:r>
          <w:r>
            <w:rPr>
              <w:spacing w:val="-33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I </w:t>
          </w:r>
          <w:r>
            <w:rPr>
              <w:spacing w:val="-3"/>
            </w:rPr>
            <w:t>期临床试验结果</w:t>
          </w:r>
          <w:r>
            <w:rPr>
              <w:spacing w:val="-51"/>
            </w:rPr>
            <w:t xml:space="preserve"> </w:t>
          </w:r>
          <w:r>
            <w:tab/>
          </w:r>
          <w:hyperlink w:anchor="bookmark65" w:history="1">
            <w:r>
              <w:rPr>
                <w:rFonts w:ascii="Arial" w:eastAsia="Arial" w:hAnsi="Arial" w:cs="Arial"/>
              </w:rPr>
              <w:t>16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6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23</w:t>
          </w:r>
          <w:r>
            <w:rPr>
              <w:spacing w:val="-2"/>
            </w:rPr>
            <w:t>：</w:t>
          </w:r>
          <w:r>
            <w:rPr>
              <w:rFonts w:ascii="Arial" w:eastAsia="Arial" w:hAnsi="Arial" w:cs="Arial"/>
              <w:spacing w:val="-2"/>
            </w:rPr>
            <w:t>Retatrutide</w:t>
          </w:r>
          <w:r>
            <w:rPr>
              <w:rFonts w:ascii="Arial" w:eastAsia="Arial" w:hAnsi="Arial" w:cs="Arial"/>
              <w:spacing w:val="19"/>
              <w:w w:val="101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 xml:space="preserve">II </w:t>
          </w:r>
          <w:r>
            <w:rPr>
              <w:spacing w:val="-2"/>
            </w:rPr>
            <w:t>期</w:t>
          </w:r>
          <w:r>
            <w:rPr>
              <w:spacing w:val="-3"/>
            </w:rPr>
            <w:t>临床体重变化曲线</w:t>
          </w:r>
          <w:r>
            <w:rPr>
              <w:spacing w:val="-88"/>
            </w:rPr>
            <w:t xml:space="preserve"> </w:t>
          </w:r>
          <w:r>
            <w:tab/>
          </w:r>
          <w:hyperlink w:anchor="bookmark66" w:history="1">
            <w:r>
              <w:rPr>
                <w:rFonts w:ascii="Arial" w:eastAsia="Arial" w:hAnsi="Arial" w:cs="Arial"/>
              </w:rPr>
              <w:t>17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6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24</w:t>
          </w:r>
          <w:r>
            <w:rPr>
              <w:spacing w:val="-2"/>
            </w:rPr>
            <w:t>：</w:t>
          </w:r>
          <w:r>
            <w:rPr>
              <w:rFonts w:ascii="Arial" w:eastAsia="Arial" w:hAnsi="Arial" w:cs="Arial"/>
              <w:spacing w:val="-2"/>
            </w:rPr>
            <w:t>Retatrutide</w:t>
          </w:r>
          <w:r>
            <w:rPr>
              <w:rFonts w:ascii="Arial" w:eastAsia="Arial" w:hAnsi="Arial" w:cs="Arial"/>
              <w:spacing w:val="19"/>
              <w:w w:val="101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 xml:space="preserve">II </w:t>
          </w:r>
          <w:r>
            <w:rPr>
              <w:spacing w:val="-2"/>
            </w:rPr>
            <w:t>期临床不同减重</w:t>
          </w:r>
          <w:r>
            <w:rPr>
              <w:spacing w:val="-3"/>
            </w:rPr>
            <w:t>比例对比</w:t>
          </w:r>
          <w:r>
            <w:rPr>
              <w:spacing w:val="-47"/>
            </w:rPr>
            <w:t xml:space="preserve"> </w:t>
          </w:r>
          <w:r>
            <w:tab/>
          </w:r>
          <w:hyperlink w:anchor="bookmark67" w:history="1">
            <w:r>
              <w:rPr>
                <w:rFonts w:ascii="Arial" w:eastAsia="Arial" w:hAnsi="Arial" w:cs="Arial"/>
              </w:rPr>
              <w:t>17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13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6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25</w:t>
          </w:r>
          <w:r>
            <w:rPr>
              <w:spacing w:val="-2"/>
            </w:rPr>
            <w:t>：</w:t>
          </w:r>
          <w:r>
            <w:rPr>
              <w:rFonts w:ascii="Arial" w:eastAsia="Arial" w:hAnsi="Arial" w:cs="Arial"/>
              <w:spacing w:val="-2"/>
            </w:rPr>
            <w:t xml:space="preserve">Orforglipron </w:t>
          </w:r>
          <w:r>
            <w:rPr>
              <w:spacing w:val="-2"/>
            </w:rPr>
            <w:t>减重适应症</w:t>
          </w:r>
          <w:r>
            <w:rPr>
              <w:spacing w:val="-32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 xml:space="preserve">II </w:t>
          </w:r>
          <w:r>
            <w:rPr>
              <w:spacing w:val="-2"/>
            </w:rPr>
            <w:t>期临床有效</w:t>
          </w:r>
          <w:r>
            <w:rPr>
              <w:spacing w:val="-3"/>
            </w:rPr>
            <w:t>性数据</w:t>
          </w:r>
          <w:r>
            <w:rPr>
              <w:spacing w:val="-77"/>
            </w:rPr>
            <w:t xml:space="preserve"> </w:t>
          </w:r>
          <w:r>
            <w:tab/>
          </w:r>
          <w:hyperlink w:anchor="bookmark68" w:history="1">
            <w:r>
              <w:rPr>
                <w:rFonts w:ascii="Arial" w:eastAsia="Arial" w:hAnsi="Arial" w:cs="Arial"/>
              </w:rPr>
              <w:t>18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3" w:lineRule="auto"/>
            <w:ind w:left="55"/>
            <w:rPr>
              <w:rFonts w:ascii="Arial" w:eastAsia="Arial" w:hAnsi="Arial" w:cs="Arial"/>
            </w:rPr>
          </w:pPr>
          <w:r>
            <w:rPr>
              <w:spacing w:val="-4"/>
            </w:rPr>
            <w:t>图表</w:t>
          </w:r>
          <w:r>
            <w:rPr>
              <w:spacing w:val="-31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>26</w:t>
          </w:r>
          <w:r>
            <w:rPr>
              <w:spacing w:val="-4"/>
            </w:rPr>
            <w:t>：</w:t>
          </w:r>
          <w:r>
            <w:rPr>
              <w:rFonts w:ascii="Arial" w:eastAsia="Arial" w:hAnsi="Arial" w:cs="Arial"/>
              <w:spacing w:val="-4"/>
            </w:rPr>
            <w:t>Danuglipron</w:t>
          </w:r>
          <w:r>
            <w:rPr>
              <w:rFonts w:ascii="Arial" w:eastAsia="Arial" w:hAnsi="Arial" w:cs="Arial"/>
              <w:spacing w:val="18"/>
            </w:rPr>
            <w:t xml:space="preserve"> </w:t>
          </w:r>
          <w:r>
            <w:rPr>
              <w:spacing w:val="-4"/>
            </w:rPr>
            <w:t>临床</w:t>
          </w:r>
          <w:r>
            <w:rPr>
              <w:spacing w:val="-33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 xml:space="preserve">II </w:t>
          </w:r>
          <w:r>
            <w:rPr>
              <w:spacing w:val="-4"/>
            </w:rPr>
            <w:t>期降糖效果</w:t>
          </w:r>
          <w:r>
            <w:rPr>
              <w:spacing w:val="-49"/>
            </w:rPr>
            <w:t xml:space="preserve"> </w:t>
          </w:r>
          <w:r>
            <w:tab/>
          </w:r>
          <w:hyperlink w:anchor="bookmark69" w:history="1">
            <w:r>
              <w:rPr>
                <w:rFonts w:ascii="Arial" w:eastAsia="Arial" w:hAnsi="Arial" w:cs="Arial"/>
              </w:rPr>
              <w:t>19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3" w:lineRule="auto"/>
            <w:ind w:left="55"/>
            <w:rPr>
              <w:rFonts w:ascii="Arial" w:eastAsia="Arial" w:hAnsi="Arial" w:cs="Arial"/>
            </w:rPr>
          </w:pPr>
          <w:r>
            <w:rPr>
              <w:spacing w:val="-4"/>
            </w:rPr>
            <w:t>图表</w:t>
          </w:r>
          <w:r>
            <w:rPr>
              <w:spacing w:val="-31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>27</w:t>
          </w:r>
          <w:r>
            <w:rPr>
              <w:spacing w:val="-4"/>
            </w:rPr>
            <w:t>：</w:t>
          </w:r>
          <w:r>
            <w:rPr>
              <w:rFonts w:ascii="Arial" w:eastAsia="Arial" w:hAnsi="Arial" w:cs="Arial"/>
              <w:spacing w:val="-4"/>
            </w:rPr>
            <w:t>Danuglipron</w:t>
          </w:r>
          <w:r>
            <w:rPr>
              <w:rFonts w:ascii="Arial" w:eastAsia="Arial" w:hAnsi="Arial" w:cs="Arial"/>
              <w:spacing w:val="18"/>
            </w:rPr>
            <w:t xml:space="preserve"> </w:t>
          </w:r>
          <w:r>
            <w:rPr>
              <w:spacing w:val="-4"/>
            </w:rPr>
            <w:t>临床</w:t>
          </w:r>
          <w:r>
            <w:rPr>
              <w:spacing w:val="-33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 xml:space="preserve">II </w:t>
          </w:r>
          <w:r>
            <w:rPr>
              <w:spacing w:val="-4"/>
            </w:rPr>
            <w:t>期减重效果</w:t>
          </w:r>
          <w:r>
            <w:rPr>
              <w:spacing w:val="-49"/>
            </w:rPr>
            <w:t xml:space="preserve"> </w:t>
          </w:r>
          <w:r>
            <w:tab/>
          </w:r>
          <w:hyperlink w:anchor="bookmark70" w:history="1">
            <w:r>
              <w:rPr>
                <w:rFonts w:ascii="Arial" w:eastAsia="Arial" w:hAnsi="Arial" w:cs="Arial"/>
              </w:rPr>
              <w:t>19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4"/>
            </w:rPr>
            <w:t>图表</w:t>
          </w:r>
          <w:r>
            <w:rPr>
              <w:spacing w:val="-37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>28</w:t>
          </w:r>
          <w:r>
            <w:rPr>
              <w:spacing w:val="-4"/>
            </w:rPr>
            <w:t>：胰淀素生理功能</w:t>
          </w:r>
          <w:r>
            <w:rPr>
              <w:spacing w:val="-84"/>
            </w:rPr>
            <w:t xml:space="preserve"> </w:t>
          </w:r>
          <w:r>
            <w:tab/>
          </w:r>
          <w:hyperlink w:anchor="bookmark71" w:history="1">
            <w:r>
              <w:rPr>
                <w:rFonts w:ascii="Arial" w:eastAsia="Arial" w:hAnsi="Arial" w:cs="Arial"/>
              </w:rPr>
              <w:t>20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3" w:line="213" w:lineRule="auto"/>
            <w:ind w:left="55"/>
            <w:rPr>
              <w:rFonts w:ascii="Arial" w:eastAsia="Arial" w:hAnsi="Arial" w:cs="Arial"/>
            </w:rPr>
          </w:pPr>
          <w:r>
            <w:rPr>
              <w:spacing w:val="-4"/>
            </w:rPr>
            <w:t>图表</w:t>
          </w:r>
          <w:r>
            <w:rPr>
              <w:spacing w:val="-38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>29</w:t>
          </w:r>
          <w:r>
            <w:rPr>
              <w:spacing w:val="-4"/>
            </w:rPr>
            <w:t>：</w:t>
          </w:r>
          <w:r>
            <w:rPr>
              <w:rFonts w:ascii="Arial" w:eastAsia="Arial" w:hAnsi="Arial" w:cs="Arial"/>
              <w:spacing w:val="-4"/>
            </w:rPr>
            <w:t>CagriSema</w:t>
          </w:r>
          <w:r>
            <w:rPr>
              <w:rFonts w:ascii="Arial" w:eastAsia="Arial" w:hAnsi="Arial" w:cs="Arial"/>
              <w:spacing w:val="17"/>
              <w:w w:val="101"/>
            </w:rPr>
            <w:t xml:space="preserve"> </w:t>
          </w:r>
          <w:r>
            <w:rPr>
              <w:spacing w:val="-4"/>
            </w:rPr>
            <w:t>临床</w:t>
          </w:r>
          <w:r>
            <w:rPr>
              <w:spacing w:val="-33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 xml:space="preserve">II </w:t>
          </w:r>
          <w:r>
            <w:rPr>
              <w:spacing w:val="-4"/>
            </w:rPr>
            <w:t>期降糖数据</w:t>
          </w:r>
          <w:r>
            <w:rPr>
              <w:spacing w:val="-83"/>
            </w:rPr>
            <w:t xml:space="preserve"> </w:t>
          </w:r>
          <w:r>
            <w:tab/>
          </w:r>
          <w:hyperlink w:anchor="bookmark72" w:history="1">
            <w:r>
              <w:rPr>
                <w:rFonts w:ascii="Arial" w:eastAsia="Arial" w:hAnsi="Arial" w:cs="Arial"/>
              </w:rPr>
              <w:t>21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3" w:lineRule="auto"/>
            <w:ind w:left="55"/>
            <w:rPr>
              <w:rFonts w:ascii="Arial" w:eastAsia="Arial" w:hAnsi="Arial" w:cs="Arial"/>
            </w:rPr>
          </w:pPr>
          <w:r>
            <w:rPr>
              <w:spacing w:val="-4"/>
            </w:rPr>
            <w:t>图表</w:t>
          </w:r>
          <w:r>
            <w:rPr>
              <w:spacing w:val="-38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>30</w:t>
          </w:r>
          <w:r>
            <w:rPr>
              <w:spacing w:val="-4"/>
            </w:rPr>
            <w:t>：</w:t>
          </w:r>
          <w:r>
            <w:rPr>
              <w:rFonts w:ascii="Arial" w:eastAsia="Arial" w:hAnsi="Arial" w:cs="Arial"/>
              <w:spacing w:val="-4"/>
            </w:rPr>
            <w:t>CagriSema</w:t>
          </w:r>
          <w:r>
            <w:rPr>
              <w:rFonts w:ascii="Arial" w:eastAsia="Arial" w:hAnsi="Arial" w:cs="Arial"/>
              <w:spacing w:val="17"/>
              <w:w w:val="101"/>
            </w:rPr>
            <w:t xml:space="preserve"> </w:t>
          </w:r>
          <w:r>
            <w:rPr>
              <w:spacing w:val="-4"/>
            </w:rPr>
            <w:t>临床</w:t>
          </w:r>
          <w:r>
            <w:rPr>
              <w:spacing w:val="-33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 xml:space="preserve">II </w:t>
          </w:r>
          <w:r>
            <w:rPr>
              <w:spacing w:val="-4"/>
            </w:rPr>
            <w:t>期减重数据</w:t>
          </w:r>
          <w:r>
            <w:rPr>
              <w:spacing w:val="-83"/>
            </w:rPr>
            <w:t xml:space="preserve"> </w:t>
          </w:r>
          <w:r>
            <w:tab/>
          </w:r>
          <w:hyperlink w:anchor="bookmark73" w:history="1">
            <w:r>
              <w:rPr>
                <w:rFonts w:ascii="Arial" w:eastAsia="Arial" w:hAnsi="Arial" w:cs="Arial"/>
              </w:rPr>
              <w:t>21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3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0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31</w:t>
          </w:r>
          <w:r>
            <w:rPr>
              <w:spacing w:val="-3"/>
            </w:rPr>
            <w:t>：</w:t>
          </w:r>
          <w:r>
            <w:rPr>
              <w:rFonts w:ascii="Arial" w:eastAsia="Arial" w:hAnsi="Arial" w:cs="Arial"/>
              <w:spacing w:val="-3"/>
            </w:rPr>
            <w:t xml:space="preserve">CagriSema </w:t>
          </w:r>
          <w:r>
            <w:rPr>
              <w:spacing w:val="-3"/>
            </w:rPr>
            <w:t>安全性数据</w:t>
          </w:r>
          <w:r>
            <w:rPr>
              <w:spacing w:val="-76"/>
            </w:rPr>
            <w:t xml:space="preserve"> </w:t>
          </w:r>
          <w:r>
            <w:tab/>
          </w:r>
          <w:hyperlink w:anchor="bookmark74" w:history="1">
            <w:r>
              <w:rPr>
                <w:rFonts w:ascii="Arial" w:eastAsia="Arial" w:hAnsi="Arial" w:cs="Arial"/>
              </w:rPr>
              <w:t>21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5"/>
            </w:rPr>
            <w:t>图表</w:t>
          </w:r>
          <w:r>
            <w:rPr>
              <w:spacing w:val="-34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32</w:t>
          </w:r>
          <w:r>
            <w:rPr>
              <w:spacing w:val="-5"/>
            </w:rPr>
            <w:t>：全球在研</w:t>
          </w:r>
          <w:r>
            <w:rPr>
              <w:spacing w:val="-41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GLP-1</w:t>
          </w:r>
          <w:r>
            <w:rPr>
              <w:rFonts w:ascii="Arial" w:eastAsia="Arial" w:hAnsi="Arial" w:cs="Arial"/>
              <w:spacing w:val="13"/>
            </w:rPr>
            <w:t xml:space="preserve"> </w:t>
          </w:r>
          <w:r>
            <w:rPr>
              <w:spacing w:val="-5"/>
            </w:rPr>
            <w:t>管线</w:t>
          </w:r>
          <w:r>
            <w:rPr>
              <w:spacing w:val="-69"/>
            </w:rPr>
            <w:t xml:space="preserve"> </w:t>
          </w:r>
          <w:r>
            <w:tab/>
          </w:r>
          <w:hyperlink w:anchor="bookmark75" w:history="1">
            <w:r>
              <w:rPr>
                <w:rFonts w:ascii="Arial" w:eastAsia="Arial" w:hAnsi="Arial" w:cs="Arial"/>
              </w:rPr>
              <w:t>22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9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33</w:t>
          </w:r>
          <w:r>
            <w:rPr>
              <w:spacing w:val="-3"/>
            </w:rPr>
            <w:t>：美国</w:t>
          </w:r>
          <w:r>
            <w:rPr>
              <w:spacing w:val="-41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GLP-1RA </w:t>
          </w:r>
          <w:r>
            <w:rPr>
              <w:spacing w:val="-3"/>
            </w:rPr>
            <w:t>市场规模预期</w:t>
          </w:r>
          <w:r>
            <w:rPr>
              <w:spacing w:val="-88"/>
            </w:rPr>
            <w:t xml:space="preserve"> </w:t>
          </w:r>
          <w:r>
            <w:tab/>
          </w:r>
          <w:hyperlink w:anchor="bookmark76" w:history="1">
            <w:r>
              <w:rPr>
                <w:rFonts w:ascii="Arial" w:eastAsia="Arial" w:hAnsi="Arial" w:cs="Arial"/>
              </w:rPr>
              <w:t>23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20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43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34</w:t>
          </w:r>
          <w:r>
            <w:rPr>
              <w:spacing w:val="-3"/>
            </w:rPr>
            <w:t>：全球</w:t>
          </w:r>
          <w:r>
            <w:rPr>
              <w:spacing w:val="-42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GLP-1</w:t>
          </w:r>
          <w:r>
            <w:rPr>
              <w:rFonts w:ascii="Arial" w:eastAsia="Arial" w:hAnsi="Arial" w:cs="Arial"/>
              <w:spacing w:val="13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RA </w:t>
          </w:r>
          <w:r>
            <w:rPr>
              <w:spacing w:val="-3"/>
            </w:rPr>
            <w:t>市场规模</w:t>
          </w:r>
          <w:r>
            <w:rPr>
              <w:spacing w:val="-4"/>
            </w:rPr>
            <w:t>及增速</w:t>
          </w:r>
          <w:r>
            <w:rPr>
              <w:spacing w:val="-70"/>
            </w:rPr>
            <w:t xml:space="preserve"> </w:t>
          </w:r>
          <w:r>
            <w:tab/>
          </w:r>
          <w:hyperlink w:anchor="bookmark77" w:history="1">
            <w:r>
              <w:rPr>
                <w:rFonts w:ascii="Arial" w:eastAsia="Arial" w:hAnsi="Arial" w:cs="Arial"/>
              </w:rPr>
              <w:t>23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1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37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35</w:t>
          </w:r>
          <w:r>
            <w:rPr>
              <w:spacing w:val="-2"/>
            </w:rPr>
            <w:t>：礼来及诺和诺德市值表现（单位：亿美元）</w:t>
          </w:r>
          <w:r>
            <w:rPr>
              <w:spacing w:val="-69"/>
            </w:rPr>
            <w:t xml:space="preserve"> </w:t>
          </w:r>
          <w:r>
            <w:tab/>
          </w:r>
          <w:hyperlink w:anchor="bookmark78" w:history="1">
            <w:r>
              <w:rPr>
                <w:rFonts w:ascii="Arial" w:eastAsia="Arial" w:hAnsi="Arial" w:cs="Arial"/>
              </w:rPr>
              <w:t>23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16" w:lineRule="auto"/>
            <w:ind w:left="55"/>
            <w:rPr>
              <w:rFonts w:ascii="Arial" w:eastAsia="Arial" w:hAnsi="Arial" w:cs="Arial"/>
            </w:rPr>
            <w:sectPr>
              <w:headerReference w:type="default" r:id="rId20"/>
              <w:footerReference w:type="default" r:id="rId21"/>
              <w:pgSz w:w="11907" w:h="16839"/>
              <w:pgMar w:top="715" w:right="694" w:bottom="734" w:left="698" w:header="454" w:footer="479" w:gutter="0"/>
              <w:pgNumType w:start="8"/>
              <w:cols w:space="708"/>
            </w:sectPr>
          </w:pPr>
          <w:r>
            <w:rPr>
              <w:spacing w:val="-2"/>
            </w:rPr>
            <w:t>图表</w:t>
          </w:r>
          <w:r>
            <w:rPr>
              <w:spacing w:val="-37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36</w:t>
          </w:r>
          <w:r>
            <w:rPr>
              <w:spacing w:val="-2"/>
            </w:rPr>
            <w:t>：全球前十大药企市值排行（单位：亿美元）</w:t>
          </w:r>
          <w:r>
            <w:rPr>
              <w:spacing w:val="-69"/>
            </w:rPr>
            <w:t xml:space="preserve"> </w:t>
          </w:r>
          <w:r>
            <w:tab/>
          </w:r>
          <w:hyperlink w:anchor="bookmark79" w:history="1">
            <w:r>
              <w:rPr>
                <w:rFonts w:ascii="Arial" w:eastAsia="Arial" w:hAnsi="Arial" w:cs="Arial"/>
              </w:rPr>
              <w:t>24</w:t>
            </w:r>
          </w:hyperlink>
        </w:p>
      </w:sdtContent>
    </w:sdt>
    <w:sdt>
      <w:sdtPr>
        <w:rPr>
          <w:rFonts w:ascii="KaiTi" w:eastAsia="KaiTi" w:hAnsi="KaiTi" w:cs="KaiTi"/>
          <w:sz w:val="30"/>
          <w:szCs w:val="30"/>
        </w:rPr>
        <w:id w:val="177456045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sz w:val="21"/>
          <w:szCs w:val="21"/>
        </w:rPr>
      </w:sdtEndPr>
      <w:sdtContent>
        <w:p>
          <w:pPr>
            <w:pStyle w:val="BodyText"/>
            <w:tabs>
              <w:tab w:val="right" w:leader="dot" w:pos="10481"/>
            </w:tabs>
            <w:spacing w:before="66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28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37</w:t>
          </w:r>
          <w:r>
            <w:rPr>
              <w:spacing w:val="-3"/>
            </w:rPr>
            <w:t>：礼来</w:t>
          </w:r>
          <w:r>
            <w:rPr>
              <w:spacing w:val="-48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2022H1 </w:t>
          </w:r>
          <w:r>
            <w:rPr>
              <w:spacing w:val="-3"/>
            </w:rPr>
            <w:t>及</w:t>
          </w:r>
          <w:r>
            <w:rPr>
              <w:spacing w:val="-49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2023H1 </w:t>
          </w:r>
          <w:r>
            <w:rPr>
              <w:spacing w:val="-3"/>
            </w:rPr>
            <w:t>收入拆分</w:t>
          </w:r>
          <w:r>
            <w:rPr>
              <w:spacing w:val="-35"/>
            </w:rPr>
            <w:t xml:space="preserve"> </w:t>
          </w:r>
          <w:r>
            <w:tab/>
          </w:r>
          <w:hyperlink w:anchor="bookmark80" w:history="1">
            <w:r>
              <w:rPr>
                <w:rFonts w:ascii="Arial" w:eastAsia="Arial" w:hAnsi="Arial" w:cs="Arial"/>
              </w:rPr>
              <w:t>24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20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3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38</w:t>
          </w:r>
          <w:r>
            <w:rPr>
              <w:spacing w:val="-2"/>
            </w:rPr>
            <w:t>：诺和诺德</w:t>
          </w:r>
          <w:r>
            <w:rPr>
              <w:spacing w:val="-49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 xml:space="preserve">2022H1 </w:t>
          </w:r>
          <w:r>
            <w:rPr>
              <w:spacing w:val="-2"/>
            </w:rPr>
            <w:t>及</w:t>
          </w:r>
          <w:r>
            <w:rPr>
              <w:spacing w:val="-46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20</w:t>
          </w:r>
          <w:r>
            <w:rPr>
              <w:rFonts w:ascii="Arial" w:eastAsia="Arial" w:hAnsi="Arial" w:cs="Arial"/>
              <w:spacing w:val="-3"/>
            </w:rPr>
            <w:t xml:space="preserve">23H1 </w:t>
          </w:r>
          <w:r>
            <w:rPr>
              <w:spacing w:val="-3"/>
            </w:rPr>
            <w:t>收入拆分</w:t>
          </w:r>
          <w:r>
            <w:rPr>
              <w:spacing w:val="-52"/>
            </w:rPr>
            <w:t xml:space="preserve"> </w:t>
          </w:r>
          <w:r>
            <w:tab/>
          </w:r>
          <w:hyperlink w:anchor="bookmark81" w:history="1">
            <w:r>
              <w:rPr>
                <w:rFonts w:ascii="Arial" w:eastAsia="Arial" w:hAnsi="Arial" w:cs="Arial"/>
              </w:rPr>
              <w:t>25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2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1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39</w:t>
          </w:r>
          <w:r>
            <w:rPr>
              <w:spacing w:val="-3"/>
            </w:rPr>
            <w:t>：国内利拉鲁肽仿制药研发进展</w:t>
          </w:r>
          <w:r>
            <w:rPr>
              <w:spacing w:val="-76"/>
            </w:rPr>
            <w:t xml:space="preserve"> </w:t>
          </w:r>
          <w:r>
            <w:tab/>
          </w:r>
          <w:hyperlink w:anchor="bookmark82" w:history="1">
            <w:r>
              <w:rPr>
                <w:rFonts w:ascii="Arial" w:eastAsia="Arial" w:hAnsi="Arial" w:cs="Arial"/>
              </w:rPr>
              <w:t>26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7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40</w:t>
          </w:r>
          <w:r>
            <w:rPr>
              <w:spacing w:val="-3"/>
            </w:rPr>
            <w:t>：国内司美格鲁肽研发进展</w:t>
          </w:r>
          <w:r>
            <w:rPr>
              <w:spacing w:val="-59"/>
            </w:rPr>
            <w:t xml:space="preserve"> </w:t>
          </w:r>
          <w:r>
            <w:tab/>
          </w:r>
          <w:hyperlink w:anchor="bookmark83" w:history="1">
            <w:r>
              <w:rPr>
                <w:rFonts w:ascii="Arial" w:eastAsia="Arial" w:hAnsi="Arial" w:cs="Arial"/>
              </w:rPr>
              <w:t>26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7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42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41</w:t>
          </w:r>
          <w:r>
            <w:rPr>
              <w:spacing w:val="-3"/>
            </w:rPr>
            <w:t>：国内</w:t>
          </w:r>
          <w:r>
            <w:rPr>
              <w:spacing w:val="-41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GLP-1 </w:t>
          </w:r>
          <w:r>
            <w:rPr>
              <w:spacing w:val="-3"/>
            </w:rPr>
            <w:t>创新药研发管线</w:t>
          </w:r>
          <w:r>
            <w:rPr>
              <w:spacing w:val="-64"/>
            </w:rPr>
            <w:t xml:space="preserve"> </w:t>
          </w:r>
          <w:r>
            <w:tab/>
          </w:r>
          <w:hyperlink w:anchor="bookmark84" w:history="1">
            <w:r>
              <w:rPr>
                <w:rFonts w:ascii="Arial" w:eastAsia="Arial" w:hAnsi="Arial" w:cs="Arial"/>
              </w:rPr>
              <w:t>27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50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42</w:t>
          </w:r>
          <w:r>
            <w:rPr>
              <w:spacing w:val="-3"/>
            </w:rPr>
            <w:t>：国内</w:t>
          </w:r>
          <w:r>
            <w:rPr>
              <w:spacing w:val="-41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GLP-1</w:t>
          </w:r>
          <w:r>
            <w:rPr>
              <w:rFonts w:ascii="Arial" w:eastAsia="Arial" w:hAnsi="Arial" w:cs="Arial"/>
              <w:spacing w:val="20"/>
              <w:w w:val="101"/>
            </w:rPr>
            <w:t xml:space="preserve"> </w:t>
          </w:r>
          <w:r>
            <w:rPr>
              <w:spacing w:val="-3"/>
            </w:rPr>
            <w:t>小分子药物在研产</w:t>
          </w:r>
          <w:r>
            <w:rPr>
              <w:spacing w:val="-4"/>
            </w:rPr>
            <w:t>品概况</w:t>
          </w:r>
          <w:r>
            <w:rPr>
              <w:spacing w:val="-40"/>
            </w:rPr>
            <w:t xml:space="preserve"> </w:t>
          </w:r>
          <w:r>
            <w:tab/>
          </w:r>
          <w:hyperlink w:anchor="bookmark85" w:history="1">
            <w:r>
              <w:rPr>
                <w:rFonts w:ascii="Arial" w:eastAsia="Arial" w:hAnsi="Arial" w:cs="Arial"/>
              </w:rPr>
              <w:t>28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7" w:line="213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7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43</w:t>
          </w:r>
          <w:r>
            <w:rPr>
              <w:spacing w:val="-3"/>
            </w:rPr>
            <w:t>：</w:t>
          </w:r>
          <w:r>
            <w:rPr>
              <w:rFonts w:ascii="Arial" w:eastAsia="Arial" w:hAnsi="Arial" w:cs="Arial"/>
              <w:spacing w:val="-3"/>
            </w:rPr>
            <w:t xml:space="preserve">Ecnoglutide </w:t>
          </w:r>
          <w:r>
            <w:rPr>
              <w:spacing w:val="-3"/>
            </w:rPr>
            <w:t>减重</w:t>
          </w:r>
          <w:r>
            <w:rPr>
              <w:spacing w:val="-33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II </w:t>
          </w:r>
          <w:r>
            <w:rPr>
              <w:spacing w:val="-3"/>
            </w:rPr>
            <w:t>期临床结果</w:t>
          </w:r>
          <w:r>
            <w:rPr>
              <w:spacing w:val="-71"/>
            </w:rPr>
            <w:t xml:space="preserve"> </w:t>
          </w:r>
          <w:r>
            <w:tab/>
          </w:r>
          <w:hyperlink w:anchor="bookmark86" w:history="1">
            <w:r>
              <w:rPr>
                <w:rFonts w:ascii="Arial" w:eastAsia="Arial" w:hAnsi="Arial" w:cs="Arial"/>
              </w:rPr>
              <w:t>29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9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8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44</w:t>
          </w:r>
          <w:r>
            <w:rPr>
              <w:spacing w:val="-2"/>
            </w:rPr>
            <w:t>：</w:t>
          </w:r>
          <w:r>
            <w:rPr>
              <w:rFonts w:ascii="Arial" w:eastAsia="Arial" w:hAnsi="Arial" w:cs="Arial"/>
              <w:spacing w:val="-2"/>
            </w:rPr>
            <w:t>GLP-1</w:t>
          </w:r>
          <w:r>
            <w:rPr>
              <w:rFonts w:ascii="Arial" w:eastAsia="Arial" w:hAnsi="Arial" w:cs="Arial"/>
              <w:spacing w:val="14"/>
              <w:w w:val="101"/>
            </w:rPr>
            <w:t xml:space="preserve"> </w:t>
          </w:r>
          <w:r>
            <w:rPr>
              <w:spacing w:val="-2"/>
            </w:rPr>
            <w:t>类药物减重临床试验设计细节总结对比</w:t>
          </w:r>
          <w:r>
            <w:rPr>
              <w:spacing w:val="-81"/>
            </w:rPr>
            <w:t xml:space="preserve"> </w:t>
          </w:r>
          <w:r>
            <w:tab/>
          </w:r>
          <w:hyperlink w:anchor="bookmark87" w:history="1">
            <w:r>
              <w:rPr>
                <w:rFonts w:ascii="Arial" w:eastAsia="Arial" w:hAnsi="Arial" w:cs="Arial"/>
              </w:rPr>
              <w:t>30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5" w:lineRule="auto"/>
            <w:ind w:left="55"/>
            <w:rPr>
              <w:rFonts w:ascii="Arial" w:eastAsia="Arial" w:hAnsi="Arial" w:cs="Arial"/>
            </w:rPr>
          </w:pPr>
          <w:r>
            <w:rPr>
              <w:spacing w:val="-5"/>
            </w:rPr>
            <w:t>图表</w:t>
          </w:r>
          <w:r>
            <w:rPr>
              <w:spacing w:val="-43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45</w:t>
          </w:r>
          <w:r>
            <w:rPr>
              <w:spacing w:val="-5"/>
            </w:rPr>
            <w:t>：</w:t>
          </w:r>
          <w:r>
            <w:rPr>
              <w:rFonts w:ascii="Arial" w:eastAsia="Arial" w:hAnsi="Arial" w:cs="Arial"/>
              <w:spacing w:val="-5"/>
            </w:rPr>
            <w:t>GLP-1</w:t>
          </w:r>
          <w:r>
            <w:rPr>
              <w:rFonts w:ascii="Arial" w:eastAsia="Arial" w:hAnsi="Arial" w:cs="Arial"/>
              <w:spacing w:val="14"/>
              <w:w w:val="101"/>
            </w:rPr>
            <w:t xml:space="preserve"> </w:t>
          </w:r>
          <w:r>
            <w:rPr>
              <w:spacing w:val="-5"/>
            </w:rPr>
            <w:t>药物最大减重比例对比（安慰剂校正）</w:t>
          </w:r>
          <w:r>
            <w:rPr>
              <w:spacing w:val="-5"/>
            </w:rPr>
            <w:t xml:space="preserve"> </w:t>
          </w:r>
          <w:r>
            <w:tab/>
          </w:r>
          <w:hyperlink w:anchor="bookmark88" w:history="1">
            <w:r>
              <w:rPr>
                <w:rFonts w:ascii="Arial" w:eastAsia="Arial" w:hAnsi="Arial" w:cs="Arial"/>
              </w:rPr>
              <w:t>30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7" w:line="215" w:lineRule="auto"/>
            <w:ind w:left="55"/>
            <w:rPr>
              <w:rFonts w:ascii="Arial" w:eastAsia="Arial" w:hAnsi="Arial" w:cs="Arial"/>
            </w:rPr>
          </w:pPr>
          <w:r>
            <w:rPr>
              <w:spacing w:val="-5"/>
            </w:rPr>
            <w:t>图表</w:t>
          </w:r>
          <w:r>
            <w:rPr>
              <w:spacing w:val="-36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46</w:t>
          </w:r>
          <w:r>
            <w:rPr>
              <w:spacing w:val="-5"/>
            </w:rPr>
            <w:t>：</w:t>
          </w:r>
          <w:r>
            <w:rPr>
              <w:rFonts w:ascii="Arial" w:eastAsia="Arial" w:hAnsi="Arial" w:cs="Arial"/>
              <w:spacing w:val="-5"/>
            </w:rPr>
            <w:t>GLP-1</w:t>
          </w:r>
          <w:r>
            <w:rPr>
              <w:rFonts w:ascii="Arial" w:eastAsia="Arial" w:hAnsi="Arial" w:cs="Arial"/>
              <w:spacing w:val="14"/>
            </w:rPr>
            <w:t xml:space="preserve"> </w:t>
          </w:r>
          <w:r>
            <w:rPr>
              <w:spacing w:val="-5"/>
            </w:rPr>
            <w:t>类药物最大减重比例对比（实际）</w:t>
          </w:r>
          <w:r>
            <w:rPr>
              <w:spacing w:val="-5"/>
            </w:rPr>
            <w:t xml:space="preserve"> </w:t>
          </w:r>
          <w:r>
            <w:tab/>
          </w:r>
          <w:hyperlink w:anchor="bookmark89" w:history="1">
            <w:r>
              <w:rPr>
                <w:rFonts w:ascii="Arial" w:eastAsia="Arial" w:hAnsi="Arial" w:cs="Arial"/>
              </w:rPr>
              <w:t>30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8" w:line="221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49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47</w:t>
          </w:r>
          <w:r>
            <w:rPr>
              <w:spacing w:val="-3"/>
            </w:rPr>
            <w:t>：主要</w:t>
          </w:r>
          <w:r>
            <w:rPr>
              <w:spacing w:val="-41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GLP-1</w:t>
          </w:r>
          <w:r>
            <w:rPr>
              <w:rFonts w:ascii="Arial" w:eastAsia="Arial" w:hAnsi="Arial" w:cs="Arial"/>
              <w:spacing w:val="17"/>
            </w:rPr>
            <w:t xml:space="preserve"> </w:t>
          </w:r>
          <w:r>
            <w:rPr>
              <w:spacing w:val="-3"/>
            </w:rPr>
            <w:t>类药物减腰围数据</w:t>
          </w:r>
          <w:r>
            <w:rPr>
              <w:spacing w:val="-4"/>
            </w:rPr>
            <w:t>对比</w:t>
          </w:r>
          <w:r>
            <w:rPr>
              <w:spacing w:val="-62"/>
            </w:rPr>
            <w:t xml:space="preserve"> </w:t>
          </w:r>
          <w:r>
            <w:tab/>
          </w:r>
          <w:hyperlink w:anchor="bookmark90" w:history="1">
            <w:r>
              <w:rPr>
                <w:rFonts w:ascii="Arial" w:eastAsia="Arial" w:hAnsi="Arial" w:cs="Arial"/>
              </w:rPr>
              <w:t>31</w:t>
            </w:r>
          </w:hyperlink>
        </w:p>
      </w:sdtContent>
    </w:sdt>
    <w:p>
      <w:pPr>
        <w:spacing w:line="221" w:lineRule="auto"/>
        <w:rPr>
          <w:rFonts w:ascii="Arial" w:eastAsia="Arial" w:hAnsi="Arial" w:cs="Arial"/>
        </w:rPr>
        <w:sectPr>
          <w:headerReference w:type="default" r:id="rId22"/>
          <w:footerReference w:type="default" r:id="rId23"/>
          <w:type w:val="nextPage"/>
          <w:pgSz w:w="11907" w:h="16839"/>
          <w:pgMar w:top="715" w:right="694" w:bottom="734" w:left="698" w:header="454" w:footer="479" w:gutter="0"/>
          <w:pgNumType w:start="9"/>
          <w:cols w:space="708"/>
          <w:titlePg w:val="0"/>
        </w:sectPr>
      </w:pPr>
    </w:p>
    <w:sdt>
      <w:sdtPr>
        <w:rPr>
          <w:rFonts w:ascii="KaiTi" w:eastAsia="KaiTi" w:hAnsi="KaiTi" w:cs="KaiTi"/>
          <w:sz w:val="21"/>
          <w:szCs w:val="21"/>
        </w:rPr>
        <w:id w:val="426014939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sz w:val="21"/>
          <w:szCs w:val="21"/>
        </w:rPr>
      </w:sdtEndPr>
      <w:sdtContent>
        <w:p>
          <w:pPr>
            <w:pStyle w:val="BodyText"/>
            <w:tabs>
              <w:tab w:val="right" w:leader="dot" w:pos="10481"/>
            </w:tabs>
            <w:spacing w:before="56" w:line="221" w:lineRule="auto"/>
            <w:ind w:left="55"/>
            <w:rPr>
              <w:rFonts w:ascii="Arial" w:eastAsia="Arial" w:hAnsi="Arial" w:cs="Arial"/>
            </w:rPr>
          </w:pPr>
          <w:bookmarkStart w:id="2" w:name="bookmark91"/>
          <w:bookmarkEnd w:id="2"/>
          <w:r>
            <w:rPr>
              <w:spacing w:val="-3"/>
            </w:rPr>
            <w:t>图表</w:t>
          </w:r>
          <w:r>
            <w:rPr>
              <w:spacing w:val="-49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48</w:t>
          </w:r>
          <w:r>
            <w:rPr>
              <w:spacing w:val="-3"/>
            </w:rPr>
            <w:t>：主要</w:t>
          </w:r>
          <w:r>
            <w:rPr>
              <w:spacing w:val="-41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GLP-1</w:t>
          </w:r>
          <w:r>
            <w:rPr>
              <w:rFonts w:ascii="Arial" w:eastAsia="Arial" w:hAnsi="Arial" w:cs="Arial"/>
              <w:spacing w:val="17"/>
            </w:rPr>
            <w:t xml:space="preserve"> </w:t>
          </w:r>
          <w:r>
            <w:rPr>
              <w:spacing w:val="-3"/>
            </w:rPr>
            <w:t>类药物安全性数据</w:t>
          </w:r>
          <w:r>
            <w:rPr>
              <w:spacing w:val="-4"/>
            </w:rPr>
            <w:t>对比</w:t>
          </w:r>
          <w:r>
            <w:rPr>
              <w:spacing w:val="-62"/>
            </w:rPr>
            <w:t xml:space="preserve"> </w:t>
          </w:r>
          <w:r>
            <w:tab/>
          </w:r>
          <w:hyperlink w:anchor="bookmark92" w:history="1">
            <w:r>
              <w:rPr>
                <w:rFonts w:ascii="Arial" w:eastAsia="Arial" w:hAnsi="Arial" w:cs="Arial"/>
              </w:rPr>
              <w:t>31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0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43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49</w:t>
          </w:r>
          <w:r>
            <w:rPr>
              <w:spacing w:val="-3"/>
            </w:rPr>
            <w:t>：国内</w:t>
          </w:r>
          <w:r>
            <w:rPr>
              <w:spacing w:val="-42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GLP-1 </w:t>
          </w:r>
          <w:r>
            <w:rPr>
              <w:spacing w:val="-3"/>
            </w:rPr>
            <w:t>市场规模测算</w:t>
          </w:r>
          <w:r>
            <w:rPr>
              <w:spacing w:val="-85"/>
            </w:rPr>
            <w:t xml:space="preserve"> </w:t>
          </w:r>
          <w:r>
            <w:tab/>
          </w:r>
          <w:hyperlink w:anchor="bookmark93" w:history="1">
            <w:r>
              <w:rPr>
                <w:rFonts w:ascii="Arial" w:eastAsia="Arial" w:hAnsi="Arial" w:cs="Arial"/>
              </w:rPr>
              <w:t>32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3" w:line="217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8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50</w:t>
          </w:r>
          <w:r>
            <w:rPr>
              <w:spacing w:val="-3"/>
            </w:rPr>
            <w:t>：</w:t>
          </w:r>
          <w:r>
            <w:rPr>
              <w:rFonts w:ascii="Arial" w:eastAsia="Arial" w:hAnsi="Arial" w:cs="Arial"/>
              <w:spacing w:val="-3"/>
            </w:rPr>
            <w:t xml:space="preserve">NASH </w:t>
          </w:r>
          <w:r>
            <w:rPr>
              <w:spacing w:val="-3"/>
            </w:rPr>
            <w:t>疾病进展进程图</w:t>
          </w:r>
          <w:r>
            <w:rPr>
              <w:spacing w:val="-88"/>
            </w:rPr>
            <w:t xml:space="preserve"> </w:t>
          </w:r>
          <w:r>
            <w:tab/>
          </w:r>
          <w:hyperlink w:anchor="bookmark94" w:history="1">
            <w:r>
              <w:rPr>
                <w:rFonts w:ascii="Arial" w:eastAsia="Arial" w:hAnsi="Arial" w:cs="Arial"/>
              </w:rPr>
              <w:t>33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42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51</w:t>
          </w:r>
          <w:r>
            <w:rPr>
              <w:spacing w:val="-3"/>
            </w:rPr>
            <w:t>：</w:t>
          </w:r>
          <w:r>
            <w:rPr>
              <w:rFonts w:ascii="Arial" w:eastAsia="Arial" w:hAnsi="Arial" w:cs="Arial"/>
              <w:spacing w:val="-3"/>
            </w:rPr>
            <w:t xml:space="preserve">NASH </w:t>
          </w:r>
          <w:r>
            <w:rPr>
              <w:spacing w:val="-3"/>
            </w:rPr>
            <w:t>潜在治疗机制</w:t>
          </w:r>
          <w:r>
            <w:rPr>
              <w:spacing w:val="-50"/>
            </w:rPr>
            <w:t xml:space="preserve"> </w:t>
          </w:r>
          <w:r>
            <w:tab/>
          </w:r>
          <w:hyperlink w:anchor="bookmark95" w:history="1">
            <w:r>
              <w:rPr>
                <w:rFonts w:ascii="Arial" w:eastAsia="Arial" w:hAnsi="Arial" w:cs="Arial"/>
              </w:rPr>
              <w:t>34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5"/>
            </w:rPr>
            <w:t>图表</w:t>
          </w:r>
          <w:r>
            <w:rPr>
              <w:spacing w:val="-29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52</w:t>
          </w:r>
          <w:r>
            <w:rPr>
              <w:spacing w:val="-5"/>
            </w:rPr>
            <w:t>：全球</w:t>
          </w:r>
          <w:r>
            <w:rPr>
              <w:spacing w:val="-39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NASH</w:t>
          </w:r>
          <w:r>
            <w:rPr>
              <w:rFonts w:ascii="Arial" w:eastAsia="Arial" w:hAnsi="Arial" w:cs="Arial"/>
              <w:spacing w:val="17"/>
              <w:w w:val="101"/>
            </w:rPr>
            <w:t xml:space="preserve"> </w:t>
          </w:r>
          <w:r>
            <w:rPr>
              <w:spacing w:val="-5"/>
            </w:rPr>
            <w:t>患者数及增长率</w:t>
          </w:r>
          <w:r>
            <w:rPr>
              <w:spacing w:val="-43"/>
            </w:rPr>
            <w:t xml:space="preserve"> </w:t>
          </w:r>
          <w:r>
            <w:tab/>
          </w:r>
          <w:hyperlink w:anchor="bookmark96" w:history="1">
            <w:r>
              <w:rPr>
                <w:rFonts w:ascii="Arial" w:eastAsia="Arial" w:hAnsi="Arial" w:cs="Arial"/>
              </w:rPr>
              <w:t>34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5"/>
            </w:rPr>
            <w:t>图表</w:t>
          </w:r>
          <w:r>
            <w:rPr>
              <w:spacing w:val="-30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53</w:t>
          </w:r>
          <w:r>
            <w:rPr>
              <w:spacing w:val="-5"/>
            </w:rPr>
            <w:t>：中国</w:t>
          </w:r>
          <w:r>
            <w:rPr>
              <w:spacing w:val="-38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NASH</w:t>
          </w:r>
          <w:r>
            <w:rPr>
              <w:rFonts w:ascii="Arial" w:eastAsia="Arial" w:hAnsi="Arial" w:cs="Arial"/>
              <w:spacing w:val="17"/>
              <w:w w:val="101"/>
            </w:rPr>
            <w:t xml:space="preserve"> </w:t>
          </w:r>
          <w:r>
            <w:rPr>
              <w:spacing w:val="-5"/>
            </w:rPr>
            <w:t>患者数及增长率</w:t>
          </w:r>
          <w:r>
            <w:rPr>
              <w:spacing w:val="-43"/>
            </w:rPr>
            <w:t xml:space="preserve"> </w:t>
          </w:r>
          <w:r>
            <w:tab/>
          </w:r>
          <w:hyperlink w:anchor="bookmark97" w:history="1">
            <w:r>
              <w:rPr>
                <w:rFonts w:ascii="Arial" w:eastAsia="Arial" w:hAnsi="Arial" w:cs="Arial"/>
              </w:rPr>
              <w:t>34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20" w:lineRule="auto"/>
            <w:ind w:left="55"/>
            <w:rPr>
              <w:rFonts w:ascii="Arial" w:eastAsia="Arial" w:hAnsi="Arial" w:cs="Arial"/>
            </w:rPr>
          </w:pPr>
          <w:r>
            <w:rPr>
              <w:spacing w:val="-5"/>
            </w:rPr>
            <w:t>图表</w:t>
          </w:r>
          <w:r>
            <w:rPr>
              <w:spacing w:val="-33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54</w:t>
          </w:r>
          <w:r>
            <w:rPr>
              <w:spacing w:val="-5"/>
            </w:rPr>
            <w:t>：全球</w:t>
          </w:r>
          <w:r>
            <w:rPr>
              <w:spacing w:val="-40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NASH</w:t>
          </w:r>
          <w:r>
            <w:rPr>
              <w:rFonts w:ascii="Arial" w:eastAsia="Arial" w:hAnsi="Arial" w:cs="Arial"/>
              <w:spacing w:val="16"/>
            </w:rPr>
            <w:t xml:space="preserve"> </w:t>
          </w:r>
          <w:r>
            <w:rPr>
              <w:spacing w:val="-5"/>
            </w:rPr>
            <w:t>药物市场规模</w:t>
          </w:r>
          <w:r>
            <w:rPr>
              <w:spacing w:val="-61"/>
            </w:rPr>
            <w:t xml:space="preserve"> </w:t>
          </w:r>
          <w:r>
            <w:tab/>
          </w:r>
          <w:hyperlink w:anchor="bookmark98" w:history="1">
            <w:r>
              <w:rPr>
                <w:rFonts w:ascii="Arial" w:eastAsia="Arial" w:hAnsi="Arial" w:cs="Arial"/>
              </w:rPr>
              <w:t>35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2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5"/>
            </w:rPr>
            <w:t>图表</w:t>
          </w:r>
          <w:r>
            <w:rPr>
              <w:spacing w:val="-34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55</w:t>
          </w:r>
          <w:r>
            <w:rPr>
              <w:spacing w:val="-5"/>
            </w:rPr>
            <w:t>：中国</w:t>
          </w:r>
          <w:r>
            <w:rPr>
              <w:spacing w:val="-39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NASH</w:t>
          </w:r>
          <w:r>
            <w:rPr>
              <w:rFonts w:ascii="Arial" w:eastAsia="Arial" w:hAnsi="Arial" w:cs="Arial"/>
              <w:spacing w:val="16"/>
            </w:rPr>
            <w:t xml:space="preserve"> </w:t>
          </w:r>
          <w:r>
            <w:rPr>
              <w:spacing w:val="-5"/>
            </w:rPr>
            <w:t>药物市场规模</w:t>
          </w:r>
          <w:r>
            <w:rPr>
              <w:spacing w:val="-61"/>
            </w:rPr>
            <w:t xml:space="preserve"> </w:t>
          </w:r>
          <w:r>
            <w:tab/>
          </w:r>
          <w:hyperlink w:anchor="bookmark99" w:history="1">
            <w:r>
              <w:rPr>
                <w:rFonts w:ascii="Arial" w:eastAsia="Arial" w:hAnsi="Arial" w:cs="Arial"/>
              </w:rPr>
              <w:t>35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21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4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56</w:t>
          </w:r>
          <w:r>
            <w:rPr>
              <w:spacing w:val="-2"/>
            </w:rPr>
            <w:t>：</w:t>
          </w:r>
          <w:r>
            <w:rPr>
              <w:rFonts w:ascii="Arial" w:eastAsia="Arial" w:hAnsi="Arial" w:cs="Arial"/>
              <w:spacing w:val="-2"/>
            </w:rPr>
            <w:t>NASH</w:t>
          </w:r>
          <w:r>
            <w:rPr>
              <w:rFonts w:ascii="Arial" w:eastAsia="Arial" w:hAnsi="Arial" w:cs="Arial"/>
              <w:spacing w:val="15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 xml:space="preserve">Resolution </w:t>
          </w:r>
          <w:r>
            <w:rPr>
              <w:spacing w:val="-3"/>
            </w:rPr>
            <w:t>且纤维化无恶化</w:t>
          </w:r>
          <w:r>
            <w:rPr>
              <w:spacing w:val="-43"/>
            </w:rPr>
            <w:t xml:space="preserve"> </w:t>
          </w:r>
          <w:r>
            <w:tab/>
          </w:r>
          <w:hyperlink w:anchor="bookmark100" w:history="1">
            <w:r>
              <w:rPr>
                <w:rFonts w:ascii="Arial" w:eastAsia="Arial" w:hAnsi="Arial" w:cs="Arial"/>
              </w:rPr>
              <w:t>36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0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6"/>
            </w:rPr>
            <w:t>图表</w:t>
          </w:r>
          <w:r>
            <w:rPr>
              <w:spacing w:val="-27"/>
            </w:rPr>
            <w:t xml:space="preserve"> </w:t>
          </w:r>
          <w:r>
            <w:rPr>
              <w:rFonts w:ascii="Arial" w:eastAsia="Arial" w:hAnsi="Arial" w:cs="Arial"/>
              <w:spacing w:val="-6"/>
            </w:rPr>
            <w:t>57</w:t>
          </w:r>
          <w:r>
            <w:rPr>
              <w:spacing w:val="-6"/>
            </w:rPr>
            <w:t>：纤维化改善、</w:t>
          </w:r>
          <w:r>
            <w:rPr>
              <w:spacing w:val="-24"/>
            </w:rPr>
            <w:t xml:space="preserve"> </w:t>
          </w:r>
          <w:r>
            <w:rPr>
              <w:rFonts w:ascii="Arial" w:eastAsia="Arial" w:hAnsi="Arial" w:cs="Arial"/>
              <w:spacing w:val="-6"/>
            </w:rPr>
            <w:t xml:space="preserve">NASH </w:t>
          </w:r>
          <w:r>
            <w:rPr>
              <w:spacing w:val="-6"/>
            </w:rPr>
            <w:t>组织病理学无恶化</w:t>
          </w:r>
          <w:r>
            <w:rPr>
              <w:spacing w:val="-59"/>
            </w:rPr>
            <w:t xml:space="preserve"> </w:t>
          </w:r>
          <w:r>
            <w:tab/>
          </w:r>
          <w:hyperlink w:anchor="bookmark101" w:history="1">
            <w:r>
              <w:rPr>
                <w:rFonts w:ascii="Arial" w:eastAsia="Arial" w:hAnsi="Arial" w:cs="Arial"/>
              </w:rPr>
              <w:t>36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21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4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58</w:t>
          </w:r>
          <w:r>
            <w:rPr>
              <w:spacing w:val="-2"/>
            </w:rPr>
            <w:t>：</w:t>
          </w:r>
          <w:r>
            <w:rPr>
              <w:rFonts w:ascii="Arial" w:eastAsia="Arial" w:hAnsi="Arial" w:cs="Arial"/>
              <w:spacing w:val="-2"/>
            </w:rPr>
            <w:t>NASH</w:t>
          </w:r>
          <w:r>
            <w:rPr>
              <w:rFonts w:ascii="Arial" w:eastAsia="Arial" w:hAnsi="Arial" w:cs="Arial"/>
              <w:spacing w:val="15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 xml:space="preserve">Resolution </w:t>
          </w:r>
          <w:r>
            <w:rPr>
              <w:spacing w:val="-3"/>
            </w:rPr>
            <w:t>且纤维化无恶化</w:t>
          </w:r>
          <w:r>
            <w:rPr>
              <w:spacing w:val="-43"/>
            </w:rPr>
            <w:t xml:space="preserve"> </w:t>
          </w:r>
          <w:r>
            <w:tab/>
          </w:r>
          <w:hyperlink w:anchor="bookmark102" w:history="1">
            <w:r>
              <w:rPr>
                <w:rFonts w:ascii="Arial" w:eastAsia="Arial" w:hAnsi="Arial" w:cs="Arial"/>
              </w:rPr>
              <w:t>36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0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1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59</w:t>
          </w:r>
          <w:r>
            <w:rPr>
              <w:spacing w:val="-3"/>
            </w:rPr>
            <w:t>：纤维化改善且</w:t>
          </w:r>
          <w:r>
            <w:rPr>
              <w:spacing w:val="-39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NASH </w:t>
          </w:r>
          <w:r>
            <w:rPr>
              <w:spacing w:val="-3"/>
            </w:rPr>
            <w:t>组织病理学无恶化</w:t>
          </w:r>
          <w:r>
            <w:rPr>
              <w:spacing w:val="-54"/>
            </w:rPr>
            <w:t xml:space="preserve"> </w:t>
          </w:r>
          <w:r>
            <w:tab/>
          </w:r>
          <w:hyperlink w:anchor="bookmark103" w:history="1">
            <w:r>
              <w:rPr>
                <w:rFonts w:ascii="Arial" w:eastAsia="Arial" w:hAnsi="Arial" w:cs="Arial"/>
              </w:rPr>
              <w:t>36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3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2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60</w:t>
          </w:r>
          <w:r>
            <w:rPr>
              <w:spacing w:val="-3"/>
            </w:rPr>
            <w:t>：</w:t>
          </w:r>
          <w:r>
            <w:rPr>
              <w:rFonts w:ascii="Arial" w:eastAsia="Arial" w:hAnsi="Arial" w:cs="Arial"/>
              <w:spacing w:val="-3"/>
            </w:rPr>
            <w:t>Efinopegdutide</w:t>
          </w:r>
          <w:r>
            <w:rPr>
              <w:rFonts w:ascii="Arial" w:eastAsia="Arial" w:hAnsi="Arial" w:cs="Arial"/>
              <w:spacing w:val="15"/>
            </w:rPr>
            <w:t xml:space="preserve"> </w:t>
          </w:r>
          <w:r>
            <w:rPr>
              <w:spacing w:val="-3"/>
            </w:rPr>
            <w:t>治疗</w:t>
          </w:r>
          <w:r>
            <w:rPr>
              <w:spacing w:val="-39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NAFLD</w:t>
          </w:r>
          <w:r>
            <w:rPr>
              <w:rFonts w:ascii="Arial" w:eastAsia="Arial" w:hAnsi="Arial" w:cs="Arial"/>
              <w:spacing w:val="20"/>
              <w:w w:val="101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IIa </w:t>
          </w:r>
          <w:r>
            <w:rPr>
              <w:spacing w:val="-3"/>
            </w:rPr>
            <w:t>期临床有效性数据</w:t>
          </w:r>
          <w:r>
            <w:rPr>
              <w:spacing w:val="-84"/>
            </w:rPr>
            <w:t xml:space="preserve"> </w:t>
          </w:r>
          <w:r>
            <w:tab/>
          </w:r>
          <w:hyperlink w:anchor="bookmark104" w:history="1">
            <w:r>
              <w:rPr>
                <w:rFonts w:ascii="Arial" w:eastAsia="Arial" w:hAnsi="Arial" w:cs="Arial"/>
              </w:rPr>
              <w:t>38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70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4"/>
            </w:rPr>
            <w:t>图表</w:t>
          </w:r>
          <w:r>
            <w:rPr>
              <w:spacing w:val="-34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>61</w:t>
          </w:r>
          <w:r>
            <w:rPr>
              <w:spacing w:val="-4"/>
            </w:rPr>
            <w:t>：肝脏脂肪下降比例</w:t>
          </w:r>
          <w:r>
            <w:rPr>
              <w:spacing w:val="-62"/>
            </w:rPr>
            <w:t xml:space="preserve"> </w:t>
          </w:r>
          <w:r>
            <w:tab/>
          </w:r>
          <w:hyperlink w:anchor="bookmark105" w:history="1">
            <w:r>
              <w:rPr>
                <w:rFonts w:ascii="Arial" w:eastAsia="Arial" w:hAnsi="Arial" w:cs="Arial"/>
              </w:rPr>
              <w:t>39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0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62</w:t>
          </w:r>
          <w:r>
            <w:rPr>
              <w:spacing w:val="-3"/>
            </w:rPr>
            <w:t>：</w:t>
          </w:r>
          <w:r>
            <w:rPr>
              <w:rFonts w:ascii="Arial" w:eastAsia="Arial" w:hAnsi="Arial" w:cs="Arial"/>
              <w:spacing w:val="-3"/>
            </w:rPr>
            <w:t xml:space="preserve">FGF21 </w:t>
          </w:r>
          <w:r>
            <w:rPr>
              <w:spacing w:val="-3"/>
            </w:rPr>
            <w:t>联合</w:t>
          </w:r>
          <w:r>
            <w:rPr>
              <w:spacing w:val="-41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GLP-1 </w:t>
          </w:r>
          <w:r>
            <w:rPr>
              <w:spacing w:val="-3"/>
            </w:rPr>
            <w:t>相对</w:t>
          </w:r>
          <w:r>
            <w:rPr>
              <w:spacing w:val="-41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GLP-1 </w:t>
          </w:r>
          <w:r>
            <w:rPr>
              <w:spacing w:val="-3"/>
            </w:rPr>
            <w:t>单药优势</w:t>
          </w:r>
          <w:r>
            <w:rPr>
              <w:spacing w:val="-64"/>
            </w:rPr>
            <w:t xml:space="preserve"> </w:t>
          </w:r>
          <w:r>
            <w:tab/>
          </w:r>
          <w:hyperlink w:anchor="bookmark106" w:history="1">
            <w:r>
              <w:rPr>
                <w:rFonts w:ascii="Arial" w:eastAsia="Arial" w:hAnsi="Arial" w:cs="Arial"/>
              </w:rPr>
              <w:t>39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7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1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63</w:t>
          </w:r>
          <w:r>
            <w:rPr>
              <w:spacing w:val="-2"/>
            </w:rPr>
            <w:t>：</w:t>
          </w:r>
          <w:r>
            <w:rPr>
              <w:rFonts w:ascii="Arial" w:eastAsia="Arial" w:hAnsi="Arial" w:cs="Arial"/>
              <w:spacing w:val="-2"/>
            </w:rPr>
            <w:t xml:space="preserve">12 </w:t>
          </w:r>
          <w:r>
            <w:rPr>
              <w:spacing w:val="-2"/>
            </w:rPr>
            <w:t>周患者肝脏脂肪下降一定水平比例对比</w:t>
          </w:r>
          <w:r>
            <w:rPr>
              <w:spacing w:val="-50"/>
            </w:rPr>
            <w:t xml:space="preserve"> </w:t>
          </w:r>
          <w:r>
            <w:tab/>
          </w:r>
          <w:hyperlink w:anchor="bookmark107" w:history="1">
            <w:r>
              <w:rPr>
                <w:rFonts w:ascii="Arial" w:eastAsia="Arial" w:hAnsi="Arial" w:cs="Arial"/>
              </w:rPr>
              <w:t>40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4"/>
            </w:rPr>
            <w:t>图表</w:t>
          </w:r>
          <w:r>
            <w:rPr>
              <w:spacing w:val="-37"/>
            </w:rPr>
            <w:t xml:space="preserve"> </w:t>
          </w:r>
          <w:r>
            <w:rPr>
              <w:rFonts w:ascii="Arial" w:eastAsia="Arial" w:hAnsi="Arial" w:cs="Arial"/>
              <w:spacing w:val="-4"/>
            </w:rPr>
            <w:t>64</w:t>
          </w:r>
          <w:r>
            <w:rPr>
              <w:spacing w:val="-4"/>
            </w:rPr>
            <w:t>：</w:t>
          </w:r>
          <w:r>
            <w:rPr>
              <w:rFonts w:ascii="Arial" w:eastAsia="Arial" w:hAnsi="Arial" w:cs="Arial"/>
              <w:spacing w:val="-4"/>
            </w:rPr>
            <w:t xml:space="preserve">ATLAS </w:t>
          </w:r>
          <w:r>
            <w:rPr>
              <w:spacing w:val="-4"/>
            </w:rPr>
            <w:t>研究试验结果</w:t>
          </w:r>
          <w:r>
            <w:rPr>
              <w:spacing w:val="-59"/>
            </w:rPr>
            <w:t xml:space="preserve"> </w:t>
          </w:r>
          <w:r>
            <w:tab/>
          </w:r>
          <w:hyperlink w:anchor="bookmark108" w:history="1">
            <w:r>
              <w:rPr>
                <w:rFonts w:ascii="Arial" w:eastAsia="Arial" w:hAnsi="Arial" w:cs="Arial"/>
              </w:rPr>
              <w:t>40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17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28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65</w:t>
          </w:r>
          <w:r>
            <w:rPr>
              <w:spacing w:val="-3"/>
            </w:rPr>
            <w:t>：</w:t>
          </w:r>
          <w:r>
            <w:rPr>
              <w:rFonts w:ascii="Arial" w:eastAsia="Arial" w:hAnsi="Arial" w:cs="Arial"/>
              <w:spacing w:val="-3"/>
            </w:rPr>
            <w:t xml:space="preserve">24 </w:t>
          </w:r>
          <w:r>
            <w:rPr>
              <w:spacing w:val="-3"/>
            </w:rPr>
            <w:t>周患者肝脏脂肪下降水平对比</w:t>
          </w:r>
          <w:r>
            <w:rPr>
              <w:spacing w:val="-74"/>
            </w:rPr>
            <w:t xml:space="preserve"> </w:t>
          </w:r>
          <w:r>
            <w:tab/>
          </w:r>
          <w:hyperlink w:anchor="bookmark109" w:history="1">
            <w:r>
              <w:rPr>
                <w:rFonts w:ascii="Arial" w:eastAsia="Arial" w:hAnsi="Arial" w:cs="Arial"/>
              </w:rPr>
              <w:t>41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5"/>
            </w:rPr>
            <w:t>图表</w:t>
          </w:r>
          <w:r>
            <w:rPr>
              <w:spacing w:val="-31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66</w:t>
          </w:r>
          <w:r>
            <w:rPr>
              <w:spacing w:val="-5"/>
            </w:rPr>
            <w:t>：针对</w:t>
          </w:r>
          <w:r>
            <w:rPr>
              <w:spacing w:val="-38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NASH</w:t>
          </w:r>
          <w:r>
            <w:rPr>
              <w:rFonts w:ascii="Arial" w:eastAsia="Arial" w:hAnsi="Arial" w:cs="Arial"/>
              <w:spacing w:val="14"/>
            </w:rPr>
            <w:t xml:space="preserve"> </w:t>
          </w:r>
          <w:r>
            <w:rPr>
              <w:spacing w:val="-5"/>
            </w:rPr>
            <w:t>的</w:t>
          </w:r>
          <w:r>
            <w:rPr>
              <w:spacing w:val="-41"/>
            </w:rPr>
            <w:t xml:space="preserve"> </w:t>
          </w:r>
          <w:r>
            <w:rPr>
              <w:rFonts w:ascii="Arial" w:eastAsia="Arial" w:hAnsi="Arial" w:cs="Arial"/>
              <w:spacing w:val="-5"/>
            </w:rPr>
            <w:t>GLP-1</w:t>
          </w:r>
          <w:r>
            <w:rPr>
              <w:rFonts w:ascii="Arial" w:eastAsia="Arial" w:hAnsi="Arial" w:cs="Arial"/>
              <w:spacing w:val="14"/>
              <w:w w:val="101"/>
            </w:rPr>
            <w:t xml:space="preserve"> </w:t>
          </w:r>
          <w:r>
            <w:rPr>
              <w:spacing w:val="-5"/>
            </w:rPr>
            <w:t>类药物在研管线</w:t>
          </w:r>
          <w:r>
            <w:rPr>
              <w:spacing w:val="-40"/>
            </w:rPr>
            <w:t xml:space="preserve"> </w:t>
          </w:r>
          <w:r>
            <w:tab/>
          </w:r>
          <w:hyperlink w:anchor="bookmark110" w:history="1">
            <w:r>
              <w:rPr>
                <w:rFonts w:ascii="Arial" w:eastAsia="Arial" w:hAnsi="Arial" w:cs="Arial"/>
              </w:rPr>
              <w:t>41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21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3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67</w:t>
          </w:r>
          <w:r>
            <w:rPr>
              <w:spacing w:val="-2"/>
            </w:rPr>
            <w:t>：</w:t>
          </w:r>
          <w:r>
            <w:rPr>
              <w:rFonts w:ascii="Arial" w:eastAsia="Arial" w:hAnsi="Arial" w:cs="Arial"/>
              <w:spacing w:val="-2"/>
            </w:rPr>
            <w:t>NASH</w:t>
          </w:r>
          <w:r>
            <w:rPr>
              <w:rFonts w:ascii="Arial" w:eastAsia="Arial" w:hAnsi="Arial" w:cs="Arial"/>
              <w:spacing w:val="15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 xml:space="preserve">Resolution </w:t>
          </w:r>
          <w:r>
            <w:rPr>
              <w:spacing w:val="-2"/>
            </w:rPr>
            <w:t>且纤维化无恶化患者比例</w:t>
          </w:r>
          <w:r>
            <w:rPr>
              <w:spacing w:val="-76"/>
            </w:rPr>
            <w:t xml:space="preserve"> </w:t>
          </w:r>
          <w:r>
            <w:tab/>
          </w:r>
          <w:hyperlink w:anchor="bookmark111" w:history="1">
            <w:r>
              <w:rPr>
                <w:rFonts w:ascii="Arial" w:eastAsia="Arial" w:hAnsi="Arial" w:cs="Arial"/>
              </w:rPr>
              <w:t>42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0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4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68</w:t>
          </w:r>
          <w:r>
            <w:rPr>
              <w:spacing w:val="-2"/>
            </w:rPr>
            <w:t>：纤维化改善且</w:t>
          </w:r>
          <w:r>
            <w:rPr>
              <w:spacing w:val="-39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 xml:space="preserve">NASH </w:t>
          </w:r>
          <w:r>
            <w:rPr>
              <w:spacing w:val="-2"/>
            </w:rPr>
            <w:t>组织病理学无恶化患</w:t>
          </w:r>
          <w:r>
            <w:rPr>
              <w:spacing w:val="-3"/>
            </w:rPr>
            <w:t>者比例</w:t>
          </w:r>
          <w:r>
            <w:rPr>
              <w:spacing w:val="-88"/>
            </w:rPr>
            <w:t xml:space="preserve"> </w:t>
          </w:r>
          <w:r>
            <w:tab/>
          </w:r>
          <w:hyperlink w:anchor="bookmark112" w:history="1">
            <w:r>
              <w:rPr>
                <w:rFonts w:ascii="Arial" w:eastAsia="Arial" w:hAnsi="Arial" w:cs="Arial"/>
              </w:rPr>
              <w:t>42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9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69</w:t>
          </w:r>
          <w:r>
            <w:rPr>
              <w:spacing w:val="-3"/>
            </w:rPr>
            <w:t>：司美格鲁肽适应症拓展</w:t>
          </w:r>
          <w:r>
            <w:rPr>
              <w:spacing w:val="-81"/>
            </w:rPr>
            <w:t xml:space="preserve"> </w:t>
          </w:r>
          <w:r>
            <w:tab/>
          </w:r>
          <w:hyperlink w:anchor="bookmark113" w:history="1">
            <w:r>
              <w:rPr>
                <w:rFonts w:ascii="Arial" w:eastAsia="Arial" w:hAnsi="Arial" w:cs="Arial"/>
              </w:rPr>
              <w:t>43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7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43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70</w:t>
          </w:r>
          <w:r>
            <w:rPr>
              <w:spacing w:val="-3"/>
            </w:rPr>
            <w:t>：</w:t>
          </w:r>
          <w:r>
            <w:rPr>
              <w:rFonts w:ascii="Arial" w:eastAsia="Arial" w:hAnsi="Arial" w:cs="Arial"/>
              <w:spacing w:val="-3"/>
            </w:rPr>
            <w:t>GLP-1</w:t>
          </w:r>
          <w:r>
            <w:rPr>
              <w:rFonts w:ascii="Arial" w:eastAsia="Arial" w:hAnsi="Arial" w:cs="Arial"/>
              <w:spacing w:val="14"/>
            </w:rPr>
            <w:t xml:space="preserve"> </w:t>
          </w:r>
          <w:r>
            <w:rPr>
              <w:spacing w:val="-3"/>
            </w:rPr>
            <w:t>药物上下游产业链梳理</w:t>
          </w:r>
          <w:r>
            <w:rPr>
              <w:spacing w:val="-50"/>
            </w:rPr>
            <w:t xml:space="preserve"> </w:t>
          </w:r>
          <w:r>
            <w:tab/>
          </w:r>
          <w:hyperlink w:anchor="bookmark114" w:history="1">
            <w:r>
              <w:rPr>
                <w:rFonts w:ascii="Arial" w:eastAsia="Arial" w:hAnsi="Arial" w:cs="Arial"/>
              </w:rPr>
              <w:t>44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9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71</w:t>
          </w:r>
          <w:r>
            <w:rPr>
              <w:spacing w:val="-3"/>
            </w:rPr>
            <w:t>：华东医药四大业务板块</w:t>
          </w:r>
          <w:r>
            <w:rPr>
              <w:spacing w:val="-81"/>
            </w:rPr>
            <w:t xml:space="preserve"> </w:t>
          </w:r>
          <w:r>
            <w:tab/>
          </w:r>
          <w:hyperlink w:anchor="bookmark115" w:history="1">
            <w:r>
              <w:rPr>
                <w:rFonts w:ascii="Arial" w:eastAsia="Arial" w:hAnsi="Arial" w:cs="Arial"/>
              </w:rPr>
              <w:t>45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7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72</w:t>
          </w:r>
          <w:r>
            <w:rPr>
              <w:spacing w:val="-3"/>
            </w:rPr>
            <w:t>：华东医药创新药研发管线</w:t>
          </w:r>
          <w:r>
            <w:rPr>
              <w:spacing w:val="-59"/>
            </w:rPr>
            <w:t xml:space="preserve"> </w:t>
          </w:r>
          <w:r>
            <w:tab/>
          </w:r>
          <w:hyperlink w:anchor="bookmark116" w:history="1">
            <w:r>
              <w:rPr>
                <w:rFonts w:ascii="Arial" w:eastAsia="Arial" w:hAnsi="Arial" w:cs="Arial"/>
              </w:rPr>
              <w:t>46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1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73</w:t>
          </w:r>
          <w:r>
            <w:rPr>
              <w:spacing w:val="-3"/>
            </w:rPr>
            <w:t>：信达生物抗肿瘤药物研发管线</w:t>
          </w:r>
          <w:r>
            <w:rPr>
              <w:spacing w:val="-76"/>
            </w:rPr>
            <w:t xml:space="preserve"> </w:t>
          </w:r>
          <w:r>
            <w:tab/>
          </w:r>
          <w:hyperlink w:anchor="bookmark117" w:history="1">
            <w:r>
              <w:rPr>
                <w:rFonts w:ascii="Arial" w:eastAsia="Arial" w:hAnsi="Arial" w:cs="Arial"/>
              </w:rPr>
              <w:t>47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7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1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74</w:t>
          </w:r>
          <w:r>
            <w:rPr>
              <w:spacing w:val="-3"/>
            </w:rPr>
            <w:t>：信达生物非肿瘤药物研发管线</w:t>
          </w:r>
          <w:r>
            <w:rPr>
              <w:spacing w:val="-76"/>
            </w:rPr>
            <w:t xml:space="preserve"> </w:t>
          </w:r>
          <w:r>
            <w:tab/>
          </w:r>
          <w:hyperlink w:anchor="bookmark118" w:history="1">
            <w:r>
              <w:rPr>
                <w:rFonts w:ascii="Arial" w:eastAsia="Arial" w:hAnsi="Arial" w:cs="Arial"/>
              </w:rPr>
              <w:t>47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7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75</w:t>
          </w:r>
          <w:r>
            <w:rPr>
              <w:spacing w:val="-3"/>
            </w:rPr>
            <w:t>：翰森制药创新药研发管线</w:t>
          </w:r>
          <w:r>
            <w:rPr>
              <w:spacing w:val="-59"/>
            </w:rPr>
            <w:t xml:space="preserve"> </w:t>
          </w:r>
          <w:r>
            <w:tab/>
          </w:r>
          <w:hyperlink w:anchor="bookmark119" w:history="1">
            <w:r>
              <w:rPr>
                <w:rFonts w:ascii="Arial" w:eastAsia="Arial" w:hAnsi="Arial" w:cs="Arial"/>
              </w:rPr>
              <w:t>48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6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3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76</w:t>
          </w:r>
          <w:r>
            <w:rPr>
              <w:spacing w:val="-3"/>
            </w:rPr>
            <w:t>：中国糖尿病患者数及发病率</w:t>
          </w:r>
          <w:r>
            <w:rPr>
              <w:spacing w:val="-40"/>
            </w:rPr>
            <w:t xml:space="preserve"> </w:t>
          </w:r>
          <w:r>
            <w:tab/>
          </w:r>
          <w:hyperlink w:anchor="bookmark120" w:history="1">
            <w:r>
              <w:rPr>
                <w:rFonts w:ascii="Arial" w:eastAsia="Arial" w:hAnsi="Arial" w:cs="Arial"/>
              </w:rPr>
              <w:t>50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7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2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77</w:t>
          </w:r>
          <w:r>
            <w:rPr>
              <w:spacing w:val="-2"/>
            </w:rPr>
            <w:t>：糖尿病患者预期寿命短、生活质量差</w:t>
          </w:r>
          <w:r>
            <w:rPr>
              <w:spacing w:val="-73"/>
            </w:rPr>
            <w:t xml:space="preserve"> </w:t>
          </w:r>
          <w:r>
            <w:tab/>
          </w:r>
          <w:hyperlink w:anchor="bookmark121" w:history="1">
            <w:r>
              <w:rPr>
                <w:rFonts w:ascii="Arial" w:eastAsia="Arial" w:hAnsi="Arial" w:cs="Arial"/>
              </w:rPr>
              <w:t>50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5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37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78</w:t>
          </w:r>
          <w:r>
            <w:rPr>
              <w:spacing w:val="-3"/>
            </w:rPr>
            <w:t>：中国糖尿病药物市场规模</w:t>
          </w:r>
          <w:r>
            <w:rPr>
              <w:spacing w:val="-59"/>
            </w:rPr>
            <w:t xml:space="preserve"> </w:t>
          </w:r>
          <w:r>
            <w:tab/>
          </w:r>
          <w:hyperlink w:anchor="bookmark122" w:history="1">
            <w:r>
              <w:rPr>
                <w:rFonts w:ascii="Arial" w:eastAsia="Arial" w:hAnsi="Arial" w:cs="Arial"/>
              </w:rPr>
              <w:t>50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3"/>
            </w:rPr>
            <w:t>图表</w:t>
          </w:r>
          <w:r>
            <w:rPr>
              <w:spacing w:val="-27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>79</w:t>
          </w:r>
          <w:r>
            <w:rPr>
              <w:spacing w:val="-3"/>
            </w:rPr>
            <w:t>：指南推荐</w:t>
          </w:r>
          <w:r>
            <w:rPr>
              <w:spacing w:val="-49"/>
            </w:rPr>
            <w:t xml:space="preserve"> </w:t>
          </w:r>
          <w:r>
            <w:rPr>
              <w:rFonts w:ascii="Arial" w:eastAsia="Arial" w:hAnsi="Arial" w:cs="Arial"/>
              <w:spacing w:val="-3"/>
            </w:rPr>
            <w:t xml:space="preserve">2 </w:t>
          </w:r>
          <w:r>
            <w:rPr>
              <w:spacing w:val="-3"/>
            </w:rPr>
            <w:t>型糖尿病治疗要点及路径</w:t>
          </w:r>
          <w:r>
            <w:rPr>
              <w:spacing w:val="-86"/>
            </w:rPr>
            <w:t xml:space="preserve"> </w:t>
          </w:r>
          <w:r>
            <w:tab/>
          </w:r>
          <w:hyperlink w:anchor="bookmark123" w:history="1">
            <w:r>
              <w:rPr>
                <w:rFonts w:ascii="Arial" w:eastAsia="Arial" w:hAnsi="Arial" w:cs="Arial"/>
              </w:rPr>
              <w:t>51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8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3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80</w:t>
          </w:r>
          <w:r>
            <w:rPr>
              <w:spacing w:val="-2"/>
            </w:rPr>
            <w:t>：</w:t>
          </w:r>
          <w:r>
            <w:rPr>
              <w:rFonts w:ascii="Arial" w:eastAsia="Arial" w:hAnsi="Arial" w:cs="Arial"/>
              <w:spacing w:val="-2"/>
            </w:rPr>
            <w:t xml:space="preserve">2022 </w:t>
          </w:r>
          <w:r>
            <w:rPr>
              <w:spacing w:val="-2"/>
            </w:rPr>
            <w:t>年部分发达国家糖尿病用药结构</w:t>
          </w:r>
          <w:r>
            <w:rPr>
              <w:spacing w:val="-57"/>
            </w:rPr>
            <w:t xml:space="preserve"> </w:t>
          </w:r>
          <w:r>
            <w:tab/>
          </w:r>
          <w:hyperlink w:anchor="bookmark124" w:history="1">
            <w:r>
              <w:rPr>
                <w:rFonts w:ascii="Arial" w:eastAsia="Arial" w:hAnsi="Arial" w:cs="Arial"/>
              </w:rPr>
              <w:t>51</w:t>
            </w:r>
          </w:hyperlink>
        </w:p>
        <w:p>
          <w:pPr>
            <w:pStyle w:val="BodyText"/>
            <w:tabs>
              <w:tab w:val="right" w:leader="dot" w:pos="10481"/>
            </w:tabs>
            <w:spacing w:before="64" w:line="216" w:lineRule="auto"/>
            <w:ind w:left="55"/>
            <w:rPr>
              <w:rFonts w:ascii="Arial" w:eastAsia="Arial" w:hAnsi="Arial" w:cs="Arial"/>
            </w:rPr>
          </w:pPr>
          <w:r>
            <w:rPr>
              <w:spacing w:val="-2"/>
            </w:rPr>
            <w:t>图表</w:t>
          </w:r>
          <w:r>
            <w:rPr>
              <w:spacing w:val="-43"/>
            </w:rPr>
            <w:t xml:space="preserve"> </w:t>
          </w:r>
          <w:r>
            <w:rPr>
              <w:rFonts w:ascii="Arial" w:eastAsia="Arial" w:hAnsi="Arial" w:cs="Arial"/>
              <w:spacing w:val="-2"/>
            </w:rPr>
            <w:t>81</w:t>
          </w:r>
          <w:r>
            <w:rPr>
              <w:spacing w:val="-2"/>
            </w:rPr>
            <w:t>：</w:t>
          </w:r>
          <w:r>
            <w:rPr>
              <w:rFonts w:ascii="Arial" w:eastAsia="Arial" w:hAnsi="Arial" w:cs="Arial"/>
              <w:spacing w:val="-2"/>
            </w:rPr>
            <w:t xml:space="preserve">2022 </w:t>
          </w:r>
          <w:r>
            <w:rPr>
              <w:spacing w:val="-2"/>
            </w:rPr>
            <w:t>年国内样本医院糖尿病用药结构</w:t>
          </w:r>
          <w:r>
            <w:rPr>
              <w:spacing w:val="-57"/>
            </w:rPr>
            <w:t xml:space="preserve"> </w:t>
          </w:r>
          <w:r>
            <w:tab/>
          </w:r>
          <w:hyperlink w:anchor="bookmark125" w:history="1">
            <w:r>
              <w:rPr>
                <w:rFonts w:ascii="Arial" w:eastAsia="Arial" w:hAnsi="Arial" w:cs="Arial"/>
              </w:rPr>
              <w:t>51</w:t>
            </w:r>
          </w:hyperlink>
        </w:p>
      </w:sdtContent>
    </w:sdt>
    <w:p>
      <w:pPr>
        <w:spacing w:line="216" w:lineRule="auto"/>
        <w:rPr>
          <w:rFonts w:ascii="Arial" w:eastAsia="Arial" w:hAnsi="Arial" w:cs="Arial"/>
        </w:rPr>
        <w:sectPr>
          <w:headerReference w:type="default" r:id="rId24"/>
          <w:footerReference w:type="default" r:id="rId25"/>
          <w:pgSz w:w="11907" w:h="16839"/>
          <w:pgMar w:top="715" w:right="694" w:bottom="734" w:left="698" w:header="454" w:footer="479" w:gutter="0"/>
          <w:pgNumType w:start="10"/>
          <w:cols w:space="708"/>
        </w:sectPr>
      </w:pPr>
    </w:p>
    <w:p>
      <w:pPr>
        <w:pStyle w:val="BodyText"/>
        <w:spacing w:before="337" w:line="625" w:lineRule="exact"/>
        <w:ind w:left="50"/>
        <w:rPr>
          <w:sz w:val="43"/>
          <w:szCs w:val="43"/>
        </w:rPr>
      </w:pPr>
      <w:r>
        <w:pict>
          <v:rect id="_x0000_s1033" style="width:247.5pt;height:0.5pt;margin-top:300.29pt;margin-left:39.36pt;mso-position-horizontal-relative:page;mso-position-vertical-relative:page;position:absolute;z-index:251668480" o:allowincell="f" filled="t" fillcolor="black" stroked="f"/>
        </w:pict>
      </w:r>
      <w:r>
        <w:pict>
          <v:rect id="_x0000_s1034" style="width:247.5pt;height:0.5pt;margin-top:503.71pt;margin-left:39.36pt;mso-position-horizontal-relative:page;mso-position-vertical-relative:page;position:absolute;z-index:251667456" o:allowincell="f" filled="t" fillcolor="black" stroked="f"/>
        </w:pict>
      </w:r>
      <w:r>
        <w:drawing>
          <wp:anchor distT="0" distB="0" distL="0" distR="0" simplePos="0" relativeHeight="251666432" behindDoc="1" locked="0" layoutInCell="0" allowOverlap="1">
            <wp:simplePos x="0" y="0"/>
            <wp:positionH relativeFrom="page">
              <wp:posOffset>3936364</wp:posOffset>
            </wp:positionH>
            <wp:positionV relativeFrom="page">
              <wp:posOffset>3870833</wp:posOffset>
            </wp:positionV>
            <wp:extent cx="3082036" cy="2466975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82036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bookmark126"/>
      <w:bookmarkEnd w:id="3"/>
      <w:bookmarkStart w:id="4" w:name="bookmark2"/>
      <w:bookmarkEnd w:id="4"/>
      <w:bookmarkStart w:id="5" w:name="bookmark3"/>
      <w:bookmarkEnd w:id="5"/>
      <w:bookmarkStart w:id="6" w:name="bookmark4"/>
      <w:bookmarkEnd w:id="6"/>
      <w:r>
        <w:rPr>
          <w:color w:val="CA2420"/>
          <w:spacing w:val="-11"/>
          <w:position w:val="13"/>
          <w:sz w:val="43"/>
          <w:szCs w:val="43"/>
          <w14:textOutline w14:w="7968">
            <w14:solidFill>
              <w14:srgbClr w14:val="CA2420"/>
            </w14:solidFill>
            <w14:prstDash w14:val="solid"/>
            <w14:miter w14:lim="10"/>
          </w14:textOutline>
        </w:rPr>
        <w:t>减肥药市场潜力巨大，</w:t>
      </w:r>
      <w:r>
        <w:rPr>
          <w:color w:val="CA2420"/>
          <w:spacing w:val="133"/>
          <w:position w:val="13"/>
          <w:sz w:val="43"/>
          <w:szCs w:val="43"/>
        </w:rPr>
        <w:t xml:space="preserve"> </w:t>
      </w:r>
      <w:r>
        <w:rPr>
          <w:rFonts w:ascii="Arial" w:eastAsia="Arial" w:hAnsi="Arial" w:cs="Arial"/>
          <w:b/>
          <w:bCs/>
          <w:color w:val="CA2420"/>
          <w:spacing w:val="-11"/>
          <w:position w:val="13"/>
          <w:sz w:val="43"/>
          <w:szCs w:val="43"/>
        </w:rPr>
        <w:t xml:space="preserve">GLP-1 </w:t>
      </w:r>
      <w:r>
        <w:rPr>
          <w:color w:val="CA2420"/>
          <w:spacing w:val="-11"/>
          <w:position w:val="13"/>
          <w:sz w:val="43"/>
          <w:szCs w:val="43"/>
          <w14:textOutline w14:w="7968">
            <w14:solidFill>
              <w14:srgbClr w14:val="CA2420"/>
            </w14:solidFill>
            <w14:prstDash w14:val="solid"/>
            <w14:miter w14:lim="10"/>
          </w14:textOutline>
        </w:rPr>
        <w:t>展现多</w:t>
      </w:r>
    </w:p>
    <w:p>
      <w:pPr>
        <w:pStyle w:val="BodyText"/>
        <w:spacing w:before="1" w:line="223" w:lineRule="auto"/>
        <w:ind w:left="50"/>
        <w:rPr>
          <w:sz w:val="43"/>
          <w:szCs w:val="43"/>
        </w:rPr>
      </w:pPr>
      <w:r>
        <w:rPr>
          <w:color w:val="CA2420"/>
          <w:spacing w:val="5"/>
          <w:sz w:val="43"/>
          <w:szCs w:val="43"/>
          <w14:textOutline w14:w="7968">
            <w14:solidFill>
              <w14:srgbClr w14:val="CA2420"/>
            </w14:solidFill>
            <w14:prstDash w14:val="solid"/>
            <w14:miter w14:lim="10"/>
          </w14:textOutline>
        </w:rPr>
        <w:t>重临床优势</w:t>
      </w:r>
    </w:p>
    <w:p>
      <w:pPr>
        <w:pStyle w:val="BodyText"/>
        <w:spacing w:before="295" w:line="218" w:lineRule="auto"/>
        <w:ind w:left="42"/>
        <w:rPr>
          <w:sz w:val="31"/>
          <w:szCs w:val="31"/>
        </w:rPr>
      </w:pPr>
      <w:r>
        <w:rPr>
          <w:color w:val="CA2420"/>
          <w:spacing w:val="2"/>
          <w:sz w:val="31"/>
          <w:szCs w:val="31"/>
          <w14:textOutline w14:w="5791">
            <w14:solidFill>
              <w14:srgbClr w14:val="CA2420"/>
            </w14:solidFill>
            <w14:prstDash w14:val="solid"/>
            <w14:miter w14:lim="10"/>
          </w14:textOutline>
        </w:rPr>
        <w:t>减肥药市场存在较大未满足需求，</w:t>
      </w:r>
      <w:r>
        <w:rPr>
          <w:color w:val="CA2420"/>
          <w:spacing w:val="2"/>
          <w:sz w:val="31"/>
          <w:szCs w:val="31"/>
        </w:rPr>
        <w:t xml:space="preserve"> </w:t>
      </w:r>
      <w:r>
        <w:rPr>
          <w:color w:val="CA2420"/>
          <w:spacing w:val="2"/>
          <w:sz w:val="31"/>
          <w:szCs w:val="31"/>
          <w14:textOutline w14:w="5791">
            <w14:solidFill>
              <w14:srgbClr w14:val="CA2420"/>
            </w14:solidFill>
            <w14:prstDash w14:val="solid"/>
            <w14:miter w14:lim="10"/>
          </w14:textOutline>
        </w:rPr>
        <w:t>市场前景广阔</w:t>
      </w:r>
    </w:p>
    <w:p>
      <w:pPr>
        <w:pStyle w:val="BodyText"/>
        <w:spacing w:before="214" w:line="343" w:lineRule="exact"/>
        <w:ind w:left="445"/>
      </w:pPr>
      <w:r>
        <w:rPr>
          <w:spacing w:val="-6"/>
          <w:position w:val="1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肥胖：</w:t>
      </w:r>
      <w:r>
        <w:rPr>
          <w:spacing w:val="-6"/>
          <w:position w:val="10"/>
        </w:rPr>
        <w:t xml:space="preserve"> </w:t>
      </w:r>
      <w:r>
        <w:rPr>
          <w:spacing w:val="-6"/>
          <w:position w:val="1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已成为日益严重的公共问题。</w:t>
      </w:r>
      <w:r>
        <w:rPr>
          <w:spacing w:val="-6"/>
          <w:position w:val="10"/>
        </w:rPr>
        <w:t>根据信达生物官网资料</w:t>
      </w:r>
      <w:r>
        <w:rPr>
          <w:spacing w:val="-29"/>
          <w:position w:val="10"/>
        </w:rPr>
        <w:t>，（</w:t>
      </w:r>
      <w:r>
        <w:rPr>
          <w:rFonts w:ascii="Arial" w:eastAsia="Arial" w:hAnsi="Arial" w:cs="Arial"/>
          <w:spacing w:val="-6"/>
          <w:position w:val="10"/>
        </w:rPr>
        <w:t>1</w:t>
      </w:r>
      <w:r>
        <w:rPr>
          <w:spacing w:val="-6"/>
          <w:position w:val="10"/>
        </w:rPr>
        <w:t>）目前中国</w:t>
      </w:r>
    </w:p>
    <w:p>
      <w:pPr>
        <w:pStyle w:val="BodyText"/>
        <w:spacing w:line="213" w:lineRule="auto"/>
        <w:ind w:left="30"/>
      </w:pPr>
      <w:r>
        <w:rPr>
          <w:spacing w:val="-4"/>
        </w:rPr>
        <w:t>有约</w:t>
      </w:r>
      <w:r>
        <w:rPr>
          <w:spacing w:val="-21"/>
        </w:rPr>
        <w:t xml:space="preserve"> </w:t>
      </w:r>
      <w:r>
        <w:rPr>
          <w:rFonts w:ascii="Arial" w:eastAsia="Arial" w:hAnsi="Arial" w:cs="Arial"/>
          <w:spacing w:val="-4"/>
        </w:rPr>
        <w:t xml:space="preserve">5 </w:t>
      </w:r>
      <w:r>
        <w:rPr>
          <w:spacing w:val="-4"/>
        </w:rPr>
        <w:t>亿超重或肥胖（</w:t>
      </w:r>
      <w:r>
        <w:rPr>
          <w:rFonts w:ascii="Arial" w:eastAsia="Arial" w:hAnsi="Arial" w:cs="Arial"/>
          <w:spacing w:val="-4"/>
        </w:rPr>
        <w:t>BMI</w:t>
      </w:r>
      <w:r>
        <w:rPr>
          <w:spacing w:val="-4"/>
        </w:rPr>
        <w:t>≥</w:t>
      </w:r>
      <w:r>
        <w:rPr>
          <w:rFonts w:ascii="Arial" w:eastAsia="Arial" w:hAnsi="Arial" w:cs="Arial"/>
          <w:spacing w:val="-4"/>
        </w:rPr>
        <w:t>24kg/m²</w:t>
      </w:r>
      <w:r>
        <w:rPr>
          <w:spacing w:val="-4"/>
        </w:rPr>
        <w:t>)</w:t>
      </w:r>
      <w:r>
        <w:rPr>
          <w:spacing w:val="43"/>
        </w:rPr>
        <w:t xml:space="preserve"> </w:t>
      </w:r>
      <w:r>
        <w:rPr>
          <w:spacing w:val="-4"/>
        </w:rPr>
        <w:t>的成年人，</w:t>
      </w:r>
      <w:r>
        <w:rPr>
          <w:spacing w:val="-4"/>
        </w:rPr>
        <w:t xml:space="preserve"> </w:t>
      </w:r>
      <w:r>
        <w:rPr>
          <w:spacing w:val="-4"/>
        </w:rPr>
        <w:t>全球排名第一，超重</w:t>
      </w:r>
      <w:r>
        <w:rPr>
          <w:rFonts w:ascii="Arial" w:eastAsia="Arial" w:hAnsi="Arial" w:cs="Arial"/>
          <w:spacing w:val="-4"/>
        </w:rPr>
        <w:t>/</w:t>
      </w:r>
      <w:r>
        <w:rPr>
          <w:spacing w:val="-4"/>
        </w:rPr>
        <w:t>肥胖比</w:t>
      </w:r>
    </w:p>
    <w:p>
      <w:pPr>
        <w:pStyle w:val="BodyText"/>
        <w:spacing w:before="101" w:line="213" w:lineRule="auto"/>
        <w:ind w:left="24"/>
      </w:pPr>
      <w:r>
        <w:rPr>
          <w:spacing w:val="-2"/>
        </w:rPr>
        <w:t>例超过</w:t>
      </w:r>
      <w:r>
        <w:rPr>
          <w:spacing w:val="-46"/>
        </w:rPr>
        <w:t xml:space="preserve"> </w:t>
      </w:r>
      <w:r>
        <w:rPr>
          <w:rFonts w:ascii="Arial" w:eastAsia="Arial" w:hAnsi="Arial" w:cs="Arial"/>
          <w:spacing w:val="-2"/>
        </w:rPr>
        <w:t>50%</w:t>
      </w:r>
      <w:r>
        <w:rPr>
          <w:spacing w:val="-2"/>
        </w:rPr>
        <w:t>，并且预计在</w:t>
      </w:r>
      <w:r>
        <w:rPr>
          <w:spacing w:val="-49"/>
        </w:rPr>
        <w:t xml:space="preserve"> </w:t>
      </w:r>
      <w:r>
        <w:rPr>
          <w:rFonts w:ascii="Arial" w:eastAsia="Arial" w:hAnsi="Arial" w:cs="Arial"/>
          <w:spacing w:val="-2"/>
        </w:rPr>
        <w:t xml:space="preserve">2023 </w:t>
      </w:r>
      <w:r>
        <w:rPr>
          <w:spacing w:val="-2"/>
        </w:rPr>
        <w:t>年达到</w:t>
      </w:r>
      <w:r>
        <w:rPr>
          <w:spacing w:val="-44"/>
        </w:rPr>
        <w:t xml:space="preserve"> </w:t>
      </w:r>
      <w:r>
        <w:rPr>
          <w:rFonts w:ascii="Arial" w:eastAsia="Arial" w:hAnsi="Arial" w:cs="Arial"/>
          <w:spacing w:val="-2"/>
        </w:rPr>
        <w:t>65%</w:t>
      </w:r>
      <w:r>
        <w:rPr>
          <w:spacing w:val="-53"/>
          <w:w w:val="90"/>
        </w:rPr>
        <w:t>；（</w:t>
      </w:r>
      <w:r>
        <w:rPr>
          <w:rFonts w:ascii="Arial" w:eastAsia="Arial" w:hAnsi="Arial" w:cs="Arial"/>
          <w:spacing w:val="-2"/>
        </w:rPr>
        <w:t>2</w:t>
      </w:r>
      <w:r>
        <w:rPr>
          <w:spacing w:val="-2"/>
        </w:rPr>
        <w:t>）肥胖会显著提高多种并发症风</w:t>
      </w:r>
    </w:p>
    <w:p>
      <w:pPr>
        <w:pStyle w:val="BodyText"/>
        <w:spacing w:before="100" w:line="213" w:lineRule="auto"/>
        <w:ind w:left="44"/>
      </w:pPr>
      <w:r>
        <w:rPr>
          <w:spacing w:val="-8"/>
        </w:rPr>
        <w:t>险，包含超过</w:t>
      </w:r>
      <w:r>
        <w:rPr>
          <w:spacing w:val="-48"/>
        </w:rPr>
        <w:t xml:space="preserve"> </w:t>
      </w:r>
      <w:r>
        <w:rPr>
          <w:rFonts w:ascii="Arial" w:eastAsia="Arial" w:hAnsi="Arial" w:cs="Arial"/>
          <w:spacing w:val="-8"/>
        </w:rPr>
        <w:t xml:space="preserve">200 </w:t>
      </w:r>
      <w:r>
        <w:rPr>
          <w:spacing w:val="-8"/>
        </w:rPr>
        <w:t>种慢性疾病，可大致分为代谢性、机械性和精神性三大类</w:t>
      </w:r>
      <w:r>
        <w:rPr>
          <w:spacing w:val="-56"/>
          <w:w w:val="95"/>
        </w:rPr>
        <w:t>；（</w:t>
      </w:r>
      <w:r>
        <w:rPr>
          <w:rFonts w:ascii="Arial" w:eastAsia="Arial" w:hAnsi="Arial" w:cs="Arial"/>
          <w:spacing w:val="-8"/>
        </w:rPr>
        <w:t>3</w:t>
      </w:r>
      <w:r>
        <w:rPr>
          <w:spacing w:val="-8"/>
        </w:rPr>
        <w:t>）</w:t>
      </w:r>
    </w:p>
    <w:p>
      <w:pPr>
        <w:pStyle w:val="BodyText"/>
        <w:spacing w:before="100" w:line="216" w:lineRule="auto"/>
        <w:ind w:left="22"/>
      </w:pPr>
      <w:r>
        <w:rPr>
          <w:spacing w:val="-1"/>
        </w:rPr>
        <w:t>超重和肥胖导致的死亡占慢性非传染性疾病相关死亡比例达</w:t>
      </w:r>
      <w:r>
        <w:rPr>
          <w:spacing w:val="-27"/>
        </w:rPr>
        <w:t xml:space="preserve"> </w:t>
      </w:r>
      <w:r>
        <w:rPr>
          <w:rFonts w:ascii="Arial" w:eastAsia="Arial" w:hAnsi="Arial" w:cs="Arial"/>
          <w:spacing w:val="-2"/>
        </w:rPr>
        <w:t>11.1%</w:t>
      </w:r>
      <w:r>
        <w:rPr>
          <w:spacing w:val="-52"/>
          <w:w w:val="88"/>
        </w:rPr>
        <w:t>；（</w:t>
      </w:r>
      <w:r>
        <w:rPr>
          <w:rFonts w:ascii="Arial" w:eastAsia="Arial" w:hAnsi="Arial" w:cs="Arial"/>
          <w:spacing w:val="-2"/>
        </w:rPr>
        <w:t>4</w:t>
      </w:r>
      <w:r>
        <w:rPr>
          <w:spacing w:val="-2"/>
        </w:rPr>
        <w:t>）肥胖作</w:t>
      </w:r>
    </w:p>
    <w:p>
      <w:pPr>
        <w:pStyle w:val="BodyText"/>
        <w:spacing w:before="98" w:line="213" w:lineRule="auto"/>
        <w:ind w:left="38"/>
      </w:pPr>
      <w:r>
        <w:rPr>
          <w:spacing w:val="-1"/>
        </w:rPr>
        <w:t>为一种复杂的慢性疾病需要长期治疗管理，预计</w:t>
      </w:r>
      <w:r>
        <w:rPr>
          <w:spacing w:val="-28"/>
        </w:rPr>
        <w:t xml:space="preserve"> </w:t>
      </w:r>
      <w:r>
        <w:rPr>
          <w:rFonts w:ascii="Arial" w:eastAsia="Arial" w:hAnsi="Arial" w:cs="Arial"/>
          <w:spacing w:val="-1"/>
        </w:rPr>
        <w:t>2030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spacing w:val="-1"/>
        </w:rPr>
        <w:t>年中国超重及肥胖相关的</w:t>
      </w:r>
    </w:p>
    <w:p>
      <w:pPr>
        <w:pStyle w:val="BodyText"/>
        <w:spacing w:before="100" w:line="218" w:lineRule="auto"/>
        <w:ind w:left="57"/>
      </w:pPr>
      <w:r>
        <w:rPr>
          <w:spacing w:val="-4"/>
        </w:rPr>
        <w:t>医疗费用将达</w:t>
      </w:r>
      <w:r>
        <w:rPr>
          <w:spacing w:val="-47"/>
        </w:rPr>
        <w:t xml:space="preserve"> </w:t>
      </w:r>
      <w:r>
        <w:rPr>
          <w:rFonts w:ascii="Arial" w:eastAsia="Arial" w:hAnsi="Arial" w:cs="Arial"/>
          <w:spacing w:val="-4"/>
        </w:rPr>
        <w:t xml:space="preserve">4000 </w:t>
      </w:r>
      <w:r>
        <w:rPr>
          <w:spacing w:val="-4"/>
        </w:rPr>
        <w:t>亿人民币。</w:t>
      </w:r>
    </w:p>
    <w:p>
      <w:pPr>
        <w:spacing w:before="62"/>
      </w:pPr>
    </w:p>
    <w:p>
      <w:pPr>
        <w:sectPr>
          <w:headerReference w:type="default" r:id="rId27"/>
          <w:footerReference w:type="default" r:id="rId28"/>
          <w:pgSz w:w="11907" w:h="16839"/>
          <w:pgMar w:top="715" w:right="694" w:bottom="734" w:left="698" w:header="454" w:footer="479" w:gutter="0"/>
          <w:pgNumType w:start="11"/>
          <w:cols w:num="1" w:space="708" w:equalWidth="0">
            <w:col w:w="10515" w:space="0"/>
          </w:cols>
        </w:sectPr>
      </w:pPr>
    </w:p>
    <w:p>
      <w:pPr>
        <w:pStyle w:val="BodyText"/>
        <w:spacing w:before="42" w:line="216" w:lineRule="auto"/>
        <w:ind w:left="151"/>
      </w:pP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图表</w:t>
      </w:r>
      <w:r>
        <w:rPr>
          <w:spacing w:val="-35"/>
        </w:rPr>
        <w:t xml:space="preserve"> </w:t>
      </w:r>
      <w:r>
        <w:rPr>
          <w:rFonts w:ascii="Arial" w:eastAsia="Arial" w:hAnsi="Arial" w:cs="Arial"/>
          <w:b/>
          <w:bCs/>
          <w:spacing w:val="-4"/>
        </w:rPr>
        <w:t>1</w:t>
      </w: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：中国肥胖人群数量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spacing w:before="1" w:line="2411" w:lineRule="exact"/>
        <w:ind w:firstLine="117"/>
      </w:pPr>
      <w:r>
        <w:rPr>
          <w:position w:val="-48"/>
        </w:rPr>
        <w:drawing>
          <wp:inline distT="0" distB="0" distL="0" distR="0">
            <wp:extent cx="3106419" cy="1530985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06419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49" w:line="231" w:lineRule="auto"/>
        <w:ind w:left="122" w:right="360" w:firstLine="7"/>
        <w:rPr>
          <w:sz w:val="15"/>
          <w:szCs w:val="15"/>
        </w:rPr>
      </w:pPr>
      <w:r>
        <w:rPr>
          <w:spacing w:val="-2"/>
          <w:sz w:val="15"/>
          <w:szCs w:val="15"/>
        </w:rPr>
        <w:t>资料来源：信达生物官网《信达生物临床数据发布</w:t>
      </w:r>
      <w:r>
        <w:rPr>
          <w:spacing w:val="-2"/>
          <w:sz w:val="15"/>
          <w:szCs w:val="15"/>
        </w:rPr>
        <w:t xml:space="preserve"> </w:t>
      </w:r>
      <w:r>
        <w:rPr>
          <w:spacing w:val="-2"/>
          <w:sz w:val="15"/>
          <w:szCs w:val="15"/>
        </w:rPr>
        <w:t>玛仕度肽</w:t>
      </w:r>
      <w:r>
        <w:rPr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spacing w:val="-2"/>
          <w:sz w:val="15"/>
          <w:szCs w:val="15"/>
        </w:rPr>
        <w:t>(IBI36</w:t>
      </w:r>
      <w:r>
        <w:rPr>
          <w:rFonts w:ascii="Arial" w:eastAsia="Arial" w:hAnsi="Arial" w:cs="Arial"/>
          <w:spacing w:val="-3"/>
          <w:sz w:val="15"/>
          <w:szCs w:val="15"/>
        </w:rPr>
        <w:t xml:space="preserve">2)  </w:t>
      </w:r>
      <w:r>
        <w:rPr>
          <w:spacing w:val="-3"/>
          <w:sz w:val="15"/>
          <w:szCs w:val="15"/>
        </w:rPr>
        <w:t>高剂</w:t>
      </w:r>
      <w:r>
        <w:rPr>
          <w:sz w:val="15"/>
          <w:szCs w:val="15"/>
        </w:rPr>
        <w:t xml:space="preserve"> </w:t>
      </w:r>
      <w:r>
        <w:rPr>
          <w:spacing w:val="-2"/>
          <w:sz w:val="15"/>
          <w:szCs w:val="15"/>
        </w:rPr>
        <w:t>量</w:t>
      </w:r>
      <w:r>
        <w:rPr>
          <w:spacing w:val="-30"/>
          <w:sz w:val="15"/>
          <w:szCs w:val="15"/>
        </w:rPr>
        <w:t xml:space="preserve"> </w:t>
      </w:r>
      <w:r>
        <w:rPr>
          <w:rFonts w:ascii="Arial" w:eastAsia="Arial" w:hAnsi="Arial" w:cs="Arial"/>
          <w:spacing w:val="-2"/>
          <w:sz w:val="15"/>
          <w:szCs w:val="15"/>
        </w:rPr>
        <w:t>9mg</w:t>
      </w:r>
      <w:r>
        <w:rPr>
          <w:rFonts w:ascii="Arial" w:eastAsia="Arial" w:hAnsi="Arial" w:cs="Arial"/>
          <w:spacing w:val="32"/>
          <w:w w:val="101"/>
          <w:sz w:val="15"/>
          <w:szCs w:val="15"/>
        </w:rPr>
        <w:t xml:space="preserve"> </w:t>
      </w:r>
      <w:r>
        <w:rPr>
          <w:spacing w:val="-2"/>
          <w:sz w:val="15"/>
          <w:szCs w:val="15"/>
        </w:rPr>
        <w:t>肥胖临床</w:t>
      </w:r>
      <w:r>
        <w:rPr>
          <w:spacing w:val="-23"/>
          <w:sz w:val="15"/>
          <w:szCs w:val="15"/>
        </w:rPr>
        <w:t xml:space="preserve"> </w:t>
      </w:r>
      <w:r>
        <w:rPr>
          <w:rFonts w:ascii="Arial" w:eastAsia="Arial" w:hAnsi="Arial" w:cs="Arial"/>
          <w:spacing w:val="-2"/>
          <w:sz w:val="15"/>
          <w:szCs w:val="15"/>
        </w:rPr>
        <w:t xml:space="preserve">II </w:t>
      </w:r>
      <w:r>
        <w:rPr>
          <w:spacing w:val="-2"/>
          <w:sz w:val="15"/>
          <w:szCs w:val="15"/>
        </w:rPr>
        <w:t>期研究》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41" w:line="216" w:lineRule="auto"/>
        <w:ind w:left="62"/>
      </w:pP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图表</w:t>
      </w:r>
      <w:r>
        <w:rPr>
          <w:spacing w:val="-42"/>
        </w:rPr>
        <w:t xml:space="preserve"> </w:t>
      </w:r>
      <w:r>
        <w:rPr>
          <w:rFonts w:ascii="Arial" w:eastAsia="Arial" w:hAnsi="Arial" w:cs="Arial"/>
          <w:b/>
          <w:bCs/>
          <w:spacing w:val="-4"/>
        </w:rPr>
        <w:t>2</w:t>
      </w: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：肥胖相关并发症</w:t>
      </w:r>
    </w:p>
    <w:p>
      <w:pPr>
        <w:spacing w:before="34" w:line="4078" w:lineRule="exact"/>
      </w:pPr>
      <w:r>
        <w:rPr>
          <w:position w:val="-81"/>
        </w:rPr>
        <w:pict>
          <v:group id="_x0000_i1035" style="width:247.5pt;height:203.9pt;mso-position-horizontal-relative:char;mso-position-vertical-relative:line" coordorigin="0,0" coordsize="4950,4077" filled="f" stroked="f">
            <v:rect id="_x0000_s1036" style="width:4950;height:10;position:absolute;top:4068" filled="t" fillcolor="black" stroked="f"/>
            <v:rect id="_x0000_s1037" style="width:4950;height:10;position:absolute" filled="t" fillcolor="black" stroked="f"/>
            <w10:wrap type="none"/>
          </v:group>
        </w:pict>
      </w:r>
    </w:p>
    <w:p>
      <w:pPr>
        <w:pStyle w:val="BodyText"/>
        <w:spacing w:before="40" w:line="231" w:lineRule="auto"/>
        <w:ind w:left="34" w:right="117" w:firstLine="7"/>
        <w:rPr>
          <w:sz w:val="15"/>
          <w:szCs w:val="15"/>
        </w:rPr>
      </w:pPr>
      <w:r>
        <w:rPr>
          <w:spacing w:val="-2"/>
          <w:sz w:val="15"/>
          <w:szCs w:val="15"/>
        </w:rPr>
        <w:t>资料来源：信达生物官网《信达生物临床数据发布</w:t>
      </w:r>
      <w:r>
        <w:rPr>
          <w:spacing w:val="-2"/>
          <w:sz w:val="15"/>
          <w:szCs w:val="15"/>
        </w:rPr>
        <w:t xml:space="preserve"> </w:t>
      </w:r>
      <w:r>
        <w:rPr>
          <w:spacing w:val="-2"/>
          <w:sz w:val="15"/>
          <w:szCs w:val="15"/>
        </w:rPr>
        <w:t>玛仕度肽</w:t>
      </w:r>
      <w:r>
        <w:rPr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spacing w:val="-2"/>
          <w:sz w:val="15"/>
          <w:szCs w:val="15"/>
        </w:rPr>
        <w:t>(IBI36</w:t>
      </w:r>
      <w:r>
        <w:rPr>
          <w:rFonts w:ascii="Arial" w:eastAsia="Arial" w:hAnsi="Arial" w:cs="Arial"/>
          <w:spacing w:val="-3"/>
          <w:sz w:val="15"/>
          <w:szCs w:val="15"/>
        </w:rPr>
        <w:t xml:space="preserve">2)  </w:t>
      </w:r>
      <w:r>
        <w:rPr>
          <w:spacing w:val="-3"/>
          <w:sz w:val="15"/>
          <w:szCs w:val="15"/>
        </w:rPr>
        <w:t>高剂</w:t>
      </w:r>
      <w:r>
        <w:rPr>
          <w:sz w:val="15"/>
          <w:szCs w:val="15"/>
        </w:rPr>
        <w:t xml:space="preserve"> </w:t>
      </w:r>
      <w:r>
        <w:rPr>
          <w:spacing w:val="-2"/>
          <w:sz w:val="15"/>
          <w:szCs w:val="15"/>
        </w:rPr>
        <w:t>量</w:t>
      </w:r>
      <w:r>
        <w:rPr>
          <w:spacing w:val="-29"/>
          <w:sz w:val="15"/>
          <w:szCs w:val="15"/>
        </w:rPr>
        <w:t xml:space="preserve"> </w:t>
      </w:r>
      <w:r>
        <w:rPr>
          <w:rFonts w:ascii="Arial" w:eastAsia="Arial" w:hAnsi="Arial" w:cs="Arial"/>
          <w:spacing w:val="-2"/>
          <w:sz w:val="15"/>
          <w:szCs w:val="15"/>
        </w:rPr>
        <w:t>9mg</w:t>
      </w:r>
      <w:r>
        <w:rPr>
          <w:rFonts w:ascii="Arial" w:eastAsia="Arial" w:hAnsi="Arial" w:cs="Arial"/>
          <w:spacing w:val="31"/>
          <w:w w:val="101"/>
          <w:sz w:val="15"/>
          <w:szCs w:val="15"/>
        </w:rPr>
        <w:t xml:space="preserve"> </w:t>
      </w:r>
      <w:r>
        <w:rPr>
          <w:spacing w:val="-2"/>
          <w:sz w:val="15"/>
          <w:szCs w:val="15"/>
        </w:rPr>
        <w:t>肥胖临床</w:t>
      </w:r>
      <w:r>
        <w:rPr>
          <w:spacing w:val="-23"/>
          <w:sz w:val="15"/>
          <w:szCs w:val="15"/>
        </w:rPr>
        <w:t xml:space="preserve"> </w:t>
      </w:r>
      <w:r>
        <w:rPr>
          <w:rFonts w:ascii="Arial" w:eastAsia="Arial" w:hAnsi="Arial" w:cs="Arial"/>
          <w:spacing w:val="-2"/>
          <w:sz w:val="15"/>
          <w:szCs w:val="15"/>
        </w:rPr>
        <w:t xml:space="preserve">II </w:t>
      </w:r>
      <w:r>
        <w:rPr>
          <w:spacing w:val="-2"/>
          <w:sz w:val="15"/>
          <w:szCs w:val="15"/>
        </w:rPr>
        <w:t>期研究》</w:t>
      </w:r>
    </w:p>
    <w:p>
      <w:pPr>
        <w:spacing w:line="231" w:lineRule="auto"/>
        <w:rPr>
          <w:sz w:val="15"/>
          <w:szCs w:val="15"/>
        </w:rPr>
        <w:sectPr>
          <w:headerReference w:type="default" r:id="rId30"/>
          <w:footerReference w:type="default" r:id="rId31"/>
          <w:type w:val="continuous"/>
          <w:pgSz w:w="11907" w:h="16839"/>
          <w:pgMar w:top="715" w:right="694" w:bottom="734" w:left="698" w:header="454" w:footer="479" w:gutter="0"/>
          <w:pgNumType w:start="12"/>
          <w:cols w:num="2" w:space="708" w:equalWidth="0">
            <w:col w:w="5373" w:space="100"/>
            <w:col w:w="5041" w:space="0"/>
          </w:cols>
        </w:sectPr>
      </w:pPr>
    </w:p>
    <w:p>
      <w:pPr>
        <w:pStyle w:val="BodyText"/>
        <w:spacing w:before="296" w:line="343" w:lineRule="exact"/>
        <w:ind w:left="447"/>
      </w:pPr>
      <w:r>
        <w:rPr>
          <w:spacing w:val="-7"/>
          <w:position w:val="1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体重管理可有效改善健康状况，逆转疾病进程。</w:t>
      </w:r>
      <w:r>
        <w:rPr>
          <w:spacing w:val="-7"/>
          <w:position w:val="10"/>
        </w:rPr>
        <w:t>信达生物官网资料显示</w:t>
      </w:r>
      <w:r>
        <w:rPr>
          <w:spacing w:val="-40"/>
          <w:w w:val="87"/>
          <w:position w:val="10"/>
        </w:rPr>
        <w:t>，（</w:t>
      </w:r>
      <w:r>
        <w:rPr>
          <w:rFonts w:ascii="Arial" w:eastAsia="Arial" w:hAnsi="Arial" w:cs="Arial"/>
          <w:spacing w:val="-7"/>
          <w:position w:val="10"/>
        </w:rPr>
        <w:t>1</w:t>
      </w:r>
      <w:r>
        <w:rPr>
          <w:spacing w:val="-7"/>
          <w:position w:val="10"/>
        </w:rPr>
        <w:t>）</w:t>
      </w:r>
    </w:p>
    <w:p>
      <w:pPr>
        <w:pStyle w:val="BodyText"/>
        <w:spacing w:before="1" w:line="215" w:lineRule="auto"/>
        <w:ind w:left="23"/>
      </w:pPr>
      <w:r>
        <w:rPr>
          <w:spacing w:val="-4"/>
        </w:rPr>
        <w:t>肥胖患者（或伴有并发症的超重患者）</w:t>
      </w:r>
      <w:r>
        <w:rPr>
          <w:spacing w:val="-22"/>
        </w:rPr>
        <w:t xml:space="preserve"> </w:t>
      </w:r>
      <w:r>
        <w:rPr>
          <w:spacing w:val="-4"/>
        </w:rPr>
        <w:t>的初始体重控制目标是在起始的</w:t>
      </w:r>
      <w:r>
        <w:rPr>
          <w:spacing w:val="-43"/>
        </w:rPr>
        <w:t xml:space="preserve"> </w:t>
      </w:r>
      <w:r>
        <w:rPr>
          <w:rFonts w:ascii="Arial" w:eastAsia="Arial" w:hAnsi="Arial" w:cs="Arial"/>
          <w:spacing w:val="-4"/>
        </w:rPr>
        <w:t xml:space="preserve">6 </w:t>
      </w:r>
      <w:r>
        <w:rPr>
          <w:spacing w:val="-4"/>
        </w:rPr>
        <w:t>个月内</w:t>
      </w:r>
    </w:p>
    <w:p>
      <w:pPr>
        <w:pStyle w:val="BodyText"/>
        <w:spacing w:before="99" w:line="213" w:lineRule="auto"/>
        <w:ind w:left="35"/>
      </w:pPr>
      <w:r>
        <w:rPr>
          <w:spacing w:val="-2"/>
        </w:rPr>
        <w:t>减重</w:t>
      </w:r>
      <w:r>
        <w:rPr>
          <w:spacing w:val="-33"/>
        </w:rPr>
        <w:t xml:space="preserve"> </w:t>
      </w:r>
      <w:r>
        <w:rPr>
          <w:rFonts w:ascii="Arial" w:eastAsia="Arial" w:hAnsi="Arial" w:cs="Arial"/>
          <w:spacing w:val="-2"/>
        </w:rPr>
        <w:t>5%-15%</w:t>
      </w:r>
      <w:r>
        <w:rPr>
          <w:spacing w:val="-2"/>
        </w:rPr>
        <w:t>，且随着体重减轻百分比的增加，与肥胖相关的危险因素和合并症</w:t>
      </w:r>
    </w:p>
    <w:p>
      <w:pPr>
        <w:pStyle w:val="BodyText"/>
        <w:spacing w:before="100" w:line="213" w:lineRule="auto"/>
        <w:ind w:left="42"/>
      </w:pPr>
      <w:r>
        <w:rPr>
          <w:spacing w:val="-3"/>
        </w:rPr>
        <w:t>的改善获得提升</w:t>
      </w:r>
      <w:r>
        <w:rPr>
          <w:spacing w:val="-57"/>
          <w:w w:val="96"/>
        </w:rPr>
        <w:t>；（</w:t>
      </w:r>
      <w:r>
        <w:rPr>
          <w:rFonts w:ascii="Arial" w:eastAsia="Arial" w:hAnsi="Arial" w:cs="Arial"/>
          <w:spacing w:val="-3"/>
        </w:rPr>
        <w:t>2</w:t>
      </w:r>
      <w:r>
        <w:rPr>
          <w:spacing w:val="-3"/>
        </w:rPr>
        <w:t>）中国约</w:t>
      </w:r>
      <w:r>
        <w:rPr>
          <w:spacing w:val="-3"/>
        </w:rPr>
        <w:t xml:space="preserve"> </w:t>
      </w:r>
      <w:r>
        <w:rPr>
          <w:rFonts w:ascii="Arial" w:eastAsia="Arial" w:hAnsi="Arial" w:cs="Arial"/>
          <w:spacing w:val="-3"/>
        </w:rPr>
        <w:t>50%</w:t>
      </w:r>
      <w:r>
        <w:rPr>
          <w:spacing w:val="-3"/>
        </w:rPr>
        <w:t>的糖尿病患者合并超重或肥胖，</w:t>
      </w:r>
      <w:r>
        <w:rPr>
          <w:spacing w:val="-29"/>
        </w:rPr>
        <w:t xml:space="preserve"> </w:t>
      </w:r>
      <w:r>
        <w:rPr>
          <w:spacing w:val="-3"/>
        </w:rPr>
        <w:t>超过</w:t>
      </w:r>
      <w:r>
        <w:rPr>
          <w:spacing w:val="-3"/>
        </w:rPr>
        <w:t xml:space="preserve"> </w:t>
      </w:r>
      <w:r>
        <w:rPr>
          <w:rFonts w:ascii="Arial" w:eastAsia="Arial" w:hAnsi="Arial" w:cs="Arial"/>
          <w:spacing w:val="-3"/>
        </w:rPr>
        <w:t>1</w:t>
      </w:r>
      <w:r>
        <w:rPr>
          <w:rFonts w:ascii="Arial" w:eastAsia="Arial" w:hAnsi="Arial" w:cs="Arial"/>
          <w:spacing w:val="-4"/>
        </w:rPr>
        <w:t>0%</w:t>
      </w:r>
      <w:r>
        <w:rPr>
          <w:spacing w:val="-4"/>
        </w:rPr>
        <w:t>的</w:t>
      </w:r>
    </w:p>
    <w:p>
      <w:pPr>
        <w:pStyle w:val="BodyText"/>
        <w:spacing w:before="99" w:line="213" w:lineRule="auto"/>
        <w:ind w:left="24"/>
      </w:pPr>
      <w:r>
        <w:rPr>
          <w:spacing w:val="-1"/>
        </w:rPr>
        <w:t>体重降幅有望带来</w:t>
      </w:r>
      <w:r>
        <w:rPr>
          <w:spacing w:val="-35"/>
        </w:rPr>
        <w:t xml:space="preserve"> </w:t>
      </w:r>
      <w:r>
        <w:rPr>
          <w:rFonts w:ascii="Arial" w:eastAsia="Arial" w:hAnsi="Arial" w:cs="Arial"/>
          <w:spacing w:val="-1"/>
        </w:rPr>
        <w:t>T2DM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spacing w:val="-1"/>
        </w:rPr>
        <w:t>的缓解，使部分患者在较长时间内免于使用降糖药物。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  <w:sectPr>
          <w:headerReference w:type="default" r:id="rId32"/>
          <w:footerReference w:type="default" r:id="rId33"/>
          <w:type w:val="continuous"/>
          <w:pgSz w:w="11907" w:h="16839"/>
          <w:pgMar w:top="715" w:right="694" w:bottom="734" w:left="698" w:header="454" w:footer="479" w:gutter="0"/>
          <w:pgNumType w:start="13"/>
          <w:cols w:num="1" w:space="708" w:equalWidth="0">
            <w:col w:w="10515" w:space="0"/>
          </w:cols>
        </w:sectPr>
      </w:pPr>
    </w:p>
    <w:p>
      <w:pPr>
        <w:pStyle w:val="BodyText"/>
        <w:spacing w:before="101" w:line="237" w:lineRule="auto"/>
        <w:ind w:left="45"/>
        <w:rPr>
          <w:sz w:val="31"/>
          <w:szCs w:val="31"/>
        </w:rPr>
      </w:pPr>
      <w:r>
        <w:rPr>
          <w:rFonts w:ascii="Arial" w:eastAsia="Arial" w:hAnsi="Arial" w:cs="Arial"/>
          <w:b/>
          <w:bCs/>
          <w:color w:val="CA2420"/>
          <w:sz w:val="31"/>
          <w:szCs w:val="31"/>
        </w:rPr>
        <w:t>FDA</w:t>
      </w:r>
      <w:r>
        <w:rPr>
          <w:rFonts w:ascii="Arial" w:eastAsia="Arial" w:hAnsi="Arial" w:cs="Arial"/>
          <w:b/>
          <w:bCs/>
          <w:color w:val="CA2420"/>
          <w:spacing w:val="6"/>
          <w:sz w:val="31"/>
          <w:szCs w:val="31"/>
        </w:rPr>
        <w:t xml:space="preserve"> </w:t>
      </w:r>
      <w:r>
        <w:rPr>
          <w:color w:val="CA2420"/>
          <w:spacing w:val="6"/>
          <w:sz w:val="31"/>
          <w:szCs w:val="31"/>
          <w14:textOutline w14:w="5791">
            <w14:solidFill>
              <w14:srgbClr w14:val="CA2420"/>
            </w14:solidFill>
            <w14:prstDash w14:val="solid"/>
            <w14:miter w14:lim="10"/>
          </w14:textOutline>
        </w:rPr>
        <w:t>获批减重药物：</w:t>
      </w:r>
      <w:r>
        <w:rPr>
          <w:rFonts w:ascii="Arial" w:eastAsia="Arial" w:hAnsi="Arial" w:cs="Arial"/>
          <w:b/>
          <w:bCs/>
          <w:color w:val="CA2420"/>
          <w:sz w:val="31"/>
          <w:szCs w:val="31"/>
        </w:rPr>
        <w:t>GLP</w:t>
      </w:r>
      <w:r>
        <w:rPr>
          <w:rFonts w:ascii="Arial" w:eastAsia="Arial" w:hAnsi="Arial" w:cs="Arial"/>
          <w:b/>
          <w:bCs/>
          <w:color w:val="CA2420"/>
          <w:spacing w:val="6"/>
          <w:sz w:val="31"/>
          <w:szCs w:val="31"/>
        </w:rPr>
        <w:t>-1</w:t>
      </w:r>
      <w:r>
        <w:rPr>
          <w:rFonts w:ascii="Arial" w:eastAsia="Arial" w:hAnsi="Arial" w:cs="Arial"/>
          <w:b/>
          <w:bCs/>
          <w:color w:val="CA2420"/>
          <w:sz w:val="31"/>
          <w:szCs w:val="31"/>
        </w:rPr>
        <w:t>RA</w:t>
      </w:r>
      <w:r>
        <w:rPr>
          <w:rFonts w:ascii="Arial" w:eastAsia="Arial" w:hAnsi="Arial" w:cs="Arial"/>
          <w:b/>
          <w:bCs/>
          <w:color w:val="CA2420"/>
          <w:spacing w:val="6"/>
          <w:sz w:val="31"/>
          <w:szCs w:val="31"/>
        </w:rPr>
        <w:t xml:space="preserve"> </w:t>
      </w:r>
      <w:r>
        <w:rPr>
          <w:color w:val="CA2420"/>
          <w:spacing w:val="6"/>
          <w:sz w:val="31"/>
          <w:szCs w:val="31"/>
          <w14:textOutline w14:w="5791">
            <w14:solidFill>
              <w14:srgbClr w14:val="CA2420"/>
            </w14:solidFill>
            <w14:prstDash w14:val="solid"/>
            <w14:miter w14:lim="10"/>
          </w14:textOutline>
        </w:rPr>
        <w:t>优势显著，</w:t>
      </w:r>
      <w:r>
        <w:rPr>
          <w:color w:val="CA2420"/>
          <w:spacing w:val="-73"/>
          <w:sz w:val="31"/>
          <w:szCs w:val="31"/>
        </w:rPr>
        <w:t xml:space="preserve"> </w:t>
      </w:r>
      <w:r>
        <w:rPr>
          <w:color w:val="CA2420"/>
          <w:spacing w:val="6"/>
          <w:sz w:val="31"/>
          <w:szCs w:val="31"/>
          <w14:textOutline w14:w="5791">
            <w14:solidFill>
              <w14:srgbClr w14:val="CA2420"/>
            </w14:solidFill>
            <w14:prstDash w14:val="solid"/>
            <w14:miter w14:lim="10"/>
          </w14:textOutline>
        </w:rPr>
        <w:t>司美格</w:t>
      </w:r>
    </w:p>
    <w:p>
      <w:pPr>
        <w:pStyle w:val="BodyText"/>
        <w:spacing w:before="2" w:line="219" w:lineRule="auto"/>
        <w:ind w:left="46"/>
        <w:rPr>
          <w:sz w:val="31"/>
          <w:szCs w:val="31"/>
        </w:rPr>
      </w:pPr>
      <w:r>
        <w:rPr>
          <w:color w:val="CA2420"/>
          <w:spacing w:val="8"/>
          <w:sz w:val="31"/>
          <w:szCs w:val="31"/>
          <w14:textOutline w14:w="5791">
            <w14:solidFill>
              <w14:srgbClr w14:val="CA2420"/>
            </w14:solidFill>
            <w14:prstDash w14:val="solid"/>
            <w14:miter w14:lim="10"/>
          </w14:textOutline>
        </w:rPr>
        <w:t>鲁肽开启减重药物新纪元</w:t>
      </w:r>
    </w:p>
    <w:p>
      <w:pPr>
        <w:pStyle w:val="BodyText"/>
        <w:spacing w:before="210" w:line="344" w:lineRule="exact"/>
        <w:ind w:left="450"/>
      </w:pPr>
      <w:r>
        <w:rPr>
          <w:spacing w:val="-4"/>
          <w:position w:val="1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对比</w:t>
      </w:r>
      <w:r>
        <w:rPr>
          <w:spacing w:val="-23"/>
          <w:position w:val="10"/>
        </w:rPr>
        <w:t xml:space="preserve"> </w:t>
      </w:r>
      <w:r>
        <w:rPr>
          <w:rFonts w:ascii="Arial" w:eastAsia="Arial" w:hAnsi="Arial" w:cs="Arial"/>
          <w:b/>
          <w:bCs/>
          <w:spacing w:val="-4"/>
          <w:position w:val="10"/>
        </w:rPr>
        <w:t>FDA</w:t>
      </w:r>
      <w:r>
        <w:rPr>
          <w:rFonts w:ascii="Arial" w:eastAsia="Arial" w:hAnsi="Arial" w:cs="Arial"/>
          <w:b/>
          <w:bCs/>
          <w:spacing w:val="33"/>
          <w:w w:val="101"/>
          <w:position w:val="10"/>
        </w:rPr>
        <w:t xml:space="preserve"> </w:t>
      </w:r>
      <w:r>
        <w:rPr>
          <w:spacing w:val="-4"/>
          <w:position w:val="1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已经批准的减重药物，司美格鲁肽展现出压倒性优势。（</w:t>
      </w:r>
      <w:r>
        <w:rPr>
          <w:rFonts w:ascii="Arial" w:eastAsia="Arial" w:hAnsi="Arial" w:cs="Arial"/>
          <w:b/>
          <w:bCs/>
          <w:spacing w:val="-4"/>
          <w:position w:val="10"/>
        </w:rPr>
        <w:t>1</w:t>
      </w:r>
      <w:r>
        <w:rPr>
          <w:spacing w:val="-4"/>
          <w:position w:val="1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）有效</w:t>
      </w:r>
    </w:p>
    <w:p>
      <w:pPr>
        <w:pStyle w:val="BodyText"/>
        <w:spacing w:line="213" w:lineRule="auto"/>
        <w:ind w:left="34"/>
      </w:pP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性：</w:t>
      </w:r>
      <w:r>
        <w:rPr>
          <w:spacing w:val="-37"/>
        </w:rPr>
        <w:t xml:space="preserve"> </w:t>
      </w:r>
      <w:r>
        <w:rPr>
          <w:spacing w:val="-6"/>
        </w:rPr>
        <w:t>一年期效果对比显示，司美格鲁肽取得的减重效果，</w:t>
      </w:r>
      <w:r>
        <w:rPr>
          <w:spacing w:val="-6"/>
        </w:rPr>
        <w:t xml:space="preserve"> </w:t>
      </w:r>
      <w:r>
        <w:rPr>
          <w:spacing w:val="-6"/>
        </w:rPr>
        <w:t>相比于安慰剂帮助患者</w:t>
      </w:r>
    </w:p>
    <w:p>
      <w:pPr>
        <w:pStyle w:val="BodyText"/>
        <w:spacing w:before="101" w:line="213" w:lineRule="auto"/>
        <w:ind w:left="35"/>
      </w:pPr>
      <w:r>
        <w:rPr>
          <w:spacing w:val="-7"/>
        </w:rPr>
        <w:t>减重</w:t>
      </w:r>
      <w:r>
        <w:rPr>
          <w:spacing w:val="-7"/>
        </w:rPr>
        <w:t xml:space="preserve"> </w:t>
      </w:r>
      <w:r>
        <w:rPr>
          <w:rFonts w:ascii="Arial" w:eastAsia="Arial" w:hAnsi="Arial" w:cs="Arial"/>
          <w:spacing w:val="-7"/>
        </w:rPr>
        <w:t>15%-18%</w:t>
      </w:r>
      <w:r>
        <w:rPr>
          <w:spacing w:val="-7"/>
        </w:rPr>
        <w:t>，远优于其他几款减重药物</w:t>
      </w:r>
      <w:r>
        <w:rPr>
          <w:spacing w:val="-26"/>
        </w:rPr>
        <w:t>；</w:t>
      </w:r>
      <w:r>
        <w:rPr>
          <w:spacing w:val="-2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（</w:t>
      </w:r>
      <w:r>
        <w:rPr>
          <w:rFonts w:ascii="Arial" w:eastAsia="Arial" w:hAnsi="Arial" w:cs="Arial"/>
          <w:b/>
          <w:bCs/>
          <w:spacing w:val="-7"/>
        </w:rPr>
        <w:t>2</w:t>
      </w:r>
      <w:r>
        <w:rPr>
          <w:spacing w:val="-7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）安全性：</w:t>
      </w:r>
      <w:r>
        <w:rPr>
          <w:spacing w:val="77"/>
        </w:rPr>
        <w:t xml:space="preserve"> </w:t>
      </w:r>
      <w:r>
        <w:rPr>
          <w:spacing w:val="-7"/>
        </w:rPr>
        <w:t>司美格鲁肽导致的不</w:t>
      </w:r>
    </w:p>
    <w:p>
      <w:pPr>
        <w:pStyle w:val="BodyText"/>
        <w:spacing w:before="101" w:line="213" w:lineRule="auto"/>
        <w:ind w:left="61"/>
      </w:pPr>
      <w:r>
        <w:rPr>
          <w:spacing w:val="-11"/>
        </w:rPr>
        <w:t>良反应主要为恶心呕吐、腹泻，</w:t>
      </w:r>
      <w:r>
        <w:rPr>
          <w:spacing w:val="42"/>
        </w:rPr>
        <w:t xml:space="preserve"> </w:t>
      </w:r>
      <w:r>
        <w:rPr>
          <w:spacing w:val="-11"/>
        </w:rPr>
        <w:t>且均为一过性，</w:t>
      </w:r>
      <w:r>
        <w:rPr>
          <w:spacing w:val="-35"/>
        </w:rPr>
        <w:t xml:space="preserve"> </w:t>
      </w:r>
      <w:r>
        <w:rPr>
          <w:spacing w:val="-11"/>
        </w:rPr>
        <w:t>相对比，</w:t>
      </w:r>
      <w:r>
        <w:rPr>
          <w:spacing w:val="-11"/>
        </w:rPr>
        <w:t xml:space="preserve"> </w:t>
      </w:r>
      <w:r>
        <w:rPr>
          <w:spacing w:val="-11"/>
        </w:rPr>
        <w:t>其他减重药物的不良反</w:t>
      </w:r>
    </w:p>
    <w:p>
      <w:pPr>
        <w:pStyle w:val="BodyText"/>
        <w:spacing w:before="101" w:line="213" w:lineRule="auto"/>
        <w:ind w:left="25"/>
      </w:pPr>
      <w:r>
        <w:rPr>
          <w:spacing w:val="-1"/>
        </w:rPr>
        <w:t>应更加严重，如国内批准的减肥药物奥利司他，患者服用后产生油性大便且</w:t>
      </w:r>
      <w:r>
        <w:rPr>
          <w:spacing w:val="-2"/>
        </w:rPr>
        <w:t>可能</w:t>
      </w:r>
    </w:p>
    <w:p>
      <w:pPr>
        <w:pStyle w:val="BodyText"/>
        <w:spacing w:before="100" w:line="186" w:lineRule="auto"/>
        <w:ind w:left="31"/>
      </w:pPr>
      <w:r>
        <w:rPr>
          <w:spacing w:val="-7"/>
        </w:rPr>
        <w:t>无法控制排便，依从性较差</w:t>
      </w:r>
      <w:r>
        <w:rPr>
          <w:spacing w:val="-34"/>
        </w:rPr>
        <w:t>；</w:t>
      </w:r>
      <w:r>
        <w:rPr>
          <w:spacing w:val="-3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（</w:t>
      </w:r>
      <w:r>
        <w:rPr>
          <w:rFonts w:ascii="Arial" w:eastAsia="Arial" w:hAnsi="Arial" w:cs="Arial"/>
          <w:b/>
          <w:bCs/>
          <w:spacing w:val="-7"/>
        </w:rPr>
        <w:t>3</w:t>
      </w:r>
      <w:r>
        <w:rPr>
          <w:spacing w:val="-7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）给药便利性：</w:t>
      </w:r>
      <w:r>
        <w:rPr>
          <w:spacing w:val="67"/>
        </w:rPr>
        <w:t xml:space="preserve"> </w:t>
      </w:r>
      <w:r>
        <w:rPr>
          <w:spacing w:val="-7"/>
        </w:rPr>
        <w:t>司美格鲁</w:t>
      </w:r>
      <w:r>
        <w:rPr>
          <w:spacing w:val="-8"/>
        </w:rPr>
        <w:t>肽为每周皮下注射，给</w:t>
      </w:r>
    </w:p>
    <w:p>
      <w:pPr>
        <w:spacing w:line="186" w:lineRule="auto"/>
        <w:sectPr>
          <w:headerReference w:type="default" r:id="rId34"/>
          <w:footerReference w:type="default" r:id="rId35"/>
          <w:type w:val="nextPage"/>
          <w:pgSz w:w="11907" w:h="16839"/>
          <w:pgMar w:top="715" w:right="694" w:bottom="734" w:left="698" w:header="454" w:footer="479" w:gutter="0"/>
          <w:pgNumType w:start="14"/>
          <w:cols w:num="1" w:space="708" w:equalWidth="0">
            <w:col w:w="10515" w:space="0"/>
          </w:cols>
          <w:titlePg w:val="0"/>
        </w:sectPr>
      </w:pPr>
    </w:p>
    <w:p>
      <w:pPr>
        <w:pStyle w:val="BodyText"/>
        <w:spacing w:before="70" w:line="343" w:lineRule="exact"/>
        <w:ind w:left="50"/>
      </w:pPr>
      <w:r>
        <w:rPr>
          <w:spacing w:val="-2"/>
          <w:position w:val="10"/>
        </w:rPr>
        <w:t>药便利性远优于每日注射的利拉鲁肽。其他减肥药物为口服制剂，每周注射与每</w:t>
      </w:r>
    </w:p>
    <w:p>
      <w:pPr>
        <w:pStyle w:val="BodyText"/>
        <w:spacing w:line="213" w:lineRule="auto"/>
        <w:ind w:left="81"/>
      </w:pPr>
      <w:r>
        <w:rPr>
          <w:spacing w:val="-5"/>
        </w:rPr>
        <w:t>日口服，不同患者各有倾向。</w:t>
      </w:r>
    </w:p>
    <w:p>
      <w:pPr>
        <w:pStyle w:val="BodyText"/>
        <w:spacing w:before="177" w:line="220" w:lineRule="auto"/>
        <w:ind w:left="62"/>
      </w:pPr>
      <w:bookmarkStart w:id="7" w:name="bookmark127"/>
      <w:bookmarkEnd w:id="7"/>
      <w:bookmarkStart w:id="8" w:name="bookmark47"/>
      <w:bookmarkEnd w:id="8"/>
      <w:bookmarkStart w:id="9" w:name="bookmark5"/>
      <w:bookmarkEnd w:id="9"/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图表</w:t>
      </w:r>
      <w:r>
        <w:rPr>
          <w:spacing w:val="-41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3</w:t>
      </w: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：全球已上市减肥药对比总结</w:t>
      </w:r>
    </w:p>
    <w:p>
      <w:pPr>
        <w:spacing w:line="30" w:lineRule="exact"/>
      </w:pPr>
    </w:p>
    <w:tbl>
      <w:tblPr>
        <w:tblStyle w:val="TableNormal2"/>
        <w:tblW w:w="1052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200"/>
        <w:gridCol w:w="1550"/>
        <w:gridCol w:w="1549"/>
        <w:gridCol w:w="1551"/>
        <w:gridCol w:w="1548"/>
        <w:gridCol w:w="1549"/>
        <w:gridCol w:w="1579"/>
      </w:tblGrid>
      <w:tr>
        <w:tblPrEx>
          <w:tblW w:w="10526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645"/>
        </w:trPr>
        <w:tc>
          <w:tcPr>
            <w:tcW w:w="12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0000"/>
            <w:vAlign w:val="top"/>
          </w:tcPr>
          <w:p>
            <w:pPr>
              <w:pStyle w:val="TableText"/>
              <w:rPr>
                <w:sz w:val="21"/>
              </w:rPr>
            </w:pPr>
          </w:p>
        </w:tc>
        <w:tc>
          <w:tcPr>
            <w:tcW w:w="15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0000"/>
            <w:vAlign w:val="top"/>
          </w:tcPr>
          <w:p>
            <w:pPr>
              <w:spacing w:before="248" w:line="215" w:lineRule="auto"/>
              <w:ind w:left="400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color w:val="FFFFFF"/>
                <w:spacing w:val="-4"/>
                <w:sz w:val="16"/>
                <w:szCs w:val="16"/>
                <w14:textOutline w14:w="2917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司美格鲁肽</w:t>
            </w:r>
          </w:p>
        </w:tc>
        <w:tc>
          <w:tcPr>
            <w:tcW w:w="15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0000"/>
            <w:vAlign w:val="top"/>
          </w:tcPr>
          <w:p>
            <w:pPr>
              <w:spacing w:before="248" w:line="215" w:lineRule="auto"/>
              <w:ind w:left="462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color w:val="FFFFFF"/>
                <w:spacing w:val="-2"/>
                <w:sz w:val="16"/>
                <w:szCs w:val="16"/>
                <w14:textOutline w14:w="2917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利拉鲁肽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0000"/>
            <w:vAlign w:val="top"/>
          </w:tcPr>
          <w:p>
            <w:pPr>
              <w:pStyle w:val="TableText"/>
              <w:spacing w:before="248" w:line="231" w:lineRule="auto"/>
              <w:ind w:left="138"/>
              <w:rPr>
                <w:sz w:val="16"/>
                <w:szCs w:val="16"/>
              </w:rPr>
            </w:pPr>
            <w:r>
              <w:rPr>
                <w:rFonts w:ascii="KaiTi" w:eastAsia="KaiTi" w:hAnsi="KaiTi" w:cs="KaiTi"/>
                <w:color w:val="FFFFFF"/>
                <w:sz w:val="16"/>
                <w:szCs w:val="16"/>
                <w14:textOutline w14:w="2917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苯特明</w:t>
            </w:r>
            <w:r>
              <w:rPr>
                <w:b/>
                <w:bCs/>
                <w:color w:val="FFFFFF"/>
                <w:sz w:val="16"/>
                <w:szCs w:val="16"/>
              </w:rPr>
              <w:t>/</w:t>
            </w:r>
            <w:r>
              <w:rPr>
                <w:rFonts w:ascii="KaiTi" w:eastAsia="KaiTi" w:hAnsi="KaiTi" w:cs="KaiTi"/>
                <w:color w:val="FFFFFF"/>
                <w:sz w:val="16"/>
                <w:szCs w:val="16"/>
                <w14:textOutline w14:w="2917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托吡酯</w:t>
            </w:r>
            <w:r>
              <w:rPr>
                <w:b/>
                <w:bCs/>
                <w:color w:val="FFFFFF"/>
                <w:sz w:val="16"/>
                <w:szCs w:val="16"/>
              </w:rPr>
              <w:t>-ER</w:t>
            </w:r>
          </w:p>
        </w:tc>
        <w:tc>
          <w:tcPr>
            <w:tcW w:w="15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0000"/>
            <w:vAlign w:val="top"/>
          </w:tcPr>
          <w:p>
            <w:pPr>
              <w:pStyle w:val="TableText"/>
              <w:spacing w:before="92" w:line="295" w:lineRule="auto"/>
              <w:ind w:left="566" w:right="131" w:hanging="420"/>
              <w:rPr>
                <w:sz w:val="16"/>
                <w:szCs w:val="16"/>
              </w:rPr>
            </w:pPr>
            <w:r>
              <w:rPr>
                <w:rFonts w:ascii="KaiTi" w:eastAsia="KaiTi" w:hAnsi="KaiTi" w:cs="KaiTi"/>
                <w:color w:val="FFFFFF"/>
                <w:spacing w:val="-1"/>
                <w:sz w:val="16"/>
                <w:szCs w:val="16"/>
                <w14:textOutline w14:w="2917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纳曲酮</w:t>
            </w:r>
            <w:r>
              <w:rPr>
                <w:b/>
                <w:bCs/>
                <w:color w:val="FFFFFF"/>
                <w:spacing w:val="-1"/>
                <w:sz w:val="16"/>
                <w:szCs w:val="16"/>
              </w:rPr>
              <w:t>-ER/</w:t>
            </w:r>
            <w:r>
              <w:rPr>
                <w:rFonts w:ascii="KaiTi" w:eastAsia="KaiTi" w:hAnsi="KaiTi" w:cs="KaiTi"/>
                <w:color w:val="FFFFFF"/>
                <w:spacing w:val="-1"/>
                <w:sz w:val="16"/>
                <w:szCs w:val="16"/>
                <w14:textOutline w14:w="2917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安非他</w:t>
            </w:r>
            <w:r>
              <w:rPr>
                <w:rFonts w:ascii="KaiTi" w:eastAsia="KaiTi" w:hAnsi="KaiTi" w:cs="KaiTi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KaiTi" w:eastAsia="KaiTi" w:hAnsi="KaiTi" w:cs="KaiTi"/>
                <w:color w:val="FFFFFF"/>
                <w:spacing w:val="-2"/>
                <w:sz w:val="16"/>
                <w:szCs w:val="16"/>
                <w14:textOutline w14:w="2917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酮</w:t>
            </w:r>
            <w:r>
              <w:rPr>
                <w:b/>
                <w:bCs/>
                <w:color w:val="FFFFFF"/>
                <w:spacing w:val="-2"/>
                <w:sz w:val="16"/>
                <w:szCs w:val="16"/>
              </w:rPr>
              <w:t>-ER</w:t>
            </w:r>
          </w:p>
        </w:tc>
        <w:tc>
          <w:tcPr>
            <w:tcW w:w="15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0000"/>
            <w:vAlign w:val="top"/>
          </w:tcPr>
          <w:p>
            <w:pPr>
              <w:spacing w:before="248" w:line="220" w:lineRule="auto"/>
              <w:ind w:left="463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color w:val="FFFFFF"/>
                <w:spacing w:val="-2"/>
                <w:sz w:val="16"/>
                <w:szCs w:val="16"/>
                <w14:textOutline w14:w="2917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奥利司他</w:t>
            </w: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0000"/>
            <w:vAlign w:val="top"/>
          </w:tcPr>
          <w:p>
            <w:pPr>
              <w:spacing w:before="248" w:line="220" w:lineRule="auto"/>
              <w:ind w:left="543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color w:val="FFFFFF"/>
                <w:spacing w:val="-2"/>
                <w:sz w:val="16"/>
                <w:szCs w:val="16"/>
                <w14:textOutline w14:w="2917">
                  <w14:solidFill>
                    <w14:srgbClr w14:val="FFFFFF"/>
                  </w14:solidFill>
                  <w14:prstDash w14:val="solid"/>
                  <w14:miter w14:lim="10"/>
                </w14:textOutline>
              </w:rPr>
              <w:t>芬特明</w:t>
            </w:r>
          </w:p>
        </w:tc>
      </w:tr>
      <w:tr>
        <w:tblPrEx>
          <w:tblW w:w="10526" w:type="dxa"/>
          <w:tblInd w:w="0" w:type="dxa"/>
          <w:tblLayout w:type="fixed"/>
        </w:tblPrEx>
        <w:trPr>
          <w:trHeight w:val="937"/>
        </w:trPr>
        <w:tc>
          <w:tcPr>
            <w:tcW w:w="1200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line="336" w:lineRule="auto"/>
              <w:rPr>
                <w:sz w:val="21"/>
              </w:rPr>
            </w:pPr>
          </w:p>
          <w:p>
            <w:pPr>
              <w:spacing w:before="52" w:line="226" w:lineRule="auto"/>
              <w:ind w:left="470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4"/>
                <w:sz w:val="16"/>
                <w:szCs w:val="16"/>
              </w:rPr>
              <w:t>类别</w:t>
            </w:r>
          </w:p>
        </w:tc>
        <w:tc>
          <w:tcPr>
            <w:tcW w:w="1550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line="365" w:lineRule="auto"/>
              <w:rPr>
                <w:sz w:val="21"/>
              </w:rPr>
            </w:pPr>
          </w:p>
          <w:p>
            <w:pPr>
              <w:pStyle w:val="TableText"/>
              <w:spacing w:before="46" w:line="197" w:lineRule="auto"/>
              <w:ind w:left="44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GLP-1RA</w:t>
            </w:r>
          </w:p>
        </w:tc>
        <w:tc>
          <w:tcPr>
            <w:tcW w:w="1549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line="365" w:lineRule="auto"/>
              <w:rPr>
                <w:sz w:val="21"/>
              </w:rPr>
            </w:pPr>
          </w:p>
          <w:p>
            <w:pPr>
              <w:pStyle w:val="TableText"/>
              <w:spacing w:before="46" w:line="197" w:lineRule="auto"/>
              <w:ind w:left="44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GLP-1RA</w:t>
            </w:r>
          </w:p>
        </w:tc>
        <w:tc>
          <w:tcPr>
            <w:tcW w:w="1551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234" w:line="288" w:lineRule="auto"/>
              <w:ind w:left="269" w:right="271" w:firstLine="30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拟交感神经胺</w:t>
            </w:r>
            <w:r>
              <w:rPr>
                <w:rFonts w:ascii="KaiTi" w:eastAsia="KaiTi" w:hAnsi="KaiTi" w:cs="KaiTi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/GABA</w:t>
            </w:r>
            <w:r>
              <w:rPr>
                <w:spacing w:val="19"/>
                <w:w w:val="101"/>
                <w:sz w:val="16"/>
                <w:szCs w:val="16"/>
              </w:rPr>
              <w:t xml:space="preserve"> </w:t>
            </w:r>
            <w:r>
              <w:rPr>
                <w:rFonts w:ascii="KaiTi" w:eastAsia="KaiTi" w:hAnsi="KaiTi" w:cs="KaiTi"/>
                <w:spacing w:val="-3"/>
                <w:sz w:val="16"/>
                <w:szCs w:val="16"/>
              </w:rPr>
              <w:t>能作用</w:t>
            </w:r>
          </w:p>
        </w:tc>
        <w:tc>
          <w:tcPr>
            <w:tcW w:w="1548" w:type="dxa"/>
            <w:tcBorders>
              <w:top w:val="single" w:sz="2" w:space="0" w:color="000000"/>
            </w:tcBorders>
            <w:vAlign w:val="top"/>
          </w:tcPr>
          <w:p>
            <w:pPr>
              <w:spacing w:before="77" w:line="218" w:lineRule="auto"/>
              <w:ind w:left="232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3"/>
                <w:sz w:val="16"/>
                <w:szCs w:val="16"/>
              </w:rPr>
              <w:t>阿片受体拮抗剂</w:t>
            </w:r>
          </w:p>
          <w:p>
            <w:pPr>
              <w:pStyle w:val="TableText"/>
              <w:spacing w:before="123" w:line="214" w:lineRule="auto"/>
              <w:ind w:left="13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sz w:val="16"/>
                <w:szCs w:val="16"/>
              </w:rPr>
              <w:t>/DA-</w:t>
            </w:r>
            <w:r>
              <w:rPr>
                <w:rFonts w:ascii="KaiTi" w:eastAsia="KaiTi" w:hAnsi="KaiTi" w:cs="KaiTi"/>
                <w:sz w:val="16"/>
                <w:szCs w:val="16"/>
              </w:rPr>
              <w:t>去甲肾上腺素</w:t>
            </w:r>
          </w:p>
          <w:p>
            <w:pPr>
              <w:spacing w:before="126" w:line="213" w:lineRule="auto"/>
              <w:ind w:left="301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再提取抑制剂</w:t>
            </w:r>
          </w:p>
        </w:tc>
        <w:tc>
          <w:tcPr>
            <w:tcW w:w="1549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line="336" w:lineRule="auto"/>
              <w:rPr>
                <w:sz w:val="21"/>
              </w:rPr>
            </w:pPr>
          </w:p>
          <w:p>
            <w:pPr>
              <w:pStyle w:val="TableText"/>
              <w:spacing w:before="52" w:line="213" w:lineRule="auto"/>
              <w:ind w:left="198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GI </w:t>
            </w: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脂肪酶抑制剂</w:t>
            </w:r>
          </w:p>
        </w:tc>
        <w:tc>
          <w:tcPr>
            <w:tcW w:w="1579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line="336" w:lineRule="auto"/>
              <w:rPr>
                <w:sz w:val="21"/>
              </w:rPr>
            </w:pPr>
          </w:p>
          <w:p>
            <w:pPr>
              <w:spacing w:before="52" w:line="216" w:lineRule="auto"/>
              <w:ind w:left="299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拟交感性作用</w:t>
            </w:r>
          </w:p>
        </w:tc>
      </w:tr>
      <w:tr>
        <w:tblPrEx>
          <w:tblW w:w="10526" w:type="dxa"/>
          <w:tblInd w:w="0" w:type="dxa"/>
          <w:tblLayout w:type="fixed"/>
        </w:tblPrEx>
        <w:trPr>
          <w:trHeight w:val="312"/>
        </w:trPr>
        <w:tc>
          <w:tcPr>
            <w:tcW w:w="1200" w:type="dxa"/>
            <w:shd w:val="clear" w:color="auto" w:fill="D9D9D9"/>
            <w:vAlign w:val="top"/>
          </w:tcPr>
          <w:p>
            <w:pPr>
              <w:spacing w:before="76" w:line="218" w:lineRule="auto"/>
              <w:ind w:left="303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减重效果</w:t>
            </w:r>
          </w:p>
        </w:tc>
        <w:tc>
          <w:tcPr>
            <w:tcW w:w="1550" w:type="dxa"/>
            <w:shd w:val="clear" w:color="auto" w:fill="D9D9D9"/>
            <w:vAlign w:val="top"/>
          </w:tcPr>
          <w:p>
            <w:pPr>
              <w:pStyle w:val="TableText"/>
              <w:spacing w:before="100" w:line="197" w:lineRule="auto"/>
              <w:ind w:left="44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15%-18%</w:t>
            </w:r>
          </w:p>
        </w:tc>
        <w:tc>
          <w:tcPr>
            <w:tcW w:w="1549" w:type="dxa"/>
            <w:shd w:val="clear" w:color="auto" w:fill="D9D9D9"/>
            <w:vAlign w:val="top"/>
          </w:tcPr>
          <w:p>
            <w:pPr>
              <w:pStyle w:val="TableText"/>
              <w:spacing w:before="100" w:line="197" w:lineRule="auto"/>
              <w:ind w:left="524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5%-6%</w:t>
            </w:r>
          </w:p>
        </w:tc>
        <w:tc>
          <w:tcPr>
            <w:tcW w:w="1551" w:type="dxa"/>
            <w:shd w:val="clear" w:color="auto" w:fill="D9D9D9"/>
            <w:vAlign w:val="top"/>
          </w:tcPr>
          <w:p>
            <w:pPr>
              <w:pStyle w:val="TableText"/>
              <w:spacing w:before="100" w:line="197" w:lineRule="auto"/>
              <w:ind w:left="4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9%-10%</w:t>
            </w:r>
          </w:p>
        </w:tc>
        <w:tc>
          <w:tcPr>
            <w:tcW w:w="1548" w:type="dxa"/>
            <w:shd w:val="clear" w:color="auto" w:fill="D9D9D9"/>
            <w:vAlign w:val="top"/>
          </w:tcPr>
          <w:p>
            <w:pPr>
              <w:pStyle w:val="TableText"/>
              <w:spacing w:before="100" w:line="197" w:lineRule="auto"/>
              <w:ind w:left="5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4%-6%</w:t>
            </w:r>
          </w:p>
        </w:tc>
        <w:tc>
          <w:tcPr>
            <w:tcW w:w="1549" w:type="dxa"/>
            <w:shd w:val="clear" w:color="auto" w:fill="D9D9D9"/>
            <w:vAlign w:val="top"/>
          </w:tcPr>
          <w:p>
            <w:pPr>
              <w:pStyle w:val="TableText"/>
              <w:spacing w:before="100" w:line="197" w:lineRule="auto"/>
              <w:ind w:left="65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4%</w:t>
            </w:r>
          </w:p>
        </w:tc>
        <w:tc>
          <w:tcPr>
            <w:tcW w:w="1579" w:type="dxa"/>
            <w:shd w:val="clear" w:color="auto" w:fill="D9D9D9"/>
            <w:vAlign w:val="top"/>
          </w:tcPr>
          <w:p>
            <w:pPr>
              <w:pStyle w:val="TableText"/>
              <w:spacing w:before="100" w:line="197" w:lineRule="auto"/>
              <w:ind w:left="66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3%</w:t>
            </w:r>
          </w:p>
        </w:tc>
      </w:tr>
      <w:tr>
        <w:tblPrEx>
          <w:tblW w:w="10526" w:type="dxa"/>
          <w:tblInd w:w="0" w:type="dxa"/>
          <w:tblLayout w:type="fixed"/>
        </w:tblPrEx>
        <w:trPr>
          <w:trHeight w:val="623"/>
        </w:trPr>
        <w:tc>
          <w:tcPr>
            <w:tcW w:w="1200" w:type="dxa"/>
            <w:vAlign w:val="top"/>
          </w:tcPr>
          <w:p>
            <w:pPr>
              <w:spacing w:before="232" w:line="223" w:lineRule="auto"/>
              <w:ind w:left="458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机制</w:t>
            </w:r>
          </w:p>
        </w:tc>
        <w:tc>
          <w:tcPr>
            <w:tcW w:w="1550" w:type="dxa"/>
            <w:vAlign w:val="top"/>
          </w:tcPr>
          <w:p>
            <w:pPr>
              <w:spacing w:before="77" w:line="288" w:lineRule="auto"/>
              <w:ind w:left="617" w:right="133" w:hanging="48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z w:val="16"/>
                <w:szCs w:val="16"/>
              </w:rPr>
              <w:t>食欲下降、抑制胃</w:t>
            </w:r>
            <w:r>
              <w:rPr>
                <w:rFonts w:ascii="KaiTi" w:eastAsia="KaiTi" w:hAnsi="KaiTi" w:cs="KaiT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排空</w:t>
            </w:r>
          </w:p>
        </w:tc>
        <w:tc>
          <w:tcPr>
            <w:tcW w:w="1549" w:type="dxa"/>
            <w:vAlign w:val="top"/>
          </w:tcPr>
          <w:p>
            <w:pPr>
              <w:spacing w:before="77" w:line="288" w:lineRule="auto"/>
              <w:ind w:left="618" w:right="132" w:hanging="485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z w:val="16"/>
                <w:szCs w:val="16"/>
              </w:rPr>
              <w:t>食欲下降、抑制胃</w:t>
            </w:r>
            <w:r>
              <w:rPr>
                <w:rFonts w:ascii="KaiTi" w:eastAsia="KaiTi" w:hAnsi="KaiTi" w:cs="KaiT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排空</w:t>
            </w:r>
          </w:p>
        </w:tc>
        <w:tc>
          <w:tcPr>
            <w:tcW w:w="1551" w:type="dxa"/>
            <w:vAlign w:val="top"/>
          </w:tcPr>
          <w:p>
            <w:pPr>
              <w:spacing w:before="77" w:line="291" w:lineRule="auto"/>
              <w:ind w:left="621" w:right="134" w:hanging="476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减少食欲、饱腹感</w:t>
            </w:r>
            <w:r>
              <w:rPr>
                <w:rFonts w:ascii="KaiTi" w:eastAsia="KaiTi" w:hAnsi="KaiTi" w:cs="KaiTi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增加</w:t>
            </w:r>
          </w:p>
        </w:tc>
        <w:tc>
          <w:tcPr>
            <w:tcW w:w="1548" w:type="dxa"/>
            <w:vAlign w:val="top"/>
          </w:tcPr>
          <w:p>
            <w:pPr>
              <w:spacing w:before="233" w:line="218" w:lineRule="auto"/>
              <w:ind w:left="452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1"/>
                <w:sz w:val="16"/>
                <w:szCs w:val="16"/>
              </w:rPr>
              <w:t>食欲下降</w:t>
            </w:r>
          </w:p>
        </w:tc>
        <w:tc>
          <w:tcPr>
            <w:tcW w:w="1549" w:type="dxa"/>
            <w:vAlign w:val="top"/>
          </w:tcPr>
          <w:p>
            <w:pPr>
              <w:spacing w:before="232" w:line="223" w:lineRule="auto"/>
              <w:ind w:left="298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脂肪吸收减少</w:t>
            </w:r>
          </w:p>
        </w:tc>
        <w:tc>
          <w:tcPr>
            <w:tcW w:w="1579" w:type="dxa"/>
            <w:vAlign w:val="top"/>
          </w:tcPr>
          <w:p>
            <w:pPr>
              <w:spacing w:before="233" w:line="218" w:lineRule="auto"/>
              <w:ind w:left="451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1"/>
                <w:sz w:val="16"/>
                <w:szCs w:val="16"/>
              </w:rPr>
              <w:t>食欲下降</w:t>
            </w:r>
          </w:p>
        </w:tc>
      </w:tr>
      <w:tr>
        <w:tblPrEx>
          <w:tblW w:w="10526" w:type="dxa"/>
          <w:tblInd w:w="0" w:type="dxa"/>
          <w:tblLayout w:type="fixed"/>
        </w:tblPrEx>
        <w:trPr>
          <w:trHeight w:val="312"/>
        </w:trPr>
        <w:tc>
          <w:tcPr>
            <w:tcW w:w="1200" w:type="dxa"/>
            <w:shd w:val="clear" w:color="auto" w:fill="D9D9D9"/>
            <w:vAlign w:val="top"/>
          </w:tcPr>
          <w:p>
            <w:pPr>
              <w:spacing w:before="77" w:line="222" w:lineRule="auto"/>
              <w:ind w:left="303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给药方式</w:t>
            </w:r>
          </w:p>
        </w:tc>
        <w:tc>
          <w:tcPr>
            <w:tcW w:w="1550" w:type="dxa"/>
            <w:shd w:val="clear" w:color="auto" w:fill="D9D9D9"/>
            <w:vAlign w:val="top"/>
          </w:tcPr>
          <w:p>
            <w:pPr>
              <w:spacing w:before="77" w:line="218" w:lineRule="auto"/>
              <w:ind w:left="296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每周皮下注射</w:t>
            </w:r>
          </w:p>
        </w:tc>
        <w:tc>
          <w:tcPr>
            <w:tcW w:w="1549" w:type="dxa"/>
            <w:shd w:val="clear" w:color="auto" w:fill="D9D9D9"/>
            <w:vAlign w:val="top"/>
          </w:tcPr>
          <w:p>
            <w:pPr>
              <w:spacing w:before="77" w:line="218" w:lineRule="auto"/>
              <w:ind w:left="297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每日皮下注射</w:t>
            </w:r>
          </w:p>
        </w:tc>
        <w:tc>
          <w:tcPr>
            <w:tcW w:w="1551" w:type="dxa"/>
            <w:shd w:val="clear" w:color="auto" w:fill="D9D9D9"/>
            <w:vAlign w:val="top"/>
          </w:tcPr>
          <w:p>
            <w:pPr>
              <w:spacing w:before="78" w:line="227" w:lineRule="auto"/>
              <w:ind w:left="64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7"/>
                <w:sz w:val="16"/>
                <w:szCs w:val="16"/>
              </w:rPr>
              <w:t>口服</w:t>
            </w:r>
          </w:p>
        </w:tc>
        <w:tc>
          <w:tcPr>
            <w:tcW w:w="1548" w:type="dxa"/>
            <w:shd w:val="clear" w:color="auto" w:fill="D9D9D9"/>
            <w:vAlign w:val="top"/>
          </w:tcPr>
          <w:p>
            <w:pPr>
              <w:spacing w:before="78" w:line="227" w:lineRule="auto"/>
              <w:ind w:left="64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7"/>
                <w:sz w:val="16"/>
                <w:szCs w:val="16"/>
              </w:rPr>
              <w:t>口服</w:t>
            </w:r>
          </w:p>
        </w:tc>
        <w:tc>
          <w:tcPr>
            <w:tcW w:w="1549" w:type="dxa"/>
            <w:shd w:val="clear" w:color="auto" w:fill="D9D9D9"/>
            <w:vAlign w:val="top"/>
          </w:tcPr>
          <w:p>
            <w:pPr>
              <w:spacing w:before="78" w:line="227" w:lineRule="auto"/>
              <w:ind w:left="64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7"/>
                <w:sz w:val="16"/>
                <w:szCs w:val="16"/>
              </w:rPr>
              <w:t>口服</w:t>
            </w:r>
          </w:p>
        </w:tc>
        <w:tc>
          <w:tcPr>
            <w:tcW w:w="1579" w:type="dxa"/>
            <w:shd w:val="clear" w:color="auto" w:fill="D9D9D9"/>
            <w:vAlign w:val="top"/>
          </w:tcPr>
          <w:p>
            <w:pPr>
              <w:spacing w:before="78" w:line="227" w:lineRule="auto"/>
              <w:ind w:left="643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7"/>
                <w:sz w:val="16"/>
                <w:szCs w:val="16"/>
              </w:rPr>
              <w:t>口服</w:t>
            </w:r>
          </w:p>
        </w:tc>
      </w:tr>
      <w:tr>
        <w:tblPrEx>
          <w:tblW w:w="10526" w:type="dxa"/>
          <w:tblInd w:w="0" w:type="dxa"/>
          <w:tblLayout w:type="fixed"/>
        </w:tblPrEx>
        <w:trPr>
          <w:trHeight w:val="624"/>
        </w:trPr>
        <w:tc>
          <w:tcPr>
            <w:tcW w:w="1200" w:type="dxa"/>
            <w:vAlign w:val="top"/>
          </w:tcPr>
          <w:p>
            <w:pPr>
              <w:spacing w:before="234" w:line="221" w:lineRule="auto"/>
              <w:ind w:left="29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z w:val="16"/>
                <w:szCs w:val="16"/>
              </w:rPr>
              <w:t>起始剂量</w:t>
            </w:r>
          </w:p>
        </w:tc>
        <w:tc>
          <w:tcPr>
            <w:tcW w:w="1550" w:type="dxa"/>
            <w:vAlign w:val="top"/>
          </w:tcPr>
          <w:p>
            <w:pPr>
              <w:pStyle w:val="TableText"/>
              <w:spacing w:before="234" w:line="213" w:lineRule="auto"/>
              <w:ind w:left="410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0.25mg/</w:t>
            </w: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周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spacing w:before="234" w:line="213" w:lineRule="auto"/>
              <w:ind w:left="456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0.6mg/</w:t>
            </w: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日</w:t>
            </w:r>
          </w:p>
        </w:tc>
        <w:tc>
          <w:tcPr>
            <w:tcW w:w="1551" w:type="dxa"/>
            <w:vAlign w:val="top"/>
          </w:tcPr>
          <w:p>
            <w:pPr>
              <w:spacing w:before="77" w:line="218" w:lineRule="auto"/>
              <w:ind w:left="618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每日</w:t>
            </w:r>
          </w:p>
          <w:p>
            <w:pPr>
              <w:pStyle w:val="TableText"/>
              <w:spacing w:before="146" w:line="197" w:lineRule="auto"/>
              <w:ind w:left="29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3.75mg/23mg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spacing w:before="234" w:line="213" w:lineRule="auto"/>
              <w:ind w:left="219"/>
              <w:rPr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每日</w:t>
            </w:r>
            <w:r>
              <w:rPr>
                <w:rFonts w:ascii="KaiTi" w:eastAsia="KaiTi" w:hAnsi="KaiTi" w:cs="KaiTi"/>
                <w:spacing w:val="-3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8mg/90mg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spacing w:before="234" w:line="213" w:lineRule="auto"/>
              <w:ind w:left="147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120mg</w:t>
            </w: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，每日三次</w:t>
            </w:r>
          </w:p>
        </w:tc>
        <w:tc>
          <w:tcPr>
            <w:tcW w:w="1579" w:type="dxa"/>
            <w:vAlign w:val="top"/>
          </w:tcPr>
          <w:p>
            <w:pPr>
              <w:pStyle w:val="TableText"/>
              <w:spacing w:before="234" w:line="213" w:lineRule="auto"/>
              <w:ind w:left="487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15mg/</w:t>
            </w:r>
            <w:r>
              <w:rPr>
                <w:rFonts w:ascii="KaiTi" w:eastAsia="KaiTi" w:hAnsi="KaiTi" w:cs="KaiTi"/>
                <w:spacing w:val="-3"/>
                <w:sz w:val="16"/>
                <w:szCs w:val="16"/>
              </w:rPr>
              <w:t>日</w:t>
            </w:r>
          </w:p>
        </w:tc>
      </w:tr>
      <w:tr>
        <w:tblPrEx>
          <w:tblW w:w="10526" w:type="dxa"/>
          <w:tblInd w:w="0" w:type="dxa"/>
          <w:tblLayout w:type="fixed"/>
        </w:tblPrEx>
        <w:trPr>
          <w:trHeight w:val="312"/>
        </w:trPr>
        <w:tc>
          <w:tcPr>
            <w:tcW w:w="1200" w:type="dxa"/>
            <w:shd w:val="clear" w:color="auto" w:fill="D9D9D9"/>
            <w:vAlign w:val="top"/>
          </w:tcPr>
          <w:p>
            <w:pPr>
              <w:spacing w:before="78" w:line="220" w:lineRule="auto"/>
              <w:ind w:left="309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3"/>
                <w:sz w:val="16"/>
                <w:szCs w:val="16"/>
              </w:rPr>
              <w:t>治疗剂量</w:t>
            </w:r>
          </w:p>
        </w:tc>
        <w:tc>
          <w:tcPr>
            <w:tcW w:w="1550" w:type="dxa"/>
            <w:shd w:val="clear" w:color="auto" w:fill="D9D9D9"/>
            <w:vAlign w:val="top"/>
          </w:tcPr>
          <w:p>
            <w:pPr>
              <w:pStyle w:val="TableText"/>
              <w:spacing w:before="78" w:line="213" w:lineRule="auto"/>
              <w:ind w:left="453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2.4mg/</w:t>
            </w: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周</w:t>
            </w:r>
          </w:p>
        </w:tc>
        <w:tc>
          <w:tcPr>
            <w:tcW w:w="1549" w:type="dxa"/>
            <w:shd w:val="clear" w:color="auto" w:fill="D9D9D9"/>
            <w:vAlign w:val="top"/>
          </w:tcPr>
          <w:p>
            <w:pPr>
              <w:pStyle w:val="TableText"/>
              <w:spacing w:before="78" w:line="213" w:lineRule="auto"/>
              <w:ind w:left="52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3mg/</w:t>
            </w: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日</w:t>
            </w:r>
          </w:p>
        </w:tc>
        <w:tc>
          <w:tcPr>
            <w:tcW w:w="1551" w:type="dxa"/>
            <w:shd w:val="clear" w:color="auto" w:fill="D9D9D9"/>
            <w:vAlign w:val="top"/>
          </w:tcPr>
          <w:p>
            <w:pPr>
              <w:pStyle w:val="TableText"/>
              <w:spacing w:before="78" w:line="213" w:lineRule="auto"/>
              <w:ind w:left="152"/>
              <w:rPr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每日</w:t>
            </w:r>
            <w:r>
              <w:rPr>
                <w:rFonts w:ascii="KaiTi" w:eastAsia="KaiTi" w:hAnsi="KaiTi" w:cs="KaiTi"/>
                <w:spacing w:val="-30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7.5mg/46mg</w:t>
            </w:r>
          </w:p>
        </w:tc>
        <w:tc>
          <w:tcPr>
            <w:tcW w:w="1548" w:type="dxa"/>
            <w:shd w:val="clear" w:color="auto" w:fill="D9D9D9"/>
            <w:vAlign w:val="top"/>
          </w:tcPr>
          <w:p>
            <w:pPr>
              <w:pStyle w:val="TableText"/>
              <w:spacing w:before="78" w:line="213" w:lineRule="auto"/>
              <w:ind w:left="131"/>
              <w:rPr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每日</w:t>
            </w:r>
            <w:r>
              <w:rPr>
                <w:rFonts w:ascii="KaiTi" w:eastAsia="KaiTi" w:hAnsi="KaiTi" w:cs="KaiTi"/>
                <w:spacing w:val="-19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16mg/180mg</w:t>
            </w:r>
          </w:p>
        </w:tc>
        <w:tc>
          <w:tcPr>
            <w:tcW w:w="1549" w:type="dxa"/>
            <w:shd w:val="clear" w:color="auto" w:fill="D9D9D9"/>
            <w:vAlign w:val="top"/>
          </w:tcPr>
          <w:p>
            <w:pPr>
              <w:pStyle w:val="TableText"/>
              <w:spacing w:before="78" w:line="213" w:lineRule="auto"/>
              <w:ind w:left="147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120mg</w:t>
            </w: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，每日三次</w:t>
            </w:r>
          </w:p>
        </w:tc>
        <w:tc>
          <w:tcPr>
            <w:tcW w:w="1579" w:type="dxa"/>
            <w:shd w:val="clear" w:color="auto" w:fill="D9D9D9"/>
            <w:vAlign w:val="top"/>
          </w:tcPr>
          <w:p>
            <w:pPr>
              <w:pStyle w:val="TableText"/>
              <w:spacing w:before="78" w:line="213" w:lineRule="auto"/>
              <w:ind w:left="409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37.5mg/</w:t>
            </w: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日</w:t>
            </w:r>
          </w:p>
        </w:tc>
      </w:tr>
      <w:tr>
        <w:tblPrEx>
          <w:tblW w:w="10526" w:type="dxa"/>
          <w:tblInd w:w="0" w:type="dxa"/>
          <w:tblLayout w:type="fixed"/>
        </w:tblPrEx>
        <w:trPr>
          <w:trHeight w:val="1871"/>
        </w:trPr>
        <w:tc>
          <w:tcPr>
            <w:tcW w:w="1200" w:type="dxa"/>
            <w:vAlign w:val="top"/>
          </w:tcPr>
          <w:p>
            <w:pPr>
              <w:pStyle w:val="TableText"/>
              <w:spacing w:line="267" w:lineRule="auto"/>
              <w:rPr>
                <w:sz w:val="21"/>
              </w:rPr>
            </w:pPr>
          </w:p>
          <w:p>
            <w:pPr>
              <w:pStyle w:val="TableText"/>
              <w:spacing w:line="267" w:lineRule="auto"/>
              <w:rPr>
                <w:sz w:val="21"/>
              </w:rPr>
            </w:pPr>
          </w:p>
          <w:p>
            <w:pPr>
              <w:pStyle w:val="TableText"/>
              <w:spacing w:line="267" w:lineRule="auto"/>
              <w:rPr>
                <w:sz w:val="21"/>
              </w:rPr>
            </w:pPr>
          </w:p>
          <w:p>
            <w:pPr>
              <w:spacing w:before="52" w:line="216" w:lineRule="auto"/>
              <w:ind w:left="223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潜在副作用</w:t>
            </w:r>
          </w:p>
        </w:tc>
        <w:tc>
          <w:tcPr>
            <w:tcW w:w="1550" w:type="dxa"/>
            <w:vAlign w:val="top"/>
          </w:tcPr>
          <w:p>
            <w:pPr>
              <w:pStyle w:val="TableText"/>
              <w:spacing w:line="323" w:lineRule="auto"/>
              <w:rPr>
                <w:sz w:val="21"/>
              </w:rPr>
            </w:pPr>
          </w:p>
          <w:p>
            <w:pPr>
              <w:pStyle w:val="TableText"/>
              <w:spacing w:line="324" w:lineRule="auto"/>
              <w:rPr>
                <w:sz w:val="21"/>
              </w:rPr>
            </w:pPr>
          </w:p>
          <w:p>
            <w:pPr>
              <w:spacing w:before="52" w:line="290" w:lineRule="auto"/>
              <w:ind w:left="137" w:right="133" w:firstLine="1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5"/>
                <w:sz w:val="16"/>
                <w:szCs w:val="16"/>
              </w:rPr>
              <w:t>恶心呕吐、腹泻、</w:t>
            </w:r>
            <w:r>
              <w:rPr>
                <w:rFonts w:ascii="KaiTi" w:eastAsia="KaiTi" w:hAnsi="KaiTi" w:cs="KaiTi"/>
                <w:sz w:val="16"/>
                <w:szCs w:val="16"/>
              </w:rPr>
              <w:t xml:space="preserve"> </w:t>
            </w: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便秘、头痛、疲劳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spacing w:line="323" w:lineRule="auto"/>
              <w:rPr>
                <w:sz w:val="21"/>
              </w:rPr>
            </w:pPr>
          </w:p>
          <w:p>
            <w:pPr>
              <w:pStyle w:val="TableText"/>
              <w:spacing w:line="324" w:lineRule="auto"/>
              <w:rPr>
                <w:sz w:val="21"/>
              </w:rPr>
            </w:pPr>
          </w:p>
          <w:p>
            <w:pPr>
              <w:spacing w:before="52" w:line="290" w:lineRule="auto"/>
              <w:ind w:left="137" w:right="132" w:firstLine="1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5"/>
                <w:sz w:val="16"/>
                <w:szCs w:val="16"/>
              </w:rPr>
              <w:t>恶心呕吐、腹泻、</w:t>
            </w:r>
            <w:r>
              <w:rPr>
                <w:rFonts w:ascii="KaiTi" w:eastAsia="KaiTi" w:hAnsi="KaiTi" w:cs="KaiTi"/>
                <w:sz w:val="16"/>
                <w:szCs w:val="16"/>
              </w:rPr>
              <w:t xml:space="preserve"> </w:t>
            </w: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便秘、头痛、疲劳</w:t>
            </w:r>
          </w:p>
        </w:tc>
        <w:tc>
          <w:tcPr>
            <w:tcW w:w="1551" w:type="dxa"/>
            <w:vAlign w:val="top"/>
          </w:tcPr>
          <w:p>
            <w:pPr>
              <w:pStyle w:val="TableText"/>
              <w:spacing w:before="77" w:line="332" w:lineRule="auto"/>
              <w:ind w:left="142" w:right="13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不安、失眠症、头</w:t>
            </w:r>
            <w:r>
              <w:rPr>
                <w:rFonts w:ascii="KaiTi" w:eastAsia="KaiTi" w:hAnsi="KaiTi" w:cs="KaiTi"/>
                <w:sz w:val="16"/>
                <w:szCs w:val="16"/>
              </w:rPr>
              <w:t xml:space="preserve"> </w:t>
            </w: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痛、口干、视力模</w:t>
            </w:r>
            <w:r>
              <w:rPr>
                <w:rFonts w:ascii="KaiTi" w:eastAsia="KaiTi" w:hAnsi="KaiTi" w:cs="KaiT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KaiTi" w:eastAsia="KaiTi" w:hAnsi="KaiTi" w:cs="KaiTi"/>
                <w:spacing w:val="3"/>
                <w:sz w:val="16"/>
                <w:szCs w:val="16"/>
              </w:rPr>
              <w:t>糊、心动过速</w:t>
            </w:r>
            <w:r>
              <w:rPr>
                <w:spacing w:val="3"/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BP</w:t>
            </w:r>
            <w:r>
              <w:rPr>
                <w:spacing w:val="1"/>
                <w:sz w:val="16"/>
                <w:szCs w:val="16"/>
              </w:rPr>
              <w:t xml:space="preserve">  </w:t>
            </w: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升高、感觉异常、</w:t>
            </w:r>
            <w:r>
              <w:rPr>
                <w:rFonts w:ascii="KaiTi" w:eastAsia="KaiTi" w:hAnsi="KaiTi" w:cs="KaiT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味觉障碍、精神模</w:t>
            </w:r>
          </w:p>
          <w:p>
            <w:pPr>
              <w:pStyle w:val="TableText"/>
              <w:spacing w:before="122" w:line="233" w:lineRule="auto"/>
              <w:ind w:left="359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糊</w:t>
            </w:r>
            <w:r>
              <w:rPr>
                <w:spacing w:val="-1"/>
                <w:sz w:val="16"/>
                <w:szCs w:val="16"/>
              </w:rPr>
              <w:t>/</w:t>
            </w: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情绪变化</w:t>
            </w:r>
          </w:p>
        </w:tc>
        <w:tc>
          <w:tcPr>
            <w:tcW w:w="1548" w:type="dxa"/>
            <w:vAlign w:val="top"/>
          </w:tcPr>
          <w:p>
            <w:pPr>
              <w:spacing w:before="234" w:line="226" w:lineRule="auto"/>
              <w:ind w:left="152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5"/>
                <w:sz w:val="16"/>
                <w:szCs w:val="16"/>
              </w:rPr>
              <w:t>恶心呕吐、腹泻、</w:t>
            </w:r>
          </w:p>
          <w:p>
            <w:pPr>
              <w:spacing w:before="116" w:line="220" w:lineRule="auto"/>
              <w:ind w:left="216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z w:val="16"/>
                <w:szCs w:val="16"/>
              </w:rPr>
              <w:t>便秘、头痛、疲</w:t>
            </w:r>
          </w:p>
          <w:p>
            <w:pPr>
              <w:spacing w:before="120" w:line="222" w:lineRule="auto"/>
              <w:ind w:left="230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劳、失眠症、口</w:t>
            </w:r>
          </w:p>
          <w:p>
            <w:pPr>
              <w:spacing w:before="119" w:line="221" w:lineRule="auto"/>
              <w:ind w:left="146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干、视力模糊、激</w:t>
            </w:r>
          </w:p>
          <w:p>
            <w:pPr>
              <w:pStyle w:val="TableText"/>
              <w:spacing w:before="120" w:line="233" w:lineRule="auto"/>
              <w:ind w:left="357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动</w:t>
            </w:r>
            <w:r>
              <w:rPr>
                <w:spacing w:val="-1"/>
                <w:sz w:val="16"/>
                <w:szCs w:val="16"/>
              </w:rPr>
              <w:t>/</w:t>
            </w: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情绪变化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spacing w:line="336" w:lineRule="auto"/>
              <w:rPr>
                <w:sz w:val="21"/>
              </w:rPr>
            </w:pPr>
          </w:p>
          <w:p>
            <w:pPr>
              <w:spacing w:before="52" w:line="216" w:lineRule="auto"/>
              <w:ind w:left="166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4"/>
                <w:sz w:val="16"/>
                <w:szCs w:val="16"/>
              </w:rPr>
              <w:t>胃肠胀气、排便急</w:t>
            </w:r>
          </w:p>
          <w:p>
            <w:pPr>
              <w:spacing w:before="124" w:line="223" w:lineRule="auto"/>
              <w:ind w:left="137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促、油性大便、脂</w:t>
            </w:r>
          </w:p>
          <w:p>
            <w:pPr>
              <w:spacing w:before="119" w:line="218" w:lineRule="auto"/>
              <w:ind w:left="139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肪可溶性维生素药</w:t>
            </w:r>
          </w:p>
          <w:p>
            <w:pPr>
              <w:spacing w:before="122" w:line="220" w:lineRule="auto"/>
              <w:ind w:left="382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物吸收不良</w:t>
            </w:r>
          </w:p>
        </w:tc>
        <w:tc>
          <w:tcPr>
            <w:tcW w:w="1579" w:type="dxa"/>
            <w:vAlign w:val="top"/>
          </w:tcPr>
          <w:p>
            <w:pPr>
              <w:pStyle w:val="TableText"/>
              <w:spacing w:line="245" w:lineRule="auto"/>
              <w:rPr>
                <w:sz w:val="21"/>
              </w:rPr>
            </w:pPr>
          </w:p>
          <w:p>
            <w:pPr>
              <w:pStyle w:val="TableText"/>
              <w:spacing w:line="246" w:lineRule="auto"/>
              <w:rPr>
                <w:sz w:val="21"/>
              </w:rPr>
            </w:pPr>
          </w:p>
          <w:p>
            <w:pPr>
              <w:spacing w:before="52" w:line="225" w:lineRule="auto"/>
              <w:ind w:left="221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不安、失眠、头</w:t>
            </w:r>
          </w:p>
          <w:p>
            <w:pPr>
              <w:spacing w:before="117" w:line="220" w:lineRule="auto"/>
              <w:ind w:left="14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痛、口干、心动过</w:t>
            </w:r>
          </w:p>
          <w:p>
            <w:pPr>
              <w:pStyle w:val="TableText"/>
              <w:spacing w:before="120" w:line="217" w:lineRule="auto"/>
              <w:ind w:left="392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速</w:t>
            </w:r>
            <w:r>
              <w:rPr>
                <w:spacing w:val="-2"/>
                <w:sz w:val="16"/>
                <w:szCs w:val="16"/>
              </w:rPr>
              <w:t xml:space="preserve">/BP </w:t>
            </w: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升高</w:t>
            </w:r>
          </w:p>
        </w:tc>
      </w:tr>
      <w:tr>
        <w:tblPrEx>
          <w:tblW w:w="10526" w:type="dxa"/>
          <w:tblInd w:w="0" w:type="dxa"/>
          <w:tblLayout w:type="fixed"/>
        </w:tblPrEx>
        <w:trPr>
          <w:trHeight w:val="1247"/>
        </w:trPr>
        <w:tc>
          <w:tcPr>
            <w:tcW w:w="1200" w:type="dxa"/>
            <w:shd w:val="clear" w:color="auto" w:fill="D9D9D9"/>
            <w:vAlign w:val="top"/>
          </w:tcPr>
          <w:p>
            <w:pPr>
              <w:pStyle w:val="TableText"/>
              <w:spacing w:line="337" w:lineRule="auto"/>
              <w:rPr>
                <w:sz w:val="21"/>
              </w:rPr>
            </w:pPr>
          </w:p>
          <w:p>
            <w:pPr>
              <w:spacing w:before="52" w:line="290" w:lineRule="auto"/>
              <w:ind w:left="381" w:right="184" w:hanging="153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3"/>
                <w:sz w:val="16"/>
                <w:szCs w:val="16"/>
              </w:rPr>
              <w:t>注意事项与</w:t>
            </w:r>
            <w:r>
              <w:rPr>
                <w:rFonts w:ascii="KaiTi" w:eastAsia="KaiTi" w:hAnsi="KaiTi" w:cs="KaiT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禁忌症</w:t>
            </w:r>
          </w:p>
        </w:tc>
        <w:tc>
          <w:tcPr>
            <w:tcW w:w="1550" w:type="dxa"/>
            <w:shd w:val="clear" w:color="auto" w:fill="D9D9D9"/>
            <w:vAlign w:val="top"/>
          </w:tcPr>
          <w:p>
            <w:pPr>
              <w:pStyle w:val="TableText"/>
              <w:spacing w:before="79" w:line="228" w:lineRule="auto"/>
              <w:ind w:left="127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MTC/MEN2</w:t>
            </w: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、心动</w:t>
            </w:r>
          </w:p>
          <w:p>
            <w:pPr>
              <w:spacing w:before="114" w:line="222" w:lineRule="auto"/>
              <w:ind w:left="143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过速、胰腺炎、胆</w:t>
            </w:r>
          </w:p>
          <w:p>
            <w:pPr>
              <w:spacing w:before="119" w:line="218" w:lineRule="auto"/>
              <w:ind w:left="152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囊疾病、糖尿病视</w:t>
            </w:r>
          </w:p>
          <w:p>
            <w:pPr>
              <w:spacing w:before="123" w:line="223" w:lineRule="auto"/>
              <w:ind w:left="482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5"/>
                <w:sz w:val="16"/>
                <w:szCs w:val="16"/>
              </w:rPr>
              <w:t>网膜病变</w:t>
            </w:r>
          </w:p>
        </w:tc>
        <w:tc>
          <w:tcPr>
            <w:tcW w:w="1549" w:type="dxa"/>
            <w:shd w:val="clear" w:color="auto" w:fill="D9D9D9"/>
            <w:vAlign w:val="top"/>
          </w:tcPr>
          <w:p>
            <w:pPr>
              <w:pStyle w:val="TableText"/>
              <w:spacing w:before="235" w:line="228" w:lineRule="auto"/>
              <w:ind w:left="127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MTC/MEN2</w:t>
            </w: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、心动</w:t>
            </w:r>
          </w:p>
          <w:p>
            <w:pPr>
              <w:spacing w:before="114" w:line="222" w:lineRule="auto"/>
              <w:ind w:left="14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过速、胰腺炎、胆</w:t>
            </w:r>
          </w:p>
          <w:p>
            <w:pPr>
              <w:spacing w:before="119" w:line="220" w:lineRule="auto"/>
              <w:ind w:left="552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4"/>
                <w:sz w:val="16"/>
                <w:szCs w:val="16"/>
              </w:rPr>
              <w:t>囊疾病</w:t>
            </w:r>
          </w:p>
        </w:tc>
        <w:tc>
          <w:tcPr>
            <w:tcW w:w="1551" w:type="dxa"/>
            <w:shd w:val="clear" w:color="auto" w:fill="D9D9D9"/>
            <w:vAlign w:val="top"/>
          </w:tcPr>
          <w:p>
            <w:pPr>
              <w:spacing w:before="235" w:line="222" w:lineRule="auto"/>
              <w:ind w:left="14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青光眼、甲状腺功</w:t>
            </w:r>
          </w:p>
          <w:p>
            <w:pPr>
              <w:spacing w:before="119" w:line="218" w:lineRule="auto"/>
              <w:ind w:left="232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3"/>
                <w:sz w:val="16"/>
                <w:szCs w:val="16"/>
              </w:rPr>
              <w:t>能亢进、尿路结</w:t>
            </w:r>
          </w:p>
          <w:p>
            <w:pPr>
              <w:spacing w:before="123" w:line="218" w:lineRule="auto"/>
              <w:ind w:left="138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石、代谢性酸中毒</w:t>
            </w:r>
          </w:p>
        </w:tc>
        <w:tc>
          <w:tcPr>
            <w:tcW w:w="1548" w:type="dxa"/>
            <w:shd w:val="clear" w:color="auto" w:fill="D9D9D9"/>
            <w:vAlign w:val="top"/>
          </w:tcPr>
          <w:p>
            <w:pPr>
              <w:spacing w:before="235" w:line="216" w:lineRule="auto"/>
              <w:ind w:left="140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癫痫发作、未控制</w:t>
            </w:r>
          </w:p>
          <w:p>
            <w:pPr>
              <w:spacing w:before="125" w:line="220" w:lineRule="auto"/>
              <w:ind w:left="150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的高血压、慢性阿</w:t>
            </w:r>
          </w:p>
          <w:p>
            <w:pPr>
              <w:spacing w:before="120" w:line="218" w:lineRule="auto"/>
              <w:ind w:left="306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片类药物使用</w:t>
            </w:r>
          </w:p>
        </w:tc>
        <w:tc>
          <w:tcPr>
            <w:tcW w:w="1549" w:type="dxa"/>
            <w:shd w:val="clear" w:color="auto" w:fill="D9D9D9"/>
            <w:vAlign w:val="top"/>
          </w:tcPr>
          <w:p>
            <w:pPr>
              <w:pStyle w:val="TableText"/>
              <w:spacing w:line="337" w:lineRule="auto"/>
              <w:rPr>
                <w:sz w:val="21"/>
              </w:rPr>
            </w:pPr>
          </w:p>
          <w:p>
            <w:pPr>
              <w:spacing w:before="52" w:line="289" w:lineRule="auto"/>
              <w:ind w:left="224" w:right="212" w:hanging="1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4"/>
                <w:sz w:val="16"/>
                <w:szCs w:val="16"/>
              </w:rPr>
              <w:t>器官移植、尿石</w:t>
            </w:r>
            <w:r>
              <w:rPr>
                <w:rFonts w:ascii="KaiTi" w:eastAsia="KaiTi" w:hAnsi="KaiTi" w:cs="KaiTi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KaiTi" w:eastAsia="KaiTi" w:hAnsi="KaiTi" w:cs="KaiTi"/>
                <w:spacing w:val="-2"/>
                <w:sz w:val="16"/>
                <w:szCs w:val="16"/>
              </w:rPr>
              <w:t>症、胆汁淤积症</w:t>
            </w:r>
          </w:p>
        </w:tc>
        <w:tc>
          <w:tcPr>
            <w:tcW w:w="1579" w:type="dxa"/>
            <w:shd w:val="clear" w:color="auto" w:fill="D9D9D9"/>
            <w:vAlign w:val="top"/>
          </w:tcPr>
          <w:p>
            <w:pPr>
              <w:pStyle w:val="TableText"/>
              <w:spacing w:before="79" w:line="218" w:lineRule="auto"/>
              <w:ind w:left="204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4"/>
                <w:sz w:val="16"/>
                <w:szCs w:val="16"/>
              </w:rPr>
              <w:t>活动性</w:t>
            </w:r>
            <w:r>
              <w:rPr>
                <w:rFonts w:ascii="KaiTi" w:eastAsia="KaiTi" w:hAnsi="KaiTi" w:cs="KaiTi"/>
                <w:spacing w:val="-30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CAD</w:t>
            </w:r>
            <w:r>
              <w:rPr>
                <w:rFonts w:ascii="KaiTi" w:eastAsia="KaiTi" w:hAnsi="KaiTi" w:cs="KaiTi"/>
                <w:spacing w:val="-4"/>
                <w:sz w:val="16"/>
                <w:szCs w:val="16"/>
              </w:rPr>
              <w:t>、未</w:t>
            </w:r>
          </w:p>
          <w:p>
            <w:pPr>
              <w:spacing w:before="123" w:line="220" w:lineRule="auto"/>
              <w:ind w:left="137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控制的高血压、甲</w:t>
            </w:r>
          </w:p>
          <w:p>
            <w:pPr>
              <w:spacing w:before="120" w:line="222" w:lineRule="auto"/>
              <w:ind w:left="143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1"/>
                <w:sz w:val="16"/>
                <w:szCs w:val="16"/>
              </w:rPr>
              <w:t>状腺功能亢进、激</w:t>
            </w:r>
          </w:p>
          <w:p>
            <w:pPr>
              <w:spacing w:before="119" w:line="232" w:lineRule="auto"/>
              <w:ind w:left="712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z w:val="16"/>
                <w:szCs w:val="16"/>
              </w:rPr>
              <w:t>惹</w:t>
            </w:r>
          </w:p>
        </w:tc>
      </w:tr>
      <w:tr>
        <w:tblPrEx>
          <w:tblW w:w="10526" w:type="dxa"/>
          <w:tblInd w:w="0" w:type="dxa"/>
          <w:tblLayout w:type="fixed"/>
        </w:tblPrEx>
        <w:trPr>
          <w:trHeight w:val="331"/>
        </w:trPr>
        <w:tc>
          <w:tcPr>
            <w:tcW w:w="1200" w:type="dxa"/>
            <w:tcBorders>
              <w:bottom w:val="single" w:sz="2" w:space="0" w:color="000000"/>
            </w:tcBorders>
            <w:vAlign w:val="top"/>
          </w:tcPr>
          <w:p>
            <w:pPr>
              <w:spacing w:before="81" w:line="218" w:lineRule="auto"/>
              <w:ind w:left="476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spacing w:val="-6"/>
                <w:sz w:val="16"/>
                <w:szCs w:val="16"/>
              </w:rPr>
              <w:t>费用</w:t>
            </w:r>
          </w:p>
        </w:tc>
        <w:tc>
          <w:tcPr>
            <w:tcW w:w="1550" w:type="dxa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04" w:line="219" w:lineRule="auto"/>
              <w:ind w:left="64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$$$</w:t>
            </w:r>
          </w:p>
        </w:tc>
        <w:tc>
          <w:tcPr>
            <w:tcW w:w="1549" w:type="dxa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04" w:line="219" w:lineRule="auto"/>
              <w:ind w:left="64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$$$</w:t>
            </w:r>
          </w:p>
        </w:tc>
        <w:tc>
          <w:tcPr>
            <w:tcW w:w="1551" w:type="dxa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04" w:line="219" w:lineRule="auto"/>
              <w:ind w:left="69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$$</w:t>
            </w:r>
          </w:p>
        </w:tc>
        <w:tc>
          <w:tcPr>
            <w:tcW w:w="1548" w:type="dxa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04" w:line="219" w:lineRule="auto"/>
              <w:ind w:left="68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$$</w:t>
            </w:r>
          </w:p>
        </w:tc>
        <w:tc>
          <w:tcPr>
            <w:tcW w:w="1549" w:type="dxa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04" w:line="219" w:lineRule="auto"/>
              <w:ind w:left="68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$$</w:t>
            </w:r>
          </w:p>
        </w:tc>
        <w:tc>
          <w:tcPr>
            <w:tcW w:w="1579" w:type="dxa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04" w:line="219" w:lineRule="auto"/>
              <w:ind w:left="7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$</w:t>
            </w:r>
          </w:p>
        </w:tc>
      </w:tr>
    </w:tbl>
    <w:p>
      <w:pPr>
        <w:pStyle w:val="BodyText"/>
        <w:spacing w:before="40" w:line="214" w:lineRule="auto"/>
        <w:ind w:left="41"/>
        <w:rPr>
          <w:sz w:val="15"/>
          <w:szCs w:val="15"/>
        </w:rPr>
      </w:pPr>
      <w:r>
        <w:rPr>
          <w:spacing w:val="-2"/>
          <w:sz w:val="15"/>
          <w:szCs w:val="15"/>
        </w:rPr>
        <w:t>资料来源：</w:t>
      </w:r>
      <w:r>
        <w:rPr>
          <w:spacing w:val="-23"/>
          <w:sz w:val="15"/>
          <w:szCs w:val="15"/>
        </w:rPr>
        <w:t xml:space="preserve"> </w:t>
      </w:r>
      <w:r>
        <w:rPr>
          <w:rFonts w:ascii="Arial" w:eastAsia="Arial" w:hAnsi="Arial" w:cs="Arial"/>
          <w:spacing w:val="-2"/>
          <w:sz w:val="15"/>
          <w:szCs w:val="15"/>
        </w:rPr>
        <w:t>American</w:t>
      </w:r>
      <w:r>
        <w:rPr>
          <w:rFonts w:ascii="Arial" w:eastAsia="Arial" w:hAnsi="Arial" w:cs="Arial"/>
          <w:spacing w:val="-10"/>
          <w:sz w:val="15"/>
          <w:szCs w:val="15"/>
        </w:rPr>
        <w:t xml:space="preserve"> </w:t>
      </w:r>
      <w:r>
        <w:rPr>
          <w:rFonts w:ascii="Arial" w:eastAsia="Arial" w:hAnsi="Arial" w:cs="Arial"/>
          <w:spacing w:val="-2"/>
          <w:sz w:val="15"/>
          <w:szCs w:val="15"/>
        </w:rPr>
        <w:t>Association of Clinical</w:t>
      </w:r>
      <w:r>
        <w:rPr>
          <w:rFonts w:ascii="Arial" w:eastAsia="Arial" w:hAnsi="Arial" w:cs="Arial"/>
          <w:spacing w:val="13"/>
          <w:w w:val="102"/>
          <w:sz w:val="15"/>
          <w:szCs w:val="15"/>
        </w:rPr>
        <w:t xml:space="preserve"> </w:t>
      </w:r>
      <w:r>
        <w:rPr>
          <w:rFonts w:ascii="Arial" w:eastAsia="Arial" w:hAnsi="Arial" w:cs="Arial"/>
          <w:spacing w:val="-2"/>
          <w:sz w:val="15"/>
          <w:szCs w:val="15"/>
        </w:rPr>
        <w:t>Endocri</w:t>
      </w:r>
      <w:r>
        <w:rPr>
          <w:rFonts w:ascii="Arial" w:eastAsia="Arial" w:hAnsi="Arial" w:cs="Arial"/>
          <w:spacing w:val="-3"/>
          <w:sz w:val="15"/>
          <w:szCs w:val="15"/>
        </w:rPr>
        <w:t>nology</w:t>
      </w:r>
      <w:r>
        <w:rPr>
          <w:spacing w:val="-3"/>
          <w:sz w:val="15"/>
          <w:szCs w:val="15"/>
        </w:rPr>
        <w:t>（</w:t>
      </w:r>
      <w:r>
        <w:rPr>
          <w:rFonts w:ascii="Arial" w:eastAsia="Arial" w:hAnsi="Arial" w:cs="Arial"/>
          <w:spacing w:val="-3"/>
          <w:sz w:val="15"/>
          <w:szCs w:val="15"/>
        </w:rPr>
        <w:t>AACE</w:t>
      </w:r>
      <w:r>
        <w:rPr>
          <w:spacing w:val="-3"/>
          <w:sz w:val="15"/>
          <w:szCs w:val="15"/>
        </w:rPr>
        <w:t>）、野村东方国际证券</w:t>
      </w:r>
    </w:p>
    <w:p>
      <w:pPr>
        <w:pStyle w:val="BodyText"/>
        <w:spacing w:before="37" w:line="214" w:lineRule="auto"/>
        <w:ind w:left="42"/>
        <w:rPr>
          <w:sz w:val="15"/>
          <w:szCs w:val="15"/>
        </w:rPr>
      </w:pPr>
      <w:r>
        <w:rPr>
          <w:sz w:val="15"/>
          <w:szCs w:val="15"/>
        </w:rPr>
        <w:t>注：芬特明为有条件批准用于</w:t>
      </w:r>
      <w:r>
        <w:rPr>
          <w:rFonts w:ascii="Arial" w:eastAsia="Arial" w:hAnsi="Arial" w:cs="Arial"/>
          <w:sz w:val="15"/>
          <w:szCs w:val="15"/>
        </w:rPr>
        <w:t xml:space="preserve">≤3 </w:t>
      </w:r>
      <w:r>
        <w:rPr>
          <w:sz w:val="15"/>
          <w:szCs w:val="15"/>
        </w:rPr>
        <w:t>个月短期用药；除芬特明外，减重</w:t>
      </w:r>
      <w:r>
        <w:rPr>
          <w:spacing w:val="-1"/>
          <w:sz w:val="15"/>
          <w:szCs w:val="15"/>
        </w:rPr>
        <w:t>效果均为相对安慰剂的一年期数值</w:t>
      </w:r>
    </w:p>
    <w:p>
      <w:pPr>
        <w:spacing w:line="452" w:lineRule="auto"/>
        <w:rPr>
          <w:rFonts w:ascii="Arial"/>
          <w:sz w:val="21"/>
        </w:rPr>
      </w:pPr>
    </w:p>
    <w:p>
      <w:pPr>
        <w:pStyle w:val="BodyText"/>
        <w:spacing w:before="78" w:line="212" w:lineRule="auto"/>
        <w:ind w:left="70"/>
        <w:rPr>
          <w:sz w:val="24"/>
          <w:szCs w:val="24"/>
        </w:rPr>
      </w:pPr>
      <w:r>
        <w:rPr>
          <w:color w:val="CA2420"/>
          <w:spacing w:val="-2"/>
          <w:sz w:val="24"/>
          <w:szCs w:val="24"/>
        </w:rPr>
        <w:t>司美格鲁肽：需求激增致供货紧缺，销售额年内有望突破</w:t>
      </w:r>
      <w:r>
        <w:rPr>
          <w:color w:val="CA2420"/>
          <w:spacing w:val="-41"/>
          <w:sz w:val="24"/>
          <w:szCs w:val="24"/>
        </w:rPr>
        <w:t xml:space="preserve"> </w:t>
      </w:r>
      <w:r>
        <w:rPr>
          <w:rFonts w:ascii="Arial" w:eastAsia="Arial" w:hAnsi="Arial" w:cs="Arial"/>
          <w:color w:val="CA2420"/>
          <w:spacing w:val="-2"/>
          <w:sz w:val="24"/>
          <w:szCs w:val="24"/>
        </w:rPr>
        <w:t xml:space="preserve">200 </w:t>
      </w:r>
      <w:r>
        <w:rPr>
          <w:color w:val="CA2420"/>
          <w:spacing w:val="-2"/>
          <w:sz w:val="24"/>
          <w:szCs w:val="24"/>
        </w:rPr>
        <w:t>亿美元</w:t>
      </w:r>
    </w:p>
    <w:p>
      <w:pPr>
        <w:pStyle w:val="BodyText"/>
        <w:spacing w:before="200" w:line="343" w:lineRule="exact"/>
        <w:ind w:left="453"/>
      </w:pPr>
      <w:r>
        <w:rPr>
          <w:spacing w:val="-5"/>
          <w:position w:val="10"/>
        </w:rPr>
        <w:t>针对司美格鲁肽减重适应症，诺和诺德进行了</w:t>
      </w:r>
      <w:r>
        <w:rPr>
          <w:spacing w:val="-26"/>
          <w:position w:val="10"/>
        </w:rPr>
        <w:t xml:space="preserve"> </w:t>
      </w:r>
      <w:r>
        <w:rPr>
          <w:rFonts w:ascii="Arial" w:eastAsia="Arial" w:hAnsi="Arial" w:cs="Arial"/>
          <w:spacing w:val="-5"/>
          <w:position w:val="10"/>
        </w:rPr>
        <w:t>STEP</w:t>
      </w:r>
      <w:r>
        <w:rPr>
          <w:rFonts w:ascii="Arial" w:eastAsia="Arial" w:hAnsi="Arial" w:cs="Arial"/>
          <w:spacing w:val="34"/>
          <w:position w:val="10"/>
        </w:rPr>
        <w:t xml:space="preserve"> </w:t>
      </w:r>
      <w:r>
        <w:rPr>
          <w:spacing w:val="-5"/>
          <w:position w:val="10"/>
        </w:rPr>
        <w:t>系列试验，</w:t>
      </w:r>
      <w:r>
        <w:rPr>
          <w:spacing w:val="-5"/>
          <w:position w:val="10"/>
        </w:rPr>
        <w:t xml:space="preserve"> </w:t>
      </w:r>
      <w:r>
        <w:rPr>
          <w:spacing w:val="-5"/>
          <w:position w:val="10"/>
        </w:rPr>
        <w:t>并证明了</w:t>
      </w:r>
    </w:p>
    <w:p>
      <w:pPr>
        <w:pStyle w:val="BodyText"/>
        <w:spacing w:line="213" w:lineRule="auto"/>
        <w:ind w:left="37"/>
      </w:pPr>
      <w:r>
        <w:t>相对安慰剂，司美格鲁肽能显著提升患者减重效果、显著提升患者生</w:t>
      </w:r>
      <w:r>
        <w:rPr>
          <w:spacing w:val="-1"/>
        </w:rPr>
        <w:t>活质量，</w:t>
      </w:r>
    </w:p>
    <w:p>
      <w:pPr>
        <w:pStyle w:val="BodyText"/>
        <w:spacing w:before="101" w:line="343" w:lineRule="exact"/>
        <w:ind w:left="60"/>
      </w:pPr>
      <w:r>
        <w:rPr>
          <w:spacing w:val="-4"/>
          <w:position w:val="10"/>
        </w:rPr>
        <w:t>同时在</w:t>
      </w:r>
      <w:r>
        <w:rPr>
          <w:spacing w:val="-45"/>
          <w:position w:val="10"/>
        </w:rPr>
        <w:t xml:space="preserve"> </w:t>
      </w:r>
      <w:r>
        <w:rPr>
          <w:rFonts w:ascii="Arial" w:eastAsia="Arial" w:hAnsi="Arial" w:cs="Arial"/>
          <w:spacing w:val="-4"/>
          <w:position w:val="10"/>
        </w:rPr>
        <w:t xml:space="preserve">2 </w:t>
      </w:r>
      <w:r>
        <w:rPr>
          <w:spacing w:val="-4"/>
          <w:position w:val="10"/>
        </w:rPr>
        <w:t>年的时间范围内能够维持减重效果。此外，</w:t>
      </w:r>
      <w:r>
        <w:rPr>
          <w:rFonts w:ascii="Arial" w:eastAsia="Arial" w:hAnsi="Arial" w:cs="Arial"/>
          <w:spacing w:val="-4"/>
          <w:position w:val="10"/>
        </w:rPr>
        <w:t xml:space="preserve">68 </w:t>
      </w:r>
      <w:r>
        <w:rPr>
          <w:spacing w:val="-4"/>
          <w:position w:val="10"/>
        </w:rPr>
        <w:t>周结果显示，</w:t>
      </w:r>
      <w:r>
        <w:rPr>
          <w:spacing w:val="-4"/>
          <w:position w:val="10"/>
        </w:rPr>
        <w:t xml:space="preserve"> </w:t>
      </w:r>
      <w:r>
        <w:rPr>
          <w:spacing w:val="-4"/>
          <w:position w:val="10"/>
        </w:rPr>
        <w:t>司美</w:t>
      </w:r>
      <w:r>
        <w:rPr>
          <w:spacing w:val="-5"/>
          <w:position w:val="10"/>
        </w:rPr>
        <w:t>格鲁</w:t>
      </w:r>
    </w:p>
    <w:p>
      <w:pPr>
        <w:pStyle w:val="BodyText"/>
        <w:spacing w:line="213" w:lineRule="auto"/>
        <w:ind w:left="32"/>
      </w:pPr>
      <w:r>
        <w:rPr>
          <w:spacing w:val="-1"/>
        </w:rPr>
        <w:t>肽</w:t>
      </w:r>
      <w:r>
        <w:rPr>
          <w:spacing w:val="-46"/>
        </w:rPr>
        <w:t xml:space="preserve"> </w:t>
      </w:r>
      <w:r>
        <w:rPr>
          <w:rFonts w:ascii="Arial" w:eastAsia="Arial" w:hAnsi="Arial" w:cs="Arial"/>
          <w:spacing w:val="-1"/>
        </w:rPr>
        <w:t>2.4mg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spacing w:val="-1"/>
        </w:rPr>
        <w:t>的减重效果显著优于利拉鲁肽</w:t>
      </w:r>
      <w:r>
        <w:rPr>
          <w:spacing w:val="-43"/>
        </w:rPr>
        <w:t xml:space="preserve"> </w:t>
      </w:r>
      <w:r>
        <w:rPr>
          <w:rFonts w:ascii="Arial" w:eastAsia="Arial" w:hAnsi="Arial" w:cs="Arial"/>
          <w:spacing w:val="-1"/>
        </w:rPr>
        <w:t>3.0mg</w:t>
      </w:r>
      <w:r>
        <w:rPr>
          <w:spacing w:val="-1"/>
        </w:rPr>
        <w:t>（司美格鲁肽</w:t>
      </w:r>
      <w:r>
        <w:rPr>
          <w:spacing w:val="-46"/>
        </w:rPr>
        <w:t xml:space="preserve"> </w:t>
      </w:r>
      <w:r>
        <w:rPr>
          <w:rFonts w:ascii="Arial" w:eastAsia="Arial" w:hAnsi="Arial" w:cs="Arial"/>
          <w:spacing w:val="-1"/>
        </w:rPr>
        <w:t>2.</w:t>
      </w:r>
      <w:r>
        <w:rPr>
          <w:rFonts w:ascii="Arial" w:eastAsia="Arial" w:hAnsi="Arial" w:cs="Arial"/>
          <w:spacing w:val="-2"/>
        </w:rPr>
        <w:t xml:space="preserve">4mg vs  </w:t>
      </w:r>
      <w:r>
        <w:rPr>
          <w:spacing w:val="-2"/>
        </w:rPr>
        <w:t>利拉鲁</w:t>
      </w:r>
    </w:p>
    <w:p>
      <w:pPr>
        <w:pStyle w:val="BodyText"/>
        <w:spacing w:before="101" w:line="213" w:lineRule="auto"/>
        <w:ind w:left="32"/>
      </w:pPr>
      <w:r>
        <w:rPr>
          <w:spacing w:val="-2"/>
        </w:rPr>
        <w:t>肽</w:t>
      </w:r>
      <w:r>
        <w:rPr>
          <w:spacing w:val="-43"/>
        </w:rPr>
        <w:t xml:space="preserve"> </w:t>
      </w:r>
      <w:r>
        <w:rPr>
          <w:rFonts w:ascii="Arial" w:eastAsia="Arial" w:hAnsi="Arial" w:cs="Arial"/>
          <w:spacing w:val="-2"/>
        </w:rPr>
        <w:t xml:space="preserve">3.0mg vs  </w:t>
      </w:r>
      <w:r>
        <w:rPr>
          <w:spacing w:val="-2"/>
        </w:rPr>
        <w:t>安慰剂：</w:t>
      </w:r>
      <w:r>
        <w:rPr>
          <w:rFonts w:ascii="Arial" w:eastAsia="Arial" w:hAnsi="Arial" w:cs="Arial"/>
          <w:spacing w:val="-2"/>
        </w:rPr>
        <w:t xml:space="preserve">-17.1% vs -6.6% </w:t>
      </w:r>
      <w:r>
        <w:rPr>
          <w:rFonts w:ascii="Arial" w:eastAsia="Arial" w:hAnsi="Arial" w:cs="Arial"/>
          <w:spacing w:val="-3"/>
        </w:rPr>
        <w:t>vs -1.8%</w:t>
      </w:r>
      <w:r>
        <w:rPr>
          <w:spacing w:val="-3"/>
        </w:rPr>
        <w:t>）。</w:t>
      </w:r>
    </w:p>
    <w:p>
      <w:pPr>
        <w:spacing w:line="213" w:lineRule="auto"/>
        <w:sectPr>
          <w:headerReference w:type="default" r:id="rId36"/>
          <w:footerReference w:type="default" r:id="rId37"/>
          <w:pgSz w:w="11907" w:h="16839"/>
          <w:pgMar w:top="715" w:right="689" w:bottom="734" w:left="691" w:header="454" w:footer="479" w:gutter="0"/>
          <w:pgNumType w:start="15"/>
          <w:cols w:space="708"/>
        </w:sectPr>
      </w:pPr>
    </w:p>
    <w:p>
      <w:pPr>
        <w:pStyle w:val="BodyText"/>
        <w:spacing w:before="54" w:line="216" w:lineRule="auto"/>
        <w:ind w:left="62"/>
      </w:pPr>
      <w:r>
        <w:pict>
          <v:shape id="_x0000_s1038" style="width:247.5pt;height:0.55pt;margin-top:445.13pt;margin-left:39.36pt;mso-position-horizontal-relative:page;mso-position-vertical-relative:page;position:absolute;z-index:251673600" coordorigin="0,0" coordsize="4950,11" o:allowincell="f" path="m,10l4949,10l4949,l,l,10xe" filled="t" fillcolor="black" stroked="f"/>
        </w:pict>
      </w:r>
      <w:r>
        <w:pict>
          <v:shape id="_x0000_s1039" style="width:247.5pt;height:0.5pt;margin-top:648.58pt;margin-left:39.36pt;mso-position-horizontal-relative:page;mso-position-vertical-relative:page;position:absolute;z-index:251674624" coordorigin="0,0" coordsize="4950,10" o:allowincell="f" path="m,9l4949,9l4949,l,l,9xe" filled="t" fillcolor="black" stroked="f"/>
        </w:pict>
      </w:r>
      <w:r>
        <w:pict>
          <v:group id="_x0000_s1040" style="width:222.1pt;height:147.35pt;margin-top:480.44pt;margin-left:62.34pt;mso-position-horizontal-relative:page;mso-position-vertical-relative:page;position:absolute;z-index:251672576" coordorigin="0,0" coordsize="4442,2947" o:allowincell="f" filled="f" stroked="f">
            <v:shape id="_x0000_s1041" style="width:4442;height:2947;position:absolute" coordorigin="0,0" coordsize="4442,2947" path="m54,2892l54,7m,2892l54,2892m,2412l54,2412m,1930l54,1930m,1450l54,1450m,968l54,968m,488l54,488m,7l54,7m54,2892l4433,2892m54,2892l54,2946m783,2892l783,2946m1513,2892l1513,2946m2242,2892l2242,2946m2974,2892l2974,2946m3704,2892l3704,2946m4433,2892l4433,2946e" filled="f" strokecolor="black" strokeweight="0.75pt"/>
            <v:shape id="_x0000_s1042" type="#_x0000_t75" style="width:978;height:604;left:1755;position:absolute;top:1584" filled="f" stroked="f">
              <v:imagedata r:id="rId38" o:title=""/>
            </v:shape>
            <v:rect id="_x0000_s1043" style="width:247;height:392;left:3214;position:absolute;top:500" filled="t" fillcolor="#b9b9b9" stroked="f"/>
            <v:shape id="_x0000_s1044" type="#_x0000_t75" style="width:237;height:317;left:3944;position:absolute;top:1102" filled="f" stroked="f">
              <v:imagedata r:id="rId39" o:title=""/>
            </v:shape>
            <v:rect id="_x0000_s1045" style="width:238;height:12;left:1035;position:absolute;top:2501" filled="t" fillcolor="#b9b9b9" stroked="f"/>
          </v:group>
        </w:pict>
      </w:r>
      <w:r>
        <w:drawing>
          <wp:anchor distT="0" distB="0" distL="0" distR="0" simplePos="0" relativeHeight="251671552" behindDoc="0" locked="0" layoutInCell="0" allowOverlap="1">
            <wp:simplePos x="0" y="0"/>
            <wp:positionH relativeFrom="page">
              <wp:posOffset>986027</wp:posOffset>
            </wp:positionH>
            <wp:positionV relativeFrom="page">
              <wp:posOffset>6288024</wp:posOffset>
            </wp:positionV>
            <wp:extent cx="2461260" cy="1650237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65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1" locked="0" layoutInCell="0" allowOverlap="1">
            <wp:simplePos x="0" y="0"/>
            <wp:positionH relativeFrom="page">
              <wp:posOffset>3936364</wp:posOffset>
            </wp:positionH>
            <wp:positionV relativeFrom="page">
              <wp:posOffset>5758688</wp:posOffset>
            </wp:positionV>
            <wp:extent cx="3105785" cy="2377439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05785" cy="237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746760</wp:posOffset>
            </wp:positionV>
            <wp:extent cx="6645656" cy="2430779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45656" cy="2430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bookmark128"/>
      <w:bookmarkEnd w:id="10"/>
      <w:bookmarkStart w:id="11" w:name="bookmark48"/>
      <w:bookmarkEnd w:id="11"/>
      <w:bookmarkStart w:id="12" w:name="bookmark6"/>
      <w:bookmarkEnd w:id="12"/>
      <w:bookmarkStart w:id="13" w:name="bookmark49"/>
      <w:bookmarkEnd w:id="13"/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图表</w:t>
      </w:r>
      <w:r>
        <w:rPr>
          <w:spacing w:val="-49"/>
        </w:rPr>
        <w:t xml:space="preserve"> </w:t>
      </w:r>
      <w:r>
        <w:rPr>
          <w:rFonts w:ascii="Arial" w:eastAsia="Arial" w:hAnsi="Arial" w:cs="Arial"/>
          <w:b/>
          <w:bCs/>
          <w:spacing w:val="-4"/>
        </w:rPr>
        <w:t>4</w:t>
      </w: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rFonts w:ascii="Arial" w:eastAsia="Arial" w:hAnsi="Arial" w:cs="Arial"/>
          <w:b/>
          <w:bCs/>
          <w:spacing w:val="-4"/>
        </w:rPr>
        <w:t>STEP</w:t>
      </w:r>
      <w:r>
        <w:rPr>
          <w:rFonts w:ascii="Arial" w:eastAsia="Arial" w:hAnsi="Arial" w:cs="Arial"/>
          <w:b/>
          <w:bCs/>
          <w:spacing w:val="31"/>
        </w:rPr>
        <w:t xml:space="preserve"> </w:t>
      </w: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系列研究结果总结</w:t>
      </w:r>
    </w:p>
    <w:p>
      <w:pPr>
        <w:spacing w:before="33" w:line="4078" w:lineRule="exact"/>
      </w:pPr>
      <w:r>
        <w:rPr>
          <w:position w:val="-81"/>
        </w:rPr>
        <w:pict>
          <v:group id="_x0000_i1046" style="width:526.3pt;height:203.9pt;mso-position-horizontal-relative:char;mso-position-vertical-relative:line" coordorigin="0,0" coordsize="10525,4077" filled="f" stroked="f">
            <v:rect id="_x0000_s1047" style="width:10525;height:10;position:absolute" filled="t" fillcolor="black" stroked="f"/>
            <v:rect id="_x0000_s1048" style="width:10525;height:10;position:absolute;top:4068" filled="t" fillcolor="black" stroked="f"/>
            <w10:wrap type="none"/>
          </v:group>
        </w:pict>
      </w:r>
    </w:p>
    <w:p>
      <w:pPr>
        <w:pStyle w:val="BodyText"/>
        <w:spacing w:before="40" w:line="216" w:lineRule="auto"/>
        <w:ind w:left="41"/>
        <w:rPr>
          <w:sz w:val="15"/>
          <w:szCs w:val="15"/>
        </w:rPr>
      </w:pPr>
      <w:r>
        <w:rPr>
          <w:spacing w:val="-1"/>
          <w:sz w:val="15"/>
          <w:szCs w:val="15"/>
        </w:rPr>
        <w:t>资料来源：</w:t>
      </w:r>
      <w:r>
        <w:rPr>
          <w:spacing w:val="-23"/>
          <w:sz w:val="15"/>
          <w:szCs w:val="15"/>
        </w:rPr>
        <w:t xml:space="preserve"> </w:t>
      </w:r>
      <w:r>
        <w:rPr>
          <w:spacing w:val="-1"/>
          <w:sz w:val="15"/>
          <w:szCs w:val="15"/>
        </w:rPr>
        <w:t>诺和诺德官网《</w:t>
      </w:r>
      <w:r>
        <w:rPr>
          <w:rFonts w:ascii="Arial" w:eastAsia="Arial" w:hAnsi="Arial" w:cs="Arial"/>
          <w:spacing w:val="-1"/>
          <w:sz w:val="15"/>
          <w:szCs w:val="15"/>
        </w:rPr>
        <w:t>Investor presentation</w:t>
      </w:r>
      <w:r>
        <w:rPr>
          <w:rFonts w:ascii="Arial" w:eastAsia="Arial" w:hAnsi="Arial" w:cs="Arial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spacing w:val="-1"/>
          <w:sz w:val="15"/>
          <w:szCs w:val="15"/>
        </w:rPr>
        <w:t xml:space="preserve">First </w:t>
      </w:r>
      <w:r>
        <w:rPr>
          <w:rFonts w:ascii="Arial" w:eastAsia="Arial" w:hAnsi="Arial" w:cs="Arial"/>
          <w:spacing w:val="-2"/>
          <w:sz w:val="15"/>
          <w:szCs w:val="15"/>
        </w:rPr>
        <w:t>six months of 2023</w:t>
      </w:r>
      <w:r>
        <w:rPr>
          <w:spacing w:val="-2"/>
          <w:sz w:val="15"/>
          <w:szCs w:val="15"/>
        </w:rPr>
        <w:t>》</w:t>
      </w:r>
    </w:p>
    <w:p>
      <w:pPr>
        <w:pStyle w:val="BodyText"/>
        <w:spacing w:before="284" w:line="216" w:lineRule="auto"/>
        <w:ind w:left="487"/>
      </w:pP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司美格鲁肽在降糖及减重领域的优势推动其在全球范围内迅速放量。</w:t>
      </w:r>
      <w:r>
        <w:rPr>
          <w:spacing w:val="-4"/>
        </w:rPr>
        <w:t>（</w:t>
      </w:r>
      <w:r>
        <w:rPr>
          <w:rFonts w:ascii="Arial" w:eastAsia="Arial" w:hAnsi="Arial" w:cs="Arial"/>
          <w:spacing w:val="-4"/>
        </w:rPr>
        <w:t>1</w:t>
      </w:r>
      <w:r>
        <w:rPr>
          <w:spacing w:val="-4"/>
        </w:rPr>
        <w:t>）</w:t>
      </w:r>
    </w:p>
    <w:p>
      <w:pPr>
        <w:pStyle w:val="BodyText"/>
        <w:spacing w:before="98" w:line="343" w:lineRule="exact"/>
        <w:ind w:left="32"/>
      </w:pPr>
      <w:r>
        <w:rPr>
          <w:spacing w:val="-3"/>
          <w:position w:val="10"/>
        </w:rPr>
        <w:t>根据</w:t>
      </w:r>
      <w:r>
        <w:rPr>
          <w:spacing w:val="-38"/>
          <w:position w:val="10"/>
        </w:rPr>
        <w:t xml:space="preserve"> </w:t>
      </w:r>
      <w:r>
        <w:rPr>
          <w:rFonts w:ascii="Arial" w:eastAsia="Arial" w:hAnsi="Arial" w:cs="Arial"/>
          <w:spacing w:val="-3"/>
          <w:position w:val="10"/>
        </w:rPr>
        <w:t>FDA</w:t>
      </w:r>
      <w:r>
        <w:rPr>
          <w:spacing w:val="-3"/>
          <w:position w:val="10"/>
        </w:rPr>
        <w:t>（</w:t>
      </w:r>
      <w:r>
        <w:rPr>
          <w:rFonts w:ascii="Arial" w:eastAsia="Arial" w:hAnsi="Arial" w:cs="Arial"/>
          <w:color w:val="333333"/>
          <w:spacing w:val="-3"/>
          <w:position w:val="10"/>
        </w:rPr>
        <w:t>Food and</w:t>
      </w:r>
      <w:r>
        <w:rPr>
          <w:rFonts w:ascii="Arial" w:eastAsia="Arial" w:hAnsi="Arial" w:cs="Arial"/>
          <w:color w:val="333333"/>
          <w:spacing w:val="16"/>
          <w:w w:val="101"/>
          <w:position w:val="10"/>
        </w:rPr>
        <w:t xml:space="preserve"> </w:t>
      </w:r>
      <w:r>
        <w:rPr>
          <w:rFonts w:ascii="Arial" w:eastAsia="Arial" w:hAnsi="Arial" w:cs="Arial"/>
          <w:color w:val="333333"/>
          <w:spacing w:val="-3"/>
          <w:position w:val="10"/>
        </w:rPr>
        <w:t>Drug</w:t>
      </w:r>
      <w:r>
        <w:rPr>
          <w:rFonts w:ascii="Arial" w:eastAsia="Arial" w:hAnsi="Arial" w:cs="Arial"/>
          <w:color w:val="333333"/>
          <w:spacing w:val="-13"/>
          <w:position w:val="10"/>
        </w:rPr>
        <w:t xml:space="preserve"> </w:t>
      </w:r>
      <w:r>
        <w:rPr>
          <w:rFonts w:ascii="Arial" w:eastAsia="Arial" w:hAnsi="Arial" w:cs="Arial"/>
          <w:color w:val="333333"/>
          <w:spacing w:val="-3"/>
          <w:position w:val="10"/>
        </w:rPr>
        <w:t>Administration</w:t>
      </w:r>
      <w:r>
        <w:rPr>
          <w:spacing w:val="-4"/>
          <w:position w:val="10"/>
        </w:rPr>
        <w:t>）披露的信息，</w:t>
      </w:r>
      <w:r>
        <w:rPr>
          <w:spacing w:val="24"/>
          <w:position w:val="10"/>
        </w:rPr>
        <w:t xml:space="preserve"> </w:t>
      </w:r>
      <w:r>
        <w:rPr>
          <w:spacing w:val="-4"/>
          <w:position w:val="10"/>
        </w:rPr>
        <w:t>由于需求激增，司美</w:t>
      </w:r>
    </w:p>
    <w:p>
      <w:pPr>
        <w:pStyle w:val="BodyText"/>
        <w:spacing w:line="213" w:lineRule="auto"/>
        <w:ind w:left="31"/>
      </w:pPr>
      <w:r>
        <w:rPr>
          <w:spacing w:val="-5"/>
        </w:rPr>
        <w:t>格鲁肽全球供货目前面临短缺</w:t>
      </w:r>
      <w:r>
        <w:rPr>
          <w:spacing w:val="-18"/>
        </w:rPr>
        <w:t>；（</w:t>
      </w:r>
      <w:r>
        <w:rPr>
          <w:rFonts w:ascii="Arial" w:eastAsia="Arial" w:hAnsi="Arial" w:cs="Arial"/>
          <w:spacing w:val="-5"/>
        </w:rPr>
        <w:t>2</w:t>
      </w:r>
      <w:r>
        <w:rPr>
          <w:spacing w:val="-5"/>
        </w:rPr>
        <w:t>）尽管产能有所受限，</w:t>
      </w:r>
      <w:r>
        <w:rPr>
          <w:spacing w:val="-5"/>
        </w:rPr>
        <w:t xml:space="preserve"> </w:t>
      </w:r>
      <w:r>
        <w:rPr>
          <w:spacing w:val="-5"/>
        </w:rPr>
        <w:t>但需求端的</w:t>
      </w:r>
      <w:r>
        <w:rPr>
          <w:spacing w:val="-6"/>
        </w:rPr>
        <w:t>火热推动</w:t>
      </w:r>
    </w:p>
    <w:p>
      <w:pPr>
        <w:pStyle w:val="BodyText"/>
        <w:spacing w:before="101" w:line="215" w:lineRule="auto"/>
        <w:ind w:left="65"/>
      </w:pPr>
      <w:r>
        <w:rPr>
          <w:spacing w:val="-6"/>
        </w:rPr>
        <w:t>司美格鲁肽全球市场快速放量，</w:t>
      </w:r>
      <w:r>
        <w:rPr>
          <w:spacing w:val="-6"/>
        </w:rPr>
        <w:t xml:space="preserve"> </w:t>
      </w:r>
      <w:r>
        <w:rPr>
          <w:rFonts w:ascii="Arial" w:eastAsia="Arial" w:hAnsi="Arial" w:cs="Arial"/>
          <w:spacing w:val="-6"/>
        </w:rPr>
        <w:t xml:space="preserve">2023 </w:t>
      </w:r>
      <w:r>
        <w:rPr>
          <w:spacing w:val="-6"/>
        </w:rPr>
        <w:t>年上半年，</w:t>
      </w:r>
      <w:r>
        <w:rPr>
          <w:spacing w:val="-6"/>
        </w:rPr>
        <w:t xml:space="preserve"> </w:t>
      </w:r>
      <w:r>
        <w:rPr>
          <w:spacing w:val="-6"/>
        </w:rPr>
        <w:t>注射降糖</w:t>
      </w:r>
      <w:r>
        <w:rPr>
          <w:spacing w:val="-7"/>
        </w:rPr>
        <w:t>版</w:t>
      </w:r>
      <w:r>
        <w:rPr>
          <w:spacing w:val="-42"/>
        </w:rPr>
        <w:t xml:space="preserve"> </w:t>
      </w:r>
      <w:r>
        <w:rPr>
          <w:rFonts w:ascii="Arial" w:eastAsia="Arial" w:hAnsi="Arial" w:cs="Arial"/>
          <w:spacing w:val="-7"/>
        </w:rPr>
        <w:t xml:space="preserve">Ozempic </w:t>
      </w:r>
      <w:r>
        <w:rPr>
          <w:spacing w:val="-7"/>
        </w:rPr>
        <w:t>销售额</w:t>
      </w:r>
    </w:p>
    <w:p>
      <w:pPr>
        <w:pStyle w:val="BodyText"/>
        <w:spacing w:before="98" w:line="213" w:lineRule="auto"/>
        <w:ind w:left="3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2"/>
        </w:rPr>
        <w:t xml:space="preserve">$61.69 </w:t>
      </w:r>
      <w:r>
        <w:rPr>
          <w:spacing w:val="-2"/>
        </w:rPr>
        <w:t>亿（</w:t>
      </w:r>
      <w:r>
        <w:rPr>
          <w:rFonts w:ascii="Arial" w:eastAsia="Arial" w:hAnsi="Arial" w:cs="Arial"/>
          <w:spacing w:val="-2"/>
        </w:rPr>
        <w:t>YoY +58%</w:t>
      </w:r>
      <w:r>
        <w:rPr>
          <w:spacing w:val="-58"/>
          <w:w w:val="97"/>
        </w:rPr>
        <w:t>）；</w:t>
      </w:r>
      <w:r>
        <w:rPr>
          <w:spacing w:val="-46"/>
        </w:rPr>
        <w:t xml:space="preserve"> </w:t>
      </w:r>
      <w:r>
        <w:rPr>
          <w:spacing w:val="-2"/>
        </w:rPr>
        <w:t>口服降</w:t>
      </w:r>
      <w:r>
        <w:rPr>
          <w:spacing w:val="-3"/>
        </w:rPr>
        <w:t>糖版</w:t>
      </w:r>
      <w:r>
        <w:rPr>
          <w:spacing w:val="-35"/>
        </w:rPr>
        <w:t xml:space="preserve"> </w:t>
      </w:r>
      <w:r>
        <w:rPr>
          <w:rFonts w:ascii="Arial" w:eastAsia="Arial" w:hAnsi="Arial" w:cs="Arial"/>
          <w:spacing w:val="-3"/>
        </w:rPr>
        <w:t xml:space="preserve">Rybelsus </w:t>
      </w:r>
      <w:r>
        <w:rPr>
          <w:spacing w:val="-3"/>
        </w:rPr>
        <w:t>销售额</w:t>
      </w:r>
      <w:r>
        <w:rPr>
          <w:rFonts w:ascii="Arial" w:eastAsia="Arial" w:hAnsi="Arial" w:cs="Arial"/>
          <w:spacing w:val="-3"/>
        </w:rPr>
        <w:t xml:space="preserve">$12.33 </w:t>
      </w:r>
      <w:r>
        <w:rPr>
          <w:spacing w:val="-3"/>
        </w:rPr>
        <w:t>亿（</w:t>
      </w:r>
      <w:r>
        <w:rPr>
          <w:rFonts w:ascii="Arial" w:eastAsia="Arial" w:hAnsi="Arial" w:cs="Arial"/>
          <w:spacing w:val="-3"/>
        </w:rPr>
        <w:t>YoY</w:t>
      </w:r>
    </w:p>
    <w:p>
      <w:pPr>
        <w:pStyle w:val="BodyText"/>
        <w:spacing w:before="101" w:line="343" w:lineRule="exact"/>
        <w:ind w:left="4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  <w:position w:val="10"/>
        </w:rPr>
        <w:t>+97%</w:t>
      </w:r>
      <w:r>
        <w:rPr>
          <w:spacing w:val="-38"/>
          <w:position w:val="10"/>
        </w:rPr>
        <w:t>）；</w:t>
      </w:r>
      <w:r>
        <w:rPr>
          <w:spacing w:val="-4"/>
          <w:position w:val="10"/>
        </w:rPr>
        <w:t>减肥版</w:t>
      </w:r>
      <w:r>
        <w:rPr>
          <w:spacing w:val="-55"/>
          <w:position w:val="10"/>
        </w:rPr>
        <w:t xml:space="preserve"> </w:t>
      </w:r>
      <w:r>
        <w:rPr>
          <w:rFonts w:ascii="Arial" w:eastAsia="Arial" w:hAnsi="Arial" w:cs="Arial"/>
          <w:spacing w:val="-4"/>
          <w:position w:val="10"/>
        </w:rPr>
        <w:t xml:space="preserve">Wegovy </w:t>
      </w:r>
      <w:r>
        <w:rPr>
          <w:spacing w:val="-4"/>
          <w:position w:val="10"/>
        </w:rPr>
        <w:t>销售额</w:t>
      </w:r>
      <w:r>
        <w:rPr>
          <w:rFonts w:ascii="Arial" w:eastAsia="Arial" w:hAnsi="Arial" w:cs="Arial"/>
          <w:spacing w:val="-4"/>
          <w:position w:val="10"/>
        </w:rPr>
        <w:t xml:space="preserve">$17.86 </w:t>
      </w:r>
      <w:r>
        <w:rPr>
          <w:spacing w:val="-4"/>
          <w:position w:val="10"/>
        </w:rPr>
        <w:t>亿（</w:t>
      </w:r>
      <w:r>
        <w:rPr>
          <w:rFonts w:ascii="Arial" w:eastAsia="Arial" w:hAnsi="Arial" w:cs="Arial"/>
          <w:spacing w:val="-4"/>
          <w:position w:val="10"/>
        </w:rPr>
        <w:t>YoY +367%</w:t>
      </w:r>
      <w:r>
        <w:rPr>
          <w:spacing w:val="-4"/>
          <w:position w:val="10"/>
        </w:rPr>
        <w:t>）。司美格鲁肽</w:t>
      </w:r>
      <w:r>
        <w:rPr>
          <w:spacing w:val="-48"/>
          <w:position w:val="10"/>
        </w:rPr>
        <w:t xml:space="preserve"> </w:t>
      </w:r>
      <w:r>
        <w:rPr>
          <w:rFonts w:ascii="Arial" w:eastAsia="Arial" w:hAnsi="Arial" w:cs="Arial"/>
          <w:spacing w:val="-4"/>
          <w:position w:val="10"/>
        </w:rPr>
        <w:t>2023</w:t>
      </w:r>
    </w:p>
    <w:p>
      <w:pPr>
        <w:pStyle w:val="BodyText"/>
        <w:spacing w:line="226" w:lineRule="auto"/>
        <w:ind w:left="37"/>
      </w:pPr>
      <w:r>
        <w:rPr>
          <w:spacing w:val="-1"/>
        </w:rPr>
        <w:t>年上半年销售额</w:t>
      </w:r>
      <w:r>
        <w:rPr>
          <w:rFonts w:ascii="Arial" w:eastAsia="Arial" w:hAnsi="Arial" w:cs="Arial"/>
          <w:spacing w:val="-1"/>
        </w:rPr>
        <w:t xml:space="preserve">$91.88 </w:t>
      </w:r>
      <w:r>
        <w:rPr>
          <w:spacing w:val="-1"/>
        </w:rPr>
        <w:t>亿（</w:t>
      </w:r>
      <w:r>
        <w:rPr>
          <w:rFonts w:ascii="Arial" w:eastAsia="Arial" w:hAnsi="Arial" w:cs="Arial"/>
          <w:spacing w:val="-1"/>
        </w:rPr>
        <w:t xml:space="preserve">YoY </w:t>
      </w:r>
      <w:r>
        <w:rPr>
          <w:rFonts w:ascii="Arial" w:eastAsia="Arial" w:hAnsi="Arial" w:cs="Arial"/>
          <w:spacing w:val="-2"/>
        </w:rPr>
        <w:t>+88%</w:t>
      </w:r>
      <w:r>
        <w:rPr>
          <w:spacing w:val="-44"/>
        </w:rPr>
        <w:t>），</w:t>
      </w:r>
      <w:r>
        <w:rPr>
          <w:spacing w:val="-2"/>
        </w:rPr>
        <w:t>我们预计全年销售额有望突破</w:t>
      </w:r>
      <w:r>
        <w:rPr>
          <w:spacing w:val="-45"/>
        </w:rPr>
        <w:t xml:space="preserve"> </w:t>
      </w:r>
      <w:r>
        <w:rPr>
          <w:rFonts w:ascii="Arial" w:eastAsia="Arial" w:hAnsi="Arial" w:cs="Arial"/>
          <w:spacing w:val="-2"/>
        </w:rPr>
        <w:t xml:space="preserve">200 </w:t>
      </w:r>
      <w:r>
        <w:rPr>
          <w:spacing w:val="-2"/>
        </w:rPr>
        <w:t>亿</w:t>
      </w:r>
    </w:p>
    <w:p>
      <w:pPr>
        <w:pStyle w:val="BodyText"/>
        <w:spacing w:before="86" w:line="226" w:lineRule="auto"/>
        <w:ind w:left="50"/>
      </w:pPr>
      <w:r>
        <w:rPr>
          <w:spacing w:val="-11"/>
        </w:rPr>
        <w:t>美元。</w:t>
      </w:r>
    </w:p>
    <w:p>
      <w:pPr>
        <w:spacing w:before="50"/>
      </w:pPr>
    </w:p>
    <w:p>
      <w:pPr>
        <w:sectPr>
          <w:headerReference w:type="default" r:id="rId43"/>
          <w:footerReference w:type="default" r:id="rId44"/>
          <w:pgSz w:w="11907" w:h="16839"/>
          <w:pgMar w:top="715" w:right="689" w:bottom="734" w:left="691" w:header="454" w:footer="479" w:gutter="0"/>
          <w:pgNumType w:start="16"/>
          <w:cols w:num="1" w:space="708" w:equalWidth="0">
            <w:col w:w="10526" w:space="0"/>
          </w:cols>
        </w:sectPr>
      </w:pPr>
    </w:p>
    <w:p>
      <w:pPr>
        <w:pStyle w:val="BodyText"/>
        <w:spacing w:before="41" w:line="216" w:lineRule="auto"/>
        <w:ind w:left="158"/>
      </w:pP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图表</w:t>
      </w:r>
      <w:r>
        <w:rPr>
          <w:spacing w:val="-33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5</w:t>
      </w: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：司美格鲁肽全球销售额（亿美元）</w:t>
      </w:r>
    </w:p>
    <w:p>
      <w:pPr>
        <w:spacing w:line="323" w:lineRule="auto"/>
        <w:rPr>
          <w:rFonts w:ascii="Arial"/>
          <w:sz w:val="21"/>
        </w:rPr>
      </w:pPr>
    </w:p>
    <w:p>
      <w:pPr>
        <w:spacing w:before="53" w:line="196" w:lineRule="auto"/>
        <w:ind w:left="117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1"/>
          <w:sz w:val="18"/>
          <w:szCs w:val="18"/>
        </w:rPr>
        <w:drawing>
          <wp:inline distT="0" distB="0" distL="0" distR="0">
            <wp:extent cx="57435" cy="57435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435" cy="5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Ozempic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  </w:t>
      </w:r>
      <w:r>
        <w:rPr>
          <w:position w:val="1"/>
          <w:sz w:val="18"/>
          <w:szCs w:val="18"/>
        </w:rPr>
        <w:drawing>
          <wp:inline distT="0" distB="0" distL="0" distR="0">
            <wp:extent cx="57435" cy="57435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435" cy="5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Rybelsus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  </w:t>
      </w:r>
      <w:r>
        <w:rPr>
          <w:position w:val="1"/>
          <w:sz w:val="18"/>
          <w:szCs w:val="18"/>
        </w:rPr>
        <w:drawing>
          <wp:inline distT="0" distB="0" distL="0" distR="0">
            <wp:extent cx="57435" cy="57435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435" cy="5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Wegovy</w:t>
      </w:r>
    </w:p>
    <w:p>
      <w:pPr>
        <w:spacing w:before="133" w:line="194" w:lineRule="auto"/>
        <w:ind w:left="17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7"/>
          <w:sz w:val="18"/>
          <w:szCs w:val="18"/>
        </w:rPr>
        <w:t>120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52" w:line="194" w:lineRule="auto"/>
        <w:ind w:left="17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7"/>
          <w:sz w:val="18"/>
          <w:szCs w:val="18"/>
        </w:rPr>
        <w:t>100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52" w:line="194" w:lineRule="auto"/>
        <w:ind w:left="26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80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53" w:line="194" w:lineRule="auto"/>
        <w:ind w:left="26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60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52" w:line="194" w:lineRule="auto"/>
        <w:ind w:left="25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40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52" w:line="194" w:lineRule="auto"/>
        <w:ind w:left="2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20</w:t>
      </w:r>
    </w:p>
    <w:p>
      <w:pPr>
        <w:spacing w:line="259" w:lineRule="auto"/>
        <w:rPr>
          <w:rFonts w:ascii="Arial"/>
          <w:sz w:val="21"/>
        </w:rPr>
      </w:pPr>
    </w:p>
    <w:p>
      <w:pPr>
        <w:spacing w:before="52" w:line="194" w:lineRule="auto"/>
        <w:ind w:left="36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0</w:t>
      </w:r>
    </w:p>
    <w:p>
      <w:pPr>
        <w:spacing w:before="48" w:line="194" w:lineRule="auto"/>
        <w:ind w:left="77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2018</w:t>
      </w:r>
      <w:r>
        <w:rPr>
          <w:rFonts w:ascii="Arial" w:eastAsia="Arial" w:hAnsi="Arial" w:cs="Arial"/>
          <w:spacing w:val="8"/>
          <w:sz w:val="18"/>
          <w:szCs w:val="18"/>
        </w:rPr>
        <w:t xml:space="preserve">      </w:t>
      </w:r>
      <w:r>
        <w:rPr>
          <w:rFonts w:ascii="Arial" w:eastAsia="Arial" w:hAnsi="Arial" w:cs="Arial"/>
          <w:spacing w:val="-1"/>
          <w:sz w:val="18"/>
          <w:szCs w:val="18"/>
        </w:rPr>
        <w:t>2019</w:t>
      </w:r>
      <w:r>
        <w:rPr>
          <w:rFonts w:ascii="Arial" w:eastAsia="Arial" w:hAnsi="Arial" w:cs="Arial"/>
          <w:spacing w:val="6"/>
          <w:sz w:val="18"/>
          <w:szCs w:val="18"/>
        </w:rPr>
        <w:t xml:space="preserve">      </w:t>
      </w:r>
      <w:r>
        <w:rPr>
          <w:rFonts w:ascii="Arial" w:eastAsia="Arial" w:hAnsi="Arial" w:cs="Arial"/>
          <w:spacing w:val="-1"/>
          <w:sz w:val="18"/>
          <w:szCs w:val="18"/>
        </w:rPr>
        <w:t>2020</w:t>
      </w:r>
      <w:r>
        <w:rPr>
          <w:rFonts w:ascii="Arial" w:eastAsia="Arial" w:hAnsi="Arial" w:cs="Arial"/>
          <w:spacing w:val="6"/>
          <w:sz w:val="18"/>
          <w:szCs w:val="18"/>
        </w:rPr>
        <w:t xml:space="preserve">      </w:t>
      </w:r>
      <w:r>
        <w:rPr>
          <w:rFonts w:ascii="Arial" w:eastAsia="Arial" w:hAnsi="Arial" w:cs="Arial"/>
          <w:spacing w:val="-1"/>
          <w:sz w:val="18"/>
          <w:szCs w:val="18"/>
        </w:rPr>
        <w:t>2021</w:t>
      </w:r>
      <w:r>
        <w:rPr>
          <w:rFonts w:ascii="Arial" w:eastAsia="Arial" w:hAnsi="Arial" w:cs="Arial"/>
          <w:spacing w:val="6"/>
          <w:sz w:val="18"/>
          <w:szCs w:val="18"/>
        </w:rPr>
        <w:t xml:space="preserve">      </w:t>
      </w:r>
      <w:r>
        <w:rPr>
          <w:rFonts w:ascii="Arial" w:eastAsia="Arial" w:hAnsi="Arial" w:cs="Arial"/>
          <w:spacing w:val="-1"/>
          <w:sz w:val="18"/>
          <w:szCs w:val="18"/>
        </w:rPr>
        <w:t>2022    2023H1</w:t>
      </w:r>
    </w:p>
    <w:p>
      <w:pPr>
        <w:pStyle w:val="BodyText"/>
        <w:spacing w:before="209" w:line="223" w:lineRule="auto"/>
        <w:ind w:left="130" w:right="367" w:firstLine="7"/>
        <w:rPr>
          <w:sz w:val="15"/>
          <w:szCs w:val="15"/>
        </w:rPr>
      </w:pPr>
      <w:r>
        <w:rPr>
          <w:spacing w:val="-2"/>
          <w:sz w:val="15"/>
          <w:szCs w:val="15"/>
        </w:rPr>
        <w:t>资料来源：诺和诺德</w:t>
      </w:r>
      <w:r>
        <w:rPr>
          <w:spacing w:val="-32"/>
          <w:sz w:val="15"/>
          <w:szCs w:val="15"/>
        </w:rPr>
        <w:t xml:space="preserve"> </w:t>
      </w:r>
      <w:r>
        <w:rPr>
          <w:rFonts w:ascii="Arial" w:eastAsia="Arial" w:hAnsi="Arial" w:cs="Arial"/>
          <w:spacing w:val="-2"/>
          <w:sz w:val="15"/>
          <w:szCs w:val="15"/>
        </w:rPr>
        <w:t xml:space="preserve">2018-2022 </w:t>
      </w:r>
      <w:r>
        <w:rPr>
          <w:spacing w:val="-2"/>
          <w:sz w:val="15"/>
          <w:szCs w:val="15"/>
        </w:rPr>
        <w:t>年年报及</w:t>
      </w:r>
      <w:r>
        <w:rPr>
          <w:spacing w:val="-32"/>
          <w:sz w:val="15"/>
          <w:szCs w:val="15"/>
        </w:rPr>
        <w:t xml:space="preserve"> </w:t>
      </w:r>
      <w:r>
        <w:rPr>
          <w:rFonts w:ascii="Arial" w:eastAsia="Arial" w:hAnsi="Arial" w:cs="Arial"/>
          <w:spacing w:val="-2"/>
          <w:sz w:val="15"/>
          <w:szCs w:val="15"/>
        </w:rPr>
        <w:t>2</w:t>
      </w:r>
      <w:r>
        <w:rPr>
          <w:rFonts w:ascii="Arial" w:eastAsia="Arial" w:hAnsi="Arial" w:cs="Arial"/>
          <w:spacing w:val="-3"/>
          <w:sz w:val="15"/>
          <w:szCs w:val="15"/>
        </w:rPr>
        <w:t xml:space="preserve">023 </w:t>
      </w:r>
      <w:r>
        <w:rPr>
          <w:spacing w:val="-3"/>
          <w:sz w:val="15"/>
          <w:szCs w:val="15"/>
        </w:rPr>
        <w:t>年半年报、野村东方国际证</w:t>
      </w:r>
      <w:r>
        <w:rPr>
          <w:sz w:val="15"/>
          <w:szCs w:val="15"/>
        </w:rPr>
        <w:t xml:space="preserve"> </w:t>
      </w:r>
      <w:r>
        <w:rPr>
          <w:sz w:val="15"/>
          <w:szCs w:val="15"/>
        </w:rPr>
        <w:t>券</w:t>
      </w:r>
    </w:p>
    <w:p>
      <w:pPr>
        <w:spacing w:line="14" w:lineRule="auto"/>
        <w:rPr>
          <w:rFonts w:ascii="Arial"/>
          <w:sz w:val="2"/>
        </w:rPr>
        <w:sectPr>
          <w:headerReference w:type="default" r:id="rId48"/>
          <w:footerReference w:type="default" r:id="rId49"/>
          <w:type w:val="continuous"/>
          <w:pgSz w:w="11907" w:h="16839"/>
          <w:pgMar w:top="715" w:right="689" w:bottom="734" w:left="691" w:header="454" w:footer="479" w:gutter="0"/>
          <w:pgNumType w:start="17"/>
          <w:cols w:num="2" w:space="708" w:equalWidth="0">
            <w:col w:w="5381" w:space="100"/>
            <w:col w:w="5046" w:space="0"/>
          </w:cols>
        </w:sect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40" w:line="216" w:lineRule="auto"/>
        <w:ind w:left="62"/>
      </w:pP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图表</w:t>
      </w:r>
      <w:r>
        <w:rPr>
          <w:spacing w:val="-33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6</w:t>
      </w: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：司美格鲁肽当前供货紧张</w:t>
      </w:r>
    </w:p>
    <w:p>
      <w:pPr>
        <w:spacing w:before="37" w:line="4079" w:lineRule="exact"/>
      </w:pPr>
      <w:r>
        <w:rPr>
          <w:position w:val="-81"/>
        </w:rPr>
        <w:pict>
          <v:group id="_x0000_i1049" style="width:247.5pt;height:203.95pt;mso-position-horizontal-relative:char;mso-position-vertical-relative:line" coordorigin="0,0" coordsize="4950,4078" filled="f" stroked="f">
            <v:rect id="_x0000_s1050" style="width:4950;height:11;position:absolute" filled="t" fillcolor="black" stroked="f"/>
            <v:rect id="_x0000_s1051" style="width:4950;height:10;position:absolute;top:4069" filled="t" fillcolor="black" stroked="f"/>
            <w10:wrap type="none"/>
          </v:group>
        </w:pict>
      </w:r>
    </w:p>
    <w:p>
      <w:pPr>
        <w:pStyle w:val="BodyText"/>
        <w:spacing w:before="40" w:line="218" w:lineRule="auto"/>
        <w:ind w:left="41"/>
        <w:rPr>
          <w:sz w:val="15"/>
          <w:szCs w:val="15"/>
        </w:rPr>
      </w:pPr>
      <w:r>
        <w:rPr>
          <w:spacing w:val="-5"/>
          <w:sz w:val="15"/>
          <w:szCs w:val="15"/>
        </w:rPr>
        <w:t>资料来源：</w:t>
      </w:r>
      <w:r>
        <w:rPr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spacing w:val="-5"/>
          <w:sz w:val="15"/>
          <w:szCs w:val="15"/>
        </w:rPr>
        <w:t>FDA</w:t>
      </w:r>
      <w:r>
        <w:rPr>
          <w:spacing w:val="-5"/>
          <w:sz w:val="15"/>
          <w:szCs w:val="15"/>
        </w:rPr>
        <w:t>、野村东方国际证券</w:t>
      </w:r>
    </w:p>
    <w:p>
      <w:pPr>
        <w:spacing w:line="218" w:lineRule="auto"/>
        <w:rPr>
          <w:sz w:val="15"/>
          <w:szCs w:val="15"/>
        </w:rPr>
        <w:sectPr>
          <w:headerReference w:type="default" r:id="rId50"/>
          <w:footerReference w:type="default" r:id="rId51"/>
          <w:type w:val="nextPage"/>
          <w:pgSz w:w="11907" w:h="16839"/>
          <w:pgMar w:top="715" w:right="689" w:bottom="734" w:left="691" w:header="454" w:footer="479" w:gutter="0"/>
          <w:pgNumType w:start="18"/>
          <w:cols w:num="2" w:space="708" w:equalWidth="0">
            <w:col w:w="5381" w:space="100"/>
            <w:col w:w="5046" w:space="0"/>
          </w:cols>
          <w:titlePg w:val="0"/>
        </w:sectPr>
      </w:pPr>
    </w:p>
    <w:p>
      <w:pPr>
        <w:spacing w:line="343" w:lineRule="auto"/>
        <w:rPr>
          <w:rFonts w:ascii="Arial"/>
          <w:sz w:val="21"/>
        </w:rPr>
      </w:pPr>
    </w:p>
    <w:p>
      <w:pPr>
        <w:pStyle w:val="BodyText"/>
        <w:spacing w:before="101" w:line="237" w:lineRule="auto"/>
        <w:ind w:left="35"/>
        <w:rPr>
          <w:sz w:val="31"/>
          <w:szCs w:val="31"/>
        </w:rPr>
      </w:pPr>
      <w:r>
        <w:rPr>
          <w:color w:val="CA2420"/>
          <w:spacing w:val="-1"/>
          <w:sz w:val="31"/>
          <w:szCs w:val="31"/>
          <w14:textOutline w14:w="5791">
            <w14:solidFill>
              <w14:srgbClr w14:val="CA2420"/>
            </w14:solidFill>
            <w14:prstDash w14:val="solid"/>
            <w14:miter w14:lim="10"/>
          </w14:textOutline>
        </w:rPr>
        <w:t>在研减肥药物：</w:t>
      </w:r>
      <w:r>
        <w:rPr>
          <w:color w:val="CA2420"/>
          <w:spacing w:val="93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color w:val="CA2420"/>
          <w:spacing w:val="-1"/>
          <w:sz w:val="31"/>
          <w:szCs w:val="31"/>
        </w:rPr>
        <w:t xml:space="preserve">GLP-1R </w:t>
      </w:r>
      <w:r>
        <w:rPr>
          <w:color w:val="CA2420"/>
          <w:spacing w:val="-1"/>
          <w:sz w:val="31"/>
          <w:szCs w:val="31"/>
          <w14:textOutline w14:w="5791">
            <w14:solidFill>
              <w14:srgbClr w14:val="CA2420"/>
            </w14:solidFill>
            <w14:prstDash w14:val="solid"/>
            <w14:miter w14:lim="10"/>
          </w14:textOutline>
        </w:rPr>
        <w:t>全面开花，多靶点、小分</w:t>
      </w:r>
    </w:p>
    <w:p>
      <w:pPr>
        <w:pStyle w:val="BodyText"/>
        <w:spacing w:line="222" w:lineRule="auto"/>
        <w:ind w:left="46"/>
        <w:rPr>
          <w:sz w:val="31"/>
          <w:szCs w:val="31"/>
        </w:rPr>
      </w:pPr>
      <w:r>
        <w:rPr>
          <w:color w:val="CA2420"/>
          <w:spacing w:val="7"/>
          <w:sz w:val="31"/>
          <w:szCs w:val="31"/>
          <w14:textOutline w14:w="5791">
            <w14:solidFill>
              <w14:srgbClr w14:val="CA2420"/>
            </w14:solidFill>
            <w14:prstDash w14:val="solid"/>
            <w14:miter w14:lim="10"/>
          </w14:textOutline>
        </w:rPr>
        <w:t>子大放异彩</w:t>
      </w:r>
    </w:p>
    <w:p>
      <w:pPr>
        <w:pStyle w:val="BodyText"/>
        <w:spacing w:before="207" w:line="343" w:lineRule="exact"/>
        <w:ind w:left="479"/>
      </w:pPr>
      <w:r>
        <w:rPr>
          <w:spacing w:val="-2"/>
          <w:position w:val="10"/>
        </w:rPr>
        <w:t>由于司美格鲁肽在减重领域的效果过于优异，大幅提升了减重药物开发的阈</w:t>
      </w:r>
    </w:p>
    <w:p>
      <w:pPr>
        <w:pStyle w:val="BodyText"/>
        <w:spacing w:before="1" w:line="213" w:lineRule="auto"/>
        <w:ind w:left="31"/>
      </w:pPr>
      <w:r>
        <w:rPr>
          <w:spacing w:val="-7"/>
        </w:rPr>
        <w:t>值，可以说是重新建立了减重药物的标准，因此，多款在研药物都希望在有效性、</w:t>
      </w:r>
    </w:p>
    <w:p>
      <w:pPr>
        <w:pStyle w:val="BodyText"/>
        <w:spacing w:before="100" w:line="186" w:lineRule="auto"/>
        <w:ind w:left="39"/>
      </w:pPr>
      <w:r>
        <w:rPr>
          <w:spacing w:val="2"/>
        </w:rPr>
        <w:t>安全性、给药方式中的一个或多个维度，建</w:t>
      </w:r>
      <w:r>
        <w:rPr>
          <w:spacing w:val="1"/>
        </w:rPr>
        <w:t>立起相对司美格鲁肽的差异化优势。</w:t>
      </w:r>
    </w:p>
    <w:p>
      <w:pPr>
        <w:spacing w:line="186" w:lineRule="auto"/>
        <w:sectPr>
          <w:headerReference w:type="default" r:id="rId52"/>
          <w:footerReference w:type="default" r:id="rId53"/>
          <w:type w:val="continuous"/>
          <w:pgSz w:w="11907" w:h="16839"/>
          <w:pgMar w:top="715" w:right="689" w:bottom="734" w:left="691" w:header="454" w:footer="479" w:gutter="0"/>
          <w:pgNumType w:start="19"/>
          <w:cols w:num="1" w:space="708" w:equalWidth="0">
            <w:col w:w="10526" w:space="0"/>
          </w:cols>
        </w:sectPr>
      </w:pPr>
    </w:p>
    <w:p>
      <w:pPr>
        <w:pStyle w:val="BodyText"/>
        <w:spacing w:before="57" w:line="220" w:lineRule="auto"/>
        <w:ind w:left="37"/>
        <w:rPr>
          <w:rFonts w:ascii="Arial" w:eastAsia="Arial" w:hAnsi="Arial" w:cs="Arial"/>
          <w:sz w:val="24"/>
          <w:szCs w:val="24"/>
        </w:rPr>
      </w:pPr>
      <w:r>
        <w:pict>
          <v:rect id="_x0000_s1052" style="width:247.5pt;height:0.5pt;margin-top:390.05pt;margin-left:308.57pt;mso-position-horizontal-relative:page;mso-position-vertical-relative:page;position:absolute;z-index:251676672" o:allowincell="f" filled="t" fillcolor="black" stroked="f"/>
        </w:pict>
      </w:r>
      <w:r>
        <w:pict>
          <v:rect id="_x0000_s1053" style="width:247.5pt;height:0.5pt;margin-top:577.87pt;margin-left:308.57pt;mso-position-horizontal-relative:page;mso-position-vertical-relative:page;position:absolute;z-index:251677696" o:allowincell="f" filled="t" fillcolor="black" stroked="f"/>
        </w:pict>
      </w:r>
      <w:r>
        <w:drawing>
          <wp:anchor distT="0" distB="0" distL="0" distR="0" simplePos="0" relativeHeight="251675648" behindDoc="1" locked="0" layoutInCell="0" allowOverlap="1">
            <wp:simplePos x="0" y="0"/>
            <wp:positionH relativeFrom="page">
              <wp:posOffset>553402</wp:posOffset>
            </wp:positionH>
            <wp:positionV relativeFrom="page">
              <wp:posOffset>5022850</wp:posOffset>
            </wp:positionV>
            <wp:extent cx="3035426" cy="2251709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35426" cy="2251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bookmark129"/>
      <w:bookmarkEnd w:id="14"/>
      <w:bookmarkStart w:id="15" w:name="bookmark7"/>
      <w:bookmarkEnd w:id="15"/>
      <w:bookmarkStart w:id="16" w:name="bookmark50"/>
      <w:bookmarkEnd w:id="16"/>
      <w:bookmarkStart w:id="17" w:name="bookmark51"/>
      <w:bookmarkEnd w:id="17"/>
      <w:r>
        <w:rPr>
          <w:color w:val="CA2420"/>
          <w:spacing w:val="-8"/>
          <w:sz w:val="24"/>
          <w:szCs w:val="24"/>
        </w:rPr>
        <w:t>减肥药物三大靶点：</w:t>
      </w:r>
      <w:r>
        <w:rPr>
          <w:color w:val="CA242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CA2420"/>
          <w:spacing w:val="-8"/>
          <w:sz w:val="24"/>
          <w:szCs w:val="24"/>
        </w:rPr>
        <w:t>GLP-1R</w:t>
      </w:r>
      <w:r>
        <w:rPr>
          <w:color w:val="CA2420"/>
          <w:spacing w:val="-8"/>
          <w:sz w:val="24"/>
          <w:szCs w:val="24"/>
        </w:rPr>
        <w:t>、</w:t>
      </w:r>
      <w:r>
        <w:rPr>
          <w:rFonts w:ascii="Arial" w:eastAsia="Arial" w:hAnsi="Arial" w:cs="Arial"/>
          <w:color w:val="CA2420"/>
          <w:spacing w:val="-8"/>
          <w:sz w:val="24"/>
          <w:szCs w:val="24"/>
        </w:rPr>
        <w:t>GIPR</w:t>
      </w:r>
      <w:r>
        <w:rPr>
          <w:color w:val="CA2420"/>
          <w:spacing w:val="-8"/>
          <w:sz w:val="24"/>
          <w:szCs w:val="24"/>
        </w:rPr>
        <w:t>、</w:t>
      </w:r>
      <w:r>
        <w:rPr>
          <w:rFonts w:ascii="Arial" w:eastAsia="Arial" w:hAnsi="Arial" w:cs="Arial"/>
          <w:color w:val="CA2420"/>
          <w:spacing w:val="-8"/>
          <w:sz w:val="24"/>
          <w:szCs w:val="24"/>
        </w:rPr>
        <w:t>GCGR</w:t>
      </w:r>
    </w:p>
    <w:p>
      <w:pPr>
        <w:pStyle w:val="BodyText"/>
        <w:spacing w:before="190" w:line="369" w:lineRule="exact"/>
        <w:ind w:left="475"/>
      </w:pPr>
      <w:r>
        <w:rPr>
          <w:spacing w:val="-4"/>
          <w:position w:val="12"/>
        </w:rPr>
        <w:t>当前</w:t>
      </w:r>
      <w:r>
        <w:rPr>
          <w:spacing w:val="-4"/>
          <w:position w:val="12"/>
        </w:rPr>
        <w:t xml:space="preserve"> </w:t>
      </w:r>
      <w:r>
        <w:rPr>
          <w:rFonts w:ascii="Arial" w:eastAsia="Arial" w:hAnsi="Arial" w:cs="Arial"/>
          <w:spacing w:val="-4"/>
          <w:position w:val="12"/>
        </w:rPr>
        <w:t xml:space="preserve">GLP-1  </w:t>
      </w:r>
      <w:r>
        <w:rPr>
          <w:spacing w:val="-4"/>
          <w:position w:val="12"/>
        </w:rPr>
        <w:t>类药物研发集中在三个靶点的相互组合：</w:t>
      </w:r>
      <w:r>
        <w:rPr>
          <w:spacing w:val="69"/>
          <w:position w:val="12"/>
        </w:rPr>
        <w:t xml:space="preserve"> </w:t>
      </w:r>
      <w:r>
        <w:rPr>
          <w:rFonts w:ascii="Arial" w:eastAsia="Arial" w:hAnsi="Arial" w:cs="Arial"/>
          <w:spacing w:val="-4"/>
          <w:position w:val="12"/>
        </w:rPr>
        <w:t>GLP-1R</w:t>
      </w:r>
      <w:r>
        <w:rPr>
          <w:rFonts w:ascii="Arial" w:eastAsia="Arial" w:hAnsi="Arial" w:cs="Arial"/>
          <w:spacing w:val="-32"/>
          <w:position w:val="12"/>
        </w:rPr>
        <w:t xml:space="preserve"> </w:t>
      </w:r>
      <w:r>
        <w:rPr>
          <w:spacing w:val="-4"/>
          <w:position w:val="12"/>
        </w:rPr>
        <w:t>、</w:t>
      </w:r>
      <w:r>
        <w:rPr>
          <w:rFonts w:ascii="Arial" w:eastAsia="Arial" w:hAnsi="Arial" w:cs="Arial"/>
          <w:spacing w:val="-4"/>
          <w:position w:val="12"/>
        </w:rPr>
        <w:t xml:space="preserve">GIPR  </w:t>
      </w:r>
      <w:r>
        <w:rPr>
          <w:spacing w:val="-4"/>
          <w:position w:val="12"/>
        </w:rPr>
        <w:t>及</w:t>
      </w:r>
    </w:p>
    <w:p>
      <w:pPr>
        <w:pStyle w:val="BodyText"/>
        <w:spacing w:line="190" w:lineRule="auto"/>
        <w:ind w:left="32"/>
      </w:pPr>
      <w:r>
        <w:rPr>
          <w:rFonts w:ascii="Arial" w:eastAsia="Arial" w:hAnsi="Arial" w:cs="Arial"/>
          <w:spacing w:val="-2"/>
        </w:rPr>
        <w:t>GCGR</w:t>
      </w:r>
      <w:r>
        <w:rPr>
          <w:spacing w:val="-2"/>
        </w:rPr>
        <w:t>。</w:t>
      </w:r>
    </w:p>
    <w:p>
      <w:pPr>
        <w:pStyle w:val="BodyText"/>
        <w:spacing w:before="194" w:line="344" w:lineRule="exact"/>
        <w:ind w:left="466"/>
      </w:pPr>
      <w:r>
        <w:rPr>
          <w:spacing w:val="-5"/>
          <w:position w:val="1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（</w:t>
      </w:r>
      <w:r>
        <w:rPr>
          <w:rFonts w:ascii="Arial" w:eastAsia="Arial" w:hAnsi="Arial" w:cs="Arial"/>
          <w:b/>
          <w:bCs/>
          <w:spacing w:val="-5"/>
          <w:position w:val="10"/>
        </w:rPr>
        <w:t>1</w:t>
      </w:r>
      <w:r>
        <w:rPr>
          <w:spacing w:val="-5"/>
          <w:position w:val="1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）</w:t>
      </w:r>
      <w:r>
        <w:rPr>
          <w:rFonts w:ascii="Arial" w:eastAsia="Arial" w:hAnsi="Arial" w:cs="Arial"/>
          <w:b/>
          <w:bCs/>
          <w:spacing w:val="-5"/>
          <w:position w:val="10"/>
        </w:rPr>
        <w:t xml:space="preserve">GLP-1RA </w:t>
      </w:r>
      <w:r>
        <w:rPr>
          <w:spacing w:val="-5"/>
          <w:position w:val="1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减重机制：</w:t>
      </w:r>
      <w:r>
        <w:rPr>
          <w:spacing w:val="66"/>
          <w:position w:val="10"/>
        </w:rPr>
        <w:t xml:space="preserve"> </w:t>
      </w:r>
      <w:r>
        <w:rPr>
          <w:rFonts w:ascii="Arial" w:eastAsia="Arial" w:hAnsi="Arial" w:cs="Arial"/>
          <w:spacing w:val="-5"/>
          <w:position w:val="10"/>
        </w:rPr>
        <w:t>GLP-1RA</w:t>
      </w:r>
      <w:r>
        <w:rPr>
          <w:rFonts w:ascii="Arial" w:eastAsia="Arial" w:hAnsi="Arial" w:cs="Arial"/>
          <w:spacing w:val="16"/>
          <w:w w:val="101"/>
          <w:position w:val="10"/>
        </w:rPr>
        <w:t xml:space="preserve"> </w:t>
      </w:r>
      <w:r>
        <w:rPr>
          <w:spacing w:val="-5"/>
          <w:position w:val="10"/>
        </w:rPr>
        <w:t>减肥的机制并不明确，目前的主流观</w:t>
      </w:r>
    </w:p>
    <w:p>
      <w:pPr>
        <w:pStyle w:val="BodyText"/>
        <w:spacing w:line="213" w:lineRule="auto"/>
        <w:ind w:left="43"/>
      </w:pPr>
      <w:r>
        <w:rPr>
          <w:spacing w:val="-5"/>
        </w:rPr>
        <w:t>点认为，</w:t>
      </w:r>
      <w:r>
        <w:rPr>
          <w:rFonts w:ascii="Arial" w:eastAsia="Arial" w:hAnsi="Arial" w:cs="Arial"/>
          <w:spacing w:val="-5"/>
        </w:rPr>
        <w:t>GLP-1RA</w:t>
      </w:r>
      <w:r>
        <w:rPr>
          <w:rFonts w:ascii="Arial" w:eastAsia="Arial" w:hAnsi="Arial" w:cs="Arial"/>
          <w:spacing w:val="29"/>
          <w:w w:val="101"/>
        </w:rPr>
        <w:t xml:space="preserve"> </w:t>
      </w:r>
      <w:r>
        <w:rPr>
          <w:spacing w:val="-5"/>
        </w:rPr>
        <w:t>降低体重的作用主要与其抑制中枢食欲、延缓胃排空有关；此</w:t>
      </w:r>
    </w:p>
    <w:p>
      <w:pPr>
        <w:pStyle w:val="BodyText"/>
        <w:spacing w:before="100" w:line="213" w:lineRule="auto"/>
        <w:ind w:left="36"/>
      </w:pPr>
      <w:r>
        <w:rPr>
          <w:spacing w:val="-4"/>
        </w:rPr>
        <w:t>外，</w:t>
      </w:r>
      <w:r>
        <w:rPr>
          <w:rFonts w:ascii="Arial" w:eastAsia="Arial" w:hAnsi="Arial" w:cs="Arial"/>
          <w:spacing w:val="-4"/>
        </w:rPr>
        <w:t xml:space="preserve">GLP-1RA </w:t>
      </w:r>
      <w:r>
        <w:rPr>
          <w:spacing w:val="-4"/>
        </w:rPr>
        <w:t>还可直接作用于脂肪组织、促进脂肪动员和白色脂肪</w:t>
      </w:r>
      <w:r>
        <w:rPr>
          <w:spacing w:val="-5"/>
        </w:rPr>
        <w:t>棕色化，从而</w:t>
      </w:r>
    </w:p>
    <w:p>
      <w:pPr>
        <w:pStyle w:val="BodyText"/>
        <w:spacing w:before="101" w:line="213" w:lineRule="auto"/>
        <w:ind w:left="24"/>
      </w:pPr>
      <w:r>
        <w:t>加快脂肪的</w:t>
      </w:r>
      <w:r>
        <w:rPr>
          <w:rFonts w:ascii="Arial" w:eastAsia="Arial" w:hAnsi="Arial" w:cs="Arial"/>
        </w:rPr>
        <w:t>“</w:t>
      </w:r>
      <w:r>
        <w:t>燃烧</w:t>
      </w:r>
      <w:r>
        <w:rPr>
          <w:rFonts w:ascii="Arial" w:eastAsia="Arial" w:hAnsi="Arial" w:cs="Arial"/>
        </w:rPr>
        <w:t>”</w:t>
      </w:r>
      <w:r>
        <w:t>利用，达到持续减重的效果；</w:t>
      </w:r>
    </w:p>
    <w:p>
      <w:pPr>
        <w:pStyle w:val="BodyText"/>
        <w:spacing w:before="192" w:line="343" w:lineRule="exact"/>
        <w:ind w:left="466"/>
      </w:pPr>
      <w:r>
        <w:rPr>
          <w:spacing w:val="-8"/>
          <w:position w:val="9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（</w:t>
      </w:r>
      <w:r>
        <w:rPr>
          <w:rFonts w:ascii="Arial" w:eastAsia="Arial" w:hAnsi="Arial" w:cs="Arial"/>
          <w:b/>
          <w:bCs/>
          <w:spacing w:val="-8"/>
          <w:position w:val="9"/>
        </w:rPr>
        <w:t>2</w:t>
      </w:r>
      <w:r>
        <w:rPr>
          <w:spacing w:val="-8"/>
          <w:position w:val="9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）</w:t>
      </w:r>
      <w:r>
        <w:rPr>
          <w:rFonts w:ascii="Arial" w:eastAsia="Arial" w:hAnsi="Arial" w:cs="Arial"/>
          <w:b/>
          <w:bCs/>
          <w:spacing w:val="-8"/>
          <w:position w:val="9"/>
        </w:rPr>
        <w:t xml:space="preserve">GIPR </w:t>
      </w:r>
      <w:r>
        <w:rPr>
          <w:spacing w:val="-8"/>
          <w:position w:val="9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激动剂：</w:t>
      </w:r>
      <w:r>
        <w:rPr>
          <w:spacing w:val="-8"/>
          <w:position w:val="9"/>
        </w:rPr>
        <w:t xml:space="preserve"> </w:t>
      </w:r>
      <w:r>
        <w:rPr>
          <w:spacing w:val="-8"/>
          <w:position w:val="9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对</w:t>
      </w:r>
      <w:r>
        <w:rPr>
          <w:spacing w:val="-41"/>
          <w:position w:val="9"/>
        </w:rPr>
        <w:t xml:space="preserve"> </w:t>
      </w:r>
      <w:r>
        <w:rPr>
          <w:rFonts w:ascii="Arial" w:eastAsia="Arial" w:hAnsi="Arial" w:cs="Arial"/>
          <w:b/>
          <w:bCs/>
          <w:spacing w:val="-8"/>
          <w:position w:val="9"/>
        </w:rPr>
        <w:t xml:space="preserve">GLP-1RA </w:t>
      </w:r>
      <w:r>
        <w:rPr>
          <w:spacing w:val="-8"/>
          <w:position w:val="9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的效果有促进作用。</w:t>
      </w:r>
      <w:r>
        <w:rPr>
          <w:spacing w:val="-8"/>
          <w:position w:val="9"/>
        </w:rPr>
        <w:t>（</w:t>
      </w:r>
      <w:r>
        <w:rPr>
          <w:rFonts w:ascii="Arial" w:eastAsia="Arial" w:hAnsi="Arial" w:cs="Arial"/>
          <w:spacing w:val="-8"/>
          <w:position w:val="9"/>
        </w:rPr>
        <w:t>a</w:t>
      </w:r>
      <w:r>
        <w:rPr>
          <w:spacing w:val="-8"/>
          <w:position w:val="9"/>
        </w:rPr>
        <w:t>）肠促胰素是小肠</w:t>
      </w:r>
    </w:p>
    <w:p>
      <w:pPr>
        <w:pStyle w:val="BodyText"/>
        <w:spacing w:line="213" w:lineRule="auto"/>
        <w:ind w:left="57"/>
      </w:pPr>
      <w:r>
        <w:rPr>
          <w:spacing w:val="-3"/>
        </w:rPr>
        <w:t>内分泌细胞可产生的一种激素，</w:t>
      </w:r>
      <w:r>
        <w:rPr>
          <w:spacing w:val="-3"/>
        </w:rPr>
        <w:t xml:space="preserve"> </w:t>
      </w:r>
      <w:r>
        <w:rPr>
          <w:spacing w:val="-3"/>
        </w:rPr>
        <w:t>能在进餐或者口服葡萄糖后促进胰岛素的分泌；</w:t>
      </w:r>
    </w:p>
    <w:p>
      <w:pPr>
        <w:pStyle w:val="BodyText"/>
        <w:spacing w:before="101" w:line="230" w:lineRule="auto"/>
        <w:ind w:left="47"/>
        <w:rPr>
          <w:rFonts w:ascii="Arial" w:eastAsia="Arial" w:hAnsi="Arial" w:cs="Arial"/>
        </w:rPr>
      </w:pPr>
      <w:r>
        <w:rPr>
          <w:spacing w:val="-1"/>
        </w:rPr>
        <w:t>它可以调节餐后胰岛素分泌总量的</w:t>
      </w:r>
      <w:r>
        <w:rPr>
          <w:spacing w:val="-34"/>
        </w:rPr>
        <w:t xml:space="preserve"> </w:t>
      </w:r>
      <w:r>
        <w:rPr>
          <w:rFonts w:ascii="Arial" w:eastAsia="Arial" w:hAnsi="Arial" w:cs="Arial"/>
          <w:spacing w:val="-1"/>
        </w:rPr>
        <w:t>60%</w:t>
      </w:r>
      <w:r>
        <w:rPr>
          <w:spacing w:val="-1"/>
        </w:rPr>
        <w:t>；主要有</w:t>
      </w:r>
      <w:r>
        <w:rPr>
          <w:spacing w:val="-34"/>
        </w:rPr>
        <w:t xml:space="preserve"> </w:t>
      </w:r>
      <w:r>
        <w:rPr>
          <w:rFonts w:ascii="Arial" w:eastAsia="Arial" w:hAnsi="Arial" w:cs="Arial"/>
          <w:spacing w:val="-1"/>
        </w:rPr>
        <w:t xml:space="preserve">GIP </w:t>
      </w:r>
      <w:r>
        <w:rPr>
          <w:spacing w:val="-1"/>
        </w:rPr>
        <w:t>和</w:t>
      </w:r>
      <w:r>
        <w:rPr>
          <w:spacing w:val="-34"/>
        </w:rPr>
        <w:t xml:space="preserve"> </w:t>
      </w:r>
      <w:r>
        <w:rPr>
          <w:rFonts w:ascii="Arial" w:eastAsia="Arial" w:hAnsi="Arial" w:cs="Arial"/>
          <w:spacing w:val="-1"/>
        </w:rPr>
        <w:t>GLP-1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spacing w:val="-1"/>
        </w:rPr>
        <w:t>两种</w:t>
      </w:r>
      <w:r>
        <w:rPr>
          <w:spacing w:val="-57"/>
          <w:w w:val="96"/>
        </w:rPr>
        <w:t>；（</w:t>
      </w:r>
      <w:r>
        <w:rPr>
          <w:rFonts w:ascii="Arial" w:eastAsia="Arial" w:hAnsi="Arial" w:cs="Arial"/>
          <w:spacing w:val="-2"/>
        </w:rPr>
        <w:t>b</w:t>
      </w:r>
      <w:r>
        <w:rPr>
          <w:spacing w:val="-2"/>
        </w:rPr>
        <w:t>）</w:t>
      </w:r>
      <w:r>
        <w:rPr>
          <w:rFonts w:ascii="Arial" w:eastAsia="Arial" w:hAnsi="Arial" w:cs="Arial"/>
          <w:spacing w:val="-2"/>
        </w:rPr>
        <w:t>GIP</w:t>
      </w:r>
    </w:p>
    <w:p>
      <w:pPr>
        <w:pStyle w:val="BodyText"/>
        <w:spacing w:before="82" w:line="213" w:lineRule="auto"/>
        <w:ind w:left="38"/>
      </w:pPr>
      <w:r>
        <w:rPr>
          <w:spacing w:val="-4"/>
        </w:rPr>
        <w:t>生理作用为：</w:t>
      </w:r>
      <w:r>
        <w:rPr>
          <w:spacing w:val="-4"/>
        </w:rPr>
        <w:t xml:space="preserve"> </w:t>
      </w:r>
      <w:r>
        <w:rPr>
          <w:spacing w:val="-4"/>
        </w:rPr>
        <w:t>抑制胃酸分泌、抑制胃蛋白酶分泌、刺激胰</w:t>
      </w:r>
      <w:r>
        <w:rPr>
          <w:spacing w:val="-5"/>
        </w:rPr>
        <w:t>岛素释放、抑制胃的蠕</w:t>
      </w:r>
    </w:p>
    <w:p>
      <w:pPr>
        <w:pStyle w:val="BodyText"/>
        <w:spacing w:before="100" w:line="229" w:lineRule="auto"/>
        <w:ind w:left="30"/>
      </w:pPr>
      <w:r>
        <w:rPr>
          <w:spacing w:val="-3"/>
        </w:rPr>
        <w:t>动和排空、刺激小肠液的分泌、刺激胰高血糖素的分泌</w:t>
      </w:r>
      <w:r>
        <w:rPr>
          <w:spacing w:val="-20"/>
        </w:rPr>
        <w:t>；（</w:t>
      </w:r>
      <w:r>
        <w:rPr>
          <w:rFonts w:ascii="Arial" w:eastAsia="Arial" w:hAnsi="Arial" w:cs="Arial"/>
          <w:spacing w:val="-3"/>
        </w:rPr>
        <w:t>c</w:t>
      </w:r>
      <w:r>
        <w:rPr>
          <w:spacing w:val="-3"/>
        </w:rPr>
        <w:t>）</w:t>
      </w:r>
      <w:r>
        <w:rPr>
          <w:rFonts w:ascii="Arial" w:eastAsia="Arial" w:hAnsi="Arial" w:cs="Arial"/>
          <w:spacing w:val="-3"/>
        </w:rPr>
        <w:t xml:space="preserve">GIP </w:t>
      </w:r>
      <w:r>
        <w:rPr>
          <w:spacing w:val="-3"/>
        </w:rPr>
        <w:t>控糖、降体重</w:t>
      </w:r>
    </w:p>
    <w:p>
      <w:pPr>
        <w:pStyle w:val="BodyText"/>
        <w:spacing w:before="84" w:line="213" w:lineRule="auto"/>
        <w:ind w:left="42"/>
      </w:pPr>
      <w:r>
        <w:rPr>
          <w:spacing w:val="-2"/>
        </w:rPr>
        <w:t>的</w:t>
      </w:r>
      <w:r>
        <w:rPr>
          <w:spacing w:val="-13"/>
        </w:rPr>
        <w:t xml:space="preserve"> </w:t>
      </w:r>
      <w:r>
        <w:rPr>
          <w:rFonts w:ascii="Arial" w:eastAsia="Arial" w:hAnsi="Arial" w:cs="Arial"/>
          <w:spacing w:val="-2"/>
        </w:rPr>
        <w:t>MOA</w:t>
      </w:r>
      <w:r>
        <w:rPr>
          <w:rFonts w:ascii="Arial" w:eastAsia="Arial" w:hAnsi="Arial" w:cs="Arial"/>
          <w:spacing w:val="26"/>
          <w:w w:val="101"/>
        </w:rPr>
        <w:t xml:space="preserve"> </w:t>
      </w:r>
      <w:r>
        <w:rPr>
          <w:spacing w:val="-2"/>
        </w:rPr>
        <w:t>与</w:t>
      </w:r>
      <w:r>
        <w:rPr>
          <w:spacing w:val="-29"/>
        </w:rPr>
        <w:t xml:space="preserve"> </w:t>
      </w:r>
      <w:r>
        <w:rPr>
          <w:rFonts w:ascii="Arial" w:eastAsia="Arial" w:hAnsi="Arial" w:cs="Arial"/>
          <w:spacing w:val="-2"/>
        </w:rPr>
        <w:t>GLP-1</w:t>
      </w:r>
      <w:r>
        <w:rPr>
          <w:rFonts w:ascii="Arial" w:eastAsia="Arial" w:hAnsi="Arial" w:cs="Arial"/>
          <w:spacing w:val="17"/>
          <w:w w:val="101"/>
        </w:rPr>
        <w:t xml:space="preserve"> </w:t>
      </w:r>
      <w:r>
        <w:rPr>
          <w:spacing w:val="-2"/>
        </w:rPr>
        <w:t>并非完全相同，</w:t>
      </w: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主要是</w:t>
      </w:r>
      <w:r>
        <w:rPr>
          <w:spacing w:val="-28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 xml:space="preserve">GIP </w:t>
      </w: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对胰高血糖素具有明显的双向调</w:t>
      </w:r>
    </w:p>
    <w:p>
      <w:pPr>
        <w:pStyle w:val="BodyText"/>
        <w:spacing w:before="101" w:line="213" w:lineRule="auto"/>
        <w:ind w:left="40"/>
      </w:pP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节作用</w:t>
      </w:r>
      <w:r>
        <w:rPr>
          <w:spacing w:val="-4"/>
        </w:rPr>
        <w:t>，表现为在高血糖时抑制胰高血糖素释放，</w:t>
      </w:r>
      <w:r>
        <w:rPr>
          <w:spacing w:val="-22"/>
        </w:rPr>
        <w:t xml:space="preserve"> </w:t>
      </w:r>
      <w:r>
        <w:rPr>
          <w:spacing w:val="-4"/>
        </w:rPr>
        <w:t>而在低血糖时增加胰高血糖素</w:t>
      </w:r>
    </w:p>
    <w:p>
      <w:pPr>
        <w:pStyle w:val="BodyText"/>
        <w:spacing w:before="101" w:line="215" w:lineRule="auto"/>
        <w:ind w:left="32"/>
      </w:pPr>
      <w:r>
        <w:rPr>
          <w:spacing w:val="-1"/>
        </w:rPr>
        <w:t>分；同时，</w:t>
      </w:r>
      <w:r>
        <w:rPr>
          <w:rFonts w:ascii="Arial" w:eastAsia="Arial" w:hAnsi="Arial" w:cs="Arial"/>
          <w:spacing w:val="-1"/>
        </w:rPr>
        <w:t>GIP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spacing w:val="-1"/>
        </w:rPr>
        <w:t>在多个维度有益于</w:t>
      </w:r>
      <w:r>
        <w:rPr>
          <w:spacing w:val="-19"/>
        </w:rPr>
        <w:t xml:space="preserve"> </w:t>
      </w:r>
      <w:r>
        <w:rPr>
          <w:rFonts w:ascii="Arial" w:eastAsia="Arial" w:hAnsi="Arial" w:cs="Arial"/>
          <w:spacing w:val="-1"/>
        </w:rPr>
        <w:t>β</w:t>
      </w:r>
      <w:r>
        <w:rPr>
          <w:rFonts w:ascii="Arial" w:eastAsia="Arial" w:hAnsi="Arial" w:cs="Arial"/>
          <w:spacing w:val="33"/>
          <w:w w:val="101"/>
        </w:rPr>
        <w:t xml:space="preserve"> </w:t>
      </w:r>
      <w:r>
        <w:rPr>
          <w:spacing w:val="-1"/>
        </w:rPr>
        <w:t>细胞的生存，因此联合两个靶点</w:t>
      </w:r>
      <w:r>
        <w:rPr>
          <w:spacing w:val="-2"/>
        </w:rPr>
        <w:t>开发药物，</w:t>
      </w:r>
    </w:p>
    <w:p>
      <w:pPr>
        <w:pStyle w:val="BodyText"/>
        <w:spacing w:before="98" w:line="226" w:lineRule="auto"/>
        <w:ind w:left="30"/>
      </w:pPr>
      <w:r>
        <w:rPr>
          <w:spacing w:val="-7"/>
        </w:rPr>
        <w:t>有望具有较强的协同性</w:t>
      </w:r>
      <w:r>
        <w:rPr>
          <w:spacing w:val="-26"/>
        </w:rPr>
        <w:t>；（</w:t>
      </w:r>
      <w:r>
        <w:rPr>
          <w:rFonts w:ascii="Arial" w:eastAsia="Arial" w:hAnsi="Arial" w:cs="Arial"/>
          <w:b/>
          <w:bCs/>
          <w:spacing w:val="-7"/>
        </w:rPr>
        <w:t>d</w:t>
      </w:r>
      <w:r>
        <w:rPr>
          <w:spacing w:val="-7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）双靶点的机制上，</w:t>
      </w:r>
      <w:r>
        <w:rPr>
          <w:spacing w:val="58"/>
        </w:rPr>
        <w:t xml:space="preserve"> </w:t>
      </w:r>
      <w:r>
        <w:rPr>
          <w:rFonts w:ascii="Arial" w:eastAsia="Arial" w:hAnsi="Arial" w:cs="Arial"/>
          <w:b/>
          <w:bCs/>
          <w:spacing w:val="-7"/>
        </w:rPr>
        <w:t>GIP</w:t>
      </w:r>
      <w:r>
        <w:rPr>
          <w:rFonts w:ascii="Arial" w:eastAsia="Arial" w:hAnsi="Arial" w:cs="Arial"/>
          <w:b/>
          <w:bCs/>
          <w:spacing w:val="34"/>
          <w:w w:val="101"/>
        </w:rPr>
        <w:t xml:space="preserve"> </w:t>
      </w:r>
      <w:r>
        <w:rPr>
          <w:spacing w:val="-7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能够增强</w:t>
      </w:r>
      <w:r>
        <w:rPr>
          <w:spacing w:val="-23"/>
        </w:rPr>
        <w:t xml:space="preserve"> </w:t>
      </w:r>
      <w:r>
        <w:rPr>
          <w:rFonts w:ascii="Arial" w:eastAsia="Arial" w:hAnsi="Arial" w:cs="Arial"/>
          <w:b/>
          <w:bCs/>
          <w:spacing w:val="-7"/>
        </w:rPr>
        <w:t>GLP-1</w:t>
      </w:r>
      <w:r>
        <w:rPr>
          <w:rFonts w:ascii="Arial" w:eastAsia="Arial" w:hAnsi="Arial" w:cs="Arial"/>
          <w:b/>
          <w:bCs/>
          <w:spacing w:val="16"/>
        </w:rPr>
        <w:t xml:space="preserve"> </w:t>
      </w:r>
      <w:r>
        <w:rPr>
          <w:spacing w:val="-7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对食物摄</w:t>
      </w:r>
    </w:p>
    <w:p>
      <w:pPr>
        <w:pStyle w:val="BodyText"/>
        <w:spacing w:before="87" w:line="213" w:lineRule="auto"/>
        <w:ind w:left="33"/>
      </w:pPr>
      <w:r>
        <w:rPr>
          <w:spacing w:val="-1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入抑制的效果，</w:t>
      </w:r>
      <w:r>
        <w:rPr>
          <w:spacing w:val="77"/>
        </w:rPr>
        <w:t xml:space="preserve"> </w:t>
      </w:r>
      <w:r>
        <w:rPr>
          <w:spacing w:val="-1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同时增加能量消耗，</w:t>
      </w:r>
      <w:r>
        <w:rPr>
          <w:spacing w:val="35"/>
        </w:rPr>
        <w:t xml:space="preserve"> </w:t>
      </w:r>
      <w:r>
        <w:rPr>
          <w:spacing w:val="-1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从而使患者减重；</w:t>
      </w:r>
      <w:r>
        <w:rPr>
          <w:spacing w:val="-38"/>
        </w:rPr>
        <w:t xml:space="preserve"> </w:t>
      </w:r>
      <w:r>
        <w:rPr>
          <w:spacing w:val="-1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此外，</w:t>
      </w:r>
      <w:r>
        <w:rPr>
          <w:spacing w:val="-15"/>
        </w:rPr>
        <w:t xml:space="preserve"> </w:t>
      </w:r>
      <w:r>
        <w:rPr>
          <w:spacing w:val="-1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还能够有助于预防</w:t>
      </w:r>
    </w:p>
    <w:p>
      <w:pPr>
        <w:pStyle w:val="BodyText"/>
        <w:spacing w:before="101" w:line="223" w:lineRule="auto"/>
        <w:ind w:left="27"/>
      </w:pP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低血糖发生。</w:t>
      </w:r>
    </w:p>
    <w:p>
      <w:pPr>
        <w:spacing w:before="55"/>
      </w:pPr>
    </w:p>
    <w:p>
      <w:pPr>
        <w:sectPr>
          <w:headerReference w:type="default" r:id="rId55"/>
          <w:footerReference w:type="default" r:id="rId56"/>
          <w:pgSz w:w="11907" w:h="16839"/>
          <w:pgMar w:top="715" w:right="694" w:bottom="734" w:left="698" w:header="454" w:footer="479" w:gutter="0"/>
          <w:pgNumType w:start="20"/>
          <w:cols w:num="1" w:space="708" w:equalWidth="0">
            <w:col w:w="10515" w:space="0"/>
          </w:cols>
        </w:sectPr>
      </w:pPr>
    </w:p>
    <w:p>
      <w:pPr>
        <w:pStyle w:val="BodyText"/>
        <w:spacing w:before="42" w:line="221" w:lineRule="auto"/>
        <w:ind w:left="151"/>
      </w:pP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图表</w:t>
      </w:r>
      <w:r>
        <w:rPr>
          <w:spacing w:val="-38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7</w:t>
      </w: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rFonts w:ascii="Arial" w:eastAsia="Arial" w:hAnsi="Arial" w:cs="Arial"/>
          <w:b/>
          <w:bCs/>
          <w:spacing w:val="-3"/>
        </w:rPr>
        <w:t xml:space="preserve">GLP-1RA </w:t>
      </w: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减重机制</w:t>
      </w:r>
    </w:p>
    <w:p>
      <w:pPr>
        <w:spacing w:before="31" w:line="3766" w:lineRule="exact"/>
        <w:ind w:firstLine="88"/>
      </w:pPr>
      <w:r>
        <w:rPr>
          <w:position w:val="-75"/>
        </w:rPr>
        <w:pict>
          <v:group id="_x0000_i1054" style="width:247.5pt;height:188.3pt;mso-position-horizontal-relative:char;mso-position-vertical-relative:line" coordorigin="0,0" coordsize="4950,3766" filled="f" stroked="f">
            <v:rect id="_x0000_s1055" style="width:4950;height:10;position:absolute" filled="t" fillcolor="black" stroked="f"/>
            <v:rect id="_x0000_s1056" style="width:4950;height:10;position:absolute;top:3756" filled="t" fillcolor="black" stroked="f"/>
            <w10:wrap type="none"/>
          </v:group>
        </w:pict>
      </w:r>
    </w:p>
    <w:p>
      <w:pPr>
        <w:pStyle w:val="BodyText"/>
        <w:spacing w:before="40" w:line="186" w:lineRule="auto"/>
        <w:ind w:left="129"/>
        <w:rPr>
          <w:rFonts w:ascii="Arial" w:eastAsia="Arial" w:hAnsi="Arial" w:cs="Arial"/>
          <w:sz w:val="10"/>
          <w:szCs w:val="10"/>
        </w:rPr>
      </w:pPr>
      <w:r>
        <w:rPr>
          <w:spacing w:val="-6"/>
          <w:sz w:val="15"/>
          <w:szCs w:val="15"/>
        </w:rPr>
        <w:t>资料来源：</w:t>
      </w:r>
      <w:r>
        <w:rPr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spacing w:val="-6"/>
          <w:sz w:val="15"/>
          <w:szCs w:val="15"/>
        </w:rPr>
        <w:t>Frontiers</w:t>
      </w:r>
      <w:r>
        <w:rPr>
          <w:rFonts w:ascii="Arial" w:eastAsia="Arial" w:hAnsi="Arial" w:cs="Arial"/>
          <w:spacing w:val="-6"/>
          <w:position w:val="4"/>
          <w:sz w:val="10"/>
          <w:szCs w:val="10"/>
        </w:rPr>
        <w:t>1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40" w:line="221" w:lineRule="auto"/>
        <w:ind w:left="62"/>
      </w:pP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图表</w:t>
      </w:r>
      <w:r>
        <w:rPr>
          <w:spacing w:val="-30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8</w:t>
      </w: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rFonts w:ascii="Arial" w:eastAsia="Arial" w:hAnsi="Arial" w:cs="Arial"/>
          <w:b/>
          <w:bCs/>
          <w:spacing w:val="-2"/>
        </w:rPr>
        <w:t xml:space="preserve">GLP-1R/GIPR </w:t>
      </w: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双靶激动剂减重机制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1" w:line="2593" w:lineRule="exact"/>
        <w:ind w:firstLine="27"/>
      </w:pPr>
      <w:r>
        <w:rPr>
          <w:position w:val="-51"/>
        </w:rPr>
        <w:drawing>
          <wp:inline distT="0" distB="0" distL="0" distR="0">
            <wp:extent cx="3045840" cy="1646555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45840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49" w:line="186" w:lineRule="auto"/>
        <w:ind w:left="41"/>
        <w:rPr>
          <w:rFonts w:ascii="Arial" w:eastAsia="Arial" w:hAnsi="Arial" w:cs="Arial"/>
          <w:sz w:val="15"/>
          <w:szCs w:val="15"/>
        </w:rPr>
      </w:pPr>
      <w:r>
        <w:rPr>
          <w:spacing w:val="-6"/>
          <w:sz w:val="15"/>
          <w:szCs w:val="15"/>
        </w:rPr>
        <w:t>资料来源：</w:t>
      </w:r>
      <w:r>
        <w:rPr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spacing w:val="-6"/>
          <w:sz w:val="15"/>
          <w:szCs w:val="15"/>
        </w:rPr>
        <w:t>Gene</w:t>
      </w:r>
      <w:r>
        <w:rPr>
          <w:rFonts w:ascii="Arial" w:eastAsia="Arial" w:hAnsi="Arial" w:cs="Arial"/>
          <w:spacing w:val="10"/>
          <w:sz w:val="15"/>
          <w:szCs w:val="15"/>
        </w:rPr>
        <w:t xml:space="preserve"> </w:t>
      </w:r>
      <w:r>
        <w:rPr>
          <w:rFonts w:ascii="Arial" w:eastAsia="Arial" w:hAnsi="Arial" w:cs="Arial"/>
          <w:spacing w:val="-6"/>
          <w:sz w:val="15"/>
          <w:szCs w:val="15"/>
        </w:rPr>
        <w:t>Medics</w:t>
      </w:r>
    </w:p>
    <w:p>
      <w:pPr>
        <w:spacing w:line="186" w:lineRule="auto"/>
        <w:rPr>
          <w:rFonts w:ascii="Arial" w:eastAsia="Arial" w:hAnsi="Arial" w:cs="Arial"/>
          <w:sz w:val="15"/>
          <w:szCs w:val="15"/>
        </w:rPr>
        <w:sectPr>
          <w:headerReference w:type="default" r:id="rId58"/>
          <w:footerReference w:type="default" r:id="rId59"/>
          <w:type w:val="continuous"/>
          <w:pgSz w:w="11907" w:h="16839"/>
          <w:pgMar w:top="715" w:right="694" w:bottom="734" w:left="698" w:header="454" w:footer="479" w:gutter="0"/>
          <w:pgNumType w:start="21"/>
          <w:cols w:num="2" w:space="708" w:equalWidth="0">
            <w:col w:w="5373" w:space="100"/>
            <w:col w:w="5041" w:space="0"/>
          </w:cols>
        </w:sectPr>
      </w:pPr>
    </w:p>
    <w:p>
      <w:pPr>
        <w:pStyle w:val="BodyText"/>
        <w:spacing w:before="306" w:line="344" w:lineRule="exact"/>
        <w:ind w:left="466"/>
      </w:pPr>
      <w:r>
        <w:rPr>
          <w:spacing w:val="-5"/>
          <w:position w:val="9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（</w:t>
      </w:r>
      <w:r>
        <w:rPr>
          <w:rFonts w:ascii="Arial" w:eastAsia="Arial" w:hAnsi="Arial" w:cs="Arial"/>
          <w:b/>
          <w:bCs/>
          <w:spacing w:val="-5"/>
          <w:position w:val="9"/>
        </w:rPr>
        <w:t>3</w:t>
      </w:r>
      <w:r>
        <w:rPr>
          <w:spacing w:val="-5"/>
          <w:position w:val="9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）</w:t>
      </w:r>
      <w:r>
        <w:rPr>
          <w:rFonts w:ascii="Arial" w:eastAsia="Arial" w:hAnsi="Arial" w:cs="Arial"/>
          <w:b/>
          <w:bCs/>
          <w:spacing w:val="-5"/>
          <w:position w:val="9"/>
        </w:rPr>
        <w:t xml:space="preserve">GCGR </w:t>
      </w:r>
      <w:r>
        <w:rPr>
          <w:spacing w:val="-5"/>
          <w:position w:val="9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减重机制</w:t>
      </w:r>
      <w:r>
        <w:rPr>
          <w:spacing w:val="-19"/>
          <w:position w:val="9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spacing w:val="-19"/>
          <w:position w:val="9"/>
        </w:rPr>
        <w:t>（</w:t>
      </w:r>
      <w:r>
        <w:rPr>
          <w:rFonts w:ascii="Arial" w:eastAsia="Arial" w:hAnsi="Arial" w:cs="Arial"/>
          <w:spacing w:val="-5"/>
          <w:position w:val="9"/>
        </w:rPr>
        <w:t>a</w:t>
      </w:r>
      <w:r>
        <w:rPr>
          <w:spacing w:val="-5"/>
          <w:position w:val="9"/>
        </w:rPr>
        <w:t>）胰高血糖素受体主要存在于肝脏中的</w:t>
      </w:r>
      <w:r>
        <w:rPr>
          <w:spacing w:val="-40"/>
          <w:position w:val="9"/>
        </w:rPr>
        <w:t xml:space="preserve"> </w:t>
      </w:r>
      <w:r>
        <w:rPr>
          <w:rFonts w:ascii="Arial" w:eastAsia="Arial" w:hAnsi="Arial" w:cs="Arial"/>
          <w:spacing w:val="-5"/>
          <w:position w:val="9"/>
        </w:rPr>
        <w:t xml:space="preserve">G </w:t>
      </w:r>
      <w:r>
        <w:rPr>
          <w:spacing w:val="-5"/>
          <w:position w:val="9"/>
        </w:rPr>
        <w:t>蛋白偶</w:t>
      </w:r>
    </w:p>
    <w:p>
      <w:pPr>
        <w:pStyle w:val="BodyText"/>
        <w:spacing w:line="213" w:lineRule="auto"/>
        <w:ind w:left="28"/>
      </w:pPr>
      <w:r>
        <w:rPr>
          <w:spacing w:val="-4"/>
        </w:rPr>
        <w:t>联受体。这些受体与胰腺产生的激素胰高血糖素结合，</w:t>
      </w:r>
      <w:r>
        <w:rPr>
          <w:spacing w:val="-4"/>
        </w:rPr>
        <w:t xml:space="preserve"> </w:t>
      </w:r>
      <w:r>
        <w:rPr>
          <w:spacing w:val="-4"/>
        </w:rPr>
        <w:t>引起糖原的分解。当血糖</w:t>
      </w:r>
    </w:p>
    <w:p>
      <w:pPr>
        <w:pStyle w:val="BodyText"/>
        <w:spacing w:before="101" w:line="226" w:lineRule="auto"/>
        <w:ind w:left="36"/>
        <w:sectPr>
          <w:headerReference w:type="default" r:id="rId60"/>
          <w:footerReference w:type="default" r:id="rId61"/>
          <w:type w:val="continuous"/>
          <w:pgSz w:w="11907" w:h="16839"/>
          <w:pgMar w:top="715" w:right="694" w:bottom="734" w:left="698" w:header="454" w:footer="479" w:gutter="0"/>
          <w:pgNumType w:start="22"/>
          <w:cols w:num="1" w:space="708" w:equalWidth="0">
            <w:col w:w="10515" w:space="0"/>
          </w:cols>
        </w:sectPr>
      </w:pPr>
      <w:r>
        <w:rPr>
          <w:spacing w:val="5"/>
        </w:rPr>
        <w:t>下降时，胰高血糖素被释放并附着于胰高血糖素受体以增加葡萄糖水平</w:t>
      </w:r>
      <w:r>
        <w:rPr>
          <w:spacing w:val="-59"/>
          <w:w w:val="99"/>
        </w:rPr>
        <w:t>；（</w:t>
      </w:r>
      <w:r>
        <w:rPr>
          <w:rFonts w:ascii="Arial" w:eastAsia="Arial" w:hAnsi="Arial" w:cs="Arial"/>
          <w:spacing w:val="5"/>
        </w:rPr>
        <w:t>b</w:t>
      </w:r>
      <w:r>
        <w:rPr>
          <w:spacing w:val="5"/>
        </w:rPr>
        <w:t>）</w:t>
      </w:r>
    </w:p>
    <w:p>
      <w:pPr>
        <w:pStyle w:val="BodyText"/>
        <w:spacing w:before="86" w:line="213" w:lineRule="auto"/>
        <w:ind w:left="32"/>
      </w:pPr>
      <w:r>
        <w:rPr>
          <w:rFonts w:ascii="Arial" w:eastAsia="Arial" w:hAnsi="Arial" w:cs="Arial"/>
          <w:spacing w:val="-3"/>
        </w:rPr>
        <w:t xml:space="preserve">GCGR </w:t>
      </w:r>
      <w:r>
        <w:rPr>
          <w:spacing w:val="-3"/>
        </w:rPr>
        <w:t>激动剂的使用能够通过增加能量消耗来增强减肥效果，</w:t>
      </w:r>
      <w:r>
        <w:rPr>
          <w:spacing w:val="-53"/>
        </w:rPr>
        <w:t xml:space="preserve"> </w:t>
      </w:r>
      <w:r>
        <w:rPr>
          <w:spacing w:val="-3"/>
        </w:rPr>
        <w:t>与</w:t>
      </w:r>
      <w:r>
        <w:rPr>
          <w:spacing w:val="-41"/>
        </w:rPr>
        <w:t xml:space="preserve"> </w:t>
      </w:r>
      <w:r>
        <w:rPr>
          <w:rFonts w:ascii="Arial" w:eastAsia="Arial" w:hAnsi="Arial" w:cs="Arial"/>
          <w:spacing w:val="-3"/>
        </w:rPr>
        <w:t xml:space="preserve">GLP-1RA </w:t>
      </w:r>
      <w:r>
        <w:rPr>
          <w:spacing w:val="-3"/>
        </w:rPr>
        <w:t>具备</w:t>
      </w:r>
    </w:p>
    <w:p>
      <w:pPr>
        <w:pStyle w:val="BodyText"/>
        <w:spacing w:before="101" w:line="186" w:lineRule="auto"/>
        <w:ind w:left="35"/>
      </w:pPr>
      <w:r>
        <w:rPr>
          <w:spacing w:val="-5"/>
        </w:rPr>
        <w:t>协同作用。</w:t>
      </w:r>
    </w:p>
    <w:p>
      <w:pPr>
        <w:spacing w:line="186" w:lineRule="auto"/>
        <w:sectPr>
          <w:headerReference w:type="default" r:id="rId62"/>
          <w:footerReference w:type="default" r:id="rId63"/>
          <w:type w:val="nextPage"/>
          <w:pgSz w:w="11907" w:h="16839"/>
          <w:pgMar w:top="715" w:right="694" w:bottom="734" w:left="698" w:header="454" w:footer="479" w:gutter="0"/>
          <w:pgNumType w:start="23"/>
          <w:cols w:num="1" w:space="708" w:equalWidth="0">
            <w:col w:w="10515" w:space="0"/>
          </w:cols>
          <w:titlePg w:val="0"/>
        </w:sectPr>
      </w:pPr>
    </w:p>
    <w:p>
      <w:pPr>
        <w:pStyle w:val="BodyText"/>
        <w:spacing w:before="54" w:line="216" w:lineRule="auto"/>
        <w:ind w:left="55"/>
      </w:pPr>
      <w:r>
        <w:drawing>
          <wp:anchor distT="0" distB="0" distL="0" distR="0" simplePos="0" relativeHeight="251678720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911860</wp:posOffset>
            </wp:positionV>
            <wp:extent cx="4637404" cy="3487420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637404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" w:name="bookmark130"/>
      <w:bookmarkEnd w:id="18"/>
      <w:bookmarkStart w:id="19" w:name="bookmark8"/>
      <w:bookmarkEnd w:id="19"/>
      <w:bookmarkStart w:id="20" w:name="bookmark52"/>
      <w:bookmarkEnd w:id="20"/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图表</w:t>
      </w:r>
      <w:r>
        <w:rPr>
          <w:spacing w:val="-32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9</w:t>
      </w: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rFonts w:ascii="Arial" w:eastAsia="Arial" w:hAnsi="Arial" w:cs="Arial"/>
          <w:b/>
          <w:bCs/>
          <w:spacing w:val="-2"/>
        </w:rPr>
        <w:t xml:space="preserve">GCGR </w:t>
      </w: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激动剂与</w:t>
      </w:r>
      <w:r>
        <w:rPr>
          <w:spacing w:val="-44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 xml:space="preserve">GLP-1RA </w:t>
      </w: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在减肥上的协同作用</w:t>
      </w:r>
    </w:p>
    <w:p>
      <w:pPr>
        <w:spacing w:before="33" w:line="5951" w:lineRule="exact"/>
        <w:ind w:firstLine="21"/>
      </w:pPr>
      <w:r>
        <w:rPr>
          <w:position w:val="-119"/>
        </w:rPr>
        <w:pict>
          <v:group id="_x0000_i1057" style="width:365.25pt;height:297.55pt;mso-position-horizontal-relative:char;mso-position-vertical-relative:line" coordorigin="0,0" coordsize="7305,5950" filled="f" stroked="f">
            <v:rect id="_x0000_s1058" style="width:7305;height:10;position:absolute;top:5940" filled="t" fillcolor="black" stroked="f"/>
            <v:rect id="_x0000_s1059" style="width:7305;height:10;position:absolute" filled="t" fillcolor="black" stroked="f"/>
            <w10:wrap type="none"/>
          </v:group>
        </w:pict>
      </w:r>
    </w:p>
    <w:p>
      <w:pPr>
        <w:pStyle w:val="BodyText"/>
        <w:spacing w:before="40" w:line="218" w:lineRule="auto"/>
        <w:ind w:left="33"/>
        <w:rPr>
          <w:rFonts w:ascii="Arial" w:eastAsia="Arial" w:hAnsi="Arial" w:cs="Arial"/>
          <w:sz w:val="10"/>
          <w:szCs w:val="10"/>
        </w:rPr>
      </w:pPr>
      <w:r>
        <w:rPr>
          <w:spacing w:val="-5"/>
          <w:sz w:val="15"/>
          <w:szCs w:val="15"/>
        </w:rPr>
        <w:t>资料来源：</w:t>
      </w:r>
      <w:r>
        <w:rPr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spacing w:val="-5"/>
          <w:sz w:val="15"/>
          <w:szCs w:val="15"/>
        </w:rPr>
        <w:t>Science</w:t>
      </w:r>
      <w:r>
        <w:rPr>
          <w:rFonts w:ascii="Arial" w:eastAsia="Arial" w:hAnsi="Arial" w:cs="Arial"/>
          <w:spacing w:val="10"/>
          <w:w w:val="101"/>
          <w:sz w:val="15"/>
          <w:szCs w:val="15"/>
        </w:rPr>
        <w:t xml:space="preserve"> </w:t>
      </w:r>
      <w:r>
        <w:rPr>
          <w:rFonts w:ascii="Arial" w:eastAsia="Arial" w:hAnsi="Arial" w:cs="Arial"/>
          <w:spacing w:val="-5"/>
          <w:sz w:val="15"/>
          <w:szCs w:val="15"/>
        </w:rPr>
        <w:t>Direct</w:t>
      </w:r>
      <w:r>
        <w:rPr>
          <w:rFonts w:ascii="Arial" w:eastAsia="Arial" w:hAnsi="Arial" w:cs="Arial"/>
          <w:spacing w:val="-5"/>
          <w:position w:val="4"/>
          <w:sz w:val="10"/>
          <w:szCs w:val="10"/>
        </w:rPr>
        <w:t>2</w:t>
      </w:r>
    </w:p>
    <w:p>
      <w:pPr>
        <w:spacing w:line="419" w:lineRule="auto"/>
        <w:rPr>
          <w:rFonts w:ascii="Arial"/>
          <w:sz w:val="21"/>
        </w:rPr>
      </w:pPr>
    </w:p>
    <w:p>
      <w:pPr>
        <w:pStyle w:val="BodyText"/>
        <w:spacing w:before="78" w:line="212" w:lineRule="auto"/>
        <w:ind w:left="41"/>
        <w:rPr>
          <w:sz w:val="24"/>
          <w:szCs w:val="24"/>
        </w:rPr>
      </w:pPr>
      <w:r>
        <w:rPr>
          <w:color w:val="CA2420"/>
          <w:spacing w:val="-1"/>
          <w:sz w:val="24"/>
          <w:szCs w:val="24"/>
        </w:rPr>
        <w:t>多靶点在研药物：礼来替尔泊肽为代表，双靶、三靶持续突破</w:t>
      </w:r>
    </w:p>
    <w:p>
      <w:pPr>
        <w:pStyle w:val="BodyText"/>
        <w:spacing w:before="199" w:line="218" w:lineRule="auto"/>
        <w:ind w:left="21"/>
      </w:pPr>
      <w:r>
        <w:rPr>
          <w:rFonts w:ascii="Arial" w:eastAsia="Arial" w:hAnsi="Arial" w:cs="Arial"/>
        </w:rPr>
        <w:drawing>
          <wp:inline distT="0" distB="0" distL="0" distR="0">
            <wp:extent cx="46990" cy="108584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90" cy="10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spacing w:val="1"/>
        </w:rPr>
        <w:t xml:space="preserve">      </w:t>
      </w:r>
      <w:r>
        <w:rPr>
          <w:rFonts w:ascii="Arial" w:eastAsia="Arial" w:hAnsi="Arial" w:cs="Arial"/>
          <w:b/>
          <w:bCs/>
        </w:rPr>
        <w:t xml:space="preserve">GLP-1R/GIPR </w:t>
      </w:r>
      <w:r>
        <w:rPr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双重激动剂：礼来替尔泊</w:t>
      </w:r>
      <w:r>
        <w:rPr>
          <w:spacing w:val="-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肽为代表</w:t>
      </w:r>
    </w:p>
    <w:p>
      <w:pPr>
        <w:pStyle w:val="BodyText"/>
        <w:spacing w:before="189" w:line="344" w:lineRule="exact"/>
        <w:ind w:left="447"/>
      </w:pPr>
      <w:r>
        <w:rPr>
          <w:rFonts w:ascii="Arial" w:eastAsia="Arial" w:hAnsi="Arial" w:cs="Arial"/>
          <w:spacing w:val="-1"/>
          <w:position w:val="10"/>
        </w:rPr>
        <w:t xml:space="preserve">2022 </w:t>
      </w:r>
      <w:r>
        <w:rPr>
          <w:spacing w:val="-1"/>
          <w:position w:val="10"/>
        </w:rPr>
        <w:t>年</w:t>
      </w:r>
      <w:r>
        <w:rPr>
          <w:spacing w:val="-36"/>
          <w:position w:val="10"/>
        </w:rPr>
        <w:t xml:space="preserve"> </w:t>
      </w:r>
      <w:r>
        <w:rPr>
          <w:rFonts w:ascii="Arial" w:eastAsia="Arial" w:hAnsi="Arial" w:cs="Arial"/>
          <w:spacing w:val="-1"/>
          <w:position w:val="10"/>
        </w:rPr>
        <w:t>4</w:t>
      </w:r>
      <w:r>
        <w:rPr>
          <w:rFonts w:ascii="Arial" w:eastAsia="Arial" w:hAnsi="Arial" w:cs="Arial"/>
          <w:spacing w:val="20"/>
          <w:w w:val="101"/>
          <w:position w:val="10"/>
        </w:rPr>
        <w:t xml:space="preserve"> </w:t>
      </w:r>
      <w:r>
        <w:rPr>
          <w:spacing w:val="-1"/>
          <w:position w:val="10"/>
        </w:rPr>
        <w:t>月，礼来公布了</w:t>
      </w:r>
      <w:r>
        <w:rPr>
          <w:spacing w:val="-41"/>
          <w:position w:val="10"/>
        </w:rPr>
        <w:t xml:space="preserve"> </w:t>
      </w:r>
      <w:r>
        <w:rPr>
          <w:rFonts w:ascii="Arial" w:eastAsia="Arial" w:hAnsi="Arial" w:cs="Arial"/>
          <w:spacing w:val="-1"/>
          <w:position w:val="10"/>
        </w:rPr>
        <w:t>Tirzepatide</w:t>
      </w:r>
      <w:r>
        <w:rPr>
          <w:spacing w:val="-1"/>
          <w:position w:val="10"/>
        </w:rPr>
        <w:t>（替尔泊肽注射液）治疗肥胖症或超</w:t>
      </w:r>
    </w:p>
    <w:p>
      <w:pPr>
        <w:pStyle w:val="BodyText"/>
        <w:spacing w:line="215" w:lineRule="auto"/>
        <w:ind w:left="35"/>
        <w:rPr>
          <w:rFonts w:ascii="Arial" w:eastAsia="Arial" w:hAnsi="Arial" w:cs="Arial"/>
        </w:rPr>
      </w:pPr>
      <w:r>
        <w:rPr>
          <w:spacing w:val="-2"/>
        </w:rPr>
        <w:t>重群体的全球</w:t>
      </w:r>
      <w:r>
        <w:rPr>
          <w:spacing w:val="-46"/>
        </w:rPr>
        <w:t xml:space="preserve"> </w:t>
      </w:r>
      <w:r>
        <w:rPr>
          <w:rFonts w:ascii="Arial" w:eastAsia="Arial" w:hAnsi="Arial" w:cs="Arial"/>
          <w:spacing w:val="-2"/>
        </w:rPr>
        <w:t xml:space="preserve">3 </w:t>
      </w:r>
      <w:r>
        <w:rPr>
          <w:spacing w:val="-2"/>
        </w:rPr>
        <w:t>期临床试验</w:t>
      </w:r>
      <w:r>
        <w:rPr>
          <w:spacing w:val="-43"/>
        </w:rPr>
        <w:t xml:space="preserve"> </w:t>
      </w:r>
      <w:r>
        <w:rPr>
          <w:rFonts w:ascii="Arial" w:eastAsia="Arial" w:hAnsi="Arial" w:cs="Arial"/>
          <w:spacing w:val="-2"/>
        </w:rPr>
        <w:t xml:space="preserve">SURMOUNT-1 </w:t>
      </w:r>
      <w:r>
        <w:rPr>
          <w:spacing w:val="-2"/>
        </w:rPr>
        <w:t>的关</w:t>
      </w:r>
      <w:r>
        <w:rPr>
          <w:spacing w:val="-3"/>
        </w:rPr>
        <w:t>键数据。结果显示，</w:t>
      </w:r>
      <w:r>
        <w:rPr>
          <w:rFonts w:ascii="Arial" w:eastAsia="Arial" w:hAnsi="Arial" w:cs="Arial"/>
          <w:spacing w:val="-3"/>
        </w:rPr>
        <w:t>Tirzepatide</w:t>
      </w:r>
    </w:p>
    <w:p>
      <w:pPr>
        <w:pStyle w:val="BodyText"/>
        <w:spacing w:before="99" w:line="213" w:lineRule="auto"/>
        <w:ind w:left="44"/>
      </w:pPr>
      <w:r>
        <w:rPr>
          <w:spacing w:val="-3"/>
        </w:rPr>
        <w:t>（</w:t>
      </w:r>
      <w:r>
        <w:rPr>
          <w:rFonts w:ascii="Arial" w:eastAsia="Arial" w:hAnsi="Arial" w:cs="Arial"/>
          <w:spacing w:val="-3"/>
        </w:rPr>
        <w:t>5 mg</w:t>
      </w:r>
      <w:r>
        <w:rPr>
          <w:spacing w:val="-3"/>
        </w:rPr>
        <w:t>、</w:t>
      </w:r>
      <w:r>
        <w:rPr>
          <w:rFonts w:ascii="Arial" w:eastAsia="Arial" w:hAnsi="Arial" w:cs="Arial"/>
          <w:spacing w:val="-3"/>
        </w:rPr>
        <w:t>10 mg</w:t>
      </w:r>
      <w:r>
        <w:rPr>
          <w:spacing w:val="-3"/>
        </w:rPr>
        <w:t>、</w:t>
      </w:r>
      <w:r>
        <w:rPr>
          <w:rFonts w:ascii="Arial" w:eastAsia="Arial" w:hAnsi="Arial" w:cs="Arial"/>
          <w:spacing w:val="-3"/>
        </w:rPr>
        <w:t>15 mg</w:t>
      </w:r>
      <w:r>
        <w:rPr>
          <w:spacing w:val="-3"/>
        </w:rPr>
        <w:t>）治</w:t>
      </w:r>
      <w:r>
        <w:rPr>
          <w:spacing w:val="-4"/>
        </w:rPr>
        <w:t>疗组患者第</w:t>
      </w:r>
      <w:r>
        <w:rPr>
          <w:spacing w:val="-42"/>
        </w:rPr>
        <w:t xml:space="preserve"> </w:t>
      </w:r>
      <w:r>
        <w:rPr>
          <w:rFonts w:ascii="Arial" w:eastAsia="Arial" w:hAnsi="Arial" w:cs="Arial"/>
          <w:spacing w:val="-4"/>
        </w:rPr>
        <w:t xml:space="preserve">72 </w:t>
      </w:r>
      <w:r>
        <w:rPr>
          <w:spacing w:val="-4"/>
        </w:rPr>
        <w:t>周时减重效果均显著优于安慰剂对照</w:t>
      </w:r>
    </w:p>
    <w:p>
      <w:pPr>
        <w:pStyle w:val="BodyText"/>
        <w:spacing w:before="101" w:line="213" w:lineRule="auto"/>
        <w:ind w:left="37"/>
        <w:rPr>
          <w:rFonts w:ascii="Arial" w:eastAsia="Arial" w:hAnsi="Arial" w:cs="Arial"/>
        </w:rPr>
      </w:pPr>
      <w:r>
        <w:t>组，同时接受最高剂量（</w:t>
      </w:r>
      <w:r>
        <w:rPr>
          <w:rFonts w:ascii="Arial" w:eastAsia="Arial" w:hAnsi="Arial" w:cs="Arial"/>
        </w:rPr>
        <w:t>15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mg</w:t>
      </w:r>
      <w:r>
        <w:t>）</w:t>
      </w:r>
      <w:r>
        <w:rPr>
          <w:rFonts w:ascii="Arial" w:eastAsia="Arial" w:hAnsi="Arial" w:cs="Arial"/>
        </w:rPr>
        <w:t xml:space="preserve">Tirzepatide  </w:t>
      </w:r>
      <w:r>
        <w:t>治疗的亚组平均</w:t>
      </w:r>
      <w:r>
        <w:rPr>
          <w:spacing w:val="-1"/>
        </w:rPr>
        <w:t>体重降低</w:t>
      </w:r>
      <w:r>
        <w:rPr>
          <w:spacing w:val="-1"/>
        </w:rPr>
        <w:t xml:space="preserve"> </w:t>
      </w:r>
      <w:r>
        <w:rPr>
          <w:rFonts w:ascii="Arial" w:eastAsia="Arial" w:hAnsi="Arial" w:cs="Arial"/>
          <w:spacing w:val="-1"/>
        </w:rPr>
        <w:t>22.5%</w:t>
      </w:r>
    </w:p>
    <w:p>
      <w:pPr>
        <w:pStyle w:val="BodyText"/>
        <w:spacing w:before="101" w:line="213" w:lineRule="auto"/>
        <w:ind w:left="44"/>
      </w:pPr>
      <w:r>
        <w:rPr>
          <w:spacing w:val="-6"/>
        </w:rPr>
        <w:t>（</w:t>
      </w:r>
      <w:r>
        <w:rPr>
          <w:rFonts w:ascii="Arial" w:eastAsia="Arial" w:hAnsi="Arial" w:cs="Arial"/>
          <w:spacing w:val="-6"/>
        </w:rPr>
        <w:t xml:space="preserve">23.6 </w:t>
      </w:r>
      <w:r>
        <w:rPr>
          <w:spacing w:val="-6"/>
        </w:rPr>
        <w:t>公斤</w:t>
      </w:r>
      <w:r>
        <w:rPr>
          <w:spacing w:val="-30"/>
        </w:rPr>
        <w:t>），</w:t>
      </w:r>
      <w:r>
        <w:rPr>
          <w:spacing w:val="-6"/>
        </w:rPr>
        <w:t>其中</w:t>
      </w:r>
      <w:r>
        <w:rPr>
          <w:spacing w:val="-6"/>
        </w:rPr>
        <w:t xml:space="preserve"> </w:t>
      </w:r>
      <w:r>
        <w:rPr>
          <w:rFonts w:ascii="Arial" w:eastAsia="Arial" w:hAnsi="Arial" w:cs="Arial"/>
          <w:spacing w:val="-6"/>
        </w:rPr>
        <w:t>57%</w:t>
      </w:r>
      <w:r>
        <w:rPr>
          <w:spacing w:val="-6"/>
        </w:rPr>
        <w:t>的受试者体重降低至少</w:t>
      </w:r>
      <w:r>
        <w:rPr>
          <w:spacing w:val="-40"/>
        </w:rPr>
        <w:t xml:space="preserve"> </w:t>
      </w:r>
      <w:r>
        <w:rPr>
          <w:rFonts w:ascii="Arial" w:eastAsia="Arial" w:hAnsi="Arial" w:cs="Arial"/>
          <w:spacing w:val="-6"/>
        </w:rPr>
        <w:t>20%</w:t>
      </w:r>
      <w:r>
        <w:rPr>
          <w:spacing w:val="-6"/>
        </w:rPr>
        <w:t>。目前，</w:t>
      </w:r>
      <w:r>
        <w:rPr>
          <w:spacing w:val="-6"/>
        </w:rPr>
        <w:t xml:space="preserve"> </w:t>
      </w:r>
      <w:r>
        <w:rPr>
          <w:spacing w:val="-6"/>
        </w:rPr>
        <w:t>礼来已向</w:t>
      </w:r>
      <w:r>
        <w:rPr>
          <w:spacing w:val="-30"/>
        </w:rPr>
        <w:t xml:space="preserve"> </w:t>
      </w:r>
      <w:r>
        <w:rPr>
          <w:rFonts w:ascii="Arial" w:eastAsia="Arial" w:hAnsi="Arial" w:cs="Arial"/>
          <w:spacing w:val="-6"/>
        </w:rPr>
        <w:t>FDA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spacing w:val="-6"/>
        </w:rPr>
        <w:t>滚</w:t>
      </w:r>
    </w:p>
    <w:p>
      <w:pPr>
        <w:pStyle w:val="BodyText"/>
        <w:spacing w:before="101" w:line="215" w:lineRule="auto"/>
        <w:ind w:left="30"/>
      </w:pPr>
      <w:r>
        <w:rPr>
          <w:spacing w:val="-2"/>
        </w:rPr>
        <w:t>动提交了</w:t>
      </w:r>
      <w:r>
        <w:rPr>
          <w:spacing w:val="-33"/>
        </w:rPr>
        <w:t xml:space="preserve"> </w:t>
      </w:r>
      <w:r>
        <w:rPr>
          <w:rFonts w:ascii="Arial" w:eastAsia="Arial" w:hAnsi="Arial" w:cs="Arial"/>
          <w:spacing w:val="-2"/>
        </w:rPr>
        <w:t xml:space="preserve">Tirzepatide </w:t>
      </w:r>
      <w:r>
        <w:rPr>
          <w:spacing w:val="-2"/>
        </w:rPr>
        <w:t>减肥适应症的上市申请。</w:t>
      </w:r>
    </w:p>
    <w:p>
      <w:pPr>
        <w:spacing w:line="215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https://d.book118.com/968141007010006025</w:t>
        </w:r>
      </w:hyperlink>
    </w:p>
    <w:p>
      <w:pPr>
        <w:spacing w:line="215" w:lineRule="auto"/>
      </w:pPr>
    </w:p>
    <w:sectPr>
      <w:headerReference w:type="default" r:id="rId66"/>
      <w:footerReference w:type="default" r:id="rId67"/>
      <w:pgSz w:w="11907" w:h="16839"/>
      <w:pgMar w:top="715" w:right="694" w:bottom="734" w:left="698" w:header="454" w:footer="479" w:gutter="0"/>
      <w:pgNumType w:start="2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1007831797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58240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26" name="IM 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IM 26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3</w:t>
          </w:r>
        </w:hyperlink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988758418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45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67456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38" name="IM 3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IM 38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27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7</w:t>
          </w:r>
        </w:hyperlink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624224047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45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68480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40" name="IM 4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IM 40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28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8</w:t>
          </w:r>
        </w:hyperlink>
      </w:p>
    </w:sdtContent>
  </w:sdt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129220878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45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69504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466427149" name="IM 4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6427149" name="IM 40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28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8</w:t>
          </w:r>
        </w:hyperlink>
      </w:p>
    </w:sdtContent>
  </w:sdt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1513938241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45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70528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581014852" name="IM 4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1014852" name="IM 40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28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8</w:t>
          </w:r>
        </w:hyperlink>
      </w:p>
    </w:sdtContent>
  </w:sdt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374455071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45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71552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793190114" name="IM 4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3190114" name="IM 40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28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8</w:t>
          </w:r>
        </w:hyperlink>
      </w:p>
    </w:sdtContent>
  </w:sdt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377615738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72576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54" name="IM 5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" name="IM 54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29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9</w:t>
          </w:r>
        </w:hyperlink>
      </w:p>
    </w:sdtContent>
  </w:sdt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1634371116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73600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1729152053" name="IM 5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9152053" name="IM 54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29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9</w:t>
          </w:r>
        </w:hyperlink>
      </w:p>
    </w:sdtContent>
  </w:sdt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1851013911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74624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295911645" name="IM 5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5911645" name="IM 54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29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9</w:t>
          </w:r>
        </w:hyperlink>
      </w:p>
    </w:sdtContent>
  </w:sdt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1181277916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75648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1720407879" name="IM 5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0407879" name="IM 54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29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9</w:t>
          </w:r>
        </w:hyperlink>
      </w:p>
    </w:sdtContent>
  </w:sdt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832611387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76672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60" name="IM 6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" name="IM 60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</w:t>
        </w:r>
        <w:r>
          <w:rPr>
            <w:color w:val="CA2420"/>
            <w:spacing w:val="-1"/>
            <w:sz w:val="18"/>
            <w:szCs w:val="18"/>
          </w:rPr>
          <w:t xml:space="preserve"> </w:t>
        </w:r>
        <w:hyperlink w:anchor="bookmark130" w:history="1">
          <w:r>
            <w:rPr>
              <w:rFonts w:ascii="Arial" w:eastAsia="Arial" w:hAnsi="Arial" w:cs="Arial"/>
              <w:spacing w:val="-1"/>
              <w:position w:val="1"/>
              <w:sz w:val="18"/>
              <w:szCs w:val="18"/>
            </w:rPr>
            <w:t>10</w:t>
          </w:r>
        </w:hyperlink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2063626876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59264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1146813823" name="IM 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6813823" name="IM 26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3</w:t>
          </w:r>
        </w:hyperlink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621762434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60288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28" name="IM 2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IM 28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pacing w:val="1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pacing w:val="1"/>
            <w:sz w:val="18"/>
            <w:szCs w:val="18"/>
          </w:rPr>
          <w:t xml:space="preserve">                                                                          </w:t>
        </w:r>
        <w:r>
          <w:rPr>
            <w:color w:val="CA2420"/>
            <w:sz w:val="18"/>
            <w:szCs w:val="18"/>
          </w:rPr>
          <w:t xml:space="preserve">          </w:t>
        </w:r>
        <w:hyperlink w:anchor="bookmark46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4</w:t>
          </w:r>
        </w:hyperlink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962965443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61312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1571059740" name="IM 2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1059740" name="IM 28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pacing w:val="1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pacing w:val="1"/>
            <w:sz w:val="18"/>
            <w:szCs w:val="18"/>
          </w:rPr>
          <w:t xml:space="preserve">                                                                          </w:t>
        </w:r>
        <w:r>
          <w:rPr>
            <w:color w:val="CA2420"/>
            <w:sz w:val="18"/>
            <w:szCs w:val="18"/>
          </w:rPr>
          <w:t xml:space="preserve">          </w:t>
        </w:r>
        <w:hyperlink w:anchor="bookmark46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4</w:t>
          </w:r>
        </w:hyperlink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1915866319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62336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30" name="IM 3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IM 30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91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5</w:t>
          </w:r>
        </w:hyperlink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1746221294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63360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32" name="IM 3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IM 32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26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6</w:t>
          </w:r>
        </w:hyperlink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1586788957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64384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62089994" name="IM 3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089994" name="IM 32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26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6</w:t>
          </w:r>
        </w:hyperlink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1698194320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65408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114783754" name="IM 3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783754" name="IM 32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26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6</w:t>
          </w:r>
        </w:hyperlink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KaiTi" w:eastAsia="KaiTi" w:hAnsi="KaiTi" w:cs="KaiTi"/>
        <w:sz w:val="18"/>
        <w:szCs w:val="18"/>
      </w:rPr>
      <w:id w:val="891375563"/>
      <w:docPartObj>
        <w:docPartGallery w:val="Table of Contents"/>
        <w:docPartUnique/>
      </w:docPartObj>
    </w:sdtPr>
    <w:sdtEndPr>
      <w:rPr>
        <w:rFonts w:ascii="Arial" w:eastAsia="Arial" w:hAnsi="Arial" w:cs="Arial"/>
        <w:sz w:val="18"/>
        <w:szCs w:val="18"/>
      </w:rPr>
    </w:sdtEndPr>
    <w:sdtContent>
      <w:p>
        <w:pPr>
          <w:pStyle w:val="BodyText"/>
          <w:spacing w:before="47" w:line="203" w:lineRule="auto"/>
          <w:ind w:left="138"/>
          <w:rPr>
            <w:rFonts w:ascii="Arial" w:eastAsia="Arial" w:hAnsi="Arial" w:cs="Arial"/>
            <w:sz w:val="18"/>
            <w:szCs w:val="18"/>
          </w:rPr>
        </w:pPr>
        <w:r>
          <w:drawing>
            <wp:anchor distT="0" distB="0" distL="0" distR="0" simplePos="0" relativeHeight="251666432" behindDoc="0" locked="0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10226040</wp:posOffset>
              </wp:positionV>
              <wp:extent cx="6662673" cy="12191"/>
              <wp:effectExtent l="0" t="0" r="0" b="0"/>
              <wp:wrapNone/>
              <wp:docPr id="1950305074" name="IM 3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0305074" name="IM 32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2673" cy="121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CA2420"/>
            <w:sz w:val="18"/>
            <w:szCs w:val="18"/>
            <w14:textOutline w14:w="3265">
              <w14:solidFill>
                <w14:srgbClr w14:val="CA2420"/>
              </w14:solidFill>
              <w14:prstDash w14:val="solid"/>
              <w14:miter w14:lim="10"/>
            </w14:textOutline>
          </w:rPr>
          <w:t>请务必阅读报告正文后各项声明</w:t>
        </w:r>
        <w:r>
          <w:rPr>
            <w:color w:val="CA2420"/>
            <w:sz w:val="18"/>
            <w:szCs w:val="18"/>
          </w:rPr>
          <w:t xml:space="preserve">                                                                                     </w:t>
        </w:r>
        <w:hyperlink w:anchor="bookmark126" w:history="1">
          <w:r>
            <w:rPr>
              <w:rFonts w:ascii="Arial" w:eastAsia="Arial" w:hAnsi="Arial" w:cs="Arial"/>
              <w:position w:val="1"/>
              <w:sz w:val="18"/>
              <w:szCs w:val="18"/>
            </w:rPr>
            <w:t>6</w:t>
          </w:r>
        </w:hyperlink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53" style="width:525.35pt;height:1pt;margin-top:34.8pt;margin-left:34.92pt;mso-position-horizontal-relative:page;mso-position-vertical-relative:page;position:absolute;z-index:251662336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54" style="width:525.35pt;height:1pt;margin-top:34.8pt;margin-left:34.92pt;mso-position-horizontal-relative:page;mso-position-vertical-relative:page;position:absolute;z-index:251663360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55" style="width:525.35pt;height:1pt;margin-top:34.8pt;margin-left:34.92pt;mso-position-horizontal-relative:page;mso-position-vertical-relative:page;position:absolute;z-index:251664384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56" style="width:525.35pt;height:1pt;margin-top:34.8pt;margin-left:34.92pt;mso-position-horizontal-relative:page;mso-position-vertical-relative:page;position:absolute;z-index:251665408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57" style="width:525.35pt;height:1pt;margin-top:34.8pt;margin-left:34.92pt;mso-position-horizontal-relative:page;mso-position-vertical-relative:page;position:absolute;z-index:251666432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35"/>
      <w:rPr>
        <w:sz w:val="18"/>
        <w:szCs w:val="18"/>
      </w:rPr>
    </w:pPr>
    <w:r>
      <w:pict>
        <v:shape id="_x0000_s2058" style="width:525.35pt;height:1pt;margin-top:34.8pt;margin-left:34.92pt;mso-position-horizontal-relative:page;mso-position-vertical-relative:page;position:absolute;z-index:251667456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35"/>
      <w:rPr>
        <w:sz w:val="18"/>
        <w:szCs w:val="18"/>
      </w:rPr>
    </w:pPr>
    <w:r>
      <w:pict>
        <v:shape id="_x0000_s2059" style="width:525.35pt;height:1pt;margin-top:34.8pt;margin-left:34.92pt;mso-position-horizontal-relative:page;mso-position-vertical-relative:page;position:absolute;z-index:251668480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35"/>
      <w:rPr>
        <w:sz w:val="18"/>
        <w:szCs w:val="18"/>
      </w:rPr>
    </w:pPr>
    <w:r>
      <w:pict>
        <v:shape id="_x0000_s2060" style="width:525.35pt;height:1pt;margin-top:34.8pt;margin-left:34.92pt;mso-position-horizontal-relative:page;mso-position-vertical-relative:page;position:absolute;z-index:251669504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35"/>
      <w:rPr>
        <w:sz w:val="18"/>
        <w:szCs w:val="18"/>
      </w:rPr>
    </w:pPr>
    <w:r>
      <w:pict>
        <v:shape id="_x0000_s2061" style="width:525.35pt;height:1pt;margin-top:34.8pt;margin-left:34.92pt;mso-position-horizontal-relative:page;mso-position-vertical-relative:page;position:absolute;z-index:251670528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35"/>
      <w:rPr>
        <w:sz w:val="18"/>
        <w:szCs w:val="18"/>
      </w:rPr>
    </w:pPr>
    <w:r>
      <w:pict>
        <v:shape id="_x0000_s2062" style="width:525.35pt;height:1pt;margin-top:34.8pt;margin-left:34.92pt;mso-position-horizontal-relative:page;mso-position-vertical-relative:page;position:absolute;z-index:251671552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63" style="width:525.35pt;height:1pt;margin-top:34.8pt;margin-left:34.92pt;mso-position-horizontal-relative:page;mso-position-vertical-relative:page;position:absolute;z-index:251672576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64" style="width:525.35pt;height:1pt;margin-top:34.8pt;margin-left:34.92pt;mso-position-horizontal-relative:page;mso-position-vertical-relative:page;position:absolute;z-index:251673600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65" style="width:525.35pt;height:1pt;margin-top:34.8pt;margin-left:34.92pt;mso-position-horizontal-relative:page;mso-position-vertical-relative:page;position:absolute;z-index:251674624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66" style="width:525.35pt;height:1pt;margin-top:34.8pt;margin-left:34.92pt;mso-position-horizontal-relative:page;mso-position-vertical-relative:page;position:absolute;z-index:251675648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67" style="width:525.35pt;height:1pt;margin-top:34.8pt;margin-left:34.92pt;mso-position-horizontal-relative:page;mso-position-vertical-relative:page;position:absolute;z-index:251676672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49" style="width:525.35pt;height:1pt;margin-top:34.8pt;margin-left:34.92pt;mso-position-horizontal-relative:page;mso-position-vertical-relative:page;position:absolute;z-index:251658240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50" style="width:525.35pt;height:1pt;margin-top:34.8pt;margin-left:34.92pt;mso-position-horizontal-relative:page;mso-position-vertical-relative:page;position:absolute;z-index:251659264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51" style="width:525.35pt;height:1pt;margin-top:34.8pt;margin-left:34.92pt;mso-position-horizontal-relative:page;mso-position-vertical-relative:page;position:absolute;z-index:251660288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99" w:lineRule="auto"/>
      <w:ind w:left="28"/>
      <w:rPr>
        <w:sz w:val="18"/>
        <w:szCs w:val="18"/>
      </w:rPr>
    </w:pPr>
    <w:r>
      <w:pict>
        <v:shape id="_x0000_s2052" style="width:525.35pt;height:1pt;margin-top:34.8pt;margin-left:34.92pt;mso-position-horizontal-relative:page;mso-position-vertical-relative:page;position:absolute;z-index:251661312" coordorigin="0,0" coordsize="10506,20" o:allowincell="f" path="m,19l866,19l866,l,l,19xem852,19l871,19l871,l852,l852,19xem871,19l5242,19l5242,l871,l871,19xem5228,19l5247,19l5247,l5228,l5228,19xem5247,19l10506,19l10506,l5247,l5247,19xe" filled="t" fillcolor="#c00000" stroked="f"/>
      </w:pict>
    </w:r>
    <w:r>
      <w:rPr>
        <w:rFonts w:ascii="Arial" w:eastAsia="Arial" w:hAnsi="Arial" w:cs="Arial"/>
        <w:color w:val="C00000"/>
        <w:spacing w:val="-4"/>
        <w:sz w:val="18"/>
        <w:szCs w:val="18"/>
      </w:rPr>
      <w:t>Nomura</w:t>
    </w:r>
    <w:r>
      <w:rPr>
        <w:rFonts w:ascii="Arial" w:eastAsia="Arial" w:hAnsi="Arial" w:cs="Arial"/>
        <w:color w:val="C00000"/>
        <w:spacing w:val="15"/>
        <w:sz w:val="18"/>
        <w:szCs w:val="18"/>
      </w:rPr>
      <w:t xml:space="preserve"> </w:t>
    </w:r>
    <w:r>
      <w:rPr>
        <w:rFonts w:ascii="Arial" w:eastAsia="Arial" w:hAnsi="Arial" w:cs="Arial"/>
        <w:color w:val="C00000"/>
        <w:spacing w:val="-4"/>
        <w:sz w:val="18"/>
        <w:szCs w:val="18"/>
      </w:rPr>
      <w:t xml:space="preserve">|   </w:t>
    </w:r>
    <w:r>
      <w:rPr>
        <w:spacing w:val="-4"/>
        <w:sz w:val="18"/>
        <w:szCs w:val="18"/>
      </w:rPr>
      <w:t>医药生物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KaiTi" w:eastAsia="KaiTi" w:hAnsi="KaiTi" w:cs="KaiTi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13"/>
      <w:szCs w:val="13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header" Target="header4.xml" /><Relationship Id="rId12" Type="http://schemas.openxmlformats.org/officeDocument/2006/relationships/image" Target="media/image5.jpeg" /><Relationship Id="rId13" Type="http://schemas.openxmlformats.org/officeDocument/2006/relationships/image" Target="media/image6.jpeg" /><Relationship Id="rId14" Type="http://schemas.openxmlformats.org/officeDocument/2006/relationships/image" Target="media/image7.png" /><Relationship Id="rId15" Type="http://schemas.openxmlformats.org/officeDocument/2006/relationships/header" Target="header5.xml" /><Relationship Id="rId16" Type="http://schemas.openxmlformats.org/officeDocument/2006/relationships/header" Target="header6.xml" /><Relationship Id="rId17" Type="http://schemas.openxmlformats.org/officeDocument/2006/relationships/footer" Target="footer1.xml" /><Relationship Id="rId18" Type="http://schemas.openxmlformats.org/officeDocument/2006/relationships/header" Target="header7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footer" Target="footer3.xml" /><Relationship Id="rId22" Type="http://schemas.openxmlformats.org/officeDocument/2006/relationships/header" Target="header9.xml" /><Relationship Id="rId23" Type="http://schemas.openxmlformats.org/officeDocument/2006/relationships/footer" Target="footer4.xml" /><Relationship Id="rId24" Type="http://schemas.openxmlformats.org/officeDocument/2006/relationships/header" Target="header10.xml" /><Relationship Id="rId25" Type="http://schemas.openxmlformats.org/officeDocument/2006/relationships/footer" Target="footer5.xml" /><Relationship Id="rId26" Type="http://schemas.openxmlformats.org/officeDocument/2006/relationships/image" Target="media/image9.jpeg" /><Relationship Id="rId27" Type="http://schemas.openxmlformats.org/officeDocument/2006/relationships/header" Target="header11.xml" /><Relationship Id="rId28" Type="http://schemas.openxmlformats.org/officeDocument/2006/relationships/footer" Target="footer6.xml" /><Relationship Id="rId29" Type="http://schemas.openxmlformats.org/officeDocument/2006/relationships/image" Target="media/image10.jpeg" /><Relationship Id="rId3" Type="http://schemas.openxmlformats.org/officeDocument/2006/relationships/fontTable" Target="fontTable.xml" /><Relationship Id="rId30" Type="http://schemas.openxmlformats.org/officeDocument/2006/relationships/header" Target="header12.xml" /><Relationship Id="rId31" Type="http://schemas.openxmlformats.org/officeDocument/2006/relationships/footer" Target="footer7.xml" /><Relationship Id="rId32" Type="http://schemas.openxmlformats.org/officeDocument/2006/relationships/header" Target="header13.xml" /><Relationship Id="rId33" Type="http://schemas.openxmlformats.org/officeDocument/2006/relationships/footer" Target="footer8.xml" /><Relationship Id="rId34" Type="http://schemas.openxmlformats.org/officeDocument/2006/relationships/header" Target="header14.xml" /><Relationship Id="rId35" Type="http://schemas.openxmlformats.org/officeDocument/2006/relationships/footer" Target="footer9.xml" /><Relationship Id="rId36" Type="http://schemas.openxmlformats.org/officeDocument/2006/relationships/header" Target="header15.xml" /><Relationship Id="rId37" Type="http://schemas.openxmlformats.org/officeDocument/2006/relationships/footer" Target="footer10.xml" /><Relationship Id="rId38" Type="http://schemas.openxmlformats.org/officeDocument/2006/relationships/image" Target="media/image11.png" /><Relationship Id="rId39" Type="http://schemas.openxmlformats.org/officeDocument/2006/relationships/image" Target="media/image12.png" /><Relationship Id="rId4" Type="http://schemas.openxmlformats.org/officeDocument/2006/relationships/image" Target="media/image1.png" /><Relationship Id="rId40" Type="http://schemas.openxmlformats.org/officeDocument/2006/relationships/image" Target="media/image13.png" /><Relationship Id="rId41" Type="http://schemas.openxmlformats.org/officeDocument/2006/relationships/image" Target="media/image14.jpeg" /><Relationship Id="rId42" Type="http://schemas.openxmlformats.org/officeDocument/2006/relationships/image" Target="media/image15.jpeg" /><Relationship Id="rId43" Type="http://schemas.openxmlformats.org/officeDocument/2006/relationships/header" Target="header16.xml" /><Relationship Id="rId44" Type="http://schemas.openxmlformats.org/officeDocument/2006/relationships/footer" Target="footer11.xml" /><Relationship Id="rId45" Type="http://schemas.openxmlformats.org/officeDocument/2006/relationships/image" Target="media/image16.jpeg" /><Relationship Id="rId46" Type="http://schemas.openxmlformats.org/officeDocument/2006/relationships/image" Target="media/image17.jpeg" /><Relationship Id="rId47" Type="http://schemas.openxmlformats.org/officeDocument/2006/relationships/image" Target="media/image18.jpeg" /><Relationship Id="rId48" Type="http://schemas.openxmlformats.org/officeDocument/2006/relationships/header" Target="header17.xml" /><Relationship Id="rId49" Type="http://schemas.openxmlformats.org/officeDocument/2006/relationships/footer" Target="footer12.xml" /><Relationship Id="rId5" Type="http://schemas.openxmlformats.org/officeDocument/2006/relationships/header" Target="header1.xml" /><Relationship Id="rId50" Type="http://schemas.openxmlformats.org/officeDocument/2006/relationships/header" Target="header18.xml" /><Relationship Id="rId51" Type="http://schemas.openxmlformats.org/officeDocument/2006/relationships/footer" Target="footer13.xml" /><Relationship Id="rId52" Type="http://schemas.openxmlformats.org/officeDocument/2006/relationships/header" Target="header19.xml" /><Relationship Id="rId53" Type="http://schemas.openxmlformats.org/officeDocument/2006/relationships/footer" Target="footer14.xml" /><Relationship Id="rId54" Type="http://schemas.openxmlformats.org/officeDocument/2006/relationships/image" Target="media/image19.jpeg" /><Relationship Id="rId55" Type="http://schemas.openxmlformats.org/officeDocument/2006/relationships/header" Target="header20.xml" /><Relationship Id="rId56" Type="http://schemas.openxmlformats.org/officeDocument/2006/relationships/footer" Target="footer15.xml" /><Relationship Id="rId57" Type="http://schemas.openxmlformats.org/officeDocument/2006/relationships/image" Target="media/image20.jpeg" /><Relationship Id="rId58" Type="http://schemas.openxmlformats.org/officeDocument/2006/relationships/header" Target="header21.xml" /><Relationship Id="rId59" Type="http://schemas.openxmlformats.org/officeDocument/2006/relationships/footer" Target="footer16.xml" /><Relationship Id="rId6" Type="http://schemas.openxmlformats.org/officeDocument/2006/relationships/image" Target="media/image2.jpeg" /><Relationship Id="rId60" Type="http://schemas.openxmlformats.org/officeDocument/2006/relationships/header" Target="header22.xml" /><Relationship Id="rId61" Type="http://schemas.openxmlformats.org/officeDocument/2006/relationships/footer" Target="footer17.xml" /><Relationship Id="rId62" Type="http://schemas.openxmlformats.org/officeDocument/2006/relationships/header" Target="header23.xml" /><Relationship Id="rId63" Type="http://schemas.openxmlformats.org/officeDocument/2006/relationships/footer" Target="footer18.xml" /><Relationship Id="rId64" Type="http://schemas.openxmlformats.org/officeDocument/2006/relationships/image" Target="media/image21.jpeg" /><Relationship Id="rId65" Type="http://schemas.openxmlformats.org/officeDocument/2006/relationships/hyperlink" Target="https://d.book118.com/968141007010006025" TargetMode="External" /><Relationship Id="rId66" Type="http://schemas.openxmlformats.org/officeDocument/2006/relationships/header" Target="header24.xml" /><Relationship Id="rId67" Type="http://schemas.openxmlformats.org/officeDocument/2006/relationships/footer" Target="footer19.xml" /><Relationship Id="rId68" Type="http://schemas.openxmlformats.org/officeDocument/2006/relationships/theme" Target="theme/theme1.xml" /><Relationship Id="rId69" Type="http://schemas.openxmlformats.org/officeDocument/2006/relationships/styles" Target="styles.xml" /><Relationship Id="rId7" Type="http://schemas.openxmlformats.org/officeDocument/2006/relationships/header" Target="header2.xml" /><Relationship Id="rId8" Type="http://schemas.openxmlformats.org/officeDocument/2006/relationships/image" Target="media/image3.jpeg" /><Relationship Id="rId9" Type="http://schemas.openxmlformats.org/officeDocument/2006/relationships/header" Target="header3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10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11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12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13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14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15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16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17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18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19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7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8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footer9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2024-01-10T18:10:21Z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2024-01-10T21:02:48Z</vt:filetime>
  </property>
  <property fmtid="{D5CDD505-2E9C-101B-9397-08002B2CF9AE}" pid="3" name="CRO">
    <vt:lpwstr>wqlLaW5nc29mdCBQREYgdG8gV1BTIDkw</vt:lpwstr>
  </property>
</Properties>
</file>