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pStyle w:val="Title"/>
      </w:pPr>
      <w:r>
        <w:rPr>
          <w:color w:val="70AD47"/>
          <w:spacing w:val="-1"/>
        </w:rPr>
        <w:t>长期照护政策效果评估</w:t>
      </w:r>
    </w:p>
    <w:p>
      <w:pPr>
        <w:pStyle w:val="BodyText"/>
        <w:ind w:left="0"/>
        <w:rPr>
          <w:rFonts w:ascii="Microsoft JhengHei"/>
          <w:b/>
          <w:sz w:val="20"/>
        </w:rPr>
      </w:pPr>
    </w:p>
    <w:p>
      <w:pPr>
        <w:pStyle w:val="BodyText"/>
        <w:ind w:left="0"/>
        <w:rPr>
          <w:rFonts w:ascii="Microsoft JhengHei"/>
          <w:b/>
          <w:sz w:val="20"/>
        </w:rPr>
      </w:pPr>
    </w:p>
    <w:p>
      <w:pPr>
        <w:pStyle w:val="BodyText"/>
        <w:ind w:left="0"/>
        <w:rPr>
          <w:rFonts w:ascii="Microsoft JhengHei"/>
          <w:b/>
          <w:sz w:val="20"/>
        </w:rPr>
      </w:pPr>
    </w:p>
    <w:p>
      <w:pPr>
        <w:pStyle w:val="BodyText"/>
        <w:ind w:left="0"/>
        <w:rPr>
          <w:rFonts w:ascii="Microsoft JhengHei"/>
          <w:b/>
          <w:sz w:val="20"/>
        </w:rPr>
      </w:pPr>
    </w:p>
    <w:p>
      <w:pPr>
        <w:pStyle w:val="BodyText"/>
        <w:spacing w:before="11"/>
        <w:ind w:left="0"/>
        <w:rPr>
          <w:rFonts w:ascii="Microsoft JhengHei"/>
          <w:b/>
          <w:sz w:val="11"/>
        </w:rPr>
      </w:pPr>
      <w:r>
        <w:drawing>
          <wp:anchor distT="0" distB="0" distL="0" distR="0" simplePos="0" relativeHeight="251658240" behindDoc="0" locked="0" layoutInCell="1" allowOverlap="1">
            <wp:simplePos x="0" y="0"/>
            <wp:positionH relativeFrom="page">
              <wp:posOffset>3313176</wp:posOffset>
            </wp:positionH>
            <wp:positionV relativeFrom="paragraph">
              <wp:posOffset>151156</wp:posOffset>
            </wp:positionV>
            <wp:extent cx="935516" cy="398145"/>
            <wp:effectExtent l="0" t="0" r="0" b="0"/>
            <wp:wrapTopAndBottom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35516" cy="39814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1"/>
        <w:ind w:left="0"/>
        <w:rPr>
          <w:rFonts w:ascii="Microsoft JhengHei"/>
          <w:b/>
          <w:sz w:val="14"/>
        </w:rPr>
      </w:pPr>
    </w:p>
    <w:sdt>
      <w:sdtPr>
        <w:id w:val="901204313"/>
        <w:docPartObj>
          <w:docPartGallery w:val="Table of Contents"/>
          <w:docPartUnique/>
        </w:docPartObj>
      </w:sdtPr>
      <w:sdtContent>
        <w:p>
          <w:pPr>
            <w:pStyle w:val="TOC1"/>
            <w:tabs>
              <w:tab w:val="left" w:pos="1589"/>
              <w:tab w:val="right" w:leader="dot" w:pos="8415"/>
            </w:tabs>
            <w:spacing w:before="77"/>
            <w:rPr>
              <w:rFonts w:ascii="Times New Roman" w:eastAsia="Times New Roman"/>
            </w:rPr>
          </w:pPr>
          <w:r>
            <w:fldChar w:fldCharType="begin"/>
          </w:r>
          <w:r>
            <w:instrText xml:space="preserve">TOC \o "1-1" \h \z \u </w:instrText>
          </w:r>
          <w:r>
            <w:fldChar w:fldCharType="separate"/>
          </w:r>
          <w:hyperlink w:anchor="_bookmark0" w:history="1">
            <w:r>
              <w:t>第一部</w:t>
            </w:r>
            <w:r>
              <w:rPr>
                <w:spacing w:val="-10"/>
              </w:rPr>
              <w:t>分</w:t>
            </w:r>
            <w:r>
              <w:tab/>
              <w:t>长期照护政策的定义和目</w:t>
            </w:r>
            <w:r>
              <w:rPr>
                <w:spacing w:val="-10"/>
              </w:rPr>
              <w:t>标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10"/>
              </w:rPr>
              <w:t>2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Times New Roman" w:eastAsia="Times New Roman"/>
            </w:rPr>
          </w:pPr>
          <w:hyperlink w:anchor="_TOC_250006" w:history="1">
            <w:r>
              <w:t>第二部</w:t>
            </w:r>
            <w:r>
              <w:rPr>
                <w:spacing w:val="-10"/>
              </w:rPr>
              <w:t>分</w:t>
            </w:r>
            <w:r>
              <w:tab/>
              <w:t>长期照护政策的实施过</w:t>
            </w:r>
            <w:r>
              <w:rPr>
                <w:spacing w:val="-10"/>
              </w:rPr>
              <w:t>程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10"/>
              </w:rPr>
              <w:t>5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Times New Roman" w:eastAsia="Times New Roman"/>
            </w:rPr>
          </w:pPr>
          <w:hyperlink w:anchor="_TOC_250005" w:history="1">
            <w:r>
              <w:t>第三部</w:t>
            </w:r>
            <w:r>
              <w:rPr>
                <w:spacing w:val="-10"/>
              </w:rPr>
              <w:t>分</w:t>
            </w:r>
            <w:r>
              <w:tab/>
              <w:t>长期照护政策的评估方</w:t>
            </w:r>
            <w:r>
              <w:rPr>
                <w:spacing w:val="-10"/>
              </w:rPr>
              <w:t>法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10"/>
              </w:rPr>
              <w:t>9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Times New Roman" w:eastAsia="Times New Roman"/>
            </w:rPr>
          </w:pPr>
          <w:hyperlink w:anchor="_TOC_250004" w:history="1">
            <w:r>
              <w:t>第四部</w:t>
            </w:r>
            <w:r>
              <w:rPr>
                <w:spacing w:val="-10"/>
              </w:rPr>
              <w:t>分</w:t>
            </w:r>
            <w:r>
              <w:tab/>
              <w:t>长期照护政策的效果分</w:t>
            </w:r>
            <w:r>
              <w:rPr>
                <w:spacing w:val="-10"/>
              </w:rPr>
              <w:t>析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5"/>
              </w:rPr>
              <w:t>13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Times New Roman" w:eastAsia="Times New Roman"/>
            </w:rPr>
          </w:pPr>
          <w:hyperlink w:anchor="_TOC_250003" w:history="1">
            <w:r>
              <w:t>第五部</w:t>
            </w:r>
            <w:r>
              <w:rPr>
                <w:spacing w:val="-10"/>
              </w:rPr>
              <w:t>分</w:t>
            </w:r>
            <w:r>
              <w:tab/>
              <w:t>长期照护政策的问题与挑</w:t>
            </w:r>
            <w:r>
              <w:rPr>
                <w:spacing w:val="-10"/>
              </w:rPr>
              <w:t>战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5"/>
              </w:rPr>
              <w:t>17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Times New Roman" w:eastAsia="Times New Roman"/>
            </w:rPr>
          </w:pPr>
          <w:hyperlink w:anchor="_TOC_250002" w:history="1">
            <w:r>
              <w:t>第六部</w:t>
            </w:r>
            <w:r>
              <w:rPr>
                <w:spacing w:val="-10"/>
              </w:rPr>
              <w:t>分</w:t>
            </w:r>
            <w:r>
              <w:tab/>
              <w:t>长期照护政策的改进策</w:t>
            </w:r>
            <w:r>
              <w:rPr>
                <w:spacing w:val="-10"/>
              </w:rPr>
              <w:t>略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5"/>
              </w:rPr>
              <w:t>20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spacing w:before="354"/>
            <w:rPr>
              <w:rFonts w:ascii="Times New Roman" w:eastAsia="Times New Roman"/>
            </w:rPr>
          </w:pPr>
          <w:hyperlink w:anchor="_TOC_250001" w:history="1">
            <w:r>
              <w:t>第七部</w:t>
            </w:r>
            <w:r>
              <w:rPr>
                <w:spacing w:val="-10"/>
              </w:rPr>
              <w:t>分</w:t>
            </w:r>
            <w:r>
              <w:tab/>
              <w:t>长期照护政策的国际比较研</w:t>
            </w:r>
            <w:r>
              <w:rPr>
                <w:spacing w:val="-10"/>
              </w:rPr>
              <w:t>究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5"/>
              </w:rPr>
              <w:t>24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Times New Roman" w:eastAsia="Times New Roman"/>
            </w:rPr>
          </w:pPr>
          <w:hyperlink w:anchor="_TOC_250000" w:history="1">
            <w:r>
              <w:t>第八部</w:t>
            </w:r>
            <w:r>
              <w:rPr>
                <w:spacing w:val="-10"/>
              </w:rPr>
              <w:t>分</w:t>
            </w:r>
            <w:r>
              <w:tab/>
              <w:t>长期照护政策的未来发展趋</w:t>
            </w:r>
            <w:r>
              <w:rPr>
                <w:spacing w:val="-10"/>
              </w:rPr>
              <w:t>势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5"/>
              </w:rPr>
              <w:t>27</w:t>
            </w:r>
          </w:hyperlink>
        </w:p>
        <w:p>
          <w:r>
            <w:fldChar w:fldCharType="end"/>
          </w:r>
        </w:p>
      </w:sdtContent>
    </w:sdt>
    <w:p>
      <w:pPr>
        <w:spacing w:after="0"/>
        <w:sectPr>
          <w:footerReference w:type="default" r:id="rId5"/>
          <w:type w:val="continuous"/>
          <w:pgSz w:w="11910" w:h="16840"/>
          <w:pgMar w:top="1480" w:right="1280" w:bottom="1380" w:left="1680" w:header="0" w:footer="1198"/>
          <w:pgNumType w:start="1"/>
          <w:cols w:space="708"/>
        </w:sectPr>
      </w:pPr>
    </w:p>
    <w:p>
      <w:pPr>
        <w:pStyle w:val="Heading1"/>
        <w:tabs>
          <w:tab w:val="left" w:pos="1725"/>
        </w:tabs>
        <w:spacing w:line="514" w:lineRule="exact"/>
      </w:pPr>
      <w:bookmarkStart w:id="0" w:name="_bookmark0"/>
      <w:bookmarkEnd w:id="0"/>
      <w:r>
        <w:t>第</w:t>
      </w:r>
      <w:r>
        <w:t>一</w:t>
      </w:r>
      <w:r>
        <w:t>部</w:t>
      </w:r>
      <w:r>
        <w:rPr>
          <w:spacing w:val="-10"/>
        </w:rPr>
        <w:t>分</w:t>
      </w:r>
      <w:r>
        <w:tab/>
        <w:t>长</w:t>
      </w:r>
      <w:r>
        <w:t>期</w:t>
      </w:r>
      <w:r>
        <w:t>照</w:t>
      </w:r>
      <w:r>
        <w:t>护</w:t>
      </w:r>
      <w:r>
        <w:t>政</w:t>
      </w:r>
      <w:r>
        <w:t>策</w:t>
      </w:r>
      <w:r>
        <w:t>的</w:t>
      </w:r>
      <w:r>
        <w:t>定</w:t>
      </w:r>
      <w:r>
        <w:t>义</w:t>
      </w:r>
      <w:r>
        <w:t>和</w:t>
      </w:r>
      <w:r>
        <w:t>目</w:t>
      </w:r>
      <w:r>
        <w:rPr>
          <w:spacing w:val="-10"/>
        </w:rPr>
        <w:t>标</w:t>
      </w:r>
    </w:p>
    <w:p>
      <w:pPr>
        <w:pStyle w:val="BodyText"/>
        <w:spacing w:before="15" w:after="1"/>
        <w:ind w:left="0"/>
        <w:rPr>
          <w:rFonts w:ascii="Microsoft JhengHei"/>
          <w:b/>
          <w:sz w:val="15"/>
        </w:rPr>
      </w:pPr>
    </w:p>
    <w:tbl>
      <w:tblPr>
        <w:tblStyle w:val="TableNormal0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69"/>
        <w:gridCol w:w="5527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4"/>
                <w:sz w:val="21"/>
              </w:rPr>
              <w:t>关键词</w:t>
            </w:r>
          </w:p>
        </w:tc>
        <w:tc>
          <w:tcPr>
            <w:tcW w:w="5527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3"/>
                <w:sz w:val="21"/>
              </w:rPr>
              <w:t>关键要点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183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2"/>
                <w:sz w:val="21"/>
              </w:rPr>
              <w:t>长期照护政策的定义</w:t>
            </w:r>
          </w:p>
        </w:tc>
        <w:tc>
          <w:tcPr>
            <w:tcW w:w="5527" w:type="dxa"/>
          </w:tcPr>
          <w:p>
            <w:pPr>
              <w:pStyle w:val="TableParagraph"/>
              <w:numPr>
                <w:ilvl w:val="0"/>
                <w:numId w:val="74"/>
              </w:numPr>
              <w:tabs>
                <w:tab w:val="left" w:pos="371"/>
              </w:tabs>
              <w:spacing w:before="23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长期照护政策是指政府为满足老年人、残疾人等特殊群</w:t>
            </w:r>
            <w:r>
              <w:rPr>
                <w:spacing w:val="-2"/>
                <w:sz w:val="21"/>
              </w:rPr>
              <w:t>体的长期生活照顾需求，制定的一系列政策措施。</w:t>
            </w:r>
          </w:p>
          <w:p>
            <w:pPr>
              <w:pStyle w:val="TableParagraph"/>
              <w:numPr>
                <w:ilvl w:val="0"/>
                <w:numId w:val="74"/>
              </w:numPr>
              <w:tabs>
                <w:tab w:val="left" w:pos="475"/>
                <w:tab w:val="left" w:pos="476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7"/>
                <w:sz w:val="21"/>
              </w:rPr>
              <w:t>这些政策旨在保障这些特殊群体的基本生活权益，提高</w:t>
            </w:r>
            <w:r>
              <w:rPr>
                <w:spacing w:val="-2"/>
                <w:sz w:val="21"/>
              </w:rPr>
              <w:t>他们的生活质量，促进社会公平和谐。</w:t>
            </w:r>
          </w:p>
          <w:p>
            <w:pPr>
              <w:pStyle w:val="TableParagraph"/>
              <w:numPr>
                <w:ilvl w:val="0"/>
                <w:numId w:val="74"/>
              </w:numPr>
              <w:tabs>
                <w:tab w:val="left" w:pos="475"/>
                <w:tab w:val="left" w:pos="476"/>
              </w:tabs>
              <w:spacing w:before="0" w:after="0" w:line="278" w:lineRule="auto"/>
              <w:ind w:left="107" w:right="95" w:firstLine="0"/>
              <w:jc w:val="left"/>
              <w:rPr>
                <w:sz w:val="21"/>
              </w:rPr>
            </w:pPr>
            <w:r>
              <w:rPr>
                <w:spacing w:val="-6"/>
                <w:sz w:val="21"/>
              </w:rPr>
              <w:t>长期照护政策涵盖了医疗、护理、康复、心理支持等多</w:t>
            </w:r>
            <w:r>
              <w:rPr>
                <w:spacing w:val="-2"/>
                <w:sz w:val="21"/>
              </w:rPr>
              <w:t>个方面，需要多部门协同合作实施。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184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2"/>
                <w:sz w:val="21"/>
              </w:rPr>
              <w:t>长期照护政策的目标</w:t>
            </w:r>
          </w:p>
        </w:tc>
        <w:tc>
          <w:tcPr>
            <w:tcW w:w="5527" w:type="dxa"/>
          </w:tcPr>
          <w:p>
            <w:pPr>
              <w:pStyle w:val="TableParagraph"/>
              <w:numPr>
                <w:ilvl w:val="0"/>
                <w:numId w:val="73"/>
              </w:numPr>
              <w:tabs>
                <w:tab w:val="left" w:pos="371"/>
              </w:tabs>
              <w:spacing w:before="23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长期照护政策的首要目标是保障特殊群体的基本生活权</w:t>
            </w:r>
            <w:r>
              <w:rPr>
                <w:spacing w:val="-2"/>
                <w:sz w:val="21"/>
              </w:rPr>
              <w:t>益，确保他们能够享有安全、健康、有尊严的生活环境。</w:t>
            </w:r>
          </w:p>
          <w:p>
            <w:pPr>
              <w:pStyle w:val="TableParagraph"/>
              <w:numPr>
                <w:ilvl w:val="0"/>
                <w:numId w:val="73"/>
              </w:numPr>
              <w:tabs>
                <w:tab w:val="left" w:pos="475"/>
                <w:tab w:val="left" w:pos="476"/>
              </w:tabs>
              <w:spacing w:before="0" w:after="0" w:line="278" w:lineRule="auto"/>
              <w:ind w:left="107" w:right="95" w:firstLine="0"/>
              <w:jc w:val="left"/>
              <w:rPr>
                <w:sz w:val="21"/>
              </w:rPr>
            </w:pPr>
            <w:r>
              <w:rPr>
                <w:spacing w:val="-6"/>
                <w:sz w:val="21"/>
              </w:rPr>
              <w:t>其次，政策致力于提高特殊群体的生活质量，包括提供</w:t>
            </w:r>
            <w:r>
              <w:rPr>
                <w:spacing w:val="-2"/>
                <w:sz w:val="21"/>
              </w:rPr>
              <w:t>专业的护理服务、康复治疗、心理支持等。</w:t>
            </w:r>
          </w:p>
          <w:p>
            <w:pPr>
              <w:pStyle w:val="TableParagraph"/>
              <w:numPr>
                <w:ilvl w:val="0"/>
                <w:numId w:val="73"/>
              </w:numPr>
              <w:tabs>
                <w:tab w:val="left" w:pos="475"/>
                <w:tab w:val="left" w:pos="476"/>
              </w:tabs>
              <w:spacing w:before="0" w:after="0" w:line="278" w:lineRule="auto"/>
              <w:ind w:left="107" w:right="95" w:firstLine="0"/>
              <w:jc w:val="left"/>
              <w:rPr>
                <w:sz w:val="21"/>
              </w:rPr>
            </w:pPr>
            <w:r>
              <w:rPr>
                <w:spacing w:val="-6"/>
                <w:sz w:val="21"/>
              </w:rPr>
              <w:t>最后，长期照护政策还关注社会公平和谐，通过减轻家</w:t>
            </w:r>
            <w:r>
              <w:rPr>
                <w:spacing w:val="-2"/>
                <w:sz w:val="21"/>
              </w:rPr>
              <w:t>庭负担、优化资源配置等方式，促进社会整体福祉。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184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1"/>
                <w:sz w:val="21"/>
              </w:rPr>
              <w:t>长期照护政策的发展趋势</w:t>
            </w:r>
          </w:p>
        </w:tc>
        <w:tc>
          <w:tcPr>
            <w:tcW w:w="5527" w:type="dxa"/>
          </w:tcPr>
          <w:p>
            <w:pPr>
              <w:pStyle w:val="TableParagraph"/>
              <w:numPr>
                <w:ilvl w:val="0"/>
                <w:numId w:val="72"/>
              </w:numPr>
              <w:tabs>
                <w:tab w:val="left" w:pos="371"/>
              </w:tabs>
              <w:spacing w:before="23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随着人口老龄化和残疾人口的增加，长期照护政策的关</w:t>
            </w:r>
            <w:r>
              <w:rPr>
                <w:spacing w:val="-2"/>
                <w:sz w:val="21"/>
              </w:rPr>
              <w:t>注度将持续提高，政策覆盖面将进一步扩大。</w:t>
            </w:r>
          </w:p>
          <w:p>
            <w:pPr>
              <w:pStyle w:val="TableParagraph"/>
              <w:numPr>
                <w:ilvl w:val="0"/>
                <w:numId w:val="72"/>
              </w:numPr>
              <w:tabs>
                <w:tab w:val="left" w:pos="475"/>
                <w:tab w:val="left" w:pos="476"/>
              </w:tabs>
              <w:spacing w:before="0" w:after="0" w:line="278" w:lineRule="auto"/>
              <w:ind w:left="107" w:right="95" w:firstLine="0"/>
              <w:jc w:val="left"/>
              <w:rPr>
                <w:sz w:val="21"/>
              </w:rPr>
            </w:pPr>
            <w:r>
              <w:rPr>
                <w:spacing w:val="-6"/>
                <w:sz w:val="21"/>
              </w:rPr>
              <w:t>未来，长期照护政策将更加注重服务质量和效果，推动</w:t>
            </w:r>
            <w:r>
              <w:rPr>
                <w:spacing w:val="-2"/>
                <w:sz w:val="21"/>
              </w:rPr>
              <w:t>专业化、个性化的照护服务发展。</w:t>
            </w:r>
          </w:p>
          <w:p>
            <w:pPr>
              <w:pStyle w:val="TableParagraph"/>
              <w:numPr>
                <w:ilvl w:val="0"/>
                <w:numId w:val="72"/>
              </w:numPr>
              <w:tabs>
                <w:tab w:val="left" w:pos="475"/>
                <w:tab w:val="left" w:pos="476"/>
              </w:tabs>
              <w:spacing w:before="0" w:after="0" w:line="278" w:lineRule="auto"/>
              <w:ind w:left="107" w:right="95" w:firstLine="0"/>
              <w:jc w:val="left"/>
              <w:rPr>
                <w:sz w:val="21"/>
              </w:rPr>
            </w:pPr>
            <w:r>
              <w:rPr>
                <w:spacing w:val="-6"/>
                <w:sz w:val="21"/>
              </w:rPr>
              <w:t>同时，政策将加强跨部门协同，实现资源整合和优化配</w:t>
            </w:r>
            <w:r>
              <w:rPr>
                <w:spacing w:val="-2"/>
                <w:sz w:val="21"/>
              </w:rPr>
              <w:t>置，提高照护服务的可及性和可持续性。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807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1"/>
                <w:sz w:val="21"/>
              </w:rPr>
              <w:t>长期照护政策的评估方法</w:t>
            </w:r>
          </w:p>
        </w:tc>
        <w:tc>
          <w:tcPr>
            <w:tcW w:w="5527" w:type="dxa"/>
          </w:tcPr>
          <w:p>
            <w:pPr>
              <w:pStyle w:val="TableParagraph"/>
              <w:numPr>
                <w:ilvl w:val="0"/>
                <w:numId w:val="71"/>
              </w:numPr>
              <w:tabs>
                <w:tab w:val="left" w:pos="371"/>
              </w:tabs>
              <w:spacing w:before="23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长期照护政策的评估主要包括政策效果评估、政策满意</w:t>
            </w:r>
            <w:r>
              <w:rPr>
                <w:spacing w:val="-2"/>
                <w:sz w:val="21"/>
              </w:rPr>
              <w:t>度评估和政策影响评估三个方面。</w:t>
            </w:r>
          </w:p>
          <w:p>
            <w:pPr>
              <w:pStyle w:val="TableParagraph"/>
              <w:numPr>
                <w:ilvl w:val="0"/>
                <w:numId w:val="71"/>
              </w:numPr>
              <w:tabs>
                <w:tab w:val="left" w:pos="484"/>
                <w:tab w:val="left" w:pos="485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政策效果评估主要关注政策实施后特殊群体的生活状</w:t>
            </w:r>
            <w:r>
              <w:rPr>
                <w:spacing w:val="-2"/>
                <w:sz w:val="21"/>
              </w:rPr>
              <w:t>况改善程度、服务质量提升情况等。</w:t>
            </w:r>
          </w:p>
          <w:p>
            <w:pPr>
              <w:pStyle w:val="TableParagraph"/>
              <w:numPr>
                <w:ilvl w:val="0"/>
                <w:numId w:val="71"/>
              </w:numPr>
              <w:tabs>
                <w:tab w:val="left" w:pos="475"/>
                <w:tab w:val="left" w:pos="476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7"/>
                <w:sz w:val="21"/>
              </w:rPr>
              <w:t>政策满意度评估则关注特殊群体对政策的认同度、满意</w:t>
            </w:r>
            <w:r>
              <w:rPr>
                <w:spacing w:val="-2"/>
                <w:sz w:val="21"/>
              </w:rPr>
              <w:t>度等方面。</w:t>
            </w:r>
          </w:p>
          <w:p>
            <w:pPr>
              <w:pStyle w:val="TableParagraph"/>
              <w:numPr>
                <w:ilvl w:val="0"/>
                <w:numId w:val="71"/>
              </w:numPr>
              <w:tabs>
                <w:tab w:val="left" w:pos="475"/>
                <w:tab w:val="left" w:pos="476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9"/>
                <w:sz w:val="21"/>
              </w:rPr>
              <w:t>政策影响评估则关注政策对家庭、社会和经济等方面的</w:t>
            </w:r>
            <w:r>
              <w:rPr>
                <w:spacing w:val="-4"/>
                <w:sz w:val="21"/>
              </w:rPr>
              <w:t>影响。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183"/>
          <w:jc w:val="left"/>
        </w:trPr>
        <w:tc>
          <w:tcPr>
            <w:tcW w:w="2769" w:type="dxa"/>
          </w:tcPr>
          <w:p>
            <w:pPr>
              <w:pStyle w:val="TableParagraph"/>
              <w:spacing w:before="23" w:line="278" w:lineRule="auto"/>
              <w:ind w:left="108" w:right="96"/>
              <w:rPr>
                <w:sz w:val="21"/>
              </w:rPr>
            </w:pPr>
            <w:r>
              <w:rPr>
                <w:spacing w:val="-2"/>
                <w:sz w:val="21"/>
              </w:rPr>
              <w:t>长期照护政策的国际经验借</w:t>
            </w:r>
            <w:r>
              <w:rPr>
                <w:spacing w:val="-10"/>
                <w:sz w:val="21"/>
              </w:rPr>
              <w:t>鉴</w:t>
            </w:r>
          </w:p>
        </w:tc>
        <w:tc>
          <w:tcPr>
            <w:tcW w:w="5527" w:type="dxa"/>
          </w:tcPr>
          <w:p>
            <w:pPr>
              <w:pStyle w:val="TableParagraph"/>
              <w:numPr>
                <w:ilvl w:val="0"/>
                <w:numId w:val="70"/>
              </w:numPr>
              <w:tabs>
                <w:tab w:val="left" w:pos="371"/>
              </w:tabs>
              <w:spacing w:before="23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发达国家在长期照护政策方面积累了丰富的经验，如美</w:t>
            </w:r>
            <w:r>
              <w:rPr>
                <w:spacing w:val="-2"/>
                <w:sz w:val="21"/>
              </w:rPr>
              <w:t>国的社会保障体系、德国的社会保险制度等。</w:t>
            </w:r>
          </w:p>
          <w:p>
            <w:pPr>
              <w:pStyle w:val="TableParagraph"/>
              <w:numPr>
                <w:ilvl w:val="0"/>
                <w:numId w:val="70"/>
              </w:numPr>
              <w:tabs>
                <w:tab w:val="left" w:pos="475"/>
                <w:tab w:val="left" w:pos="476"/>
              </w:tabs>
              <w:spacing w:before="0" w:after="0" w:line="278" w:lineRule="auto"/>
              <w:ind w:left="107" w:right="1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这些国家的政策在保障特殊群体权益、提高服务质量、</w:t>
            </w:r>
            <w:r>
              <w:rPr>
                <w:spacing w:val="-2"/>
                <w:sz w:val="21"/>
              </w:rPr>
              <w:t>促进社会公平等方面取得了显著成效。</w:t>
            </w:r>
          </w:p>
          <w:p>
            <w:pPr>
              <w:pStyle w:val="TableParagraph"/>
              <w:numPr>
                <w:ilvl w:val="0"/>
                <w:numId w:val="70"/>
              </w:numPr>
              <w:tabs>
                <w:tab w:val="left" w:pos="475"/>
                <w:tab w:val="left" w:pos="476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9"/>
                <w:sz w:val="21"/>
              </w:rPr>
              <w:t>中国可以借鉴这些国家的经验，完善自己的长期照护政</w:t>
            </w:r>
            <w:r>
              <w:rPr>
                <w:spacing w:val="-2"/>
                <w:sz w:val="21"/>
              </w:rPr>
              <w:t>策体系，提高政策的有效性和针对性。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35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1"/>
                <w:sz w:val="21"/>
              </w:rPr>
              <w:t>长期照护政策的创新与挑战</w:t>
            </w:r>
          </w:p>
        </w:tc>
        <w:tc>
          <w:tcPr>
            <w:tcW w:w="5527" w:type="dxa"/>
          </w:tcPr>
          <w:p>
            <w:pPr>
              <w:pStyle w:val="TableParagraph"/>
              <w:numPr>
                <w:ilvl w:val="0"/>
                <w:numId w:val="69"/>
              </w:numPr>
              <w:tabs>
                <w:tab w:val="left" w:pos="371"/>
              </w:tabs>
              <w:spacing w:before="23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面对人口老龄化和残疾人口增加的挑战，长期照护政策</w:t>
            </w:r>
            <w:r>
              <w:rPr>
                <w:spacing w:val="-2"/>
                <w:sz w:val="21"/>
              </w:rPr>
              <w:t>需要不断创新，以适应社会发展的需求。</w:t>
            </w:r>
          </w:p>
          <w:p>
            <w:pPr>
              <w:pStyle w:val="TableParagraph"/>
              <w:numPr>
                <w:ilvl w:val="0"/>
                <w:numId w:val="69"/>
              </w:numPr>
              <w:tabs>
                <w:tab w:val="left" w:pos="475"/>
                <w:tab w:val="left" w:pos="476"/>
              </w:tabs>
              <w:spacing w:before="0" w:after="0" w:line="269" w:lineRule="exact"/>
              <w:ind w:left="475" w:right="0" w:hanging="369"/>
              <w:jc w:val="left"/>
              <w:rPr>
                <w:sz w:val="21"/>
              </w:rPr>
            </w:pPr>
            <w:r>
              <w:rPr>
                <w:spacing w:val="-1"/>
                <w:sz w:val="21"/>
              </w:rPr>
              <w:t>创新方向包括政策理念、政策设计、政策实施等方面，</w:t>
            </w:r>
          </w:p>
        </w:tc>
      </w:tr>
    </w:tbl>
    <w:p>
      <w:pPr>
        <w:spacing w:after="0" w:line="269" w:lineRule="exact"/>
        <w:jc w:val="left"/>
        <w:rPr>
          <w:sz w:val="21"/>
        </w:rPr>
        <w:sectPr>
          <w:footerReference w:type="default" r:id="rId6"/>
          <w:pgSz w:w="11910" w:h="16840"/>
          <w:pgMar w:top="1500" w:right="1280" w:bottom="1380" w:left="1680" w:header="0" w:footer="1198"/>
          <w:pgNumType w:start="2"/>
          <w:cols w:space="708"/>
        </w:sectPr>
      </w:pPr>
    </w:p>
    <w:tbl>
      <w:tblPr>
        <w:tblStyle w:val="TableNormal1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69"/>
        <w:gridCol w:w="5527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248"/>
          <w:jc w:val="left"/>
        </w:trPr>
        <w:tc>
          <w:tcPr>
            <w:tcW w:w="2769" w:type="dxa"/>
          </w:tcPr>
          <w:p>
            <w:pPr>
              <w:pStyle w:val="TableParagraph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5527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1"/>
                <w:sz w:val="21"/>
              </w:rPr>
              <w:t>如推动居家养老、社区养老等多元化照护模式的发展。</w:t>
            </w:r>
          </w:p>
          <w:p>
            <w:pPr>
              <w:pStyle w:val="TableParagraph"/>
              <w:spacing w:before="2" w:line="310" w:lineRule="atLeast"/>
              <w:ind w:right="95"/>
              <w:jc w:val="both"/>
              <w:rPr>
                <w:sz w:val="21"/>
              </w:rPr>
            </w:pPr>
            <w:r>
              <w:rPr>
                <w:rFonts w:ascii="Times New Roman" w:eastAsia="Times New Roman"/>
                <w:sz w:val="21"/>
              </w:rPr>
              <w:t xml:space="preserve">3. </w:t>
            </w:r>
            <w:r>
              <w:rPr>
                <w:sz w:val="21"/>
              </w:rPr>
              <w:t>同时，长期照护政策的实施也面临诸多挑战，如资源紧</w:t>
            </w:r>
            <w:r>
              <w:rPr>
                <w:spacing w:val="-2"/>
                <w:sz w:val="21"/>
              </w:rPr>
              <w:t>张、服务质量参差不齐、家庭负担加重等问题，需要政府</w:t>
            </w:r>
            <w:r>
              <w:rPr>
                <w:spacing w:val="-2"/>
                <w:sz w:val="21"/>
              </w:rPr>
              <w:t>和社会共同努力解决。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1"/>
          <w:jc w:val="left"/>
        </w:trPr>
        <w:tc>
          <w:tcPr>
            <w:tcW w:w="2769" w:type="dxa"/>
          </w:tcPr>
          <w:p>
            <w:pPr>
              <w:pStyle w:val="TableParagraph"/>
              <w:ind w:left="0"/>
              <w:rPr>
                <w:rFonts w:ascii="Times New Roman"/>
                <w:sz w:val="22"/>
              </w:rPr>
            </w:pPr>
          </w:p>
        </w:tc>
        <w:tc>
          <w:tcPr>
            <w:tcW w:w="5527" w:type="dxa"/>
          </w:tcPr>
          <w:p>
            <w:pPr>
              <w:pStyle w:val="TableParagraph"/>
              <w:ind w:left="0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spacing w:before="5"/>
        <w:ind w:left="0"/>
        <w:rPr>
          <w:rFonts w:ascii="Microsoft JhengHei"/>
          <w:b/>
          <w:sz w:val="5"/>
        </w:rPr>
      </w:pPr>
    </w:p>
    <w:p>
      <w:pPr>
        <w:pStyle w:val="BodyText"/>
        <w:spacing w:before="61" w:line="417" w:lineRule="auto"/>
        <w:ind w:right="4905" w:firstLine="560"/>
      </w:pPr>
      <w:r>
        <w:rPr>
          <w:spacing w:val="-2"/>
        </w:rPr>
        <w:t>长期照护政策的定义和目标</w:t>
      </w:r>
      <w:r>
        <w:rPr>
          <w:spacing w:val="-4"/>
        </w:rPr>
        <w:t>一、定义</w:t>
      </w:r>
    </w:p>
    <w:p>
      <w:pPr>
        <w:pStyle w:val="BodyText"/>
        <w:spacing w:line="417" w:lineRule="auto"/>
        <w:ind w:right="285"/>
      </w:pPr>
      <w:r>
        <w:rPr>
          <w:spacing w:val="-2"/>
        </w:rPr>
        <w:t>长期照护</w:t>
      </w:r>
      <w:r>
        <w:t>（Long-term Care</w:t>
      </w:r>
      <w:r>
        <w:rPr>
          <w:spacing w:val="-20"/>
        </w:rPr>
        <w:t xml:space="preserve">，简称 </w:t>
      </w:r>
      <w:r>
        <w:t>LTC</w:t>
      </w:r>
      <w:r>
        <w:rPr>
          <w:spacing w:val="-6"/>
        </w:rPr>
        <w:t>）</w:t>
      </w:r>
      <w:r>
        <w:rPr>
          <w:spacing w:val="-1"/>
        </w:rPr>
        <w:t>是指在一段时间内，为患有</w:t>
      </w:r>
      <w:r>
        <w:rPr>
          <w:spacing w:val="-10"/>
        </w:rPr>
        <w:t>慢性疾病、失能或残疾的老年人提供生活照顾、康复护理和社会支持</w:t>
      </w:r>
      <w:r>
        <w:rPr>
          <w:spacing w:val="-15"/>
        </w:rPr>
        <w:t>等服务。长期照护政策是指政府为了解决人口老龄化带来的社会问题，</w:t>
      </w:r>
      <w:r>
        <w:rPr>
          <w:spacing w:val="-7"/>
        </w:rPr>
        <w:t>通过制定和实施一系列政策措施，保障老年人得到适当的长期照护服务，提高老年人生活质量和社会福祉的政策体系。</w:t>
      </w:r>
    </w:p>
    <w:p>
      <w:pPr>
        <w:pStyle w:val="BodyText"/>
        <w:spacing w:line="358" w:lineRule="exact"/>
      </w:pPr>
      <w:r>
        <w:rPr>
          <w:spacing w:val="-3"/>
        </w:rPr>
        <w:t>二、目标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BodyText"/>
      </w:pPr>
      <w:r>
        <w:rPr>
          <w:spacing w:val="-1"/>
        </w:rPr>
        <w:t>长期照护政策的主要目标是：</w:t>
      </w:r>
    </w:p>
    <w:p>
      <w:pPr>
        <w:pStyle w:val="BodyText"/>
        <w:spacing w:before="9"/>
        <w:ind w:left="0"/>
        <w:rPr>
          <w:sz w:val="20"/>
        </w:rPr>
      </w:pPr>
    </w:p>
    <w:p>
      <w:pPr>
        <w:pStyle w:val="ListParagraph"/>
        <w:numPr>
          <w:ilvl w:val="0"/>
          <w:numId w:val="68"/>
        </w:numPr>
        <w:tabs>
          <w:tab w:val="left" w:pos="542"/>
        </w:tabs>
        <w:spacing w:before="0" w:after="0" w:line="417" w:lineRule="auto"/>
        <w:ind w:left="120" w:right="238" w:firstLine="0"/>
        <w:jc w:val="both"/>
        <w:rPr>
          <w:sz w:val="28"/>
        </w:rPr>
      </w:pPr>
      <w:r>
        <w:rPr>
          <w:spacing w:val="-2"/>
          <w:sz w:val="28"/>
        </w:rPr>
        <w:t>保障老年人的基本生活权益：政府通过制定和实施长期照护政策，确保老年人在生活照顾、康复护理和社会支持等方面得到基本保障，</w:t>
      </w:r>
      <w:r>
        <w:rPr>
          <w:spacing w:val="-2"/>
          <w:sz w:val="28"/>
        </w:rPr>
        <w:t>维护老年人的基本生活权益。</w:t>
      </w:r>
    </w:p>
    <w:p>
      <w:pPr>
        <w:pStyle w:val="ListParagraph"/>
        <w:numPr>
          <w:ilvl w:val="0"/>
          <w:numId w:val="68"/>
        </w:numPr>
        <w:tabs>
          <w:tab w:val="left" w:pos="542"/>
        </w:tabs>
        <w:spacing w:before="0" w:after="0" w:line="417" w:lineRule="auto"/>
        <w:ind w:left="120" w:right="518" w:firstLine="0"/>
        <w:jc w:val="left"/>
        <w:rPr>
          <w:sz w:val="28"/>
        </w:rPr>
      </w:pPr>
      <w:r>
        <w:rPr>
          <w:spacing w:val="-2"/>
          <w:sz w:val="28"/>
        </w:rPr>
        <w:t>提高老年人生活质量：政府通过提供多样化、个性化的长期照护</w:t>
      </w:r>
      <w:r>
        <w:rPr>
          <w:spacing w:val="-2"/>
          <w:sz w:val="28"/>
        </w:rPr>
        <w:t>服务，满足老年人不同层次的需求，提高老年人的生活质量。</w:t>
      </w:r>
    </w:p>
    <w:p>
      <w:pPr>
        <w:pStyle w:val="ListParagraph"/>
        <w:numPr>
          <w:ilvl w:val="0"/>
          <w:numId w:val="68"/>
        </w:numPr>
        <w:tabs>
          <w:tab w:val="left" w:pos="542"/>
        </w:tabs>
        <w:spacing w:before="0" w:after="0" w:line="417" w:lineRule="auto"/>
        <w:ind w:left="120" w:right="518" w:firstLine="0"/>
        <w:jc w:val="left"/>
        <w:rPr>
          <w:sz w:val="28"/>
        </w:rPr>
      </w:pPr>
      <w:r>
        <w:rPr>
          <w:spacing w:val="-2"/>
          <w:sz w:val="28"/>
        </w:rPr>
        <w:t>促进社会公平和谐：政府通过长期照护政策的实施，缩小不同群</w:t>
      </w:r>
      <w:r>
        <w:rPr>
          <w:spacing w:val="-2"/>
          <w:sz w:val="28"/>
        </w:rPr>
        <w:t>体、地区和城乡之间的长期照护服务差距，促进社会公平和谐。</w:t>
      </w:r>
    </w:p>
    <w:p>
      <w:pPr>
        <w:pStyle w:val="ListParagraph"/>
        <w:numPr>
          <w:ilvl w:val="0"/>
          <w:numId w:val="68"/>
        </w:numPr>
        <w:tabs>
          <w:tab w:val="left" w:pos="542"/>
        </w:tabs>
        <w:spacing w:before="0" w:after="0" w:line="417" w:lineRule="auto"/>
        <w:ind w:left="120" w:right="518" w:firstLine="0"/>
        <w:jc w:val="left"/>
        <w:rPr>
          <w:sz w:val="28"/>
        </w:rPr>
      </w:pPr>
      <w:r>
        <w:rPr>
          <w:spacing w:val="-2"/>
          <w:sz w:val="28"/>
        </w:rPr>
        <w:t>减轻家庭负担：政府通过提供长期照护服务，减轻家庭对老年人</w:t>
      </w:r>
      <w:r>
        <w:rPr>
          <w:spacing w:val="-2"/>
          <w:sz w:val="28"/>
        </w:rPr>
        <w:t>的照顾负担，使家庭成员能够更好地平衡工作和家庭生活。</w:t>
      </w:r>
    </w:p>
    <w:p>
      <w:pPr>
        <w:pStyle w:val="ListParagraph"/>
        <w:numPr>
          <w:ilvl w:val="0"/>
          <w:numId w:val="68"/>
        </w:numPr>
        <w:tabs>
          <w:tab w:val="left" w:pos="542"/>
        </w:tabs>
        <w:spacing w:before="0" w:after="0" w:line="358" w:lineRule="exact"/>
        <w:ind w:left="541" w:right="0" w:hanging="422"/>
        <w:jc w:val="left"/>
        <w:rPr>
          <w:sz w:val="28"/>
        </w:rPr>
      </w:pPr>
      <w:r>
        <w:rPr>
          <w:spacing w:val="-1"/>
          <w:sz w:val="28"/>
        </w:rPr>
        <w:t>优化资源配置：政府通过长期照护政策的实施，引导社会资源向</w:t>
      </w:r>
    </w:p>
    <w:p>
      <w:pPr>
        <w:pStyle w:val="BodyText"/>
        <w:spacing w:before="7"/>
        <w:ind w:left="0"/>
        <w:rPr>
          <w:sz w:val="20"/>
        </w:rPr>
        <w:sectPr>
          <w:footerReference w:type="default" r:id="rId7"/>
          <w:type w:val="continuous"/>
          <w:pgSz w:w="11910" w:h="16840"/>
          <w:pgMar w:top="1400" w:right="1280" w:bottom="1380" w:left="1680" w:header="0" w:footer="1198"/>
          <w:pgNumType w:start="3"/>
          <w:cols w:space="708"/>
        </w:sectPr>
      </w:pPr>
    </w:p>
    <w:p>
      <w:pPr>
        <w:pStyle w:val="BodyText"/>
        <w:spacing w:before="1"/>
      </w:pPr>
      <w:r>
        <w:rPr>
          <w:spacing w:val="-1"/>
        </w:rPr>
        <w:t>长期照护领域合理配置，提高长期照护服务的供给效率和质量。</w:t>
      </w:r>
    </w:p>
    <w:p>
      <w:pPr>
        <w:spacing w:after="0"/>
        <w:sectPr>
          <w:footerReference w:type="default" r:id="rId8"/>
          <w:type w:val="nextPage"/>
          <w:pgSz w:w="11910" w:h="16840"/>
          <w:pgMar w:top="1400" w:right="1280" w:bottom="1380" w:left="1680" w:header="0" w:footer="1198"/>
          <w:pgNumType w:start="4"/>
          <w:cols w:space="708"/>
          <w:titlePg w:val="0"/>
        </w:sectPr>
      </w:pPr>
    </w:p>
    <w:p>
      <w:pPr>
        <w:pStyle w:val="BodyText"/>
        <w:spacing w:before="37"/>
      </w:pPr>
      <w:r>
        <w:rPr>
          <w:spacing w:val="-2"/>
        </w:rPr>
        <w:t>三、政策措施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BodyText"/>
        <w:spacing w:before="1"/>
      </w:pPr>
      <w:r>
        <w:rPr>
          <w:spacing w:val="-1"/>
        </w:rPr>
        <w:t>为实现上述目标，政府采取了以下政策措施：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ListParagraph"/>
        <w:numPr>
          <w:ilvl w:val="0"/>
          <w:numId w:val="67"/>
        </w:numPr>
        <w:tabs>
          <w:tab w:val="left" w:pos="542"/>
        </w:tabs>
        <w:spacing w:before="1" w:after="0" w:line="417" w:lineRule="auto"/>
        <w:ind w:left="120" w:right="518" w:firstLine="0"/>
        <w:jc w:val="both"/>
        <w:rPr>
          <w:sz w:val="28"/>
        </w:rPr>
      </w:pPr>
      <w:r>
        <w:rPr>
          <w:spacing w:val="-2"/>
          <w:sz w:val="28"/>
        </w:rPr>
        <w:t>建立长期照护服务体系：政府通过制定和实施一系列政策，建立</w:t>
      </w:r>
      <w:r>
        <w:rPr>
          <w:spacing w:val="-4"/>
          <w:sz w:val="28"/>
        </w:rPr>
        <w:t>以居家为基础、社区为依托、机构为补充的长期照护服务体系，满足</w:t>
      </w:r>
      <w:r>
        <w:rPr>
          <w:spacing w:val="-2"/>
          <w:sz w:val="28"/>
        </w:rPr>
        <w:t>老年人不同层次的长期照护需求。</w:t>
      </w:r>
    </w:p>
    <w:p>
      <w:pPr>
        <w:pStyle w:val="ListParagraph"/>
        <w:numPr>
          <w:ilvl w:val="0"/>
          <w:numId w:val="67"/>
        </w:numPr>
        <w:tabs>
          <w:tab w:val="left" w:pos="542"/>
        </w:tabs>
        <w:spacing w:before="0" w:after="0" w:line="417" w:lineRule="auto"/>
        <w:ind w:left="120" w:right="518" w:firstLine="0"/>
        <w:jc w:val="both"/>
        <w:rPr>
          <w:sz w:val="28"/>
        </w:rPr>
      </w:pPr>
      <w:r>
        <w:rPr>
          <w:spacing w:val="-2"/>
          <w:sz w:val="28"/>
        </w:rPr>
        <w:t>提供财政支持：政府通过财政补贴、税收优惠等方式，支持长期</w:t>
      </w:r>
      <w:r>
        <w:rPr>
          <w:spacing w:val="-2"/>
          <w:sz w:val="28"/>
        </w:rPr>
        <w:t>照护服务的发展，降低家庭和社会对长期照护服务的负担。</w:t>
      </w:r>
    </w:p>
    <w:p>
      <w:pPr>
        <w:pStyle w:val="ListParagraph"/>
        <w:numPr>
          <w:ilvl w:val="0"/>
          <w:numId w:val="67"/>
        </w:numPr>
        <w:tabs>
          <w:tab w:val="left" w:pos="542"/>
        </w:tabs>
        <w:spacing w:before="0" w:after="0" w:line="417" w:lineRule="auto"/>
        <w:ind w:left="120" w:right="518" w:firstLine="0"/>
        <w:jc w:val="both"/>
        <w:rPr>
          <w:sz w:val="28"/>
        </w:rPr>
      </w:pPr>
      <w:r>
        <w:rPr>
          <w:spacing w:val="-2"/>
          <w:sz w:val="28"/>
        </w:rPr>
        <w:t>加强人才培养：政府通过加强教育培训、提高待遇水平等措施，</w:t>
      </w:r>
      <w:r>
        <w:rPr>
          <w:spacing w:val="-2"/>
          <w:sz w:val="28"/>
        </w:rPr>
        <w:t>培养和引进长期照护服务人才，提高长期照护服务的专业化水平。</w:t>
      </w:r>
    </w:p>
    <w:p>
      <w:pPr>
        <w:pStyle w:val="ListParagraph"/>
        <w:numPr>
          <w:ilvl w:val="0"/>
          <w:numId w:val="67"/>
        </w:numPr>
        <w:tabs>
          <w:tab w:val="left" w:pos="542"/>
        </w:tabs>
        <w:spacing w:before="0" w:after="0" w:line="417" w:lineRule="auto"/>
        <w:ind w:left="120" w:right="518" w:firstLine="0"/>
        <w:jc w:val="both"/>
        <w:rPr>
          <w:sz w:val="28"/>
        </w:rPr>
      </w:pPr>
      <w:r>
        <w:rPr>
          <w:spacing w:val="-2"/>
          <w:sz w:val="28"/>
        </w:rPr>
        <w:t>完善法律法规：政府通过制定和完善相关法律法规，规范长期照</w:t>
      </w:r>
      <w:r>
        <w:rPr>
          <w:spacing w:val="-2"/>
          <w:sz w:val="28"/>
        </w:rPr>
        <w:t>护服务市场，保障老年人的合法权益。</w:t>
      </w:r>
    </w:p>
    <w:p>
      <w:pPr>
        <w:pStyle w:val="ListParagraph"/>
        <w:numPr>
          <w:ilvl w:val="0"/>
          <w:numId w:val="67"/>
        </w:numPr>
        <w:tabs>
          <w:tab w:val="left" w:pos="542"/>
        </w:tabs>
        <w:spacing w:before="0" w:after="0" w:line="417" w:lineRule="auto"/>
        <w:ind w:left="120" w:right="238" w:firstLine="0"/>
        <w:jc w:val="left"/>
        <w:rPr>
          <w:sz w:val="28"/>
        </w:rPr>
      </w:pPr>
      <w:r>
        <w:rPr>
          <w:spacing w:val="-2"/>
          <w:sz w:val="28"/>
        </w:rPr>
        <w:t>加强科技创新：政府通过支持科研项目、推广应用新技术等方式，</w:t>
      </w:r>
      <w:r>
        <w:rPr>
          <w:spacing w:val="-2"/>
          <w:sz w:val="28"/>
        </w:rPr>
        <w:t>推动长期照护服务的科技创新，提高长期照护服务的质量和效率。</w:t>
      </w:r>
    </w:p>
    <w:p>
      <w:pPr>
        <w:pStyle w:val="ListParagraph"/>
        <w:numPr>
          <w:ilvl w:val="0"/>
          <w:numId w:val="67"/>
        </w:numPr>
        <w:tabs>
          <w:tab w:val="left" w:pos="542"/>
        </w:tabs>
        <w:spacing w:before="0" w:after="0" w:line="417" w:lineRule="auto"/>
        <w:ind w:left="120" w:right="244" w:firstLine="0"/>
        <w:jc w:val="left"/>
        <w:rPr>
          <w:sz w:val="28"/>
        </w:rPr>
      </w:pPr>
      <w:r>
        <w:rPr>
          <w:spacing w:val="-2"/>
          <w:sz w:val="28"/>
        </w:rPr>
        <w:t>开展宣传倡导：政府通过开展宣传教育活动，提高社会对长期照</w:t>
      </w:r>
      <w:r>
        <w:rPr>
          <w:spacing w:val="40"/>
          <w:sz w:val="28"/>
        </w:rPr>
        <w:t xml:space="preserve"> </w:t>
      </w:r>
      <w:r>
        <w:rPr>
          <w:spacing w:val="-2"/>
          <w:sz w:val="28"/>
        </w:rPr>
        <w:t>护政策的认识和支持度，形成全社会关心和支持老年人的良好氛围。</w:t>
      </w:r>
      <w:r>
        <w:rPr>
          <w:spacing w:val="-2"/>
          <w:sz w:val="28"/>
        </w:rPr>
        <w:t>四、效果评估</w:t>
      </w:r>
    </w:p>
    <w:p>
      <w:pPr>
        <w:pStyle w:val="BodyText"/>
        <w:spacing w:line="417" w:lineRule="auto"/>
        <w:ind w:right="518"/>
      </w:pPr>
      <w:r>
        <w:rPr>
          <w:spacing w:val="-8"/>
        </w:rPr>
        <w:t>为了了解长期照护政策的实施效果，政府和相关部门需要对政策实施</w:t>
      </w:r>
      <w:r>
        <w:rPr>
          <w:spacing w:val="-2"/>
        </w:rPr>
        <w:t>过程中的各项指标进行监测和评估。主要评估指标包括：</w:t>
      </w:r>
    </w:p>
    <w:p>
      <w:pPr>
        <w:pStyle w:val="ListParagraph"/>
        <w:numPr>
          <w:ilvl w:val="0"/>
          <w:numId w:val="66"/>
        </w:numPr>
        <w:tabs>
          <w:tab w:val="left" w:pos="542"/>
        </w:tabs>
        <w:spacing w:before="0" w:after="0" w:line="417" w:lineRule="auto"/>
        <w:ind w:left="120" w:right="518" w:firstLine="0"/>
        <w:jc w:val="left"/>
        <w:rPr>
          <w:sz w:val="28"/>
        </w:rPr>
      </w:pPr>
      <w:r>
        <w:rPr>
          <w:spacing w:val="-2"/>
          <w:sz w:val="28"/>
        </w:rPr>
        <w:t>长期照护服务的覆盖率：评估政策实施后，老年人得到长期照护</w:t>
      </w:r>
      <w:r>
        <w:rPr>
          <w:spacing w:val="-2"/>
          <w:sz w:val="28"/>
        </w:rPr>
        <w:t>服务的比例。</w:t>
      </w:r>
    </w:p>
    <w:p>
      <w:pPr>
        <w:pStyle w:val="ListParagraph"/>
        <w:numPr>
          <w:ilvl w:val="0"/>
          <w:numId w:val="66"/>
        </w:numPr>
        <w:tabs>
          <w:tab w:val="left" w:pos="542"/>
        </w:tabs>
        <w:spacing w:before="0" w:after="0" w:line="417" w:lineRule="auto"/>
        <w:ind w:left="120" w:right="518" w:firstLine="0"/>
        <w:jc w:val="left"/>
        <w:rPr>
          <w:sz w:val="28"/>
        </w:rPr>
      </w:pPr>
      <w:r>
        <w:rPr>
          <w:spacing w:val="-2"/>
          <w:sz w:val="28"/>
        </w:rPr>
        <w:t>长期照护服务的满意度：评估政策实施后，老年人对长期照护服</w:t>
      </w:r>
      <w:r>
        <w:rPr>
          <w:spacing w:val="-2"/>
          <w:sz w:val="28"/>
        </w:rPr>
        <w:t>务的满意程度。</w:t>
      </w:r>
    </w:p>
    <w:p>
      <w:pPr>
        <w:spacing w:after="0" w:line="417" w:lineRule="auto"/>
        <w:jc w:val="left"/>
        <w:rPr>
          <w:sz w:val="28"/>
        </w:rPr>
        <w:sectPr>
          <w:footerReference w:type="default" r:id="rId9"/>
          <w:pgSz w:w="11910" w:h="16840"/>
          <w:pgMar w:top="1520" w:right="1280" w:bottom="1380" w:left="1680" w:header="0" w:footer="1198"/>
          <w:pgNumType w:start="5"/>
          <w:cols w:space="708"/>
        </w:sectPr>
      </w:pPr>
    </w:p>
    <w:p>
      <w:pPr>
        <w:pStyle w:val="ListParagraph"/>
        <w:numPr>
          <w:ilvl w:val="0"/>
          <w:numId w:val="66"/>
        </w:numPr>
        <w:tabs>
          <w:tab w:val="left" w:pos="542"/>
        </w:tabs>
        <w:spacing w:before="37" w:after="0" w:line="417" w:lineRule="auto"/>
        <w:ind w:left="120" w:right="238" w:firstLine="0"/>
        <w:jc w:val="left"/>
        <w:rPr>
          <w:sz w:val="28"/>
        </w:rPr>
      </w:pPr>
      <w:r>
        <w:rPr>
          <w:spacing w:val="-2"/>
          <w:sz w:val="28"/>
        </w:rPr>
        <w:t>长期照护服务的质量：评估政策实施后，长期照护服务的专业性、</w:t>
      </w:r>
      <w:r>
        <w:rPr>
          <w:spacing w:val="-2"/>
          <w:sz w:val="28"/>
        </w:rPr>
        <w:t>人性化等方面的水平。</w:t>
      </w:r>
    </w:p>
    <w:p>
      <w:pPr>
        <w:pStyle w:val="ListParagraph"/>
        <w:numPr>
          <w:ilvl w:val="0"/>
          <w:numId w:val="66"/>
        </w:numPr>
        <w:tabs>
          <w:tab w:val="left" w:pos="542"/>
        </w:tabs>
        <w:spacing w:before="0" w:after="0" w:line="417" w:lineRule="auto"/>
        <w:ind w:left="120" w:right="518" w:firstLine="0"/>
        <w:jc w:val="left"/>
        <w:rPr>
          <w:sz w:val="28"/>
        </w:rPr>
      </w:pPr>
      <w:r>
        <w:rPr>
          <w:spacing w:val="-2"/>
          <w:sz w:val="28"/>
        </w:rPr>
        <w:t>长期照护服务的成本效益：评估政策实施后，长期照护服务的成</w:t>
      </w:r>
      <w:r>
        <w:rPr>
          <w:spacing w:val="-2"/>
          <w:sz w:val="28"/>
        </w:rPr>
        <w:t>本与效益之间的关系。</w:t>
      </w:r>
    </w:p>
    <w:p>
      <w:pPr>
        <w:pStyle w:val="ListParagraph"/>
        <w:numPr>
          <w:ilvl w:val="0"/>
          <w:numId w:val="66"/>
        </w:numPr>
        <w:tabs>
          <w:tab w:val="left" w:pos="542"/>
        </w:tabs>
        <w:spacing w:before="0" w:after="0" w:line="417" w:lineRule="auto"/>
        <w:ind w:left="120" w:right="518" w:firstLine="0"/>
        <w:jc w:val="left"/>
        <w:rPr>
          <w:sz w:val="28"/>
        </w:rPr>
      </w:pPr>
      <w:r>
        <w:rPr>
          <w:spacing w:val="-2"/>
          <w:sz w:val="28"/>
        </w:rPr>
        <w:t>长期照护服务的社会影响：评估政策实施后，长期照护服务对社</w:t>
      </w:r>
      <w:r>
        <w:rPr>
          <w:spacing w:val="-2"/>
          <w:sz w:val="28"/>
        </w:rPr>
        <w:t>会公平和谐、家庭负担等方面的影响。</w:t>
      </w:r>
    </w:p>
    <w:p>
      <w:pPr>
        <w:pStyle w:val="BodyText"/>
        <w:spacing w:line="417" w:lineRule="auto"/>
        <w:ind w:right="518"/>
        <w:jc w:val="both"/>
      </w:pPr>
      <w:r>
        <w:rPr>
          <w:spacing w:val="-9"/>
        </w:rPr>
        <w:t>通过对以上指标的监测和评估，政府和相关部门可以了解长期照护政</w:t>
      </w:r>
      <w:r>
        <w:rPr>
          <w:spacing w:val="-4"/>
        </w:rPr>
        <w:t>策的实施效果，为进一步完善政策提供依据。同时，评估结果也可以</w:t>
      </w:r>
      <w:r>
        <w:rPr>
          <w:spacing w:val="-2"/>
        </w:rPr>
        <w:t>为其他国家和地区制定和实施长期照护政策提供借鉴和参考。</w:t>
      </w:r>
    </w:p>
    <w:p>
      <w:pPr>
        <w:pStyle w:val="BodyText"/>
        <w:ind w:left="0"/>
      </w:pPr>
    </w:p>
    <w:p>
      <w:pPr>
        <w:pStyle w:val="Heading1"/>
        <w:spacing w:before="236"/>
        <w:jc w:val="both"/>
      </w:pPr>
      <w:bookmarkStart w:id="1" w:name="_TOC_250006"/>
      <w:r>
        <w:t>第二部分</w:t>
      </w:r>
      <w:r>
        <w:rPr>
          <w:spacing w:val="214"/>
          <w:w w:val="150"/>
        </w:rPr>
        <w:t xml:space="preserve"> </w:t>
      </w:r>
      <w:bookmarkEnd w:id="1"/>
      <w:r>
        <w:rPr>
          <w:spacing w:val="-1"/>
        </w:rPr>
        <w:t>长期照护政策的实施过程</w:t>
      </w:r>
    </w:p>
    <w:p>
      <w:pPr>
        <w:pStyle w:val="BodyText"/>
        <w:spacing w:before="15" w:after="1"/>
        <w:ind w:left="0"/>
        <w:rPr>
          <w:rFonts w:ascii="Microsoft JhengHei"/>
          <w:b/>
          <w:sz w:val="15"/>
        </w:rPr>
      </w:pPr>
    </w:p>
    <w:tbl>
      <w:tblPr>
        <w:tblStyle w:val="TableNormal2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69"/>
        <w:gridCol w:w="5527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4"/>
                <w:sz w:val="21"/>
              </w:rPr>
              <w:t>关键词</w:t>
            </w:r>
          </w:p>
        </w:tc>
        <w:tc>
          <w:tcPr>
            <w:tcW w:w="5527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3"/>
                <w:sz w:val="21"/>
              </w:rPr>
              <w:t>关键要点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183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2"/>
                <w:sz w:val="21"/>
              </w:rPr>
              <w:t>长期照护政策的制定</w:t>
            </w:r>
          </w:p>
        </w:tc>
        <w:tc>
          <w:tcPr>
            <w:tcW w:w="5527" w:type="dxa"/>
          </w:tcPr>
          <w:p>
            <w:pPr>
              <w:pStyle w:val="TableParagraph"/>
              <w:numPr>
                <w:ilvl w:val="0"/>
                <w:numId w:val="65"/>
              </w:numPr>
              <w:tabs>
                <w:tab w:val="left" w:pos="371"/>
              </w:tabs>
              <w:spacing w:before="23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政策制定者需要充分了解老年人口的需求，包括生活照</w:t>
            </w:r>
            <w:r>
              <w:rPr>
                <w:spacing w:val="-2"/>
                <w:sz w:val="21"/>
              </w:rPr>
              <w:t>顾、医疗保健、心理关怀等方面。</w:t>
            </w:r>
          </w:p>
          <w:p>
            <w:pPr>
              <w:pStyle w:val="TableParagraph"/>
              <w:numPr>
                <w:ilvl w:val="0"/>
                <w:numId w:val="65"/>
              </w:numPr>
              <w:tabs>
                <w:tab w:val="left" w:pos="475"/>
                <w:tab w:val="left" w:pos="476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8"/>
                <w:sz w:val="21"/>
              </w:rPr>
              <w:t>政策制定者需要考虑社会经济条件，确保政策的可行性</w:t>
            </w:r>
            <w:r>
              <w:rPr>
                <w:spacing w:val="-2"/>
                <w:sz w:val="21"/>
              </w:rPr>
              <w:t>和公平性。</w:t>
            </w:r>
          </w:p>
          <w:p>
            <w:pPr>
              <w:pStyle w:val="TableParagraph"/>
              <w:numPr>
                <w:ilvl w:val="0"/>
                <w:numId w:val="65"/>
              </w:numPr>
              <w:tabs>
                <w:tab w:val="left" w:pos="475"/>
                <w:tab w:val="left" w:pos="476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9"/>
                <w:sz w:val="21"/>
              </w:rPr>
              <w:t>政策制定者需要参考国际经验，借鉴先进的长期照护理</w:t>
            </w:r>
            <w:r>
              <w:rPr>
                <w:spacing w:val="-2"/>
                <w:sz w:val="21"/>
              </w:rPr>
              <w:t>念和服务模式。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871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2"/>
                <w:sz w:val="21"/>
              </w:rPr>
              <w:t>长期照护政策的实施</w:t>
            </w:r>
          </w:p>
        </w:tc>
        <w:tc>
          <w:tcPr>
            <w:tcW w:w="5527" w:type="dxa"/>
          </w:tcPr>
          <w:p>
            <w:pPr>
              <w:pStyle w:val="TableParagraph"/>
              <w:numPr>
                <w:ilvl w:val="0"/>
                <w:numId w:val="64"/>
              </w:numPr>
              <w:tabs>
                <w:tab w:val="left" w:pos="371"/>
              </w:tabs>
              <w:spacing w:before="23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政策实施需要有明确的执行主体，如政府、社区、非政</w:t>
            </w:r>
            <w:r>
              <w:rPr>
                <w:spacing w:val="-2"/>
                <w:sz w:val="21"/>
              </w:rPr>
              <w:t>府组织等。</w:t>
            </w:r>
          </w:p>
          <w:p>
            <w:pPr>
              <w:pStyle w:val="TableParagraph"/>
              <w:numPr>
                <w:ilvl w:val="0"/>
                <w:numId w:val="64"/>
              </w:numPr>
              <w:tabs>
                <w:tab w:val="left" w:pos="475"/>
                <w:tab w:val="left" w:pos="476"/>
              </w:tabs>
              <w:spacing w:before="0" w:after="0" w:line="278" w:lineRule="auto"/>
              <w:ind w:left="107" w:right="95" w:firstLine="0"/>
              <w:jc w:val="left"/>
              <w:rPr>
                <w:sz w:val="21"/>
              </w:rPr>
            </w:pPr>
            <w:r>
              <w:rPr>
                <w:spacing w:val="-6"/>
                <w:sz w:val="21"/>
              </w:rPr>
              <w:t>政策实施需要有详细的操作指南，包括服务内容、服务</w:t>
            </w:r>
            <w:r>
              <w:rPr>
                <w:spacing w:val="-2"/>
                <w:sz w:val="21"/>
              </w:rPr>
              <w:t>标准、服务流程等。</w:t>
            </w:r>
          </w:p>
          <w:p>
            <w:pPr>
              <w:pStyle w:val="TableParagraph"/>
              <w:numPr>
                <w:ilvl w:val="0"/>
                <w:numId w:val="64"/>
              </w:numPr>
              <w:tabs>
                <w:tab w:val="left" w:pos="475"/>
                <w:tab w:val="left" w:pos="476"/>
              </w:tabs>
              <w:spacing w:before="0" w:after="0" w:line="269" w:lineRule="exact"/>
              <w:ind w:left="475" w:right="-116" w:hanging="369"/>
              <w:jc w:val="left"/>
              <w:rPr>
                <w:sz w:val="21"/>
              </w:rPr>
            </w:pPr>
            <w:r>
              <w:rPr>
                <w:spacing w:val="-8"/>
                <w:sz w:val="21"/>
              </w:rPr>
              <w:t>政策实施需要有有效的监督机制，确保服务质量和效果。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560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2"/>
                <w:sz w:val="21"/>
              </w:rPr>
              <w:t>长期照护政策的评估</w:t>
            </w:r>
          </w:p>
        </w:tc>
        <w:tc>
          <w:tcPr>
            <w:tcW w:w="5527" w:type="dxa"/>
          </w:tcPr>
          <w:p>
            <w:pPr>
              <w:pStyle w:val="TableParagraph"/>
              <w:numPr>
                <w:ilvl w:val="0"/>
                <w:numId w:val="63"/>
              </w:numPr>
              <w:tabs>
                <w:tab w:val="left" w:pos="371"/>
              </w:tabs>
              <w:spacing w:before="23" w:after="0" w:line="278" w:lineRule="auto"/>
              <w:ind w:left="107" w:right="-15" w:firstLine="0"/>
              <w:jc w:val="left"/>
              <w:rPr>
                <w:sz w:val="21"/>
              </w:rPr>
            </w:pPr>
            <w:r>
              <w:rPr>
                <w:spacing w:val="-4"/>
                <w:sz w:val="21"/>
              </w:rPr>
              <w:t>评估需要有科学的评价体系，包括服务质量、服务效率、</w:t>
            </w:r>
            <w:r>
              <w:rPr>
                <w:spacing w:val="-2"/>
                <w:sz w:val="21"/>
              </w:rPr>
              <w:t>服务满意度等多个维度。</w:t>
            </w:r>
          </w:p>
          <w:p>
            <w:pPr>
              <w:pStyle w:val="TableParagraph"/>
              <w:numPr>
                <w:ilvl w:val="0"/>
                <w:numId w:val="63"/>
              </w:numPr>
              <w:tabs>
                <w:tab w:val="left" w:pos="475"/>
                <w:tab w:val="left" w:pos="476"/>
              </w:tabs>
              <w:spacing w:before="0" w:after="0" w:line="269" w:lineRule="exact"/>
              <w:ind w:left="475" w:right="-116" w:hanging="369"/>
              <w:jc w:val="left"/>
              <w:rPr>
                <w:sz w:val="21"/>
              </w:rPr>
            </w:pPr>
            <w:r>
              <w:rPr>
                <w:spacing w:val="-10"/>
                <w:sz w:val="21"/>
              </w:rPr>
              <w:t>评估需要有定期的监测机制，及时发现问题并进行改进。</w:t>
            </w:r>
          </w:p>
          <w:p>
            <w:pPr>
              <w:pStyle w:val="TableParagraph"/>
              <w:numPr>
                <w:ilvl w:val="0"/>
                <w:numId w:val="63"/>
              </w:numPr>
              <w:tabs>
                <w:tab w:val="left" w:pos="475"/>
                <w:tab w:val="left" w:pos="476"/>
              </w:tabs>
              <w:spacing w:before="43" w:after="0" w:line="240" w:lineRule="auto"/>
              <w:ind w:left="475" w:right="0" w:hanging="369"/>
              <w:jc w:val="left"/>
              <w:rPr>
                <w:sz w:val="21"/>
              </w:rPr>
            </w:pPr>
            <w:r>
              <w:rPr>
                <w:spacing w:val="-1"/>
                <w:sz w:val="21"/>
              </w:rPr>
              <w:t>评估需要有公开透明的结果公示，接受社会监督。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24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2"/>
                <w:sz w:val="21"/>
              </w:rPr>
              <w:t>长期照护政策的优化</w:t>
            </w:r>
          </w:p>
        </w:tc>
        <w:tc>
          <w:tcPr>
            <w:tcW w:w="5527" w:type="dxa"/>
          </w:tcPr>
          <w:p>
            <w:pPr>
              <w:pStyle w:val="TableParagraph"/>
              <w:numPr>
                <w:ilvl w:val="0"/>
                <w:numId w:val="62"/>
              </w:numPr>
              <w:tabs>
                <w:tab w:val="left" w:pos="371"/>
              </w:tabs>
              <w:spacing w:before="23" w:after="0" w:line="240" w:lineRule="auto"/>
              <w:ind w:left="370" w:right="0" w:hanging="264"/>
              <w:jc w:val="left"/>
              <w:rPr>
                <w:sz w:val="21"/>
              </w:rPr>
            </w:pPr>
            <w:r>
              <w:rPr>
                <w:spacing w:val="-1"/>
                <w:sz w:val="21"/>
              </w:rPr>
              <w:t>优化需要根据评估结果，针对性地改进服务内容、服务</w:t>
            </w:r>
          </w:p>
          <w:p>
            <w:pPr>
              <w:pStyle w:val="TableParagraph"/>
              <w:spacing w:before="43"/>
              <w:rPr>
                <w:sz w:val="21"/>
              </w:rPr>
            </w:pPr>
            <w:r>
              <w:rPr>
                <w:spacing w:val="-2"/>
                <w:sz w:val="21"/>
              </w:rPr>
              <w:t>标准、服务流程等。</w:t>
            </w:r>
          </w:p>
        </w:tc>
      </w:tr>
    </w:tbl>
    <w:p>
      <w:pPr>
        <w:spacing w:after="0"/>
        <w:rPr>
          <w:sz w:val="21"/>
        </w:rPr>
        <w:sectPr>
          <w:footerReference w:type="default" r:id="rId10"/>
          <w:pgSz w:w="11910" w:h="16840"/>
          <w:pgMar w:top="1520" w:right="1280" w:bottom="1380" w:left="1680" w:header="0" w:footer="1198"/>
          <w:pgNumType w:start="6"/>
          <w:cols w:space="708"/>
        </w:sectPr>
      </w:pPr>
    </w:p>
    <w:tbl>
      <w:tblPr>
        <w:tblStyle w:val="TableNormal3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69"/>
        <w:gridCol w:w="5527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560"/>
          <w:jc w:val="left"/>
        </w:trPr>
        <w:tc>
          <w:tcPr>
            <w:tcW w:w="2769" w:type="dxa"/>
          </w:tcPr>
          <w:p>
            <w:pPr>
              <w:pStyle w:val="TableParagraph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5527" w:type="dxa"/>
          </w:tcPr>
          <w:p>
            <w:pPr>
              <w:pStyle w:val="TableParagraph"/>
              <w:numPr>
                <w:ilvl w:val="0"/>
                <w:numId w:val="61"/>
              </w:numPr>
              <w:tabs>
                <w:tab w:val="left" w:pos="475"/>
                <w:tab w:val="left" w:pos="476"/>
              </w:tabs>
              <w:spacing w:before="23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8"/>
                <w:sz w:val="21"/>
              </w:rPr>
              <w:t>优化需要引入新的技术和管理模式，提高服务效率和质</w:t>
            </w:r>
            <w:r>
              <w:rPr>
                <w:spacing w:val="-6"/>
                <w:sz w:val="21"/>
              </w:rPr>
              <w:t>量。</w:t>
            </w:r>
          </w:p>
          <w:p>
            <w:pPr>
              <w:pStyle w:val="TableParagraph"/>
              <w:numPr>
                <w:ilvl w:val="0"/>
                <w:numId w:val="61"/>
              </w:numPr>
              <w:tabs>
                <w:tab w:val="left" w:pos="475"/>
                <w:tab w:val="left" w:pos="476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9"/>
                <w:sz w:val="21"/>
              </w:rPr>
              <w:t>优化需要加强政策宣传和培训，提高公众的认知和接受</w:t>
            </w:r>
            <w:r>
              <w:rPr>
                <w:spacing w:val="-6"/>
                <w:sz w:val="21"/>
              </w:rPr>
              <w:t>度。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183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1"/>
                <w:sz w:val="21"/>
              </w:rPr>
              <w:t>长期照护政策的持续性</w:t>
            </w:r>
          </w:p>
        </w:tc>
        <w:tc>
          <w:tcPr>
            <w:tcW w:w="5527" w:type="dxa"/>
          </w:tcPr>
          <w:p>
            <w:pPr>
              <w:pStyle w:val="TableParagraph"/>
              <w:numPr>
                <w:ilvl w:val="0"/>
                <w:numId w:val="60"/>
              </w:numPr>
              <w:tabs>
                <w:tab w:val="left" w:pos="371"/>
              </w:tabs>
              <w:spacing w:before="23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持续性需要政策的稳定和连续，避免频繁变动导致服务</w:t>
            </w:r>
            <w:r>
              <w:rPr>
                <w:spacing w:val="-2"/>
                <w:sz w:val="21"/>
              </w:rPr>
              <w:t>的不稳定。</w:t>
            </w:r>
          </w:p>
          <w:p>
            <w:pPr>
              <w:pStyle w:val="TableParagraph"/>
              <w:numPr>
                <w:ilvl w:val="0"/>
                <w:numId w:val="60"/>
              </w:numPr>
              <w:tabs>
                <w:tab w:val="left" w:pos="475"/>
                <w:tab w:val="left" w:pos="476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8"/>
                <w:sz w:val="21"/>
              </w:rPr>
              <w:t>持续性需要政策的适应性和灵活性，随着社会经济的发</w:t>
            </w:r>
            <w:r>
              <w:rPr>
                <w:spacing w:val="-2"/>
                <w:sz w:val="21"/>
              </w:rPr>
              <w:t>展和人口老龄化的变化进行调整。</w:t>
            </w:r>
          </w:p>
          <w:p>
            <w:pPr>
              <w:pStyle w:val="TableParagraph"/>
              <w:numPr>
                <w:ilvl w:val="0"/>
                <w:numId w:val="60"/>
              </w:numPr>
              <w:tabs>
                <w:tab w:val="left" w:pos="475"/>
                <w:tab w:val="left" w:pos="476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8"/>
                <w:sz w:val="21"/>
              </w:rPr>
              <w:t>持续性需要政策的创新性和前瞻性，引领长期照护服务</w:t>
            </w:r>
            <w:r>
              <w:rPr>
                <w:spacing w:val="-2"/>
                <w:sz w:val="21"/>
              </w:rPr>
              <w:t>的发展方向。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871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1"/>
                <w:sz w:val="21"/>
              </w:rPr>
              <w:t>长期照护政策的社会影响</w:t>
            </w:r>
          </w:p>
        </w:tc>
        <w:tc>
          <w:tcPr>
            <w:tcW w:w="5527" w:type="dxa"/>
          </w:tcPr>
          <w:p>
            <w:pPr>
              <w:pStyle w:val="TableParagraph"/>
              <w:numPr>
                <w:ilvl w:val="0"/>
                <w:numId w:val="59"/>
              </w:numPr>
              <w:tabs>
                <w:tab w:val="left" w:pos="371"/>
              </w:tabs>
              <w:spacing w:before="23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社会影响包括对老年人口的影响，如生活质量的提高、</w:t>
            </w:r>
            <w:r>
              <w:rPr>
                <w:spacing w:val="-2"/>
                <w:sz w:val="21"/>
              </w:rPr>
              <w:t>健康状况的改善等。</w:t>
            </w:r>
          </w:p>
          <w:p>
            <w:pPr>
              <w:pStyle w:val="TableParagraph"/>
              <w:numPr>
                <w:ilvl w:val="0"/>
                <w:numId w:val="59"/>
              </w:numPr>
              <w:tabs>
                <w:tab w:val="left" w:pos="475"/>
                <w:tab w:val="left" w:pos="476"/>
              </w:tabs>
              <w:spacing w:before="0" w:after="0" w:line="278" w:lineRule="auto"/>
              <w:ind w:left="107" w:right="95" w:firstLine="0"/>
              <w:jc w:val="left"/>
              <w:rPr>
                <w:sz w:val="21"/>
              </w:rPr>
            </w:pPr>
            <w:r>
              <w:rPr>
                <w:spacing w:val="-6"/>
                <w:sz w:val="21"/>
              </w:rPr>
              <w:t>社会影响包括对家庭的影响，如减轻家庭负担、改善家</w:t>
            </w:r>
            <w:r>
              <w:rPr>
                <w:spacing w:val="-2"/>
                <w:sz w:val="21"/>
              </w:rPr>
              <w:t>庭关系等。</w:t>
            </w:r>
          </w:p>
          <w:p>
            <w:pPr>
              <w:pStyle w:val="TableParagraph"/>
              <w:numPr>
                <w:ilvl w:val="0"/>
                <w:numId w:val="59"/>
              </w:numPr>
              <w:tabs>
                <w:tab w:val="left" w:pos="475"/>
                <w:tab w:val="left" w:pos="476"/>
              </w:tabs>
              <w:spacing w:before="0" w:after="0" w:line="269" w:lineRule="exact"/>
              <w:ind w:left="475" w:right="0" w:hanging="369"/>
              <w:jc w:val="left"/>
              <w:rPr>
                <w:sz w:val="21"/>
              </w:rPr>
            </w:pPr>
            <w:r>
              <w:rPr>
                <w:spacing w:val="-7"/>
                <w:sz w:val="21"/>
              </w:rPr>
              <w:t>社会影响包括对社会的影响，如促进就业、推动经济发</w:t>
            </w:r>
          </w:p>
          <w:p>
            <w:pPr>
              <w:pStyle w:val="TableParagraph"/>
              <w:spacing w:before="43"/>
              <w:rPr>
                <w:sz w:val="21"/>
              </w:rPr>
            </w:pPr>
            <w:r>
              <w:rPr>
                <w:spacing w:val="-4"/>
                <w:sz w:val="21"/>
              </w:rPr>
              <w:t>展等。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2769" w:type="dxa"/>
          </w:tcPr>
          <w:p>
            <w:pPr>
              <w:pStyle w:val="TableParagraph"/>
              <w:ind w:left="0"/>
              <w:rPr>
                <w:rFonts w:ascii="Times New Roman"/>
                <w:sz w:val="22"/>
              </w:rPr>
            </w:pPr>
          </w:p>
        </w:tc>
        <w:tc>
          <w:tcPr>
            <w:tcW w:w="5527" w:type="dxa"/>
          </w:tcPr>
          <w:p>
            <w:pPr>
              <w:pStyle w:val="TableParagraph"/>
              <w:ind w:left="0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spacing w:before="6"/>
        <w:ind w:left="0"/>
        <w:rPr>
          <w:rFonts w:ascii="Microsoft JhengHei"/>
          <w:b/>
          <w:sz w:val="5"/>
        </w:rPr>
      </w:pPr>
    </w:p>
    <w:p>
      <w:pPr>
        <w:pStyle w:val="BodyText"/>
        <w:spacing w:before="61" w:line="417" w:lineRule="auto"/>
        <w:ind w:right="5465" w:firstLine="560"/>
      </w:pPr>
      <w:r>
        <w:rPr>
          <w:spacing w:val="-2"/>
        </w:rPr>
        <w:t>长期照护政策效果评估</w:t>
      </w:r>
      <w:r>
        <w:rPr>
          <w:spacing w:val="-4"/>
        </w:rPr>
        <w:t>一、引言</w:t>
      </w:r>
    </w:p>
    <w:p>
      <w:pPr>
        <w:pStyle w:val="BodyText"/>
        <w:spacing w:line="417" w:lineRule="auto"/>
        <w:ind w:right="518"/>
        <w:jc w:val="both"/>
      </w:pPr>
      <w:r>
        <w:rPr>
          <w:spacing w:val="-4"/>
        </w:rPr>
        <w:t>随着人口老龄化的加速，长期照护需求日益增长，成为全球关注的焦</w:t>
      </w:r>
      <w:r>
        <w:rPr>
          <w:spacing w:val="-4"/>
        </w:rPr>
        <w:t>点问题。长期照护政策是解决老龄化问题的重要手段，其实施过程对</w:t>
      </w:r>
      <w:r>
        <w:rPr>
          <w:spacing w:val="-9"/>
        </w:rPr>
        <w:t>于政策效果的评估具有重要意义。本文将对长期照护政策的实施过程</w:t>
      </w:r>
      <w:r>
        <w:rPr>
          <w:spacing w:val="-2"/>
        </w:rPr>
        <w:t>进行概述，并分析其对政策效果的影响。</w:t>
      </w:r>
    </w:p>
    <w:p>
      <w:pPr>
        <w:pStyle w:val="BodyText"/>
        <w:spacing w:line="358" w:lineRule="exact"/>
      </w:pPr>
      <w:r>
        <w:rPr>
          <w:spacing w:val="-1"/>
        </w:rPr>
        <w:t>二、长期照护政策的实施过程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BodyText"/>
        <w:spacing w:line="417" w:lineRule="auto"/>
        <w:ind w:right="518"/>
      </w:pPr>
      <w:r>
        <w:rPr>
          <w:spacing w:val="-4"/>
        </w:rPr>
        <w:t>长期照护政策的实施过程主要包括政策制定、政策推广、政策执行和</w:t>
      </w:r>
      <w:r>
        <w:rPr>
          <w:spacing w:val="-2"/>
        </w:rPr>
        <w:t>政策评估四个阶段。</w:t>
      </w:r>
    </w:p>
    <w:p>
      <w:pPr>
        <w:pStyle w:val="ListParagraph"/>
        <w:numPr>
          <w:ilvl w:val="0"/>
          <w:numId w:val="58"/>
        </w:numPr>
        <w:tabs>
          <w:tab w:val="left" w:pos="540"/>
        </w:tabs>
        <w:spacing w:before="0" w:after="0" w:line="358" w:lineRule="exact"/>
        <w:ind w:left="540" w:right="0" w:hanging="420"/>
        <w:jc w:val="left"/>
        <w:rPr>
          <w:sz w:val="28"/>
        </w:rPr>
      </w:pPr>
      <w:r>
        <w:rPr>
          <w:spacing w:val="-3"/>
          <w:sz w:val="28"/>
        </w:rPr>
        <w:t>政策制定</w:t>
      </w:r>
    </w:p>
    <w:p>
      <w:pPr>
        <w:pStyle w:val="BodyText"/>
        <w:spacing w:before="9"/>
        <w:ind w:left="0"/>
        <w:rPr>
          <w:sz w:val="20"/>
        </w:rPr>
      </w:pPr>
    </w:p>
    <w:p>
      <w:pPr>
        <w:pStyle w:val="BodyText"/>
        <w:spacing w:line="417" w:lineRule="auto"/>
        <w:ind w:right="238"/>
      </w:pPr>
      <w:r>
        <w:rPr>
          <w:spacing w:val="-2"/>
        </w:rPr>
        <w:t>政策制定是长期照护政策实施的第一步，主要涉及政策目标的确定、</w:t>
      </w:r>
      <w:r>
        <w:rPr>
          <w:spacing w:val="-8"/>
        </w:rPr>
        <w:t>政策内容的拟定和政策方案的选择。政策制定需要充分考虑国内外相</w:t>
      </w:r>
    </w:p>
    <w:p>
      <w:pPr>
        <w:spacing w:after="0" w:line="417" w:lineRule="auto"/>
        <w:sectPr>
          <w:footerReference w:type="default" r:id="rId11"/>
          <w:type w:val="continuous"/>
          <w:pgSz w:w="11910" w:h="16840"/>
          <w:pgMar w:top="1400" w:right="1280" w:bottom="1380" w:left="1680" w:header="0" w:footer="1198"/>
          <w:pgNumType w:start="7"/>
          <w:cols w:space="708"/>
        </w:sectPr>
      </w:pPr>
    </w:p>
    <w:p>
      <w:pPr>
        <w:pStyle w:val="BodyText"/>
        <w:spacing w:before="37" w:line="417" w:lineRule="auto"/>
        <w:ind w:right="518"/>
      </w:pPr>
      <w:r>
        <w:rPr>
          <w:spacing w:val="-4"/>
        </w:rPr>
        <w:t>关经验、社会需求、资源条件等多方面因素，确保政策的科学性和可</w:t>
      </w:r>
      <w:r>
        <w:rPr>
          <w:spacing w:val="-4"/>
        </w:rPr>
        <w:t>行性。</w:t>
      </w:r>
    </w:p>
    <w:p>
      <w:pPr>
        <w:pStyle w:val="ListParagraph"/>
        <w:numPr>
          <w:ilvl w:val="0"/>
          <w:numId w:val="58"/>
        </w:numPr>
        <w:tabs>
          <w:tab w:val="left" w:pos="540"/>
        </w:tabs>
        <w:spacing w:before="0" w:after="0" w:line="358" w:lineRule="exact"/>
        <w:ind w:left="540" w:right="0" w:hanging="420"/>
        <w:jc w:val="left"/>
        <w:rPr>
          <w:sz w:val="28"/>
        </w:rPr>
      </w:pPr>
      <w:r>
        <w:rPr>
          <w:spacing w:val="-3"/>
          <w:sz w:val="28"/>
        </w:rPr>
        <w:t>政策推广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BodyText"/>
        <w:spacing w:before="1" w:line="417" w:lineRule="auto"/>
        <w:ind w:right="244"/>
      </w:pPr>
      <w:r>
        <w:rPr>
          <w:spacing w:val="-8"/>
        </w:rPr>
        <w:t>政策推广是将制定的长期照护政策传播给相关利益方，包括政府部门、</w:t>
      </w:r>
      <w:r>
        <w:rPr>
          <w:spacing w:val="-2"/>
        </w:rPr>
        <w:t>社会组织、企事业单位和公众等。政策推广的主要方式有：发布政策</w:t>
      </w:r>
      <w:r>
        <w:rPr>
          <w:spacing w:val="-2"/>
        </w:rPr>
        <w:t xml:space="preserve"> </w:t>
      </w:r>
      <w:r>
        <w:rPr>
          <w:spacing w:val="-2"/>
        </w:rPr>
        <w:t>文件、举办政策解读会、开展政策宣传活动等。政策推广的目的是提</w:t>
      </w:r>
      <w:r>
        <w:rPr>
          <w:spacing w:val="-2"/>
        </w:rPr>
        <w:t xml:space="preserve"> </w:t>
      </w:r>
      <w:r>
        <w:rPr>
          <w:spacing w:val="-2"/>
        </w:rPr>
        <w:t>高政策的知晓度和认同度，为政策的顺利实施创造良好的社会氛围。</w:t>
      </w:r>
    </w:p>
    <w:p>
      <w:pPr>
        <w:pStyle w:val="ListParagraph"/>
        <w:numPr>
          <w:ilvl w:val="0"/>
          <w:numId w:val="58"/>
        </w:numPr>
        <w:tabs>
          <w:tab w:val="left" w:pos="540"/>
        </w:tabs>
        <w:spacing w:before="0" w:after="0" w:line="358" w:lineRule="exact"/>
        <w:ind w:left="540" w:right="0" w:hanging="420"/>
        <w:jc w:val="left"/>
        <w:rPr>
          <w:sz w:val="28"/>
        </w:rPr>
      </w:pPr>
      <w:r>
        <w:rPr>
          <w:spacing w:val="-3"/>
          <w:sz w:val="28"/>
        </w:rPr>
        <w:t>政策执行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BodyText"/>
        <w:spacing w:before="1" w:line="417" w:lineRule="auto"/>
        <w:ind w:right="518"/>
        <w:jc w:val="both"/>
      </w:pPr>
      <w:r>
        <w:rPr>
          <w:spacing w:val="-4"/>
        </w:rPr>
        <w:t>政策执行是长期照护政策实施的核心环节，主要涉及政策的落地、资</w:t>
      </w:r>
      <w:r>
        <w:rPr>
          <w:spacing w:val="-4"/>
        </w:rPr>
        <w:t>源的调配和服务的提供。政策执行需要各级政府部门、社会组织和企</w:t>
      </w:r>
      <w:r>
        <w:rPr>
          <w:spacing w:val="-4"/>
        </w:rPr>
        <w:t>事业单位等多方共同参与，形成合力。政策执行过程中可能出现的问</w:t>
      </w:r>
      <w:r>
        <w:rPr>
          <w:spacing w:val="-4"/>
        </w:rPr>
        <w:t>题包括：政策落实不到位、资源分配不均、服务质量不高等。针对这</w:t>
      </w:r>
      <w:r>
        <w:rPr>
          <w:spacing w:val="-2"/>
        </w:rPr>
        <w:t>些问题，需要及时调整政策措施，确保政策的有效性。</w:t>
      </w:r>
    </w:p>
    <w:p>
      <w:pPr>
        <w:pStyle w:val="ListParagraph"/>
        <w:numPr>
          <w:ilvl w:val="0"/>
          <w:numId w:val="58"/>
        </w:numPr>
        <w:tabs>
          <w:tab w:val="left" w:pos="540"/>
        </w:tabs>
        <w:spacing w:before="0" w:after="0" w:line="358" w:lineRule="exact"/>
        <w:ind w:left="540" w:right="0" w:hanging="420"/>
        <w:jc w:val="both"/>
        <w:rPr>
          <w:sz w:val="28"/>
        </w:rPr>
      </w:pPr>
      <w:r>
        <w:rPr>
          <w:spacing w:val="-3"/>
          <w:sz w:val="28"/>
        </w:rPr>
        <w:t>政策评估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BodyText"/>
        <w:spacing w:before="1" w:line="417" w:lineRule="auto"/>
        <w:ind w:right="518"/>
        <w:jc w:val="both"/>
      </w:pPr>
      <w:r>
        <w:rPr>
          <w:spacing w:val="-7"/>
        </w:rPr>
        <w:t>政策评估是对长期照护政策实施效果的评价和反思，主要涉及政策的</w:t>
      </w:r>
      <w:r>
        <w:rPr>
          <w:spacing w:val="-4"/>
        </w:rPr>
        <w:t>达成度、满意度和影响度等方面。政策评估的方法有：定性评估、定</w:t>
      </w:r>
      <w:r>
        <w:rPr>
          <w:spacing w:val="-12"/>
        </w:rPr>
        <w:t>量评估和混合评估等。政策评估的目的是为政策的修订和完善提供依</w:t>
      </w:r>
      <w:r>
        <w:rPr>
          <w:spacing w:val="-2"/>
        </w:rPr>
        <w:t>据，促进政策的持续改进。</w:t>
      </w:r>
    </w:p>
    <w:p>
      <w:pPr>
        <w:pStyle w:val="BodyText"/>
        <w:spacing w:line="358" w:lineRule="exact"/>
      </w:pPr>
      <w:r>
        <w:rPr>
          <w:spacing w:val="-1"/>
        </w:rPr>
        <w:t>三、长期照护政策实施过程对政策效果的影响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BodyText"/>
        <w:spacing w:before="1" w:line="417" w:lineRule="auto"/>
        <w:ind w:right="518"/>
      </w:pPr>
      <w:r>
        <w:rPr>
          <w:spacing w:val="-7"/>
        </w:rPr>
        <w:t>长期照护政策的实施过程对政策效果具有重要影响，主要体现在以下</w:t>
      </w:r>
      <w:r>
        <w:rPr>
          <w:spacing w:val="-2"/>
        </w:rPr>
        <w:t>几个方面：</w:t>
      </w:r>
    </w:p>
    <w:p>
      <w:pPr>
        <w:pStyle w:val="ListParagraph"/>
        <w:numPr>
          <w:ilvl w:val="0"/>
          <w:numId w:val="57"/>
        </w:numPr>
        <w:tabs>
          <w:tab w:val="left" w:pos="540"/>
        </w:tabs>
        <w:spacing w:before="0" w:after="0" w:line="358" w:lineRule="exact"/>
        <w:ind w:left="540" w:right="0" w:hanging="420"/>
        <w:jc w:val="left"/>
        <w:rPr>
          <w:sz w:val="28"/>
        </w:rPr>
      </w:pPr>
      <w:r>
        <w:rPr>
          <w:spacing w:val="-2"/>
          <w:sz w:val="28"/>
        </w:rPr>
        <w:t>政策制定阶段的影响</w:t>
      </w:r>
    </w:p>
    <w:p>
      <w:pPr>
        <w:spacing w:after="0" w:line="358" w:lineRule="exact"/>
        <w:jc w:val="left"/>
        <w:rPr>
          <w:sz w:val="28"/>
        </w:rPr>
        <w:sectPr>
          <w:footerReference w:type="default" r:id="rId12"/>
          <w:pgSz w:w="11910" w:h="16840"/>
          <w:pgMar w:top="1520" w:right="1280" w:bottom="1380" w:left="1680" w:header="0" w:footer="1198"/>
          <w:pgNumType w:start="8"/>
          <w:cols w:space="708"/>
        </w:sectPr>
      </w:pPr>
    </w:p>
    <w:p>
      <w:pPr>
        <w:pStyle w:val="BodyText"/>
        <w:spacing w:before="37" w:line="417" w:lineRule="auto"/>
        <w:ind w:right="518"/>
        <w:jc w:val="both"/>
      </w:pPr>
      <w:r>
        <w:rPr>
          <w:spacing w:val="-6"/>
        </w:rPr>
        <w:t>政策制定阶段的影响主要体现在政策的科学性和可行性上。科学的政</w:t>
      </w:r>
      <w:r>
        <w:rPr>
          <w:spacing w:val="-4"/>
        </w:rPr>
        <w:t>策制定能够确保政策的有效性，提高政策的达成度；可行的政策制定</w:t>
      </w:r>
      <w:r>
        <w:rPr>
          <w:spacing w:val="-4"/>
        </w:rPr>
        <w:t>能够保证政策的可操作性，提高政策的满意度。因此，政策制定阶段</w:t>
      </w:r>
      <w:r>
        <w:rPr>
          <w:spacing w:val="-2"/>
        </w:rPr>
        <w:t>对政策效果具有决定性作用。</w:t>
      </w:r>
    </w:p>
    <w:p>
      <w:pPr>
        <w:pStyle w:val="ListParagraph"/>
        <w:numPr>
          <w:ilvl w:val="0"/>
          <w:numId w:val="57"/>
        </w:numPr>
        <w:tabs>
          <w:tab w:val="left" w:pos="540"/>
        </w:tabs>
        <w:spacing w:before="0" w:after="0" w:line="358" w:lineRule="exact"/>
        <w:ind w:left="540" w:right="0" w:hanging="420"/>
        <w:jc w:val="both"/>
        <w:rPr>
          <w:sz w:val="28"/>
        </w:rPr>
      </w:pPr>
      <w:r>
        <w:rPr>
          <w:spacing w:val="-2"/>
          <w:sz w:val="28"/>
        </w:rPr>
        <w:t>政策推广阶段的影响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BodyText"/>
        <w:spacing w:before="1" w:line="417" w:lineRule="auto"/>
        <w:ind w:right="238"/>
      </w:pPr>
      <w:r>
        <w:rPr>
          <w:spacing w:val="-6"/>
        </w:rPr>
        <w:t>政策推广阶段的影响主要体现在政策的知晓度和认同度上。高知晓度</w:t>
      </w:r>
      <w:r>
        <w:rPr>
          <w:spacing w:val="-2"/>
        </w:rPr>
        <w:t xml:space="preserve"> </w:t>
      </w:r>
      <w:r>
        <w:rPr>
          <w:spacing w:val="-2"/>
        </w:rPr>
        <w:t>的政策能够吸引更多的利益相关者参与，提高政策的执行力；高认同</w:t>
      </w:r>
      <w:r>
        <w:rPr>
          <w:spacing w:val="-2"/>
        </w:rPr>
        <w:t xml:space="preserve"> </w:t>
      </w:r>
      <w:r>
        <w:rPr>
          <w:spacing w:val="-2"/>
        </w:rPr>
        <w:t>度的政策能够减少执行过程中的阻力，提高政策的顺利程度。因此，</w:t>
      </w:r>
      <w:r>
        <w:rPr>
          <w:spacing w:val="-2"/>
        </w:rPr>
        <w:t>政策推广阶段对政策效果具有重要影响。</w:t>
      </w:r>
    </w:p>
    <w:p>
      <w:pPr>
        <w:pStyle w:val="ListParagraph"/>
        <w:numPr>
          <w:ilvl w:val="0"/>
          <w:numId w:val="57"/>
        </w:numPr>
        <w:tabs>
          <w:tab w:val="left" w:pos="540"/>
        </w:tabs>
        <w:spacing w:before="0" w:after="0" w:line="358" w:lineRule="exact"/>
        <w:ind w:left="540" w:right="0" w:hanging="420"/>
        <w:jc w:val="left"/>
        <w:rPr>
          <w:sz w:val="28"/>
        </w:rPr>
      </w:pPr>
      <w:r>
        <w:rPr>
          <w:spacing w:val="-2"/>
          <w:sz w:val="28"/>
        </w:rPr>
        <w:t>政策执行阶段的影响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BodyText"/>
        <w:spacing w:before="1" w:line="417" w:lineRule="auto"/>
        <w:ind w:right="518"/>
        <w:jc w:val="both"/>
      </w:pPr>
      <w:r>
        <w:rPr>
          <w:spacing w:val="-7"/>
        </w:rPr>
        <w:t>政策执行阶段的影响主要体现在政策的落地、资源调配和服务提供等</w:t>
      </w:r>
      <w:r>
        <w:rPr>
          <w:spacing w:val="-4"/>
        </w:rPr>
        <w:t>方面。有效的政策执行能够确保政策的落地，提高政策的达成度；合</w:t>
      </w:r>
      <w:r>
        <w:rPr>
          <w:spacing w:val="-4"/>
        </w:rPr>
        <w:t>理的资源调配能够保证服务的质量和效率，提高政策的满意度；优质</w:t>
      </w:r>
      <w:r>
        <w:rPr>
          <w:spacing w:val="-4"/>
        </w:rPr>
        <w:t>的服务提供能够满足照护对象的需求，提高政策的影响度。因此，政</w:t>
      </w:r>
      <w:r>
        <w:rPr>
          <w:spacing w:val="-2"/>
        </w:rPr>
        <w:t>策执行阶段对政策效果具有关键作用。</w:t>
      </w:r>
    </w:p>
    <w:p>
      <w:pPr>
        <w:pStyle w:val="ListParagraph"/>
        <w:numPr>
          <w:ilvl w:val="0"/>
          <w:numId w:val="57"/>
        </w:numPr>
        <w:tabs>
          <w:tab w:val="left" w:pos="540"/>
        </w:tabs>
        <w:spacing w:before="0" w:after="0" w:line="358" w:lineRule="exact"/>
        <w:ind w:left="540" w:right="0" w:hanging="420"/>
        <w:jc w:val="both"/>
        <w:rPr>
          <w:sz w:val="28"/>
        </w:rPr>
      </w:pPr>
      <w:r>
        <w:rPr>
          <w:spacing w:val="-2"/>
          <w:sz w:val="28"/>
        </w:rPr>
        <w:t>政策评估阶段的影响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BodyText"/>
        <w:spacing w:before="1" w:line="417" w:lineRule="auto"/>
        <w:ind w:right="518"/>
        <w:jc w:val="both"/>
      </w:pPr>
      <w:r>
        <w:rPr>
          <w:spacing w:val="-6"/>
        </w:rPr>
        <w:t>政策评估阶段的影响主要体现在政策的修订和完善上。准确的评估结</w:t>
      </w:r>
      <w:r>
        <w:rPr>
          <w:spacing w:val="-4"/>
        </w:rPr>
        <w:t>果能够为政策的修订提供依据，促进政策的持续改进；完善的评估机</w:t>
      </w:r>
      <w:r>
        <w:rPr>
          <w:spacing w:val="-4"/>
        </w:rPr>
        <w:t>制能够为政策的完善提供保障，促进政策的持续发展。因此，政策评</w:t>
      </w:r>
      <w:r>
        <w:rPr>
          <w:spacing w:val="-2"/>
        </w:rPr>
        <w:t>估阶段对政策效果具有反馈作用。</w:t>
      </w:r>
    </w:p>
    <w:p>
      <w:pPr>
        <w:pStyle w:val="BodyText"/>
        <w:spacing w:line="358" w:lineRule="exact"/>
      </w:pPr>
      <w:r>
        <w:rPr>
          <w:spacing w:val="-3"/>
        </w:rPr>
        <w:t>四、结论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BodyText"/>
        <w:spacing w:before="1"/>
      </w:pPr>
      <w:r>
        <w:rPr>
          <w:spacing w:val="-6"/>
        </w:rPr>
        <w:t>长期照护政策的实施过程对政策效果具有重要影响。为确保政策的有</w:t>
      </w:r>
    </w:p>
    <w:p>
      <w:pPr>
        <w:spacing w:after="0"/>
        <w:sectPr>
          <w:footerReference w:type="default" r:id="rId13"/>
          <w:pgSz w:w="11910" w:h="16840"/>
          <w:pgMar w:top="1520" w:right="1280" w:bottom="1380" w:left="1680" w:header="0" w:footer="1198"/>
          <w:pgNumType w:start="9"/>
          <w:cols w:space="708"/>
        </w:sectPr>
      </w:pPr>
    </w:p>
    <w:p>
      <w:pPr>
        <w:pStyle w:val="BodyText"/>
        <w:spacing w:before="37" w:line="417" w:lineRule="auto"/>
        <w:ind w:right="238"/>
      </w:pPr>
      <w:r>
        <w:rPr>
          <w:spacing w:val="-2"/>
        </w:rPr>
        <w:t>效性和可持续性，需要从政策制定、推广、执行和评估等多个环节进</w:t>
      </w:r>
      <w:r>
        <w:rPr>
          <w:spacing w:val="-2"/>
        </w:rPr>
        <w:t xml:space="preserve"> </w:t>
      </w:r>
      <w:r>
        <w:rPr>
          <w:spacing w:val="-2"/>
        </w:rPr>
        <w:t>行全面优化，形成科学、合理、高效和持续的政策实施体系。同时，</w:t>
      </w:r>
      <w:r>
        <w:rPr>
          <w:spacing w:val="-2"/>
        </w:rPr>
        <w:t>需要加强跨部门、跨地区和跨领域的合作，形成合力，共同推动长期</w:t>
      </w:r>
      <w:r>
        <w:rPr>
          <w:spacing w:val="-2"/>
        </w:rPr>
        <w:t xml:space="preserve"> </w:t>
      </w:r>
      <w:r>
        <w:rPr>
          <w:spacing w:val="-2"/>
        </w:rPr>
        <w:t>照护政策的实施和发展。</w:t>
      </w:r>
    </w:p>
    <w:p>
      <w:pPr>
        <w:pStyle w:val="BodyText"/>
        <w:ind w:left="0"/>
      </w:pPr>
    </w:p>
    <w:p>
      <w:pPr>
        <w:pStyle w:val="Heading1"/>
        <w:tabs>
          <w:tab w:val="left" w:pos="1725"/>
        </w:tabs>
        <w:spacing w:before="237"/>
      </w:pPr>
      <w:bookmarkStart w:id="2" w:name="_TOC_250005"/>
      <w:r>
        <w:t>第</w:t>
      </w:r>
      <w:r>
        <w:t>三</w:t>
      </w:r>
      <w:r>
        <w:t>部</w:t>
      </w:r>
      <w:r>
        <w:rPr>
          <w:spacing w:val="-10"/>
        </w:rPr>
        <w:t>分</w:t>
      </w:r>
      <w:r>
        <w:tab/>
        <w:t>长</w:t>
      </w:r>
      <w:r>
        <w:t>期</w:t>
      </w:r>
      <w:r>
        <w:t>照</w:t>
      </w:r>
      <w:r>
        <w:t>护</w:t>
      </w:r>
      <w:r>
        <w:t>政</w:t>
      </w:r>
      <w:r>
        <w:t>策</w:t>
      </w:r>
      <w:r>
        <w:t>的</w:t>
      </w:r>
      <w:r>
        <w:t>评</w:t>
      </w:r>
      <w:r>
        <w:t>估</w:t>
      </w:r>
      <w:r>
        <w:t>方</w:t>
      </w:r>
      <w:bookmarkEnd w:id="2"/>
      <w:r>
        <w:rPr>
          <w:spacing w:val="-10"/>
        </w:rPr>
        <w:t>法</w:t>
      </w:r>
    </w:p>
    <w:p>
      <w:pPr>
        <w:pStyle w:val="BodyText"/>
        <w:spacing w:before="16"/>
        <w:ind w:left="0"/>
        <w:rPr>
          <w:rFonts w:ascii="Microsoft JhengHei"/>
          <w:b/>
          <w:sz w:val="15"/>
        </w:rPr>
      </w:pPr>
    </w:p>
    <w:tbl>
      <w:tblPr>
        <w:tblStyle w:val="TableNormal4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69"/>
        <w:gridCol w:w="5527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4"/>
                <w:sz w:val="21"/>
              </w:rPr>
              <w:t>关键词</w:t>
            </w:r>
          </w:p>
        </w:tc>
        <w:tc>
          <w:tcPr>
            <w:tcW w:w="5527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3"/>
                <w:sz w:val="21"/>
              </w:rPr>
              <w:t>关键要点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496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1"/>
                <w:sz w:val="21"/>
              </w:rPr>
              <w:t>政策效果评估的理论基础</w:t>
            </w:r>
          </w:p>
        </w:tc>
        <w:tc>
          <w:tcPr>
            <w:tcW w:w="5527" w:type="dxa"/>
          </w:tcPr>
          <w:p>
            <w:pPr>
              <w:pStyle w:val="TableParagraph"/>
              <w:numPr>
                <w:ilvl w:val="0"/>
                <w:numId w:val="56"/>
              </w:numPr>
              <w:tabs>
                <w:tab w:val="left" w:pos="371"/>
              </w:tabs>
              <w:spacing w:before="23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长期照护政策效果评估需要基于社会福利理论，包括效</w:t>
            </w:r>
            <w:r>
              <w:rPr>
                <w:spacing w:val="-2"/>
                <w:sz w:val="21"/>
              </w:rPr>
              <w:t>用理论、公平正义理论等，以实现政策目标和社会福利最</w:t>
            </w:r>
            <w:r>
              <w:rPr>
                <w:spacing w:val="-4"/>
                <w:sz w:val="21"/>
              </w:rPr>
              <w:t>大化。</w:t>
            </w:r>
          </w:p>
          <w:p>
            <w:pPr>
              <w:pStyle w:val="TableParagraph"/>
              <w:numPr>
                <w:ilvl w:val="0"/>
                <w:numId w:val="56"/>
              </w:numPr>
              <w:tabs>
                <w:tab w:val="left" w:pos="476"/>
              </w:tabs>
              <w:spacing w:before="0" w:after="0" w:line="278" w:lineRule="auto"/>
              <w:ind w:left="107" w:right="1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需要运用健康经济学的理论和方法，如成本效益分析、</w:t>
            </w:r>
            <w:r>
              <w:rPr>
                <w:spacing w:val="-2"/>
                <w:sz w:val="21"/>
              </w:rPr>
              <w:t>成本效用分析等，对政策的经济效果进行评估。</w:t>
            </w:r>
          </w:p>
          <w:p>
            <w:pPr>
              <w:pStyle w:val="TableParagraph"/>
              <w:numPr>
                <w:ilvl w:val="0"/>
                <w:numId w:val="56"/>
              </w:numPr>
              <w:tabs>
                <w:tab w:val="left" w:pos="476"/>
              </w:tabs>
              <w:spacing w:before="0" w:after="0" w:line="278" w:lineRule="auto"/>
              <w:ind w:left="107" w:right="95" w:firstLine="0"/>
              <w:jc w:val="both"/>
              <w:rPr>
                <w:sz w:val="21"/>
              </w:rPr>
            </w:pPr>
            <w:r>
              <w:rPr>
                <w:spacing w:val="-6"/>
                <w:sz w:val="21"/>
              </w:rPr>
              <w:t>还需要借鉴社会工作的理论和方法，如需求评估、服务</w:t>
            </w:r>
            <w:r>
              <w:rPr>
                <w:spacing w:val="-2"/>
                <w:sz w:val="21"/>
              </w:rPr>
              <w:t>质量评估等，对政策的社会效益进行评估。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183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1"/>
                <w:sz w:val="21"/>
              </w:rPr>
              <w:t>政策效果评估的方法和技术</w:t>
            </w:r>
          </w:p>
        </w:tc>
        <w:tc>
          <w:tcPr>
            <w:tcW w:w="5527" w:type="dxa"/>
          </w:tcPr>
          <w:p>
            <w:pPr>
              <w:pStyle w:val="TableParagraph"/>
              <w:numPr>
                <w:ilvl w:val="0"/>
                <w:numId w:val="55"/>
              </w:numPr>
              <w:tabs>
                <w:tab w:val="left" w:pos="371"/>
              </w:tabs>
              <w:spacing w:before="23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定量评估方法：如回归分析、结构方程模型等，可以对</w:t>
            </w:r>
            <w:r>
              <w:rPr>
                <w:spacing w:val="-2"/>
                <w:sz w:val="21"/>
              </w:rPr>
              <w:t>政策的效果进行量化分析，提供客观的数据支持。</w:t>
            </w:r>
          </w:p>
          <w:p>
            <w:pPr>
              <w:pStyle w:val="TableParagraph"/>
              <w:numPr>
                <w:ilvl w:val="0"/>
                <w:numId w:val="55"/>
              </w:numPr>
              <w:tabs>
                <w:tab w:val="left" w:pos="475"/>
                <w:tab w:val="left" w:pos="476"/>
              </w:tabs>
              <w:spacing w:before="0" w:after="0" w:line="278" w:lineRule="auto"/>
              <w:ind w:left="107" w:right="95" w:firstLine="0"/>
              <w:jc w:val="left"/>
              <w:rPr>
                <w:sz w:val="21"/>
              </w:rPr>
            </w:pPr>
            <w:r>
              <w:rPr>
                <w:spacing w:val="-6"/>
                <w:sz w:val="21"/>
              </w:rPr>
              <w:t>定性评估方法：如深度访谈、案例研究等，可以对政策</w:t>
            </w:r>
            <w:r>
              <w:rPr>
                <w:spacing w:val="-2"/>
                <w:sz w:val="21"/>
              </w:rPr>
              <w:t>的效果进行深入的理解和解释，提供丰富的情境信息。</w:t>
            </w:r>
          </w:p>
          <w:p>
            <w:pPr>
              <w:pStyle w:val="TableParagraph"/>
              <w:numPr>
                <w:ilvl w:val="0"/>
                <w:numId w:val="55"/>
              </w:numPr>
              <w:tabs>
                <w:tab w:val="left" w:pos="475"/>
                <w:tab w:val="left" w:pos="476"/>
              </w:tabs>
              <w:spacing w:before="0" w:after="0" w:line="278" w:lineRule="auto"/>
              <w:ind w:left="107" w:right="95" w:firstLine="0"/>
              <w:jc w:val="left"/>
              <w:rPr>
                <w:sz w:val="21"/>
              </w:rPr>
            </w:pPr>
            <w:r>
              <w:rPr>
                <w:spacing w:val="-6"/>
                <w:sz w:val="21"/>
              </w:rPr>
              <w:t>混合方法评估：结合定量和定性方法，既可以获取客观</w:t>
            </w:r>
            <w:r>
              <w:rPr>
                <w:spacing w:val="-2"/>
                <w:sz w:val="21"/>
              </w:rPr>
              <w:t>的数据，又可以理解复杂的社会现象。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183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1"/>
                <w:sz w:val="21"/>
              </w:rPr>
              <w:t>政策效果评估的指标体系</w:t>
            </w:r>
          </w:p>
        </w:tc>
        <w:tc>
          <w:tcPr>
            <w:tcW w:w="5527" w:type="dxa"/>
          </w:tcPr>
          <w:p>
            <w:pPr>
              <w:pStyle w:val="TableParagraph"/>
              <w:numPr>
                <w:ilvl w:val="0"/>
                <w:numId w:val="54"/>
              </w:numPr>
              <w:tabs>
                <w:tab w:val="left" w:pos="371"/>
              </w:tabs>
              <w:spacing w:before="23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生活质量指标：如生活满意度、生活功能独立性等，可</w:t>
            </w:r>
            <w:r>
              <w:rPr>
                <w:spacing w:val="-2"/>
                <w:sz w:val="21"/>
              </w:rPr>
              <w:t>以反映政策对个体生活质量的影响。</w:t>
            </w:r>
          </w:p>
          <w:p>
            <w:pPr>
              <w:pStyle w:val="TableParagraph"/>
              <w:numPr>
                <w:ilvl w:val="0"/>
                <w:numId w:val="54"/>
              </w:numPr>
              <w:tabs>
                <w:tab w:val="left" w:pos="475"/>
                <w:tab w:val="left" w:pos="476"/>
              </w:tabs>
              <w:spacing w:before="0" w:after="0" w:line="278" w:lineRule="auto"/>
              <w:ind w:left="107" w:right="95" w:firstLine="0"/>
              <w:jc w:val="left"/>
              <w:rPr>
                <w:sz w:val="21"/>
              </w:rPr>
            </w:pPr>
            <w:r>
              <w:rPr>
                <w:spacing w:val="-6"/>
                <w:sz w:val="21"/>
              </w:rPr>
              <w:t>健康状况指标：如疾病控制率、康复率等，可以反映政</w:t>
            </w:r>
            <w:r>
              <w:rPr>
                <w:spacing w:val="-2"/>
                <w:sz w:val="21"/>
              </w:rPr>
              <w:t>策对个体健康状况的影响。</w:t>
            </w:r>
          </w:p>
          <w:p>
            <w:pPr>
              <w:pStyle w:val="TableParagraph"/>
              <w:numPr>
                <w:ilvl w:val="0"/>
                <w:numId w:val="54"/>
              </w:numPr>
              <w:tabs>
                <w:tab w:val="left" w:pos="475"/>
                <w:tab w:val="left" w:pos="476"/>
              </w:tabs>
              <w:spacing w:before="0" w:after="0" w:line="278" w:lineRule="auto"/>
              <w:ind w:left="107" w:right="95" w:firstLine="0"/>
              <w:jc w:val="left"/>
              <w:rPr>
                <w:sz w:val="21"/>
              </w:rPr>
            </w:pPr>
            <w:r>
              <w:rPr>
                <w:spacing w:val="-6"/>
                <w:sz w:val="21"/>
              </w:rPr>
              <w:t>经济状况指标：如医疗费用负担、收入水平等，可以反</w:t>
            </w:r>
            <w:r>
              <w:rPr>
                <w:spacing w:val="-2"/>
                <w:sz w:val="21"/>
              </w:rPr>
              <w:t>映政策对个体经济状况的影响。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495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1"/>
                <w:sz w:val="21"/>
              </w:rPr>
              <w:t>政策效果评估的实施步骤</w:t>
            </w:r>
          </w:p>
        </w:tc>
        <w:tc>
          <w:tcPr>
            <w:tcW w:w="5527" w:type="dxa"/>
          </w:tcPr>
          <w:p>
            <w:pPr>
              <w:pStyle w:val="TableParagraph"/>
              <w:numPr>
                <w:ilvl w:val="0"/>
                <w:numId w:val="53"/>
              </w:numPr>
              <w:tabs>
                <w:tab w:val="left" w:pos="371"/>
              </w:tabs>
              <w:spacing w:before="23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确定评估目标和范围：明确评估的目的，确定评估的对</w:t>
            </w:r>
            <w:r>
              <w:rPr>
                <w:spacing w:val="-2"/>
                <w:sz w:val="21"/>
              </w:rPr>
              <w:t>象和内容。</w:t>
            </w:r>
          </w:p>
          <w:p>
            <w:pPr>
              <w:pStyle w:val="TableParagraph"/>
              <w:numPr>
                <w:ilvl w:val="0"/>
                <w:numId w:val="53"/>
              </w:numPr>
              <w:tabs>
                <w:tab w:val="left" w:pos="475"/>
                <w:tab w:val="left" w:pos="476"/>
              </w:tabs>
              <w:spacing w:before="0" w:after="0" w:line="278" w:lineRule="auto"/>
              <w:ind w:left="107" w:right="95" w:firstLine="0"/>
              <w:jc w:val="left"/>
              <w:rPr>
                <w:sz w:val="21"/>
              </w:rPr>
            </w:pPr>
            <w:r>
              <w:rPr>
                <w:spacing w:val="-6"/>
                <w:sz w:val="21"/>
              </w:rPr>
              <w:t>设计评估方案：选择合适的评估方法，制定详细的评估</w:t>
            </w:r>
            <w:r>
              <w:rPr>
                <w:spacing w:val="-4"/>
                <w:sz w:val="21"/>
              </w:rPr>
              <w:t>计划。</w:t>
            </w:r>
          </w:p>
          <w:p>
            <w:pPr>
              <w:pStyle w:val="TableParagraph"/>
              <w:numPr>
                <w:ilvl w:val="0"/>
                <w:numId w:val="53"/>
              </w:numPr>
              <w:tabs>
                <w:tab w:val="left" w:pos="475"/>
                <w:tab w:val="left" w:pos="476"/>
              </w:tabs>
              <w:spacing w:before="0" w:after="0" w:line="278" w:lineRule="auto"/>
              <w:ind w:left="107" w:right="95" w:firstLine="0"/>
              <w:jc w:val="left"/>
              <w:rPr>
                <w:sz w:val="21"/>
              </w:rPr>
            </w:pPr>
            <w:r>
              <w:rPr>
                <w:spacing w:val="-6"/>
                <w:sz w:val="21"/>
              </w:rPr>
              <w:t>收集和分析数据：通过各种方式收集数据，然后进行分</w:t>
            </w:r>
            <w:r>
              <w:rPr>
                <w:spacing w:val="-2"/>
                <w:sz w:val="21"/>
              </w:rPr>
              <w:t>析和解释。</w:t>
            </w:r>
          </w:p>
          <w:p>
            <w:pPr>
              <w:pStyle w:val="TableParagraph"/>
              <w:numPr>
                <w:ilvl w:val="0"/>
                <w:numId w:val="53"/>
              </w:numPr>
              <w:tabs>
                <w:tab w:val="left" w:pos="475"/>
                <w:tab w:val="left" w:pos="476"/>
              </w:tabs>
              <w:spacing w:before="0" w:after="0" w:line="269" w:lineRule="exact"/>
              <w:ind w:left="475" w:right="0" w:hanging="369"/>
              <w:jc w:val="left"/>
              <w:rPr>
                <w:sz w:val="21"/>
              </w:rPr>
            </w:pPr>
            <w:r>
              <w:rPr>
                <w:spacing w:val="-7"/>
                <w:sz w:val="21"/>
              </w:rPr>
              <w:t>编写评估报告：将评估结果和结论整理成报告，供决策</w:t>
            </w:r>
          </w:p>
          <w:p>
            <w:pPr>
              <w:pStyle w:val="TableParagraph"/>
              <w:spacing w:before="42"/>
              <w:rPr>
                <w:sz w:val="21"/>
              </w:rPr>
            </w:pPr>
            <w:r>
              <w:rPr>
                <w:spacing w:val="-3"/>
                <w:sz w:val="21"/>
              </w:rPr>
              <w:t>者参考。</w:t>
            </w:r>
          </w:p>
        </w:tc>
      </w:tr>
    </w:tbl>
    <w:p>
      <w:pPr>
        <w:spacing w:after="0"/>
        <w:rPr>
          <w:sz w:val="21"/>
        </w:rPr>
        <w:sectPr>
          <w:footerReference w:type="default" r:id="rId14"/>
          <w:pgSz w:w="11910" w:h="16840"/>
          <w:pgMar w:top="1520" w:right="1280" w:bottom="1380" w:left="1680" w:header="0" w:footer="1198"/>
          <w:pgNumType w:start="10"/>
          <w:cols w:space="708"/>
        </w:sectPr>
      </w:pPr>
    </w:p>
    <w:tbl>
      <w:tblPr>
        <w:tblStyle w:val="TableNormal5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69"/>
        <w:gridCol w:w="5527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2769" w:type="dxa"/>
          </w:tcPr>
          <w:p>
            <w:pPr>
              <w:pStyle w:val="TableParagraph"/>
              <w:ind w:left="0"/>
              <w:rPr>
                <w:rFonts w:ascii="Times New Roman"/>
                <w:sz w:val="22"/>
              </w:rPr>
            </w:pPr>
          </w:p>
        </w:tc>
        <w:tc>
          <w:tcPr>
            <w:tcW w:w="5527" w:type="dxa"/>
          </w:tcPr>
          <w:p>
            <w:pPr>
              <w:pStyle w:val="TableParagraph"/>
              <w:ind w:left="0"/>
              <w:rPr>
                <w:rFonts w:ascii="Times New Roman"/>
                <w:sz w:val="22"/>
              </w:rPr>
            </w:pP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807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1"/>
                <w:sz w:val="21"/>
              </w:rPr>
              <w:t>政策效果评估的挑战和对策</w:t>
            </w:r>
          </w:p>
        </w:tc>
        <w:tc>
          <w:tcPr>
            <w:tcW w:w="5527" w:type="dxa"/>
          </w:tcPr>
          <w:p>
            <w:pPr>
              <w:pStyle w:val="TableParagraph"/>
              <w:numPr>
                <w:ilvl w:val="0"/>
                <w:numId w:val="52"/>
              </w:numPr>
              <w:tabs>
                <w:tab w:val="left" w:pos="371"/>
              </w:tabs>
              <w:spacing w:before="23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数据质量问题：如何获取准确、全面的数据是评估的关</w:t>
            </w:r>
            <w:r>
              <w:rPr>
                <w:spacing w:val="-2"/>
                <w:sz w:val="21"/>
              </w:rPr>
              <w:t>键。对策是建立完善的数据收集和管理系统，提高数据质</w:t>
            </w:r>
            <w:r>
              <w:rPr>
                <w:spacing w:val="-6"/>
                <w:sz w:val="21"/>
              </w:rPr>
              <w:t>量。</w:t>
            </w:r>
          </w:p>
          <w:p>
            <w:pPr>
              <w:pStyle w:val="TableParagraph"/>
              <w:numPr>
                <w:ilvl w:val="0"/>
                <w:numId w:val="52"/>
              </w:numPr>
              <w:tabs>
                <w:tab w:val="left" w:pos="475"/>
                <w:tab w:val="left" w:pos="476"/>
              </w:tabs>
              <w:spacing w:before="0" w:after="0" w:line="278" w:lineRule="auto"/>
              <w:ind w:left="107" w:right="-15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评估结果的应用问题：如何将评估结果转化为政策决策</w:t>
            </w:r>
            <w:r>
              <w:rPr>
                <w:spacing w:val="-2"/>
                <w:sz w:val="21"/>
              </w:rPr>
              <w:t>的依据是评估的目标。对策是加强与决策者的沟通和合作，</w:t>
            </w:r>
            <w:r>
              <w:rPr>
                <w:spacing w:val="-2"/>
                <w:sz w:val="21"/>
              </w:rPr>
              <w:t>提高评估的影响力。</w:t>
            </w:r>
          </w:p>
          <w:p>
            <w:pPr>
              <w:pStyle w:val="TableParagraph"/>
              <w:numPr>
                <w:ilvl w:val="0"/>
                <w:numId w:val="52"/>
              </w:numPr>
              <w:tabs>
                <w:tab w:val="left" w:pos="475"/>
                <w:tab w:val="left" w:pos="476"/>
              </w:tabs>
              <w:spacing w:before="0" w:after="0" w:line="269" w:lineRule="exact"/>
              <w:ind w:left="475" w:right="0" w:hanging="369"/>
              <w:jc w:val="left"/>
              <w:rPr>
                <w:sz w:val="21"/>
              </w:rPr>
            </w:pPr>
            <w:r>
              <w:rPr>
                <w:spacing w:val="-7"/>
                <w:sz w:val="21"/>
              </w:rPr>
              <w:t>评估的公正性和公信力问题：如何保证评估的公正性和</w:t>
            </w:r>
          </w:p>
          <w:p>
            <w:pPr>
              <w:pStyle w:val="TableParagraph"/>
              <w:spacing w:before="1" w:line="310" w:lineRule="atLeast"/>
              <w:ind w:right="96"/>
              <w:rPr>
                <w:sz w:val="21"/>
              </w:rPr>
            </w:pPr>
            <w:r>
              <w:rPr>
                <w:spacing w:val="-2"/>
                <w:sz w:val="21"/>
              </w:rPr>
              <w:t>公信力是评估的生命线。对策是坚持科学、公正、公开的</w:t>
            </w:r>
            <w:r>
              <w:rPr>
                <w:spacing w:val="-2"/>
                <w:sz w:val="21"/>
              </w:rPr>
              <w:t>原则，提高评估的透明度。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2769" w:type="dxa"/>
          </w:tcPr>
          <w:p>
            <w:pPr>
              <w:pStyle w:val="TableParagraph"/>
              <w:ind w:left="0"/>
              <w:rPr>
                <w:rFonts w:ascii="Times New Roman"/>
                <w:sz w:val="22"/>
              </w:rPr>
            </w:pPr>
          </w:p>
        </w:tc>
        <w:tc>
          <w:tcPr>
            <w:tcW w:w="5527" w:type="dxa"/>
          </w:tcPr>
          <w:p>
            <w:pPr>
              <w:pStyle w:val="TableParagraph"/>
              <w:ind w:left="0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spacing w:before="5"/>
        <w:ind w:left="0"/>
        <w:rPr>
          <w:rFonts w:ascii="Microsoft JhengHei"/>
          <w:b/>
          <w:sz w:val="5"/>
        </w:rPr>
      </w:pPr>
    </w:p>
    <w:p>
      <w:pPr>
        <w:pStyle w:val="BodyText"/>
        <w:spacing w:before="61"/>
        <w:ind w:left="680"/>
      </w:pPr>
      <w:r>
        <w:rPr>
          <w:spacing w:val="-1"/>
        </w:rPr>
        <w:t>长期照护政策效果评估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BodyText"/>
        <w:spacing w:before="1" w:line="417" w:lineRule="auto"/>
        <w:ind w:right="238"/>
      </w:pPr>
      <w:r>
        <w:rPr>
          <w:spacing w:val="-2"/>
        </w:rPr>
        <w:t>随着人口老龄化的加速，长期照护需求日益增长。为了更好地满足老</w:t>
      </w:r>
      <w:r>
        <w:rPr>
          <w:spacing w:val="-2"/>
        </w:rPr>
        <w:t xml:space="preserve"> </w:t>
      </w:r>
      <w:r>
        <w:rPr>
          <w:spacing w:val="-2"/>
        </w:rPr>
        <w:t>年人的照护需求，各国政府纷纷出台了一系列长期照护政策。然而，</w:t>
      </w:r>
      <w:r>
        <w:rPr>
          <w:spacing w:val="-2"/>
        </w:rPr>
        <w:t xml:space="preserve">这些政策的实施效果如何，是否达到了预期目标，需要进行科学、客 </w:t>
      </w:r>
      <w:r>
        <w:rPr>
          <w:spacing w:val="-2"/>
        </w:rPr>
        <w:t>观、全面的评估。本文将对长期照护政策的评估方法进行简要介绍。</w:t>
      </w:r>
      <w:r>
        <w:rPr>
          <w:spacing w:val="-2"/>
        </w:rPr>
        <w:t>一、政策评估的目的和意义</w:t>
      </w:r>
    </w:p>
    <w:p>
      <w:pPr>
        <w:pStyle w:val="BodyText"/>
        <w:spacing w:line="417" w:lineRule="auto"/>
        <w:ind w:right="518"/>
        <w:jc w:val="both"/>
      </w:pPr>
      <w:r>
        <w:rPr>
          <w:spacing w:val="-7"/>
        </w:rPr>
        <w:t>政策评估是对政策实施过程中的各种因素进行分析，以了解政策的实</w:t>
      </w:r>
      <w:r>
        <w:rPr>
          <w:spacing w:val="-4"/>
        </w:rPr>
        <w:t>际效果，为政策调整和完善提供依据。对于长期照护政策而言，评估</w:t>
      </w:r>
      <w:r>
        <w:rPr>
          <w:spacing w:val="-2"/>
        </w:rPr>
        <w:t>的主要目的有以下几点：</w:t>
      </w:r>
    </w:p>
    <w:p>
      <w:pPr>
        <w:pStyle w:val="ListParagraph"/>
        <w:numPr>
          <w:ilvl w:val="0"/>
          <w:numId w:val="51"/>
        </w:numPr>
        <w:tabs>
          <w:tab w:val="left" w:pos="540"/>
        </w:tabs>
        <w:spacing w:before="0" w:after="0" w:line="358" w:lineRule="exact"/>
        <w:ind w:left="540" w:right="0" w:hanging="420"/>
        <w:jc w:val="both"/>
        <w:rPr>
          <w:sz w:val="28"/>
        </w:rPr>
      </w:pPr>
      <w:r>
        <w:rPr>
          <w:spacing w:val="-1"/>
          <w:sz w:val="28"/>
        </w:rPr>
        <w:t>检验政策目标的实现程度，判断政策是否达到预期效果；</w:t>
      </w:r>
    </w:p>
    <w:p>
      <w:pPr>
        <w:pStyle w:val="BodyText"/>
        <w:spacing w:before="7"/>
        <w:ind w:left="0"/>
        <w:rPr>
          <w:sz w:val="20"/>
        </w:rPr>
      </w:pPr>
    </w:p>
    <w:p>
      <w:pPr>
        <w:pStyle w:val="ListParagraph"/>
        <w:numPr>
          <w:ilvl w:val="0"/>
          <w:numId w:val="51"/>
        </w:numPr>
        <w:tabs>
          <w:tab w:val="left" w:pos="542"/>
        </w:tabs>
        <w:spacing w:before="0" w:after="0" w:line="240" w:lineRule="auto"/>
        <w:ind w:left="541" w:right="0" w:hanging="422"/>
        <w:jc w:val="left"/>
        <w:rPr>
          <w:sz w:val="28"/>
        </w:rPr>
      </w:pPr>
      <w:r>
        <w:rPr>
          <w:spacing w:val="-1"/>
          <w:sz w:val="28"/>
        </w:rPr>
        <w:t>分析政策实施过程中的问题和不足，为政策调整和完善提供依据；</w:t>
      </w:r>
    </w:p>
    <w:p>
      <w:pPr>
        <w:pStyle w:val="BodyText"/>
        <w:spacing w:before="9"/>
        <w:ind w:left="0"/>
        <w:rPr>
          <w:sz w:val="20"/>
        </w:rPr>
      </w:pPr>
    </w:p>
    <w:p>
      <w:pPr>
        <w:pStyle w:val="ListParagraph"/>
        <w:numPr>
          <w:ilvl w:val="0"/>
          <w:numId w:val="51"/>
        </w:numPr>
        <w:tabs>
          <w:tab w:val="left" w:pos="540"/>
        </w:tabs>
        <w:spacing w:before="0" w:after="0" w:line="417" w:lineRule="auto"/>
        <w:ind w:left="120" w:right="2245" w:firstLine="0"/>
        <w:jc w:val="left"/>
        <w:rPr>
          <w:sz w:val="28"/>
        </w:rPr>
      </w:pPr>
      <w:r>
        <w:rPr>
          <w:spacing w:val="-2"/>
          <w:sz w:val="28"/>
        </w:rPr>
        <w:t>为其他国家和地区制定类似政策提供经验和借鉴。</w:t>
      </w:r>
      <w:r>
        <w:rPr>
          <w:spacing w:val="-2"/>
          <w:sz w:val="28"/>
        </w:rPr>
        <w:t>二、长期照护政策的评估方法</w:t>
      </w:r>
    </w:p>
    <w:p>
      <w:pPr>
        <w:pStyle w:val="BodyText"/>
        <w:spacing w:line="358" w:lineRule="exact"/>
      </w:pPr>
      <w:r>
        <w:rPr>
          <w:spacing w:val="-1"/>
        </w:rPr>
        <w:t>长期照护政策的评估方法主要包括定性评估和定量评估两大类。</w:t>
      </w:r>
    </w:p>
    <w:p>
      <w:pPr>
        <w:pStyle w:val="BodyText"/>
        <w:spacing w:before="9"/>
        <w:ind w:left="0"/>
        <w:rPr>
          <w:sz w:val="20"/>
        </w:rPr>
      </w:pPr>
    </w:p>
    <w:p>
      <w:pPr>
        <w:pStyle w:val="ListParagraph"/>
        <w:numPr>
          <w:ilvl w:val="0"/>
          <w:numId w:val="50"/>
        </w:numPr>
        <w:tabs>
          <w:tab w:val="left" w:pos="540"/>
        </w:tabs>
        <w:spacing w:before="0" w:after="0" w:line="240" w:lineRule="auto"/>
        <w:ind w:left="540" w:right="0" w:hanging="420"/>
        <w:jc w:val="left"/>
        <w:rPr>
          <w:sz w:val="28"/>
        </w:rPr>
      </w:pPr>
      <w:r>
        <w:rPr>
          <w:spacing w:val="-3"/>
          <w:sz w:val="28"/>
        </w:rPr>
        <w:t>定性评估</w:t>
      </w:r>
    </w:p>
    <w:p>
      <w:pPr>
        <w:pStyle w:val="BodyText"/>
        <w:spacing w:before="4" w:line="620" w:lineRule="atLeast"/>
        <w:ind w:right="518"/>
      </w:pPr>
      <w:r>
        <w:rPr>
          <w:spacing w:val="-6"/>
        </w:rPr>
        <w:t>定性评估主要通过对政策实施过程中的各种因素进行分析，了解政策</w:t>
      </w:r>
      <w:r>
        <w:rPr>
          <w:spacing w:val="-2"/>
        </w:rPr>
        <w:t>的实际效果。常用的定性评估方法有：</w:t>
      </w:r>
    </w:p>
    <w:p>
      <w:pPr>
        <w:spacing w:after="0" w:line="620" w:lineRule="atLeast"/>
        <w:sectPr>
          <w:footerReference w:type="default" r:id="rId15"/>
          <w:type w:val="continuous"/>
          <w:pgSz w:w="11910" w:h="16840"/>
          <w:pgMar w:top="1400" w:right="1280" w:bottom="1380" w:left="1680" w:header="0" w:footer="1198"/>
          <w:pgNumType w:start="11"/>
          <w:cols w:space="708"/>
        </w:sectPr>
      </w:pPr>
    </w:p>
    <w:p>
      <w:pPr>
        <w:pStyle w:val="ListParagraph"/>
        <w:numPr>
          <w:ilvl w:val="0"/>
          <w:numId w:val="49"/>
        </w:numPr>
        <w:tabs>
          <w:tab w:val="left" w:pos="824"/>
        </w:tabs>
        <w:spacing w:before="37" w:after="0" w:line="417" w:lineRule="auto"/>
        <w:ind w:left="120" w:right="244" w:firstLine="0"/>
        <w:jc w:val="left"/>
        <w:rPr>
          <w:sz w:val="28"/>
        </w:rPr>
      </w:pPr>
      <w:r>
        <w:rPr>
          <w:spacing w:val="-2"/>
          <w:sz w:val="28"/>
        </w:rPr>
        <w:t>文献分析法：通过收集和分析与政策相关的文献资料，了解政</w:t>
      </w:r>
      <w:r>
        <w:rPr>
          <w:sz w:val="28"/>
        </w:rPr>
        <w:t xml:space="preserve"> </w:t>
      </w:r>
      <w:r>
        <w:rPr>
          <w:spacing w:val="-2"/>
          <w:sz w:val="28"/>
        </w:rPr>
        <w:t>策的制定背景、目标、内容和实施过程，为后续评估提供基础信息。</w:t>
      </w:r>
    </w:p>
    <w:p>
      <w:pPr>
        <w:pStyle w:val="ListParagraph"/>
        <w:numPr>
          <w:ilvl w:val="0"/>
          <w:numId w:val="49"/>
        </w:numPr>
        <w:tabs>
          <w:tab w:val="left" w:pos="824"/>
        </w:tabs>
        <w:spacing w:before="0" w:after="0" w:line="417" w:lineRule="auto"/>
        <w:ind w:left="120" w:right="518" w:firstLine="0"/>
        <w:jc w:val="left"/>
        <w:rPr>
          <w:sz w:val="28"/>
        </w:rPr>
      </w:pPr>
      <w:r>
        <w:rPr>
          <w:spacing w:val="-2"/>
          <w:sz w:val="28"/>
        </w:rPr>
        <w:t>案例分析法：通过对具体案例的分析，了解政策在实际运行中</w:t>
      </w:r>
      <w:r>
        <w:rPr>
          <w:spacing w:val="-2"/>
          <w:sz w:val="28"/>
        </w:rPr>
        <w:t>的效果和问题，为政策调整和完善提供参考。</w:t>
      </w:r>
    </w:p>
    <w:p>
      <w:pPr>
        <w:pStyle w:val="ListParagraph"/>
        <w:numPr>
          <w:ilvl w:val="0"/>
          <w:numId w:val="49"/>
        </w:numPr>
        <w:tabs>
          <w:tab w:val="left" w:pos="824"/>
        </w:tabs>
        <w:spacing w:before="0" w:after="0" w:line="417" w:lineRule="auto"/>
        <w:ind w:left="120" w:right="518" w:firstLine="0"/>
        <w:jc w:val="left"/>
        <w:rPr>
          <w:sz w:val="28"/>
        </w:rPr>
      </w:pPr>
      <w:r>
        <w:rPr>
          <w:spacing w:val="-2"/>
          <w:sz w:val="28"/>
        </w:rPr>
        <w:t>访谈法：通过对政策制定者、实施者和受益者的访谈，了解他</w:t>
      </w:r>
      <w:r>
        <w:rPr>
          <w:spacing w:val="-2"/>
          <w:sz w:val="28"/>
        </w:rPr>
        <w:t>们对政策的看法和评价，为评估政策效果提供第一手资料。</w:t>
      </w:r>
    </w:p>
    <w:p>
      <w:pPr>
        <w:pStyle w:val="ListParagraph"/>
        <w:numPr>
          <w:ilvl w:val="0"/>
          <w:numId w:val="50"/>
        </w:numPr>
        <w:tabs>
          <w:tab w:val="left" w:pos="540"/>
        </w:tabs>
        <w:spacing w:before="0" w:after="0" w:line="358" w:lineRule="exact"/>
        <w:ind w:left="540" w:right="0" w:hanging="420"/>
        <w:jc w:val="left"/>
        <w:rPr>
          <w:sz w:val="28"/>
        </w:rPr>
      </w:pPr>
      <w:r>
        <w:rPr>
          <w:spacing w:val="-3"/>
          <w:sz w:val="28"/>
        </w:rPr>
        <w:t>定量评估</w:t>
      </w:r>
    </w:p>
    <w:p>
      <w:pPr>
        <w:pStyle w:val="BodyText"/>
        <w:spacing w:before="7"/>
        <w:ind w:left="0"/>
        <w:rPr>
          <w:sz w:val="20"/>
        </w:rPr>
      </w:pPr>
    </w:p>
    <w:p>
      <w:pPr>
        <w:pStyle w:val="BodyText"/>
        <w:spacing w:before="1" w:line="417" w:lineRule="auto"/>
        <w:ind w:right="518"/>
      </w:pPr>
      <w:r>
        <w:rPr>
          <w:spacing w:val="-6"/>
        </w:rPr>
        <w:t>定量评估主要通过对政策实施过程中的数据进行分析，了解政策的实</w:t>
      </w:r>
      <w:r>
        <w:rPr>
          <w:spacing w:val="-2"/>
        </w:rPr>
        <w:t>际效果。常用的定量评估方法有：</w:t>
      </w:r>
    </w:p>
    <w:p>
      <w:pPr>
        <w:pStyle w:val="ListParagraph"/>
        <w:numPr>
          <w:ilvl w:val="0"/>
          <w:numId w:val="48"/>
        </w:numPr>
        <w:tabs>
          <w:tab w:val="left" w:pos="824"/>
        </w:tabs>
        <w:spacing w:before="0" w:after="0" w:line="417" w:lineRule="auto"/>
        <w:ind w:left="120" w:right="518" w:firstLine="0"/>
        <w:jc w:val="left"/>
        <w:rPr>
          <w:sz w:val="28"/>
        </w:rPr>
      </w:pPr>
      <w:r>
        <w:rPr>
          <w:spacing w:val="-2"/>
          <w:sz w:val="28"/>
        </w:rPr>
        <w:t>前后对比法：通过对比政策实施前后的相关数据，了解政策对</w:t>
      </w:r>
      <w:r>
        <w:rPr>
          <w:spacing w:val="-2"/>
          <w:sz w:val="28"/>
        </w:rPr>
        <w:t>长期照护需求、照护服务供给和照护质量等方面的影响。</w:t>
      </w:r>
    </w:p>
    <w:p>
      <w:pPr>
        <w:pStyle w:val="ListParagraph"/>
        <w:numPr>
          <w:ilvl w:val="0"/>
          <w:numId w:val="48"/>
        </w:numPr>
        <w:tabs>
          <w:tab w:val="left" w:pos="824"/>
        </w:tabs>
        <w:spacing w:before="0" w:after="0" w:line="417" w:lineRule="auto"/>
        <w:ind w:left="120" w:right="518" w:firstLine="0"/>
        <w:jc w:val="left"/>
        <w:rPr>
          <w:sz w:val="28"/>
        </w:rPr>
      </w:pPr>
      <w:r>
        <w:rPr>
          <w:spacing w:val="-2"/>
          <w:sz w:val="28"/>
        </w:rPr>
        <w:t>成本效益分析法：通过分析政策实施过程中的成本和效益，评</w:t>
      </w:r>
      <w:r>
        <w:rPr>
          <w:spacing w:val="-2"/>
          <w:sz w:val="28"/>
        </w:rPr>
        <w:t>价政策的经济效益和社会效益。</w:t>
      </w:r>
    </w:p>
    <w:p>
      <w:pPr>
        <w:pStyle w:val="ListParagraph"/>
        <w:numPr>
          <w:ilvl w:val="0"/>
          <w:numId w:val="48"/>
        </w:numPr>
        <w:tabs>
          <w:tab w:val="left" w:pos="824"/>
        </w:tabs>
        <w:spacing w:before="0" w:after="0" w:line="417" w:lineRule="auto"/>
        <w:ind w:left="120" w:right="518" w:firstLine="0"/>
        <w:jc w:val="both"/>
        <w:rPr>
          <w:sz w:val="28"/>
        </w:rPr>
      </w:pPr>
      <w:r>
        <w:rPr>
          <w:spacing w:val="-2"/>
          <w:sz w:val="28"/>
        </w:rPr>
        <w:t>回归分析法：通过建立回归模型，分析政策实施过程中的各种</w:t>
      </w:r>
      <w:r>
        <w:rPr>
          <w:spacing w:val="-12"/>
          <w:sz w:val="28"/>
        </w:rPr>
        <w:t>因素对长期照护需求、照护服务供给和照护质量等指标的影响程度和</w:t>
      </w:r>
      <w:r>
        <w:rPr>
          <w:spacing w:val="-4"/>
          <w:sz w:val="28"/>
        </w:rPr>
        <w:t>方向。</w:t>
      </w:r>
    </w:p>
    <w:p>
      <w:pPr>
        <w:pStyle w:val="BodyText"/>
        <w:spacing w:line="358" w:lineRule="exact"/>
      </w:pPr>
      <w:r>
        <w:rPr>
          <w:spacing w:val="-1"/>
        </w:rPr>
        <w:t>三、长期照护政策的评估步骤</w:t>
      </w:r>
    </w:p>
    <w:p>
      <w:pPr>
        <w:pStyle w:val="BodyText"/>
        <w:spacing w:before="7"/>
        <w:ind w:left="0"/>
        <w:rPr>
          <w:sz w:val="20"/>
        </w:rPr>
      </w:pPr>
    </w:p>
    <w:p>
      <w:pPr>
        <w:pStyle w:val="BodyText"/>
      </w:pPr>
      <w:r>
        <w:rPr>
          <w:spacing w:val="-1"/>
        </w:rPr>
        <w:t>长期照护政策的评估通常包括以下几个步骤：</w:t>
      </w:r>
    </w:p>
    <w:p>
      <w:pPr>
        <w:pStyle w:val="BodyText"/>
        <w:spacing w:before="9"/>
        <w:ind w:left="0"/>
        <w:rPr>
          <w:sz w:val="20"/>
        </w:rPr>
      </w:pPr>
    </w:p>
    <w:p>
      <w:pPr>
        <w:pStyle w:val="ListParagraph"/>
        <w:numPr>
          <w:ilvl w:val="0"/>
          <w:numId w:val="47"/>
        </w:numPr>
        <w:tabs>
          <w:tab w:val="left" w:pos="542"/>
        </w:tabs>
        <w:spacing w:before="0" w:after="0" w:line="417" w:lineRule="auto"/>
        <w:ind w:left="120" w:right="518" w:firstLine="0"/>
        <w:jc w:val="left"/>
        <w:rPr>
          <w:sz w:val="28"/>
        </w:rPr>
      </w:pPr>
      <w:r>
        <w:rPr>
          <w:spacing w:val="-2"/>
          <w:sz w:val="28"/>
        </w:rPr>
        <w:t>确定评估目标：明确评估的目的和意义，选择合适的评估方法和</w:t>
      </w:r>
      <w:r>
        <w:rPr>
          <w:spacing w:val="-4"/>
          <w:sz w:val="28"/>
        </w:rPr>
        <w:t>指标。</w:t>
      </w:r>
    </w:p>
    <w:p>
      <w:pPr>
        <w:pStyle w:val="ListParagraph"/>
        <w:numPr>
          <w:ilvl w:val="0"/>
          <w:numId w:val="47"/>
        </w:numPr>
        <w:tabs>
          <w:tab w:val="left" w:pos="542"/>
        </w:tabs>
        <w:spacing w:before="0" w:after="0" w:line="417" w:lineRule="auto"/>
        <w:ind w:left="120" w:right="518" w:firstLine="0"/>
        <w:jc w:val="left"/>
        <w:rPr>
          <w:sz w:val="28"/>
        </w:rPr>
      </w:pPr>
      <w:r>
        <w:rPr>
          <w:spacing w:val="-2"/>
          <w:sz w:val="28"/>
        </w:rPr>
        <w:t>收集数据：通过文献分析、案例分析、访谈等方法，收集与评估</w:t>
      </w:r>
      <w:r>
        <w:rPr>
          <w:spacing w:val="-2"/>
          <w:sz w:val="28"/>
        </w:rPr>
        <w:t>目标相关的数据。</w:t>
      </w:r>
    </w:p>
    <w:p>
      <w:pPr>
        <w:spacing w:after="0" w:line="417" w:lineRule="auto"/>
        <w:jc w:val="left"/>
        <w:rPr>
          <w:sz w:val="28"/>
        </w:rPr>
        <w:sectPr>
          <w:footerReference w:type="default" r:id="rId16"/>
          <w:pgSz w:w="11910" w:h="16840"/>
          <w:pgMar w:top="1520" w:right="1280" w:bottom="1380" w:left="1680" w:header="0" w:footer="1198"/>
          <w:pgNumType w:start="12"/>
          <w:cols w:space="708"/>
        </w:sectPr>
      </w:pPr>
    </w:p>
    <w:p>
      <w:pPr>
        <w:pStyle w:val="ListParagraph"/>
        <w:numPr>
          <w:ilvl w:val="0"/>
          <w:numId w:val="47"/>
        </w:numPr>
        <w:tabs>
          <w:tab w:val="left" w:pos="542"/>
        </w:tabs>
        <w:spacing w:before="37" w:after="0" w:line="417" w:lineRule="auto"/>
        <w:ind w:left="120" w:right="238" w:firstLine="0"/>
        <w:jc w:val="left"/>
        <w:rPr>
          <w:sz w:val="28"/>
        </w:rPr>
      </w:pPr>
      <w:r>
        <w:rPr>
          <w:spacing w:val="-2"/>
          <w:sz w:val="28"/>
        </w:rPr>
        <w:t>数据分析：运用定性和定量评估方法，对收集到的数据进行分析，</w:t>
      </w:r>
      <w:r>
        <w:rPr>
          <w:spacing w:val="-2"/>
          <w:sz w:val="28"/>
        </w:rPr>
        <w:t>得出评估结果。</w:t>
      </w:r>
    </w:p>
    <w:p>
      <w:pPr>
        <w:pStyle w:val="ListParagraph"/>
        <w:numPr>
          <w:ilvl w:val="0"/>
          <w:numId w:val="47"/>
        </w:numPr>
        <w:tabs>
          <w:tab w:val="left" w:pos="542"/>
        </w:tabs>
        <w:spacing w:before="0" w:after="0" w:line="417" w:lineRule="auto"/>
        <w:ind w:left="120" w:right="518" w:firstLine="0"/>
        <w:jc w:val="left"/>
        <w:rPr>
          <w:sz w:val="28"/>
        </w:rPr>
      </w:pPr>
      <w:r>
        <w:rPr>
          <w:spacing w:val="-2"/>
          <w:sz w:val="28"/>
        </w:rPr>
        <w:t>结果解释：根据评估结果，分析政策实施过程中的问题和不足，</w:t>
      </w:r>
      <w:r>
        <w:rPr>
          <w:spacing w:val="-2"/>
          <w:sz w:val="28"/>
        </w:rPr>
        <w:t>提出政策调整和完善的建议。</w:t>
      </w:r>
    </w:p>
    <w:p>
      <w:pPr>
        <w:pStyle w:val="ListParagraph"/>
        <w:numPr>
          <w:ilvl w:val="0"/>
          <w:numId w:val="47"/>
        </w:numPr>
        <w:tabs>
          <w:tab w:val="left" w:pos="542"/>
        </w:tabs>
        <w:spacing w:before="0" w:after="0" w:line="417" w:lineRule="auto"/>
        <w:ind w:left="120" w:right="518" w:firstLine="0"/>
        <w:jc w:val="left"/>
        <w:rPr>
          <w:sz w:val="28"/>
        </w:rPr>
      </w:pPr>
      <w:r>
        <w:rPr>
          <w:spacing w:val="-2"/>
          <w:sz w:val="28"/>
        </w:rPr>
        <w:t>撰写评估报告：将评估过程、结果和建议整理成书面报告，为政</w:t>
      </w:r>
      <w:r>
        <w:rPr>
          <w:spacing w:val="-2"/>
          <w:sz w:val="28"/>
        </w:rPr>
        <w:t>策制定者和实施者提供参考。</w:t>
      </w:r>
    </w:p>
    <w:p>
      <w:pPr>
        <w:pStyle w:val="BodyText"/>
        <w:spacing w:line="358" w:lineRule="exact"/>
      </w:pPr>
      <w:r>
        <w:rPr>
          <w:spacing w:val="-1"/>
        </w:rPr>
        <w:t>四、长期照护政策的评估挑战</w:t>
      </w:r>
    </w:p>
    <w:p>
      <w:pPr>
        <w:pStyle w:val="BodyText"/>
        <w:spacing w:before="7"/>
        <w:ind w:left="0"/>
        <w:rPr>
          <w:sz w:val="20"/>
        </w:rPr>
      </w:pPr>
    </w:p>
    <w:p>
      <w:pPr>
        <w:pStyle w:val="BodyText"/>
        <w:spacing w:before="1"/>
      </w:pPr>
      <w:r>
        <w:rPr>
          <w:spacing w:val="-1"/>
        </w:rPr>
        <w:t>长期照护政策的评估面临诸多挑战，主要表现在以下几个方面：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ListParagraph"/>
        <w:numPr>
          <w:ilvl w:val="0"/>
          <w:numId w:val="46"/>
        </w:numPr>
        <w:tabs>
          <w:tab w:val="left" w:pos="542"/>
        </w:tabs>
        <w:spacing w:before="1" w:after="0" w:line="417" w:lineRule="auto"/>
        <w:ind w:left="120" w:right="518" w:firstLine="0"/>
        <w:jc w:val="left"/>
        <w:rPr>
          <w:sz w:val="28"/>
        </w:rPr>
      </w:pPr>
      <w:r>
        <w:rPr>
          <w:spacing w:val="-2"/>
          <w:sz w:val="28"/>
        </w:rPr>
        <w:t>数据收集难：长期照护涉及多个领域和部门，数据分散且不易获</w:t>
      </w:r>
      <w:r>
        <w:rPr>
          <w:spacing w:val="-2"/>
          <w:sz w:val="28"/>
        </w:rPr>
        <w:t>取，给评估带来困难。</w:t>
      </w:r>
    </w:p>
    <w:p>
      <w:pPr>
        <w:pStyle w:val="ListParagraph"/>
        <w:numPr>
          <w:ilvl w:val="0"/>
          <w:numId w:val="46"/>
        </w:numPr>
        <w:tabs>
          <w:tab w:val="left" w:pos="542"/>
        </w:tabs>
        <w:spacing w:before="0" w:after="0" w:line="417" w:lineRule="auto"/>
        <w:ind w:left="120" w:right="518" w:firstLine="0"/>
        <w:jc w:val="left"/>
        <w:rPr>
          <w:sz w:val="28"/>
        </w:rPr>
      </w:pPr>
      <w:r>
        <w:rPr>
          <w:spacing w:val="-2"/>
          <w:sz w:val="28"/>
        </w:rPr>
        <w:t>指标选择难：长期照护政策的评估涉及多个层面和维度，选择合</w:t>
      </w:r>
      <w:r>
        <w:rPr>
          <w:spacing w:val="-2"/>
          <w:sz w:val="28"/>
        </w:rPr>
        <w:t>适的评估指标是一大挑战。</w:t>
      </w:r>
    </w:p>
    <w:p>
      <w:pPr>
        <w:pStyle w:val="ListParagraph"/>
        <w:numPr>
          <w:ilvl w:val="0"/>
          <w:numId w:val="46"/>
        </w:numPr>
        <w:tabs>
          <w:tab w:val="left" w:pos="542"/>
        </w:tabs>
        <w:spacing w:before="0" w:after="0" w:line="417" w:lineRule="auto"/>
        <w:ind w:left="120" w:right="518" w:firstLine="0"/>
        <w:jc w:val="left"/>
        <w:rPr>
          <w:sz w:val="28"/>
        </w:rPr>
      </w:pPr>
      <w:r>
        <w:rPr>
          <w:spacing w:val="-2"/>
          <w:sz w:val="28"/>
        </w:rPr>
        <w:t>影响因素复杂：长期照护政策的实施受到多种因素的影响，如经</w:t>
      </w:r>
      <w:r>
        <w:rPr>
          <w:spacing w:val="-2"/>
          <w:sz w:val="28"/>
        </w:rPr>
        <w:t>济、社会、文化等，这些因素相互交织，给评估带来难度。</w:t>
      </w:r>
    </w:p>
    <w:p>
      <w:pPr>
        <w:pStyle w:val="ListParagraph"/>
        <w:numPr>
          <w:ilvl w:val="0"/>
          <w:numId w:val="46"/>
        </w:numPr>
        <w:tabs>
          <w:tab w:val="left" w:pos="542"/>
        </w:tabs>
        <w:spacing w:before="0" w:after="0" w:line="417" w:lineRule="auto"/>
        <w:ind w:left="120" w:right="518" w:firstLine="0"/>
        <w:jc w:val="left"/>
        <w:rPr>
          <w:sz w:val="28"/>
        </w:rPr>
      </w:pPr>
      <w:r>
        <w:rPr>
          <w:spacing w:val="-2"/>
          <w:sz w:val="28"/>
        </w:rPr>
        <w:t>评估结果应用难：评估结果的应用需要政策制定者和实施者的积</w:t>
      </w:r>
      <w:r>
        <w:rPr>
          <w:spacing w:val="-2"/>
          <w:sz w:val="28"/>
        </w:rPr>
        <w:t>极响应和支持，但现实中往往存在阻力和障碍。</w:t>
      </w:r>
    </w:p>
    <w:p>
      <w:pPr>
        <w:pStyle w:val="BodyText"/>
        <w:spacing w:line="417" w:lineRule="auto"/>
        <w:ind w:right="518"/>
        <w:jc w:val="both"/>
      </w:pPr>
      <w:r>
        <w:rPr>
          <w:spacing w:val="-4"/>
        </w:rPr>
        <w:t>总之，长期照护政策的评估是一项复杂而艰巨的任务，需要综合运用</w:t>
      </w:r>
      <w:r>
        <w:rPr>
          <w:spacing w:val="-4"/>
        </w:rPr>
        <w:t>多种方法和手段，充分考虑各种影响因素，才能得出科学、客观、全</w:t>
      </w:r>
      <w:r>
        <w:rPr>
          <w:spacing w:val="-4"/>
        </w:rPr>
        <w:t>面的结论。同时，评估结果的应用也需要得到政策制定者和实施者的</w:t>
      </w:r>
      <w:r>
        <w:rPr>
          <w:spacing w:val="-2"/>
        </w:rPr>
        <w:t>支持和配合，以确保政策的持续改进和完善。</w:t>
      </w:r>
    </w:p>
    <w:p>
      <w:pPr>
        <w:spacing w:after="0" w:line="417" w:lineRule="auto"/>
        <w:jc w:val="both"/>
        <w:sectPr>
          <w:footerReference w:type="default" r:id="rId17"/>
          <w:pgSz w:w="11910" w:h="16840"/>
          <w:pgMar w:top="1520" w:right="1280" w:bottom="1380" w:left="1680" w:header="0" w:footer="1198"/>
          <w:pgNumType w:start="13"/>
          <w:cols w:space="708"/>
        </w:sectPr>
      </w:pPr>
    </w:p>
    <w:p>
      <w:pPr>
        <w:pStyle w:val="Heading1"/>
        <w:tabs>
          <w:tab w:val="left" w:pos="1725"/>
        </w:tabs>
        <w:spacing w:line="514" w:lineRule="exact"/>
      </w:pPr>
      <w:bookmarkStart w:id="3" w:name="_TOC_250004"/>
      <w:r>
        <w:t>第</w:t>
      </w:r>
      <w:r>
        <w:t>四</w:t>
      </w:r>
      <w:r>
        <w:t>部</w:t>
      </w:r>
      <w:r>
        <w:rPr>
          <w:spacing w:val="-10"/>
        </w:rPr>
        <w:t>分</w:t>
      </w:r>
      <w:r>
        <w:tab/>
        <w:t>长</w:t>
      </w:r>
      <w:r>
        <w:t>期</w:t>
      </w:r>
      <w:r>
        <w:t>照</w:t>
      </w:r>
      <w:r>
        <w:t>护</w:t>
      </w:r>
      <w:r>
        <w:t>政</w:t>
      </w:r>
      <w:r>
        <w:t>策</w:t>
      </w:r>
      <w:r>
        <w:t>的</w:t>
      </w:r>
      <w:r>
        <w:t>效</w:t>
      </w:r>
      <w:r>
        <w:t>果</w:t>
      </w:r>
      <w:r>
        <w:t>分</w:t>
      </w:r>
      <w:bookmarkEnd w:id="3"/>
      <w:r>
        <w:rPr>
          <w:spacing w:val="-10"/>
        </w:rPr>
        <w:t>析</w:t>
      </w:r>
    </w:p>
    <w:p>
      <w:pPr>
        <w:pStyle w:val="BodyText"/>
        <w:spacing w:before="15" w:after="1"/>
        <w:ind w:left="0"/>
        <w:rPr>
          <w:rFonts w:ascii="Microsoft JhengHei"/>
          <w:b/>
          <w:sz w:val="15"/>
        </w:rPr>
      </w:pPr>
    </w:p>
    <w:tbl>
      <w:tblPr>
        <w:tblStyle w:val="TableNormal6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69"/>
        <w:gridCol w:w="5527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4"/>
                <w:sz w:val="21"/>
              </w:rPr>
              <w:t>关键词</w:t>
            </w:r>
          </w:p>
        </w:tc>
        <w:tc>
          <w:tcPr>
            <w:tcW w:w="5527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3"/>
                <w:sz w:val="21"/>
              </w:rPr>
              <w:t>关键要点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183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1"/>
                <w:sz w:val="21"/>
              </w:rPr>
              <w:t>长期照护政策的需求分析</w:t>
            </w:r>
          </w:p>
        </w:tc>
        <w:tc>
          <w:tcPr>
            <w:tcW w:w="5527" w:type="dxa"/>
          </w:tcPr>
          <w:p>
            <w:pPr>
              <w:pStyle w:val="TableParagraph"/>
              <w:numPr>
                <w:ilvl w:val="0"/>
                <w:numId w:val="45"/>
              </w:numPr>
              <w:tabs>
                <w:tab w:val="left" w:pos="371"/>
              </w:tabs>
              <w:spacing w:before="23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随着人口老龄化的加剧，长期照护需求呈现出快速增长</w:t>
            </w:r>
            <w:r>
              <w:rPr>
                <w:spacing w:val="-4"/>
                <w:sz w:val="21"/>
              </w:rPr>
              <w:t>的趋势。</w:t>
            </w:r>
          </w:p>
          <w:p>
            <w:pPr>
              <w:pStyle w:val="TableParagraph"/>
              <w:numPr>
                <w:ilvl w:val="0"/>
                <w:numId w:val="45"/>
              </w:numPr>
              <w:tabs>
                <w:tab w:val="left" w:pos="484"/>
                <w:tab w:val="left" w:pos="485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长期照护政策的制定需要充分考虑老年人口的生活状</w:t>
            </w:r>
            <w:r>
              <w:rPr>
                <w:spacing w:val="-2"/>
                <w:sz w:val="21"/>
              </w:rPr>
              <w:t>况、健康状况和家庭支持等因素。</w:t>
            </w:r>
          </w:p>
          <w:p>
            <w:pPr>
              <w:pStyle w:val="TableParagraph"/>
              <w:numPr>
                <w:ilvl w:val="0"/>
                <w:numId w:val="45"/>
              </w:numPr>
              <w:tabs>
                <w:tab w:val="left" w:pos="475"/>
                <w:tab w:val="left" w:pos="476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10"/>
                <w:sz w:val="21"/>
              </w:rPr>
              <w:t>通过调查研究和数据分析，预测未来长期照护需求的变</w:t>
            </w:r>
            <w:r>
              <w:rPr>
                <w:spacing w:val="-2"/>
                <w:sz w:val="21"/>
              </w:rPr>
              <w:t>化趋势，为政策制定提供依据。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184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1"/>
                <w:sz w:val="21"/>
              </w:rPr>
              <w:t>长期照护政策的供给分析</w:t>
            </w:r>
          </w:p>
        </w:tc>
        <w:tc>
          <w:tcPr>
            <w:tcW w:w="5527" w:type="dxa"/>
          </w:tcPr>
          <w:p>
            <w:pPr>
              <w:pStyle w:val="TableParagraph"/>
              <w:numPr>
                <w:ilvl w:val="0"/>
                <w:numId w:val="44"/>
              </w:numPr>
              <w:tabs>
                <w:tab w:val="left" w:pos="371"/>
              </w:tabs>
              <w:spacing w:before="23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长期照护服务的供给主要包括政府、社会组织和个人等</w:t>
            </w:r>
            <w:r>
              <w:rPr>
                <w:spacing w:val="-2"/>
                <w:sz w:val="21"/>
              </w:rPr>
              <w:t>多元化主体。</w:t>
            </w:r>
          </w:p>
          <w:p>
            <w:pPr>
              <w:pStyle w:val="TableParagraph"/>
              <w:numPr>
                <w:ilvl w:val="0"/>
                <w:numId w:val="44"/>
              </w:numPr>
              <w:tabs>
                <w:tab w:val="left" w:pos="475"/>
                <w:tab w:val="left" w:pos="476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7"/>
                <w:sz w:val="21"/>
              </w:rPr>
              <w:t>分析各类供给主体在长期照护服务中的作用和贡献，以</w:t>
            </w:r>
            <w:r>
              <w:rPr>
                <w:spacing w:val="-2"/>
                <w:sz w:val="21"/>
              </w:rPr>
              <w:t>及存在的问题和挑战。</w:t>
            </w:r>
          </w:p>
          <w:p>
            <w:pPr>
              <w:pStyle w:val="TableParagraph"/>
              <w:numPr>
                <w:ilvl w:val="0"/>
                <w:numId w:val="44"/>
              </w:numPr>
              <w:tabs>
                <w:tab w:val="left" w:pos="475"/>
                <w:tab w:val="left" w:pos="476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8"/>
                <w:sz w:val="21"/>
              </w:rPr>
              <w:t>探讨如何优化长期照护服务的供给结构，提高服务质量</w:t>
            </w:r>
            <w:r>
              <w:rPr>
                <w:spacing w:val="-4"/>
                <w:sz w:val="21"/>
              </w:rPr>
              <w:t>和效率。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184"/>
          <w:jc w:val="left"/>
        </w:trPr>
        <w:tc>
          <w:tcPr>
            <w:tcW w:w="2769" w:type="dxa"/>
          </w:tcPr>
          <w:p>
            <w:pPr>
              <w:pStyle w:val="TableParagraph"/>
              <w:spacing w:before="23" w:line="278" w:lineRule="auto"/>
              <w:ind w:left="108" w:right="96"/>
              <w:rPr>
                <w:sz w:val="21"/>
              </w:rPr>
            </w:pPr>
            <w:r>
              <w:rPr>
                <w:spacing w:val="-2"/>
                <w:sz w:val="21"/>
              </w:rPr>
              <w:t>长期照护政策的财政支持分</w:t>
            </w:r>
            <w:r>
              <w:rPr>
                <w:spacing w:val="-10"/>
                <w:sz w:val="21"/>
              </w:rPr>
              <w:t>析</w:t>
            </w:r>
          </w:p>
        </w:tc>
        <w:tc>
          <w:tcPr>
            <w:tcW w:w="5527" w:type="dxa"/>
          </w:tcPr>
          <w:p>
            <w:pPr>
              <w:pStyle w:val="TableParagraph"/>
              <w:numPr>
                <w:ilvl w:val="0"/>
                <w:numId w:val="43"/>
              </w:numPr>
              <w:tabs>
                <w:tab w:val="left" w:pos="371"/>
              </w:tabs>
              <w:spacing w:before="23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评估长期照护政策对财政支出的影响，包括直接财政支</w:t>
            </w:r>
            <w:r>
              <w:rPr>
                <w:spacing w:val="-2"/>
                <w:sz w:val="21"/>
              </w:rPr>
              <w:t>出和间接财政支出。</w:t>
            </w:r>
          </w:p>
          <w:p>
            <w:pPr>
              <w:pStyle w:val="TableParagraph"/>
              <w:numPr>
                <w:ilvl w:val="0"/>
                <w:numId w:val="43"/>
              </w:numPr>
              <w:tabs>
                <w:tab w:val="left" w:pos="475"/>
                <w:tab w:val="left" w:pos="476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7"/>
                <w:sz w:val="21"/>
              </w:rPr>
              <w:t>分析政府在长期照护领域的投入与产出效益，评价政策</w:t>
            </w:r>
            <w:r>
              <w:rPr>
                <w:spacing w:val="-2"/>
                <w:sz w:val="21"/>
              </w:rPr>
              <w:t>的经济合理性。</w:t>
            </w:r>
          </w:p>
          <w:p>
            <w:pPr>
              <w:pStyle w:val="TableParagraph"/>
              <w:numPr>
                <w:ilvl w:val="0"/>
                <w:numId w:val="43"/>
              </w:numPr>
              <w:tabs>
                <w:tab w:val="left" w:pos="475"/>
                <w:tab w:val="left" w:pos="476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10"/>
                <w:sz w:val="21"/>
              </w:rPr>
              <w:t>探讨如何通过财政支持政策，引导社会资本投入长期照</w:t>
            </w:r>
            <w:r>
              <w:rPr>
                <w:spacing w:val="-2"/>
                <w:sz w:val="21"/>
              </w:rPr>
              <w:t>护领域，实现政策目标。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184"/>
          <w:jc w:val="left"/>
        </w:trPr>
        <w:tc>
          <w:tcPr>
            <w:tcW w:w="2769" w:type="dxa"/>
          </w:tcPr>
          <w:p>
            <w:pPr>
              <w:pStyle w:val="TableParagraph"/>
              <w:spacing w:before="23" w:line="278" w:lineRule="auto"/>
              <w:ind w:left="108" w:right="96"/>
              <w:rPr>
                <w:sz w:val="21"/>
              </w:rPr>
            </w:pPr>
            <w:r>
              <w:rPr>
                <w:spacing w:val="-2"/>
                <w:sz w:val="21"/>
              </w:rPr>
              <w:t>长期照护政策的实施效果评</w:t>
            </w:r>
            <w:r>
              <w:rPr>
                <w:spacing w:val="-10"/>
                <w:sz w:val="21"/>
              </w:rPr>
              <w:t>估</w:t>
            </w:r>
          </w:p>
        </w:tc>
        <w:tc>
          <w:tcPr>
            <w:tcW w:w="5527" w:type="dxa"/>
          </w:tcPr>
          <w:p>
            <w:pPr>
              <w:pStyle w:val="TableParagraph"/>
              <w:numPr>
                <w:ilvl w:val="0"/>
                <w:numId w:val="42"/>
              </w:numPr>
              <w:tabs>
                <w:tab w:val="left" w:pos="371"/>
              </w:tabs>
              <w:spacing w:before="23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通过对比分析政策实施前后的长期照护需求、供给和财</w:t>
            </w:r>
            <w:r>
              <w:rPr>
                <w:spacing w:val="-2"/>
                <w:sz w:val="21"/>
              </w:rPr>
              <w:t>政支持等方面的变化，评估政策的实际效果。</w:t>
            </w:r>
          </w:p>
          <w:p>
            <w:pPr>
              <w:pStyle w:val="TableParagraph"/>
              <w:numPr>
                <w:ilvl w:val="0"/>
                <w:numId w:val="42"/>
              </w:numPr>
              <w:tabs>
                <w:tab w:val="left" w:pos="475"/>
                <w:tab w:val="left" w:pos="476"/>
              </w:tabs>
              <w:spacing w:before="0" w:after="0" w:line="278" w:lineRule="auto"/>
              <w:ind w:left="107" w:right="95" w:firstLine="0"/>
              <w:jc w:val="left"/>
              <w:rPr>
                <w:sz w:val="21"/>
              </w:rPr>
            </w:pPr>
            <w:r>
              <w:rPr>
                <w:spacing w:val="-6"/>
                <w:sz w:val="21"/>
              </w:rPr>
              <w:t>从老年人口、家庭和社会等多个层面，评价政策对改善</w:t>
            </w:r>
            <w:r>
              <w:rPr>
                <w:spacing w:val="-2"/>
                <w:sz w:val="21"/>
              </w:rPr>
              <w:t>长期照护状况的贡献。</w:t>
            </w:r>
          </w:p>
          <w:p>
            <w:pPr>
              <w:pStyle w:val="TableParagraph"/>
              <w:numPr>
                <w:ilvl w:val="0"/>
                <w:numId w:val="42"/>
              </w:numPr>
              <w:tabs>
                <w:tab w:val="left" w:pos="475"/>
                <w:tab w:val="left" w:pos="476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8"/>
                <w:sz w:val="21"/>
              </w:rPr>
              <w:t>分析政策实施过程中存在的问题和不足，为政策调整和</w:t>
            </w:r>
            <w:r>
              <w:rPr>
                <w:spacing w:val="-2"/>
                <w:sz w:val="21"/>
              </w:rPr>
              <w:t>完善提供参考。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184"/>
          <w:jc w:val="left"/>
        </w:trPr>
        <w:tc>
          <w:tcPr>
            <w:tcW w:w="2769" w:type="dxa"/>
          </w:tcPr>
          <w:p>
            <w:pPr>
              <w:pStyle w:val="TableParagraph"/>
              <w:spacing w:before="23" w:line="278" w:lineRule="auto"/>
              <w:ind w:left="108" w:right="96"/>
              <w:rPr>
                <w:sz w:val="21"/>
              </w:rPr>
            </w:pPr>
            <w:r>
              <w:rPr>
                <w:spacing w:val="-2"/>
                <w:sz w:val="21"/>
              </w:rPr>
              <w:t>长期照护政策的国际经验借</w:t>
            </w:r>
            <w:r>
              <w:rPr>
                <w:spacing w:val="-10"/>
                <w:sz w:val="21"/>
              </w:rPr>
              <w:t>鉴</w:t>
            </w:r>
          </w:p>
        </w:tc>
        <w:tc>
          <w:tcPr>
            <w:tcW w:w="5527" w:type="dxa"/>
          </w:tcPr>
          <w:p>
            <w:pPr>
              <w:pStyle w:val="TableParagraph"/>
              <w:numPr>
                <w:ilvl w:val="0"/>
                <w:numId w:val="41"/>
              </w:numPr>
              <w:tabs>
                <w:tab w:val="left" w:pos="371"/>
              </w:tabs>
              <w:spacing w:before="23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总结发达国家在长期照护政策方面的成功经验和做法，</w:t>
            </w:r>
            <w:r>
              <w:rPr>
                <w:spacing w:val="-2"/>
                <w:sz w:val="21"/>
              </w:rPr>
              <w:t>为我国政策制定提供借鉴。</w:t>
            </w:r>
          </w:p>
          <w:p>
            <w:pPr>
              <w:pStyle w:val="TableParagraph"/>
              <w:numPr>
                <w:ilvl w:val="0"/>
                <w:numId w:val="41"/>
              </w:numPr>
              <w:tabs>
                <w:tab w:val="left" w:pos="475"/>
                <w:tab w:val="left" w:pos="476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7"/>
                <w:sz w:val="21"/>
              </w:rPr>
              <w:t>分析不同国家在长期照护政策中的制度设计、财政支持</w:t>
            </w:r>
            <w:r>
              <w:rPr>
                <w:spacing w:val="-2"/>
                <w:sz w:val="21"/>
              </w:rPr>
              <w:t>和实施效果等方面的差异和原因。</w:t>
            </w:r>
          </w:p>
          <w:p>
            <w:pPr>
              <w:pStyle w:val="TableParagraph"/>
              <w:numPr>
                <w:ilvl w:val="0"/>
                <w:numId w:val="41"/>
              </w:numPr>
              <w:tabs>
                <w:tab w:val="left" w:pos="475"/>
                <w:tab w:val="left" w:pos="476"/>
              </w:tabs>
              <w:spacing w:before="0" w:after="0" w:line="278" w:lineRule="auto"/>
              <w:ind w:left="107" w:right="95" w:firstLine="0"/>
              <w:jc w:val="left"/>
              <w:rPr>
                <w:sz w:val="21"/>
              </w:rPr>
            </w:pPr>
            <w:r>
              <w:rPr>
                <w:spacing w:val="-6"/>
                <w:sz w:val="21"/>
              </w:rPr>
              <w:t>结合我国国情，探讨如何借鉴国际经验，完善和发展我</w:t>
            </w:r>
            <w:r>
              <w:rPr>
                <w:spacing w:val="-2"/>
                <w:sz w:val="21"/>
              </w:rPr>
              <w:t>国的长期照护政策。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560"/>
          <w:jc w:val="left"/>
        </w:trPr>
        <w:tc>
          <w:tcPr>
            <w:tcW w:w="2769" w:type="dxa"/>
          </w:tcPr>
          <w:p>
            <w:pPr>
              <w:pStyle w:val="TableParagraph"/>
              <w:spacing w:before="23" w:line="278" w:lineRule="auto"/>
              <w:ind w:left="108" w:right="96"/>
              <w:rPr>
                <w:sz w:val="21"/>
              </w:rPr>
            </w:pPr>
            <w:r>
              <w:rPr>
                <w:spacing w:val="-2"/>
                <w:sz w:val="21"/>
              </w:rPr>
              <w:t>长期照护政策的发展趋势与</w:t>
            </w:r>
            <w:r>
              <w:rPr>
                <w:spacing w:val="-6"/>
                <w:sz w:val="21"/>
              </w:rPr>
              <w:t>展望</w:t>
            </w:r>
          </w:p>
        </w:tc>
        <w:tc>
          <w:tcPr>
            <w:tcW w:w="5527" w:type="dxa"/>
          </w:tcPr>
          <w:p>
            <w:pPr>
              <w:pStyle w:val="TableParagraph"/>
              <w:numPr>
                <w:ilvl w:val="0"/>
                <w:numId w:val="40"/>
              </w:numPr>
              <w:tabs>
                <w:tab w:val="left" w:pos="371"/>
              </w:tabs>
              <w:spacing w:before="23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预测未来长期照护政策的发展趋势，包括政策目标、制</w:t>
            </w:r>
            <w:r>
              <w:rPr>
                <w:spacing w:val="-2"/>
                <w:sz w:val="21"/>
              </w:rPr>
              <w:t>度设计和财政支持等方面的调整。</w:t>
            </w:r>
          </w:p>
          <w:p>
            <w:pPr>
              <w:pStyle w:val="TableParagraph"/>
              <w:numPr>
                <w:ilvl w:val="0"/>
                <w:numId w:val="40"/>
              </w:numPr>
              <w:tabs>
                <w:tab w:val="left" w:pos="475"/>
                <w:tab w:val="left" w:pos="476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8"/>
                <w:sz w:val="21"/>
              </w:rPr>
              <w:t>分析未来长期照护需求的变化趋势，为政策制定提供前</w:t>
            </w:r>
            <w:r>
              <w:rPr>
                <w:spacing w:val="-2"/>
                <w:sz w:val="21"/>
              </w:rPr>
              <w:t>瞻性指导。</w:t>
            </w:r>
          </w:p>
          <w:p>
            <w:pPr>
              <w:pStyle w:val="TableParagraph"/>
              <w:numPr>
                <w:ilvl w:val="0"/>
                <w:numId w:val="40"/>
              </w:numPr>
              <w:tabs>
                <w:tab w:val="left" w:pos="475"/>
                <w:tab w:val="left" w:pos="476"/>
              </w:tabs>
              <w:spacing w:before="0" w:after="0" w:line="269" w:lineRule="exact"/>
              <w:ind w:left="475" w:right="0" w:hanging="369"/>
              <w:jc w:val="left"/>
              <w:rPr>
                <w:sz w:val="21"/>
              </w:rPr>
            </w:pPr>
            <w:r>
              <w:rPr>
                <w:spacing w:val="-8"/>
                <w:sz w:val="21"/>
              </w:rPr>
              <w:t>探讨如何通过政策创新和制度优化，提高长期照护政策</w:t>
            </w:r>
          </w:p>
        </w:tc>
      </w:tr>
    </w:tbl>
    <w:p>
      <w:pPr>
        <w:spacing w:after="0" w:line="269" w:lineRule="exact"/>
        <w:jc w:val="left"/>
        <w:rPr>
          <w:sz w:val="21"/>
        </w:rPr>
      </w:pPr>
      <w:r>
        <w:rPr>
          <w:sz w:val="21"/>
        </w:rPr>
        <w:br/>
      </w:r>
      <w:r>
        <w:rPr>
          <w:sz w:val="21"/>
        </w:rP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8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https://d.book118.com/975003112321011120</w:t>
        </w:r>
      </w:hyperlink>
    </w:p>
    <w:p>
      <w:pPr>
        <w:spacing w:after="0" w:line="269" w:lineRule="exact"/>
        <w:jc w:val="left"/>
        <w:rPr>
          <w:sz w:val="21"/>
        </w:rPr>
      </w:pPr>
    </w:p>
    <w:sectPr>
      <w:footerReference w:type="default" r:id="rId19"/>
      <w:pgSz w:w="11910" w:h="16840"/>
      <w:pgMar w:top="1500" w:right="1280" w:bottom="1506" w:left="1680" w:header="0" w:footer="1198"/>
      <w:pgNumType w:start="14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Microsoft JhengHei">
    <w:altName w:val="Microsoft JhengHei"/>
    <w:charset w:val="00"/>
    <w:family w:val="swiss"/>
    <w:pitch w:val="variable"/>
    <w:sig w:usb0="00000000" w:usb1="00000000" w:usb2="00000000" w:usb3="00000000" w:csb0="00000001" w:csb1="00000000"/>
  </w:font>
  <w:font w:name="仿宋">
    <w:altName w:val="仿宋"/>
    <w:charset w:val="86"/>
    <w:family w:val="modern"/>
    <w:pitch w:val="fixed"/>
    <w:sig w:usb0="00000000" w:usb1="00000000" w:usb2="00000000" w:usb3="00000000" w:csb0="0004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width:29.05pt;height:12pt;margin-top:770.98pt;margin-left:284.4pt;mso-position-horizontal-relative:page;mso-position-vertical-relative:page;position:absolute;z-index:-251658240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1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15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width:29.05pt;height:12pt;margin-top:770.98pt;margin-left:284.4pt;mso-position-horizontal-relative:page;mso-position-vertical-relative:page;position:absolute;z-index:-251657216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2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15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1" type="#_x0000_t202" style="width:29.05pt;height:12pt;margin-top:770.98pt;margin-left:284.4pt;mso-position-horizontal-relative:page;mso-position-vertical-relative:page;position:absolute;z-index:-251656192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3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15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2" type="#_x0000_t202" style="width:29.05pt;height:12pt;margin-top:770.98pt;margin-left:284.4pt;mso-position-horizontal-relative:page;mso-position-vertical-relative:page;position:absolute;z-index:-251655168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4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15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3" type="#_x0000_t202" style="width:29.05pt;height:12pt;margin-top:770.98pt;margin-left:284.4pt;mso-position-horizontal-relative:page;mso-position-vertical-relative:page;position:absolute;z-index:-251654144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5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15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4" type="#_x0000_t202" style="width:29.05pt;height:12pt;margin-top:770.98pt;margin-left:284.4pt;mso-position-horizontal-relative:page;mso-position-vertical-relative:page;position:absolute;z-index:-251653120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6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15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5" type="#_x0000_t202" style="width:29.05pt;height:12pt;margin-top:770.98pt;margin-left:284.4pt;mso-position-horizontal-relative:page;mso-position-vertical-relative:page;position:absolute;z-index:-251652096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7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15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6" type="#_x0000_t202" style="width:29.05pt;height:12pt;margin-top:770.98pt;margin-left:284.4pt;mso-position-horizontal-relative:page;mso-position-vertical-relative:page;position:absolute;z-index:-251651072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8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15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7" type="#_x0000_t202" style="width:29.05pt;height:12pt;margin-top:770.98pt;margin-left:284.4pt;mso-position-horizontal-relative:page;mso-position-vertical-relative:page;position:absolute;z-index:-251650048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9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15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8" type="#_x0000_t202" style="width:29.05pt;height:12pt;margin-top:770.98pt;margin-left:284.4pt;mso-position-horizontal-relative:page;mso-position-vertical-relative:page;position:absolute;z-index:-251649024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10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15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9" type="#_x0000_t202" style="width:29.05pt;height:12pt;margin-top:770.98pt;margin-left:284.4pt;mso-position-horizontal-relative:page;mso-position-vertical-relative:page;position:absolute;z-index:-251648000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11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15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0" type="#_x0000_t202" style="width:29.05pt;height:12pt;margin-top:770.98pt;margin-left:284.4pt;mso-position-horizontal-relative:page;mso-position-vertical-relative:page;position:absolute;z-index:-251646976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12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15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1" type="#_x0000_t202" style="width:29.05pt;height:12pt;margin-top:770.98pt;margin-left:284.4pt;mso-position-horizontal-relative:page;mso-position-vertical-relative:page;position:absolute;z-index:-251645952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13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15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2" type="#_x0000_t202" style="width:29.05pt;height:12pt;margin-top:770.98pt;margin-left:284.4pt;mso-position-horizontal-relative:page;mso-position-vertical-relative:page;position:absolute;z-index:-251644928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15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15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00B94BFC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1">
    <w:nsid w:val="02DFB9B3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2">
    <w:nsid w:val="04AD2927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3">
    <w:nsid w:val="06224D02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4">
    <w:nsid w:val="0C4B4DF4"/>
    <w:multiLevelType w:val="hybridMultilevel"/>
    <w:tmpl w:val="00000000"/>
    <w:lvl w:ilvl="0">
      <w:start w:val="1"/>
      <w:numFmt w:val="decimal"/>
      <w:lvlText w:val="%1."/>
      <w:lvlJc w:val="left"/>
      <w:pPr>
        <w:ind w:left="540" w:hanging="42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380" w:hanging="42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221" w:hanging="42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061" w:hanging="42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902" w:hanging="42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743" w:hanging="42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583" w:hanging="42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424" w:hanging="42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264" w:hanging="420"/>
      </w:pPr>
      <w:rPr>
        <w:rFonts w:hint="default"/>
        <w:lang w:val="en-US" w:eastAsia="zh-CN" w:bidi="ar-SA"/>
      </w:rPr>
    </w:lvl>
  </w:abstractNum>
  <w:abstractNum w:abstractNumId="5">
    <w:nsid w:val="0D79E21B"/>
    <w:multiLevelType w:val="hybridMultilevel"/>
    <w:tmpl w:val="00000000"/>
    <w:lvl w:ilvl="0">
      <w:start w:val="1"/>
      <w:numFmt w:val="decimal"/>
      <w:lvlText w:val="%1."/>
      <w:lvlJc w:val="left"/>
      <w:pPr>
        <w:ind w:left="540" w:hanging="42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380" w:hanging="42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221" w:hanging="42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061" w:hanging="42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902" w:hanging="42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743" w:hanging="42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583" w:hanging="42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424" w:hanging="42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264" w:hanging="420"/>
      </w:pPr>
      <w:rPr>
        <w:rFonts w:hint="default"/>
        <w:lang w:val="en-US" w:eastAsia="zh-CN" w:bidi="ar-SA"/>
      </w:rPr>
    </w:lvl>
  </w:abstractNum>
  <w:abstractNum w:abstractNumId="6">
    <w:nsid w:val="0FCE8707"/>
    <w:multiLevelType w:val="hybridMultilevel"/>
    <w:tmpl w:val="00000000"/>
    <w:lvl w:ilvl="0">
      <w:start w:val="1"/>
      <w:numFmt w:val="decimal"/>
      <w:lvlText w:val="%1."/>
      <w:lvlJc w:val="left"/>
      <w:pPr>
        <w:ind w:left="540" w:hanging="42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380" w:hanging="42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221" w:hanging="42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061" w:hanging="42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902" w:hanging="42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743" w:hanging="42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583" w:hanging="42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424" w:hanging="42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264" w:hanging="420"/>
      </w:pPr>
      <w:rPr>
        <w:rFonts w:hint="default"/>
        <w:lang w:val="en-US" w:eastAsia="zh-CN" w:bidi="ar-SA"/>
      </w:rPr>
    </w:lvl>
  </w:abstractNum>
  <w:abstractNum w:abstractNumId="7">
    <w:nsid w:val="1027A569"/>
    <w:multiLevelType w:val="hybridMultilevel"/>
    <w:tmpl w:val="00000000"/>
    <w:lvl w:ilvl="0">
      <w:start w:val="1"/>
      <w:numFmt w:val="decimal"/>
      <w:lvlText w:val="（%1）"/>
      <w:lvlJc w:val="left"/>
      <w:pPr>
        <w:ind w:left="120" w:hanging="704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spacing w:val="0"/>
        <w:w w:val="100"/>
        <w:sz w:val="26"/>
        <w:szCs w:val="26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002" w:hanging="704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85" w:hanging="704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67" w:hanging="704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650" w:hanging="704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533" w:hanging="704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15" w:hanging="704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98" w:hanging="704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80" w:hanging="704"/>
      </w:pPr>
      <w:rPr>
        <w:rFonts w:hint="default"/>
        <w:lang w:val="en-US" w:eastAsia="zh-CN" w:bidi="ar-SA"/>
      </w:rPr>
    </w:lvl>
  </w:abstractNum>
  <w:abstractNum w:abstractNumId="8">
    <w:nsid w:val="12F548AC"/>
    <w:multiLevelType w:val="hybridMultilevel"/>
    <w:tmpl w:val="00000000"/>
    <w:lvl w:ilvl="0">
      <w:start w:val="1"/>
      <w:numFmt w:val="decimal"/>
      <w:lvlText w:val="（%1）"/>
      <w:lvlJc w:val="left"/>
      <w:pPr>
        <w:ind w:left="120" w:hanging="704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spacing w:val="0"/>
        <w:w w:val="100"/>
        <w:sz w:val="26"/>
        <w:szCs w:val="26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002" w:hanging="704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85" w:hanging="704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67" w:hanging="704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650" w:hanging="704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533" w:hanging="704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15" w:hanging="704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98" w:hanging="704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80" w:hanging="704"/>
      </w:pPr>
      <w:rPr>
        <w:rFonts w:hint="default"/>
        <w:lang w:val="en-US" w:eastAsia="zh-CN" w:bidi="ar-SA"/>
      </w:rPr>
    </w:lvl>
  </w:abstractNum>
  <w:abstractNum w:abstractNumId="9">
    <w:nsid w:val="14588AD0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10">
    <w:nsid w:val="168C2D5D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11">
    <w:nsid w:val="16FFB88B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12">
    <w:nsid w:val="19A97D3A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13">
    <w:nsid w:val="1C31BED0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14">
    <w:nsid w:val="1DB078EE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002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85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67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650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53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15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98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80" w:hanging="422"/>
      </w:pPr>
      <w:rPr>
        <w:rFonts w:hint="default"/>
        <w:lang w:val="en-US" w:eastAsia="zh-CN" w:bidi="ar-SA"/>
      </w:rPr>
    </w:lvl>
  </w:abstractNum>
  <w:abstractNum w:abstractNumId="15">
    <w:nsid w:val="1DFD9F54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16">
    <w:nsid w:val="1F7C6842"/>
    <w:multiLevelType w:val="hybridMultilevel"/>
    <w:tmpl w:val="00000000"/>
    <w:lvl w:ilvl="0">
      <w:start w:val="2"/>
      <w:numFmt w:val="decimal"/>
      <w:lvlText w:val="%1."/>
      <w:lvlJc w:val="left"/>
      <w:pPr>
        <w:ind w:left="108" w:hanging="368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368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368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368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368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368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368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368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368"/>
      </w:pPr>
      <w:rPr>
        <w:rFonts w:hint="default"/>
        <w:lang w:val="en-US" w:eastAsia="zh-CN" w:bidi="ar-SA"/>
      </w:rPr>
    </w:lvl>
  </w:abstractNum>
  <w:abstractNum w:abstractNumId="17">
    <w:nsid w:val="20018D33"/>
    <w:multiLevelType w:val="hybridMultilevel"/>
    <w:tmpl w:val="00000000"/>
    <w:lvl w:ilvl="0">
      <w:start w:val="2"/>
      <w:numFmt w:val="decimal"/>
      <w:lvlText w:val="%1."/>
      <w:lvlJc w:val="left"/>
      <w:pPr>
        <w:ind w:left="108" w:hanging="368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368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368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368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368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368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368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368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368"/>
      </w:pPr>
      <w:rPr>
        <w:rFonts w:hint="default"/>
        <w:lang w:val="en-US" w:eastAsia="zh-CN" w:bidi="ar-SA"/>
      </w:rPr>
    </w:lvl>
  </w:abstractNum>
  <w:abstractNum w:abstractNumId="18">
    <w:nsid w:val="2054932F"/>
    <w:multiLevelType w:val="hybridMultilevel"/>
    <w:tmpl w:val="00000000"/>
    <w:lvl w:ilvl="0">
      <w:start w:val="1"/>
      <w:numFmt w:val="decimal"/>
      <w:lvlText w:val="（%1）"/>
      <w:lvlJc w:val="left"/>
      <w:pPr>
        <w:ind w:left="120" w:hanging="704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spacing w:val="0"/>
        <w:w w:val="100"/>
        <w:sz w:val="26"/>
        <w:szCs w:val="26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002" w:hanging="704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85" w:hanging="704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67" w:hanging="704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650" w:hanging="704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533" w:hanging="704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15" w:hanging="704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98" w:hanging="704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80" w:hanging="704"/>
      </w:pPr>
      <w:rPr>
        <w:rFonts w:hint="default"/>
        <w:lang w:val="en-US" w:eastAsia="zh-CN" w:bidi="ar-SA"/>
      </w:rPr>
    </w:lvl>
  </w:abstractNum>
  <w:abstractNum w:abstractNumId="19">
    <w:nsid w:val="22572C2F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20">
    <w:nsid w:val="248D5B3A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21">
    <w:nsid w:val="27BC0137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002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85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67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650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53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15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98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80" w:hanging="422"/>
      </w:pPr>
      <w:rPr>
        <w:rFonts w:hint="default"/>
        <w:lang w:val="en-US" w:eastAsia="zh-CN" w:bidi="ar-SA"/>
      </w:rPr>
    </w:lvl>
  </w:abstractNum>
  <w:abstractNum w:abstractNumId="22">
    <w:nsid w:val="2B1EC42B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23">
    <w:nsid w:val="2C0CDABF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24">
    <w:nsid w:val="2C5428FD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25">
    <w:nsid w:val="2CBA50F6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26">
    <w:nsid w:val="2CD16D0C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27">
    <w:nsid w:val="2F702E0E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28">
    <w:nsid w:val="2FFEF043"/>
    <w:multiLevelType w:val="hybridMultilevel"/>
    <w:tmpl w:val="00000000"/>
    <w:lvl w:ilvl="0">
      <w:start w:val="1"/>
      <w:numFmt w:val="decimal"/>
      <w:lvlText w:val="（%1）"/>
      <w:lvlJc w:val="left"/>
      <w:pPr>
        <w:ind w:left="120" w:hanging="704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spacing w:val="0"/>
        <w:w w:val="100"/>
        <w:sz w:val="26"/>
        <w:szCs w:val="26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002" w:hanging="704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85" w:hanging="704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67" w:hanging="704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650" w:hanging="704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533" w:hanging="704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15" w:hanging="704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98" w:hanging="704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80" w:hanging="704"/>
      </w:pPr>
      <w:rPr>
        <w:rFonts w:hint="default"/>
        <w:lang w:val="en-US" w:eastAsia="zh-CN" w:bidi="ar-SA"/>
      </w:rPr>
    </w:lvl>
  </w:abstractNum>
  <w:abstractNum w:abstractNumId="29">
    <w:nsid w:val="3087A37D"/>
    <w:multiLevelType w:val="hybridMultilevel"/>
    <w:tmpl w:val="00000000"/>
    <w:lvl w:ilvl="0">
      <w:start w:val="1"/>
      <w:numFmt w:val="decimal"/>
      <w:lvlText w:val="（%1）"/>
      <w:lvlJc w:val="left"/>
      <w:pPr>
        <w:ind w:left="120" w:hanging="704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spacing w:val="0"/>
        <w:w w:val="100"/>
        <w:sz w:val="26"/>
        <w:szCs w:val="26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002" w:hanging="704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85" w:hanging="704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67" w:hanging="704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650" w:hanging="704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533" w:hanging="704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15" w:hanging="704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98" w:hanging="704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80" w:hanging="704"/>
      </w:pPr>
      <w:rPr>
        <w:rFonts w:hint="default"/>
        <w:lang w:val="en-US" w:eastAsia="zh-CN" w:bidi="ar-SA"/>
      </w:rPr>
    </w:lvl>
  </w:abstractNum>
  <w:abstractNum w:abstractNumId="30">
    <w:nsid w:val="3AE9BBFC"/>
    <w:multiLevelType w:val="hybridMultilevel"/>
    <w:tmpl w:val="00000000"/>
    <w:lvl w:ilvl="0">
      <w:start w:val="1"/>
      <w:numFmt w:val="decimal"/>
      <w:lvlText w:val="（%1）"/>
      <w:lvlJc w:val="left"/>
      <w:pPr>
        <w:ind w:left="120" w:hanging="704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spacing w:val="0"/>
        <w:w w:val="100"/>
        <w:sz w:val="26"/>
        <w:szCs w:val="26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002" w:hanging="704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85" w:hanging="704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67" w:hanging="704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650" w:hanging="704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533" w:hanging="704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15" w:hanging="704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98" w:hanging="704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80" w:hanging="704"/>
      </w:pPr>
      <w:rPr>
        <w:rFonts w:hint="default"/>
        <w:lang w:val="en-US" w:eastAsia="zh-CN" w:bidi="ar-SA"/>
      </w:rPr>
    </w:lvl>
  </w:abstractNum>
  <w:abstractNum w:abstractNumId="31">
    <w:nsid w:val="3B2DB16C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32">
    <w:nsid w:val="3C9DE113"/>
    <w:multiLevelType w:val="hybridMultilevel"/>
    <w:tmpl w:val="00000000"/>
    <w:lvl w:ilvl="0">
      <w:start w:val="1"/>
      <w:numFmt w:val="decimal"/>
      <w:lvlText w:val="%1."/>
      <w:lvlJc w:val="left"/>
      <w:pPr>
        <w:ind w:left="540" w:hanging="42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380" w:hanging="42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221" w:hanging="42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061" w:hanging="42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902" w:hanging="42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743" w:hanging="42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583" w:hanging="42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424" w:hanging="42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264" w:hanging="420"/>
      </w:pPr>
      <w:rPr>
        <w:rFonts w:hint="default"/>
        <w:lang w:val="en-US" w:eastAsia="zh-CN" w:bidi="ar-SA"/>
      </w:rPr>
    </w:lvl>
  </w:abstractNum>
  <w:abstractNum w:abstractNumId="33">
    <w:nsid w:val="3FB50BA0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34">
    <w:nsid w:val="402E81CD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35">
    <w:nsid w:val="4289C16C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36">
    <w:nsid w:val="44B354EA"/>
    <w:multiLevelType w:val="hybridMultilevel"/>
    <w:tmpl w:val="00000000"/>
    <w:lvl w:ilvl="0">
      <w:start w:val="1"/>
      <w:numFmt w:val="decimal"/>
      <w:lvlText w:val="%1."/>
      <w:lvlJc w:val="left"/>
      <w:pPr>
        <w:ind w:left="370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893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407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921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434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94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462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975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89" w:hanging="263"/>
      </w:pPr>
      <w:rPr>
        <w:rFonts w:hint="default"/>
        <w:lang w:val="en-US" w:eastAsia="zh-CN" w:bidi="ar-SA"/>
      </w:rPr>
    </w:lvl>
  </w:abstractNum>
  <w:abstractNum w:abstractNumId="37">
    <w:nsid w:val="459AE408"/>
    <w:multiLevelType w:val="hybridMultilevel"/>
    <w:tmpl w:val="00000000"/>
    <w:lvl w:ilvl="0">
      <w:start w:val="1"/>
      <w:numFmt w:val="decimal"/>
      <w:lvlText w:val="（%1）"/>
      <w:lvlJc w:val="left"/>
      <w:pPr>
        <w:ind w:left="120" w:hanging="704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spacing w:val="0"/>
        <w:w w:val="100"/>
        <w:sz w:val="26"/>
        <w:szCs w:val="26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002" w:hanging="704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85" w:hanging="704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67" w:hanging="704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650" w:hanging="704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533" w:hanging="704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15" w:hanging="704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98" w:hanging="704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80" w:hanging="704"/>
      </w:pPr>
      <w:rPr>
        <w:rFonts w:hint="default"/>
        <w:lang w:val="en-US" w:eastAsia="zh-CN" w:bidi="ar-SA"/>
      </w:rPr>
    </w:lvl>
  </w:abstractNum>
  <w:abstractNum w:abstractNumId="38">
    <w:nsid w:val="46C03D02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39">
    <w:nsid w:val="49393543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40">
    <w:nsid w:val="4A593E7C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41">
    <w:nsid w:val="4A90CDDC"/>
    <w:multiLevelType w:val="hybridMultilevel"/>
    <w:tmpl w:val="00000000"/>
    <w:lvl w:ilvl="0">
      <w:start w:val="1"/>
      <w:numFmt w:val="decimal"/>
      <w:lvlText w:val="（%1）"/>
      <w:lvlJc w:val="left"/>
      <w:pPr>
        <w:ind w:left="120" w:hanging="704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spacing w:val="0"/>
        <w:w w:val="100"/>
        <w:sz w:val="26"/>
        <w:szCs w:val="26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002" w:hanging="704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85" w:hanging="704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67" w:hanging="704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650" w:hanging="704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533" w:hanging="704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15" w:hanging="704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98" w:hanging="704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80" w:hanging="704"/>
      </w:pPr>
      <w:rPr>
        <w:rFonts w:hint="default"/>
        <w:lang w:val="en-US" w:eastAsia="zh-CN" w:bidi="ar-SA"/>
      </w:rPr>
    </w:lvl>
  </w:abstractNum>
  <w:abstractNum w:abstractNumId="42">
    <w:nsid w:val="4ACD5311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43">
    <w:nsid w:val="4B9AFDD6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44">
    <w:nsid w:val="4DAE49AC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45">
    <w:nsid w:val="53BFC0FC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46">
    <w:nsid w:val="541443A0"/>
    <w:multiLevelType w:val="hybridMultilevel"/>
    <w:tmpl w:val="00000000"/>
    <w:lvl w:ilvl="0">
      <w:start w:val="1"/>
      <w:numFmt w:val="decimal"/>
      <w:lvlText w:val="%1."/>
      <w:lvlJc w:val="left"/>
      <w:pPr>
        <w:ind w:left="370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893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407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921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434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94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462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975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89" w:hanging="263"/>
      </w:pPr>
      <w:rPr>
        <w:rFonts w:hint="default"/>
        <w:lang w:val="en-US" w:eastAsia="zh-CN" w:bidi="ar-SA"/>
      </w:rPr>
    </w:lvl>
  </w:abstractNum>
  <w:abstractNum w:abstractNumId="47">
    <w:nsid w:val="574AEE7B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48">
    <w:nsid w:val="5A6B1EA0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49">
    <w:nsid w:val="5B1E0398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50">
    <w:nsid w:val="5D6B4F7F"/>
    <w:multiLevelType w:val="hybridMultilevel"/>
    <w:tmpl w:val="00000000"/>
    <w:lvl w:ilvl="0">
      <w:start w:val="1"/>
      <w:numFmt w:val="decimal"/>
      <w:lvlText w:val="（%1）"/>
      <w:lvlJc w:val="left"/>
      <w:pPr>
        <w:ind w:left="120" w:hanging="704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spacing w:val="0"/>
        <w:w w:val="100"/>
        <w:sz w:val="26"/>
        <w:szCs w:val="26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002" w:hanging="704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85" w:hanging="704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67" w:hanging="704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650" w:hanging="704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533" w:hanging="704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15" w:hanging="704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98" w:hanging="704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80" w:hanging="704"/>
      </w:pPr>
      <w:rPr>
        <w:rFonts w:hint="default"/>
        <w:lang w:val="en-US" w:eastAsia="zh-CN" w:bidi="ar-SA"/>
      </w:rPr>
    </w:lvl>
  </w:abstractNum>
  <w:abstractNum w:abstractNumId="51">
    <w:nsid w:val="6085CDAA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002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85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67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650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53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15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98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80" w:hanging="422"/>
      </w:pPr>
      <w:rPr>
        <w:rFonts w:hint="default"/>
        <w:lang w:val="en-US" w:eastAsia="zh-CN" w:bidi="ar-SA"/>
      </w:rPr>
    </w:lvl>
  </w:abstractNum>
  <w:abstractNum w:abstractNumId="52">
    <w:nsid w:val="61F127C4"/>
    <w:multiLevelType w:val="hybridMultilevel"/>
    <w:tmpl w:val="00000000"/>
    <w:lvl w:ilvl="0">
      <w:start w:val="1"/>
      <w:numFmt w:val="decimal"/>
      <w:lvlText w:val="%1."/>
      <w:lvlJc w:val="left"/>
      <w:pPr>
        <w:ind w:left="540" w:hanging="42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380" w:hanging="42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221" w:hanging="42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061" w:hanging="42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902" w:hanging="42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743" w:hanging="42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583" w:hanging="42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424" w:hanging="42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264" w:hanging="420"/>
      </w:pPr>
      <w:rPr>
        <w:rFonts w:hint="default"/>
        <w:lang w:val="en-US" w:eastAsia="zh-CN" w:bidi="ar-SA"/>
      </w:rPr>
    </w:lvl>
  </w:abstractNum>
  <w:abstractNum w:abstractNumId="53">
    <w:nsid w:val="649B3AB6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54">
    <w:nsid w:val="6545ED89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002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85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67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650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53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15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98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80" w:hanging="422"/>
      </w:pPr>
      <w:rPr>
        <w:rFonts w:hint="default"/>
        <w:lang w:val="en-US" w:eastAsia="zh-CN" w:bidi="ar-SA"/>
      </w:rPr>
    </w:lvl>
  </w:abstractNum>
  <w:abstractNum w:abstractNumId="55">
    <w:nsid w:val="66EFFD62"/>
    <w:multiLevelType w:val="hybridMultilevel"/>
    <w:tmpl w:val="00000000"/>
    <w:lvl w:ilvl="0">
      <w:start w:val="2"/>
      <w:numFmt w:val="decimal"/>
      <w:lvlText w:val="%1."/>
      <w:lvlJc w:val="left"/>
      <w:pPr>
        <w:ind w:left="108" w:hanging="368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368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368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368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368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368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368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368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368"/>
      </w:pPr>
      <w:rPr>
        <w:rFonts w:hint="default"/>
        <w:lang w:val="en-US" w:eastAsia="zh-CN" w:bidi="ar-SA"/>
      </w:rPr>
    </w:lvl>
  </w:abstractNum>
  <w:abstractNum w:abstractNumId="56">
    <w:nsid w:val="6A6A1F4F"/>
    <w:multiLevelType w:val="hybridMultilevel"/>
    <w:tmpl w:val="00000000"/>
    <w:lvl w:ilvl="0">
      <w:start w:val="1"/>
      <w:numFmt w:val="decimal"/>
      <w:lvlText w:val="%1."/>
      <w:lvlJc w:val="left"/>
      <w:pPr>
        <w:ind w:left="370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893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407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921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434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94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462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975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89" w:hanging="263"/>
      </w:pPr>
      <w:rPr>
        <w:rFonts w:hint="default"/>
        <w:lang w:val="en-US" w:eastAsia="zh-CN" w:bidi="ar-SA"/>
      </w:rPr>
    </w:lvl>
  </w:abstractNum>
  <w:abstractNum w:abstractNumId="57">
    <w:nsid w:val="6AC0FE05"/>
    <w:multiLevelType w:val="hybridMultilevel"/>
    <w:tmpl w:val="00000000"/>
    <w:lvl w:ilvl="0">
      <w:start w:val="1"/>
      <w:numFmt w:val="decimal"/>
      <w:lvlText w:val="（%1）"/>
      <w:lvlJc w:val="left"/>
      <w:pPr>
        <w:ind w:left="120" w:hanging="704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spacing w:val="0"/>
        <w:w w:val="100"/>
        <w:sz w:val="26"/>
        <w:szCs w:val="26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002" w:hanging="704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85" w:hanging="704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67" w:hanging="704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650" w:hanging="704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533" w:hanging="704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15" w:hanging="704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98" w:hanging="704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80" w:hanging="704"/>
      </w:pPr>
      <w:rPr>
        <w:rFonts w:hint="default"/>
        <w:lang w:val="en-US" w:eastAsia="zh-CN" w:bidi="ar-SA"/>
      </w:rPr>
    </w:lvl>
  </w:abstractNum>
  <w:abstractNum w:abstractNumId="58">
    <w:nsid w:val="6B229796"/>
    <w:multiLevelType w:val="hybridMultilevel"/>
    <w:tmpl w:val="00000000"/>
    <w:lvl w:ilvl="0">
      <w:start w:val="1"/>
      <w:numFmt w:val="decimal"/>
      <w:lvlText w:val="%1."/>
      <w:lvlJc w:val="left"/>
      <w:pPr>
        <w:ind w:left="540" w:hanging="42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380" w:hanging="42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221" w:hanging="42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061" w:hanging="42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902" w:hanging="42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743" w:hanging="42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583" w:hanging="42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424" w:hanging="42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264" w:hanging="420"/>
      </w:pPr>
      <w:rPr>
        <w:rFonts w:hint="default"/>
        <w:lang w:val="en-US" w:eastAsia="zh-CN" w:bidi="ar-SA"/>
      </w:rPr>
    </w:lvl>
  </w:abstractNum>
  <w:abstractNum w:abstractNumId="59">
    <w:nsid w:val="6BA5753F"/>
    <w:multiLevelType w:val="hybridMultilevel"/>
    <w:tmpl w:val="00000000"/>
    <w:lvl w:ilvl="0">
      <w:start w:val="1"/>
      <w:numFmt w:val="decimal"/>
      <w:lvlText w:val="（%1）"/>
      <w:lvlJc w:val="left"/>
      <w:pPr>
        <w:ind w:left="120" w:hanging="704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spacing w:val="0"/>
        <w:w w:val="100"/>
        <w:sz w:val="26"/>
        <w:szCs w:val="26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002" w:hanging="704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85" w:hanging="704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67" w:hanging="704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650" w:hanging="704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533" w:hanging="704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15" w:hanging="704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98" w:hanging="704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80" w:hanging="704"/>
      </w:pPr>
      <w:rPr>
        <w:rFonts w:hint="default"/>
        <w:lang w:val="en-US" w:eastAsia="zh-CN" w:bidi="ar-SA"/>
      </w:rPr>
    </w:lvl>
  </w:abstractNum>
  <w:abstractNum w:abstractNumId="60">
    <w:nsid w:val="6C754CBC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002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85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67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650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53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15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98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80" w:hanging="422"/>
      </w:pPr>
      <w:rPr>
        <w:rFonts w:hint="default"/>
        <w:lang w:val="en-US" w:eastAsia="zh-CN" w:bidi="ar-SA"/>
      </w:rPr>
    </w:lvl>
  </w:abstractNum>
  <w:abstractNum w:abstractNumId="61">
    <w:nsid w:val="7085819E"/>
    <w:multiLevelType w:val="hybridMultilevel"/>
    <w:tmpl w:val="00000000"/>
    <w:lvl w:ilvl="0">
      <w:start w:val="1"/>
      <w:numFmt w:val="decimal"/>
      <w:lvlText w:val="%1."/>
      <w:lvlJc w:val="left"/>
      <w:pPr>
        <w:ind w:left="540" w:hanging="42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380" w:hanging="42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221" w:hanging="42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061" w:hanging="42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902" w:hanging="42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743" w:hanging="42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583" w:hanging="42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424" w:hanging="42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264" w:hanging="420"/>
      </w:pPr>
      <w:rPr>
        <w:rFonts w:hint="default"/>
        <w:lang w:val="en-US" w:eastAsia="zh-CN" w:bidi="ar-SA"/>
      </w:rPr>
    </w:lvl>
  </w:abstractNum>
  <w:abstractNum w:abstractNumId="62">
    <w:nsid w:val="711CE4DB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63">
    <w:nsid w:val="73BB3D21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64">
    <w:nsid w:val="746E7F6D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65">
    <w:nsid w:val="74BD00CA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002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85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67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650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53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15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98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80" w:hanging="422"/>
      </w:pPr>
      <w:rPr>
        <w:rFonts w:hint="default"/>
        <w:lang w:val="en-US" w:eastAsia="zh-CN" w:bidi="ar-SA"/>
      </w:rPr>
    </w:lvl>
  </w:abstractNum>
  <w:abstractNum w:abstractNumId="66">
    <w:nsid w:val="764867B5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002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85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67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650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53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15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98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80" w:hanging="422"/>
      </w:pPr>
      <w:rPr>
        <w:rFonts w:hint="default"/>
        <w:lang w:val="en-US" w:eastAsia="zh-CN" w:bidi="ar-SA"/>
      </w:rPr>
    </w:lvl>
  </w:abstractNum>
  <w:abstractNum w:abstractNumId="67">
    <w:nsid w:val="76B4C201"/>
    <w:multiLevelType w:val="hybridMultilevel"/>
    <w:tmpl w:val="00000000"/>
    <w:lvl w:ilvl="0">
      <w:start w:val="1"/>
      <w:numFmt w:val="decimal"/>
      <w:lvlText w:val="（%1）"/>
      <w:lvlJc w:val="left"/>
      <w:pPr>
        <w:ind w:left="120" w:hanging="704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spacing w:val="0"/>
        <w:w w:val="100"/>
        <w:sz w:val="26"/>
        <w:szCs w:val="26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002" w:hanging="704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85" w:hanging="704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67" w:hanging="704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650" w:hanging="704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533" w:hanging="704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15" w:hanging="704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98" w:hanging="704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80" w:hanging="704"/>
      </w:pPr>
      <w:rPr>
        <w:rFonts w:hint="default"/>
        <w:lang w:val="en-US" w:eastAsia="zh-CN" w:bidi="ar-SA"/>
      </w:rPr>
    </w:lvl>
  </w:abstractNum>
  <w:abstractNum w:abstractNumId="68">
    <w:nsid w:val="791C3031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69">
    <w:nsid w:val="7C6AB8F1"/>
    <w:multiLevelType w:val="hybridMultilevel"/>
    <w:tmpl w:val="00000000"/>
    <w:lvl w:ilvl="0">
      <w:start w:val="1"/>
      <w:numFmt w:val="decimal"/>
      <w:lvlText w:val="%1."/>
      <w:lvlJc w:val="left"/>
      <w:pPr>
        <w:ind w:left="540" w:hanging="42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380" w:hanging="42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221" w:hanging="42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061" w:hanging="42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902" w:hanging="42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743" w:hanging="42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583" w:hanging="42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424" w:hanging="42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264" w:hanging="420"/>
      </w:pPr>
      <w:rPr>
        <w:rFonts w:hint="default"/>
        <w:lang w:val="en-US" w:eastAsia="zh-CN" w:bidi="ar-SA"/>
      </w:rPr>
    </w:lvl>
  </w:abstractNum>
  <w:abstractNum w:abstractNumId="70">
    <w:nsid w:val="7EC66923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002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85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67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650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53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15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98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80" w:hanging="422"/>
      </w:pPr>
      <w:rPr>
        <w:rFonts w:hint="default"/>
        <w:lang w:val="en-US" w:eastAsia="zh-CN" w:bidi="ar-SA"/>
      </w:rPr>
    </w:lvl>
  </w:abstractNum>
  <w:abstractNum w:abstractNumId="71">
    <w:nsid w:val="7EFF265D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72">
    <w:nsid w:val="7F158A99"/>
    <w:multiLevelType w:val="hybridMultilevel"/>
    <w:tmpl w:val="00000000"/>
    <w:lvl w:ilvl="0">
      <w:start w:val="1"/>
      <w:numFmt w:val="decimal"/>
      <w:lvlText w:val="（%1）"/>
      <w:lvlJc w:val="left"/>
      <w:pPr>
        <w:ind w:left="120" w:hanging="704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spacing w:val="0"/>
        <w:w w:val="100"/>
        <w:sz w:val="26"/>
        <w:szCs w:val="26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002" w:hanging="704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85" w:hanging="704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67" w:hanging="704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650" w:hanging="704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533" w:hanging="704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15" w:hanging="704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98" w:hanging="704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80" w:hanging="704"/>
      </w:pPr>
      <w:rPr>
        <w:rFonts w:hint="default"/>
        <w:lang w:val="en-US" w:eastAsia="zh-CN" w:bidi="ar-SA"/>
      </w:rPr>
    </w:lvl>
  </w:abstractNum>
  <w:abstractNum w:abstractNumId="73">
    <w:nsid w:val="7FF1BD3C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num w:numId="1">
    <w:abstractNumId w:val="71"/>
  </w:num>
  <w:num w:numId="2">
    <w:abstractNumId w:val="35"/>
  </w:num>
  <w:num w:numId="3">
    <w:abstractNumId w:val="15"/>
  </w:num>
  <w:num w:numId="4">
    <w:abstractNumId w:val="16"/>
  </w:num>
  <w:num w:numId="5">
    <w:abstractNumId w:val="46"/>
  </w:num>
  <w:num w:numId="6">
    <w:abstractNumId w:val="31"/>
  </w:num>
  <w:num w:numId="7">
    <w:abstractNumId w:val="63"/>
  </w:num>
  <w:num w:numId="8">
    <w:abstractNumId w:val="37"/>
  </w:num>
  <w:num w:numId="9">
    <w:abstractNumId w:val="72"/>
  </w:num>
  <w:num w:numId="10">
    <w:abstractNumId w:val="61"/>
  </w:num>
  <w:num w:numId="11">
    <w:abstractNumId w:val="50"/>
  </w:num>
  <w:num w:numId="12">
    <w:abstractNumId w:val="41"/>
  </w:num>
  <w:num w:numId="13">
    <w:abstractNumId w:val="4"/>
  </w:num>
  <w:num w:numId="14">
    <w:abstractNumId w:val="23"/>
  </w:num>
  <w:num w:numId="15">
    <w:abstractNumId w:val="30"/>
  </w:num>
  <w:num w:numId="16">
    <w:abstractNumId w:val="18"/>
  </w:num>
  <w:num w:numId="17">
    <w:abstractNumId w:val="8"/>
  </w:num>
  <w:num w:numId="18">
    <w:abstractNumId w:val="5"/>
  </w:num>
  <w:num w:numId="19">
    <w:abstractNumId w:val="14"/>
  </w:num>
  <w:num w:numId="20">
    <w:abstractNumId w:val="34"/>
  </w:num>
  <w:num w:numId="21">
    <w:abstractNumId w:val="42"/>
  </w:num>
  <w:num w:numId="22">
    <w:abstractNumId w:val="73"/>
  </w:num>
  <w:num w:numId="23">
    <w:abstractNumId w:val="47"/>
  </w:num>
  <w:num w:numId="24">
    <w:abstractNumId w:val="39"/>
  </w:num>
  <w:num w:numId="25">
    <w:abstractNumId w:val="2"/>
  </w:num>
  <w:num w:numId="26">
    <w:abstractNumId w:val="65"/>
  </w:num>
  <w:num w:numId="27">
    <w:abstractNumId w:val="55"/>
  </w:num>
  <w:num w:numId="28">
    <w:abstractNumId w:val="36"/>
  </w:num>
  <w:num w:numId="29">
    <w:abstractNumId w:val="49"/>
  </w:num>
  <w:num w:numId="30">
    <w:abstractNumId w:val="10"/>
  </w:num>
  <w:num w:numId="31">
    <w:abstractNumId w:val="40"/>
  </w:num>
  <w:num w:numId="32">
    <w:abstractNumId w:val="20"/>
  </w:num>
  <w:num w:numId="33">
    <w:abstractNumId w:val="13"/>
  </w:num>
  <w:num w:numId="34">
    <w:abstractNumId w:val="57"/>
  </w:num>
  <w:num w:numId="35">
    <w:abstractNumId w:val="7"/>
  </w:num>
  <w:num w:numId="36">
    <w:abstractNumId w:val="67"/>
  </w:num>
  <w:num w:numId="37">
    <w:abstractNumId w:val="28"/>
  </w:num>
  <w:num w:numId="38">
    <w:abstractNumId w:val="69"/>
  </w:num>
  <w:num w:numId="39">
    <w:abstractNumId w:val="21"/>
  </w:num>
  <w:num w:numId="40">
    <w:abstractNumId w:val="64"/>
  </w:num>
  <w:num w:numId="41">
    <w:abstractNumId w:val="43"/>
  </w:num>
  <w:num w:numId="42">
    <w:abstractNumId w:val="0"/>
  </w:num>
  <w:num w:numId="43">
    <w:abstractNumId w:val="53"/>
  </w:num>
  <w:num w:numId="44">
    <w:abstractNumId w:val="19"/>
  </w:num>
  <w:num w:numId="45">
    <w:abstractNumId w:val="38"/>
  </w:num>
  <w:num w:numId="46">
    <w:abstractNumId w:val="60"/>
  </w:num>
  <w:num w:numId="47">
    <w:abstractNumId w:val="70"/>
  </w:num>
  <w:num w:numId="48">
    <w:abstractNumId w:val="29"/>
  </w:num>
  <w:num w:numId="49">
    <w:abstractNumId w:val="59"/>
  </w:num>
  <w:num w:numId="50">
    <w:abstractNumId w:val="32"/>
  </w:num>
  <w:num w:numId="51">
    <w:abstractNumId w:val="6"/>
  </w:num>
  <w:num w:numId="52">
    <w:abstractNumId w:val="9"/>
  </w:num>
  <w:num w:numId="53">
    <w:abstractNumId w:val="62"/>
  </w:num>
  <w:num w:numId="54">
    <w:abstractNumId w:val="45"/>
  </w:num>
  <w:num w:numId="55">
    <w:abstractNumId w:val="26"/>
  </w:num>
  <w:num w:numId="56">
    <w:abstractNumId w:val="3"/>
  </w:num>
  <w:num w:numId="57">
    <w:abstractNumId w:val="52"/>
  </w:num>
  <w:num w:numId="58">
    <w:abstractNumId w:val="58"/>
  </w:num>
  <w:num w:numId="59">
    <w:abstractNumId w:val="12"/>
  </w:num>
  <w:num w:numId="60">
    <w:abstractNumId w:val="11"/>
  </w:num>
  <w:num w:numId="61">
    <w:abstractNumId w:val="17"/>
  </w:num>
  <w:num w:numId="62">
    <w:abstractNumId w:val="56"/>
  </w:num>
  <w:num w:numId="63">
    <w:abstractNumId w:val="68"/>
  </w:num>
  <w:num w:numId="64">
    <w:abstractNumId w:val="33"/>
  </w:num>
  <w:num w:numId="65">
    <w:abstractNumId w:val="27"/>
  </w:num>
  <w:num w:numId="66">
    <w:abstractNumId w:val="54"/>
  </w:num>
  <w:num w:numId="67">
    <w:abstractNumId w:val="66"/>
  </w:num>
  <w:num w:numId="68">
    <w:abstractNumId w:val="51"/>
  </w:num>
  <w:num w:numId="69">
    <w:abstractNumId w:val="25"/>
  </w:num>
  <w:num w:numId="70">
    <w:abstractNumId w:val="22"/>
  </w:num>
  <w:num w:numId="71">
    <w:abstractNumId w:val="24"/>
  </w:num>
  <w:num w:numId="72">
    <w:abstractNumId w:val="44"/>
  </w:num>
  <w:num w:numId="73">
    <w:abstractNumId w:val="48"/>
  </w:num>
  <w:num w:numId="7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仿宋" w:eastAsia="仿宋" w:hAnsi="仿宋" w:cs="仿宋"/>
      <w:lang w:val="en-US" w:eastAsia="zh-CN" w:bidi="ar-SA"/>
    </w:rPr>
  </w:style>
  <w:style w:type="paragraph" w:styleId="Heading1">
    <w:name w:val="heading 1"/>
    <w:basedOn w:val="Normal"/>
    <w:uiPriority w:val="1"/>
    <w:qFormat/>
    <w:pPr>
      <w:ind w:left="120"/>
      <w:outlineLvl w:val="0"/>
    </w:pPr>
    <w:rPr>
      <w:rFonts w:ascii="Microsoft JhengHei" w:eastAsia="Microsoft JhengHei" w:hAnsi="Microsoft JhengHei" w:cs="Microsoft JhengHei"/>
      <w:b/>
      <w:bCs/>
      <w:sz w:val="32"/>
      <w:szCs w:val="32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</w:style>
  <w:style w:type="numbering" w:default="1" w:styleId="NoList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OC1">
    <w:name w:val="toc 1"/>
    <w:basedOn w:val="Normal"/>
    <w:uiPriority w:val="1"/>
    <w:qFormat/>
    <w:pPr>
      <w:spacing w:before="355"/>
      <w:ind w:left="540"/>
    </w:pPr>
    <w:rPr>
      <w:rFonts w:ascii="仿宋" w:eastAsia="仿宋" w:hAnsi="仿宋" w:cs="仿宋"/>
      <w:sz w:val="21"/>
      <w:szCs w:val="21"/>
      <w:lang w:val="en-US" w:eastAsia="zh-CN" w:bidi="ar-SA"/>
    </w:rPr>
  </w:style>
  <w:style w:type="paragraph" w:styleId="BodyText">
    <w:name w:val="Body Text"/>
    <w:basedOn w:val="Normal"/>
    <w:uiPriority w:val="1"/>
    <w:qFormat/>
    <w:pPr>
      <w:ind w:left="120"/>
    </w:pPr>
    <w:rPr>
      <w:rFonts w:ascii="仿宋" w:eastAsia="仿宋" w:hAnsi="仿宋" w:cs="仿宋"/>
      <w:sz w:val="28"/>
      <w:szCs w:val="28"/>
      <w:lang w:val="en-US" w:eastAsia="zh-CN" w:bidi="ar-SA"/>
    </w:rPr>
  </w:style>
  <w:style w:type="paragraph" w:styleId="Title">
    <w:name w:val="Title"/>
    <w:basedOn w:val="Normal"/>
    <w:uiPriority w:val="1"/>
    <w:qFormat/>
    <w:pPr>
      <w:spacing w:line="569" w:lineRule="exact"/>
      <w:ind w:left="2460" w:right="2859"/>
      <w:jc w:val="center"/>
    </w:pPr>
    <w:rPr>
      <w:rFonts w:ascii="Microsoft JhengHei" w:eastAsia="Microsoft JhengHei" w:hAnsi="Microsoft JhengHei" w:cs="Microsoft JhengHei"/>
      <w:b/>
      <w:bCs/>
      <w:sz w:val="36"/>
      <w:szCs w:val="36"/>
      <w:lang w:val="en-US" w:eastAsia="zh-CN" w:bidi="ar-SA"/>
    </w:rPr>
  </w:style>
  <w:style w:type="paragraph" w:styleId="ListParagraph">
    <w:name w:val="List Paragraph"/>
    <w:basedOn w:val="Normal"/>
    <w:uiPriority w:val="1"/>
    <w:qFormat/>
    <w:pPr>
      <w:ind w:left="120" w:right="518"/>
    </w:pPr>
    <w:rPr>
      <w:rFonts w:ascii="仿宋" w:eastAsia="仿宋" w:hAnsi="仿宋" w:cs="仿宋"/>
      <w:lang w:val="en-US" w:eastAsia="zh-CN" w:bidi="ar-SA"/>
    </w:rPr>
  </w:style>
  <w:style w:type="paragraph" w:customStyle="1" w:styleId="TableParagraph">
    <w:name w:val="Table Paragraph"/>
    <w:basedOn w:val="Normal"/>
    <w:uiPriority w:val="1"/>
    <w:qFormat/>
    <w:pPr>
      <w:ind w:left="107"/>
    </w:pPr>
    <w:rPr>
      <w:rFonts w:ascii="仿宋" w:eastAsia="仿宋" w:hAnsi="仿宋" w:cs="仿宋"/>
      <w:lang w:val="en-US" w:eastAsia="zh-CN" w:bidi="ar-SA"/>
    </w:rPr>
  </w:style>
  <w:style w:type="table" w:customStyle="1" w:styleId="TableNormal0">
    <w:name w:val="Table Normal_0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_1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_2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">
    <w:name w:val="Table Normal_3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4">
    <w:name w:val="Table Normal_4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5">
    <w:name w:val="Table Normal_5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6">
    <w:name w:val="Table Normal_6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6.xml" /><Relationship Id="rId11" Type="http://schemas.openxmlformats.org/officeDocument/2006/relationships/footer" Target="footer7.xml" /><Relationship Id="rId12" Type="http://schemas.openxmlformats.org/officeDocument/2006/relationships/footer" Target="footer8.xml" /><Relationship Id="rId13" Type="http://schemas.openxmlformats.org/officeDocument/2006/relationships/footer" Target="footer9.xml" /><Relationship Id="rId14" Type="http://schemas.openxmlformats.org/officeDocument/2006/relationships/footer" Target="footer10.xml" /><Relationship Id="rId15" Type="http://schemas.openxmlformats.org/officeDocument/2006/relationships/footer" Target="footer11.xml" /><Relationship Id="rId16" Type="http://schemas.openxmlformats.org/officeDocument/2006/relationships/footer" Target="footer12.xml" /><Relationship Id="rId17" Type="http://schemas.openxmlformats.org/officeDocument/2006/relationships/footer" Target="footer13.xml" /><Relationship Id="rId18" Type="http://schemas.openxmlformats.org/officeDocument/2006/relationships/hyperlink" Target="https://d.book118.com/975003112321011120" TargetMode="External" /><Relationship Id="rId19" Type="http://schemas.openxmlformats.org/officeDocument/2006/relationships/footer" Target="footer14.xml" /><Relationship Id="rId2" Type="http://schemas.openxmlformats.org/officeDocument/2006/relationships/webSettings" Target="webSettings.xml" /><Relationship Id="rId20" Type="http://schemas.openxmlformats.org/officeDocument/2006/relationships/theme" Target="theme/theme1.xml" /><Relationship Id="rId21" Type="http://schemas.openxmlformats.org/officeDocument/2006/relationships/numbering" Target="numbering.xml" /><Relationship Id="rId22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footer" Target="footer1.xml" /><Relationship Id="rId6" Type="http://schemas.openxmlformats.org/officeDocument/2006/relationships/footer" Target="footer2.xml" /><Relationship Id="rId7" Type="http://schemas.openxmlformats.org/officeDocument/2006/relationships/footer" Target="footer3.xml" /><Relationship Id="rId8" Type="http://schemas.openxmlformats.org/officeDocument/2006/relationships/footer" Target="footer4.xml" /><Relationship Id="rId9" Type="http://schemas.openxmlformats.org/officeDocument/2006/relationships/footer" Target="footer5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2024-03-05T06:08:37Z</dcterms:created>
  <dcterms:modified xsi:type="dcterms:W3CDTF">2024-03-05T06:08:37Z</dcterms:modified>
</cp:coreProperties>
</file>