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74" w:lineRule="exact"/>
      </w:pPr>
    </w:p>
    <w:p>
      <w:pPr>
        <w:spacing w:line="174" w:lineRule="exact"/>
        <w:sectPr>
          <w:headerReference w:type="default" r:id="rId4"/>
          <w:footerReference w:type="default" r:id="rId5"/>
          <w:pgSz w:w="11907" w:h="16839"/>
          <w:pgMar w:top="1715" w:right="638" w:bottom="1289" w:left="622" w:header="794" w:footer="723" w:gutter="0"/>
          <w:cols w:num="1" w:space="708" w:equalWidth="0">
            <w:col w:w="10645" w:space="0"/>
          </w:cols>
        </w:sectPr>
      </w:pPr>
    </w:p>
    <w:p>
      <w:pPr>
        <w:pStyle w:val="BodyText"/>
        <w:spacing w:line="1305" w:lineRule="exact"/>
        <w:ind w:firstLine="12"/>
      </w:pPr>
      <w:r>
        <w:rPr>
          <w:position w:val="-26"/>
        </w:rPr>
        <w:pict>
          <v:group id="_x0000_i1025" style="width:350.35pt;height:65.3pt;mso-position-horizontal-relative:char;mso-position-vertical-relative:line" coordorigin="0,0" coordsize="7007,1306" filled="f" stroked="f">
            <v:group id="_x0000_s1026" style="width:7007;height:1306;position:absolute" coordorigin="0,0" coordsize="7007,1306" filled="f" stroked="f">
              <v:shape id="_x0000_s1027" style="width:7007;height:653;position:absolute" coordorigin="0,0" coordsize="7007,653" path="m,652l7006,652l7006,l,l,652xem108,652l6899,652l6899,l108,l108,652xe" filled="t" fillcolor="#4f81bd" stroked="f"/>
              <v:shape id="_x0000_s1028" style="width:7007;height:653;position:absolute;top:652" coordorigin="0,0" coordsize="7007,653" path="m,652l7006,652l7006,l,l,652xem108,652l6899,652l6899,l108,l108,652xe" filled="t" fillcolor="#dedfef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7047;height:134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8" w:line="221" w:lineRule="auto"/>
                      <w:ind w:left="136"/>
                      <w:outlineLvl w:val="0"/>
                      <w:rPr>
                        <w:rFonts w:ascii="KaiTi" w:eastAsia="KaiTi" w:hAnsi="KaiTi" w:cs="KaiTi"/>
                        <w:sz w:val="43"/>
                        <w:szCs w:val="43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10"/>
                        <w:sz w:val="43"/>
                        <w:szCs w:val="43"/>
                        <w14:textOutline w14:w="7968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新能源汽车专题之十八</w:t>
                    </w:r>
                  </w:p>
                  <w:p>
                    <w:pPr>
                      <w:spacing w:before="177" w:line="212" w:lineRule="auto"/>
                      <w:ind w:left="143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color w:val="1F497D"/>
                        <w:spacing w:val="-4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三维度剖析高压快充产业链，优选核心环节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08" w:line="221" w:lineRule="auto"/>
        <w:ind w:left="123"/>
        <w:rPr>
          <w:sz w:val="28"/>
          <w:szCs w:val="28"/>
        </w:rPr>
      </w:pPr>
      <w:r>
        <w:rPr>
          <w:color w:val="17365D"/>
          <w:sz w:val="28"/>
          <w:szCs w:val="28"/>
          <w14:textOutline w14:w="5094">
            <w14:solidFill>
              <w14:srgbClr w14:val="17365D"/>
            </w14:solidFill>
            <w14:prstDash w14:val="solid"/>
            <w14:round/>
          </w14:textOutline>
        </w:rPr>
        <w:t>核心观点：</w:t>
      </w:r>
    </w:p>
    <w:p>
      <w:pPr>
        <w:pStyle w:val="BodyText"/>
        <w:spacing w:before="188" w:line="272" w:lineRule="auto"/>
        <w:ind w:left="553" w:right="53" w:hanging="415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9"/>
        </w:rPr>
        <w:t xml:space="preserve">  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快充本质在功率，</w:t>
      </w:r>
      <w:r>
        <w:rPr>
          <w:color w:val="1F497D"/>
          <w:spacing w:val="-1"/>
        </w:rPr>
        <w:t xml:space="preserve"> 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高电压与大电流殊途同归。</w:t>
      </w:r>
      <w:r>
        <w:rPr>
          <w:color w:val="1F497D"/>
          <w:spacing w:val="-2"/>
        </w:rPr>
        <w:t>快充的本质是实现充电</w:t>
      </w:r>
      <w:r>
        <w:rPr>
          <w:color w:val="1F497D"/>
          <w:spacing w:val="1"/>
        </w:rPr>
        <w:t xml:space="preserve"> </w:t>
      </w:r>
      <w:r>
        <w:rPr>
          <w:color w:val="1F497D"/>
          <w:spacing w:val="-2"/>
        </w:rPr>
        <w:t>功率的大幅提升。以</w:t>
      </w:r>
      <w:r>
        <w:rPr>
          <w:color w:val="1F497D"/>
          <w:spacing w:val="-2"/>
        </w:rPr>
        <w:t xml:space="preserve"> </w:t>
      </w:r>
      <w:r>
        <w:rPr>
          <w:rFonts w:ascii="Arial" w:eastAsia="Arial" w:hAnsi="Arial" w:cs="Arial"/>
          <w:color w:val="1F497D"/>
          <w:spacing w:val="-2"/>
        </w:rPr>
        <w:t>80kWh</w:t>
      </w:r>
      <w:r>
        <w:rPr>
          <w:rFonts w:ascii="Arial" w:eastAsia="Arial" w:hAnsi="Arial" w:cs="Arial"/>
          <w:color w:val="1F497D"/>
          <w:spacing w:val="40"/>
          <w:w w:val="101"/>
        </w:rPr>
        <w:t xml:space="preserve"> </w:t>
      </w:r>
      <w:r>
        <w:rPr>
          <w:color w:val="1F497D"/>
          <w:spacing w:val="-2"/>
        </w:rPr>
        <w:t>电池包为例，</w:t>
      </w:r>
      <w:r>
        <w:rPr>
          <w:rFonts w:ascii="Arial" w:eastAsia="Arial" w:hAnsi="Arial" w:cs="Arial"/>
          <w:color w:val="1F497D"/>
          <w:spacing w:val="-2"/>
        </w:rPr>
        <w:t>220V/</w:t>
      </w:r>
      <w:r>
        <w:rPr>
          <w:rFonts w:ascii="Arial" w:eastAsia="Arial" w:hAnsi="Arial" w:cs="Arial"/>
          <w:color w:val="1F497D"/>
          <w:spacing w:val="-3"/>
        </w:rPr>
        <w:t>200A</w:t>
      </w:r>
      <w:r>
        <w:rPr>
          <w:rFonts w:ascii="Arial" w:eastAsia="Arial" w:hAnsi="Arial" w:cs="Arial"/>
          <w:color w:val="1F497D"/>
          <w:spacing w:val="21"/>
        </w:rPr>
        <w:t xml:space="preserve"> </w:t>
      </w:r>
      <w:r>
        <w:rPr>
          <w:color w:val="1F497D"/>
          <w:spacing w:val="-3"/>
        </w:rPr>
        <w:t>和</w:t>
      </w:r>
      <w:r>
        <w:rPr>
          <w:color w:val="1F497D"/>
          <w:spacing w:val="-27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>800V/400A</w:t>
      </w:r>
      <w:r>
        <w:rPr>
          <w:rFonts w:ascii="Arial" w:eastAsia="Arial" w:hAnsi="Arial" w:cs="Arial"/>
          <w:color w:val="1F497D"/>
        </w:rPr>
        <w:t xml:space="preserve">  </w:t>
      </w:r>
      <w:r>
        <w:rPr>
          <w:color w:val="1F497D"/>
          <w:spacing w:val="-3"/>
        </w:rPr>
        <w:t>两种工况对应充电倍率分别为</w:t>
      </w:r>
      <w:r>
        <w:rPr>
          <w:color w:val="1F497D"/>
          <w:spacing w:val="-27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>0.5C</w:t>
      </w:r>
      <w:r>
        <w:rPr>
          <w:color w:val="1F497D"/>
          <w:spacing w:val="-3"/>
        </w:rPr>
        <w:t>、</w:t>
      </w:r>
      <w:r>
        <w:rPr>
          <w:rFonts w:ascii="Arial" w:eastAsia="Arial" w:hAnsi="Arial" w:cs="Arial"/>
          <w:color w:val="1F497D"/>
          <w:spacing w:val="-3"/>
        </w:rPr>
        <w:t>4C</w:t>
      </w:r>
      <w:r>
        <w:rPr>
          <w:color w:val="1F497D"/>
          <w:spacing w:val="-3"/>
        </w:rPr>
        <w:t>。技术层面，电压与电流在同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步提升，未来</w:t>
      </w:r>
      <w:r>
        <w:rPr>
          <w:color w:val="1F497D"/>
          <w:spacing w:val="-41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800V </w:t>
      </w:r>
      <w:r>
        <w:rPr>
          <w:color w:val="1F497D"/>
          <w:spacing w:val="-4"/>
        </w:rPr>
        <w:t>及以上的电压等级趋势明确。当前充电模块多数已</w:t>
      </w:r>
      <w:r>
        <w:rPr>
          <w:color w:val="1F497D"/>
        </w:rPr>
        <w:t xml:space="preserve"> </w:t>
      </w:r>
      <w:r>
        <w:rPr>
          <w:color w:val="1F497D"/>
          <w:spacing w:val="-3"/>
        </w:rPr>
        <w:t>达到</w:t>
      </w:r>
      <w:r>
        <w:rPr>
          <w:color w:val="1F497D"/>
          <w:spacing w:val="-35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>800V</w:t>
      </w:r>
      <w:r>
        <w:rPr>
          <w:rFonts w:ascii="Arial" w:eastAsia="Arial" w:hAnsi="Arial" w:cs="Arial"/>
          <w:color w:val="1F497D"/>
          <w:spacing w:val="18"/>
        </w:rPr>
        <w:t xml:space="preserve"> </w:t>
      </w:r>
      <w:r>
        <w:rPr>
          <w:color w:val="1F497D"/>
          <w:spacing w:val="-3"/>
        </w:rPr>
        <w:t>以上参数要求，实现快充的硬件瓶颈还涉及车内多个部件。</w:t>
      </w:r>
    </w:p>
    <w:p>
      <w:pPr>
        <w:pStyle w:val="BodyText"/>
        <w:spacing w:before="88" w:line="279" w:lineRule="auto"/>
        <w:ind w:left="545" w:right="54" w:hanging="407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7"/>
        </w:rPr>
        <w:t xml:space="preserve">  </w:t>
      </w:r>
      <w:r>
        <w:rPr>
          <w:color w:val="1F497D"/>
          <w14:textOutline w14:w="3831">
            <w14:solidFill>
              <w14:srgbClr w14:val="1F497D"/>
            </w14:solidFill>
            <w14:prstDash w14:val="solid"/>
            <w14:round/>
          </w14:textOutline>
        </w:rPr>
        <w:t>全系</w:t>
      </w:r>
      <w:r>
        <w:rPr>
          <w:color w:val="1F497D"/>
        </w:rPr>
        <w:t xml:space="preserve"> </w:t>
      </w:r>
      <w:r>
        <w:rPr>
          <w:rFonts w:ascii="Arial" w:eastAsia="Arial" w:hAnsi="Arial" w:cs="Arial"/>
          <w:b/>
          <w:bCs/>
          <w:color w:val="1F497D"/>
        </w:rPr>
        <w:t>800V</w:t>
      </w:r>
      <w:r>
        <w:rPr>
          <w:rFonts w:ascii="Arial" w:eastAsia="Arial" w:hAnsi="Arial" w:cs="Arial"/>
          <w:b/>
          <w:bCs/>
          <w:color w:val="1F497D"/>
          <w:spacing w:val="49"/>
        </w:rPr>
        <w:t xml:space="preserve"> </w:t>
      </w:r>
      <w:r>
        <w:rPr>
          <w:color w:val="1F497D"/>
          <w14:textOutline w14:w="3831">
            <w14:solidFill>
              <w14:srgbClr w14:val="1F497D"/>
            </w14:solidFill>
            <w14:prstDash w14:val="solid"/>
            <w14:round/>
          </w14:textOutline>
        </w:rPr>
        <w:t>或成主流，单车价值量增幅是关键指标。</w:t>
      </w:r>
      <w:r>
        <w:rPr>
          <w:color w:val="1F497D"/>
        </w:rPr>
        <w:t>快充</w:t>
      </w:r>
      <w:r>
        <w:rPr>
          <w:color w:val="1F497D"/>
          <w:spacing w:val="-1"/>
        </w:rPr>
        <w:t>车型高压电</w:t>
      </w:r>
      <w:r>
        <w:rPr>
          <w:color w:val="1F497D"/>
        </w:rPr>
        <w:t xml:space="preserve"> </w:t>
      </w:r>
      <w:r>
        <w:rPr>
          <w:color w:val="1F497D"/>
          <w:spacing w:val="-3"/>
        </w:rPr>
        <w:t>气架构分为全系</w:t>
      </w:r>
      <w:r>
        <w:rPr>
          <w:color w:val="1F497D"/>
          <w:spacing w:val="-37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 xml:space="preserve">800V </w:t>
      </w:r>
      <w:r>
        <w:rPr>
          <w:color w:val="1F497D"/>
          <w:spacing w:val="-3"/>
        </w:rPr>
        <w:t>与部分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>800V</w:t>
      </w:r>
      <w:r>
        <w:rPr>
          <w:rFonts w:ascii="Arial" w:eastAsia="Arial" w:hAnsi="Arial" w:cs="Arial"/>
          <w:color w:val="1F497D"/>
          <w:spacing w:val="19"/>
        </w:rPr>
        <w:t xml:space="preserve"> </w:t>
      </w:r>
      <w:r>
        <w:rPr>
          <w:color w:val="1F497D"/>
          <w:spacing w:val="-3"/>
        </w:rPr>
        <w:t>两类。全系</w:t>
      </w:r>
      <w:r>
        <w:rPr>
          <w:color w:val="1F497D"/>
          <w:spacing w:val="-44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 xml:space="preserve">800V </w:t>
      </w:r>
      <w:r>
        <w:rPr>
          <w:color w:val="1F497D"/>
          <w:spacing w:val="-3"/>
        </w:rPr>
        <w:t>将动力电池、电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驱动、高压负载等所有高压相关电气部件均升级为</w:t>
      </w:r>
      <w:r>
        <w:rPr>
          <w:color w:val="1F497D"/>
          <w:spacing w:val="-30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800V</w:t>
      </w:r>
      <w:r>
        <w:rPr>
          <w:rFonts w:ascii="Arial" w:eastAsia="Arial" w:hAnsi="Arial" w:cs="Arial"/>
          <w:color w:val="1F497D"/>
          <w:spacing w:val="25"/>
        </w:rPr>
        <w:t xml:space="preserve"> </w:t>
      </w:r>
      <w:r>
        <w:rPr>
          <w:color w:val="1F497D"/>
          <w:spacing w:val="-5"/>
        </w:rPr>
        <w:t>电压，综合优</w:t>
      </w:r>
      <w:r>
        <w:rPr>
          <w:color w:val="1F497D"/>
        </w:rPr>
        <w:t xml:space="preserve"> </w:t>
      </w:r>
      <w:r>
        <w:rPr>
          <w:color w:val="1F497D"/>
          <w:spacing w:val="-1"/>
        </w:rPr>
        <w:t>势较大，未来或成为主流架构。分环节看，</w:t>
      </w:r>
      <w:r>
        <w:rPr>
          <w:color w:val="1F497D"/>
          <w:spacing w:val="-1"/>
        </w:rPr>
        <w:t xml:space="preserve"> </w:t>
      </w:r>
      <w:r>
        <w:rPr>
          <w:color w:val="1F497D"/>
          <w:spacing w:val="-1"/>
        </w:rPr>
        <w:t>高压架</w:t>
      </w:r>
      <w:r>
        <w:rPr>
          <w:color w:val="1F497D"/>
          <w:spacing w:val="-2"/>
        </w:rPr>
        <w:t>构涉及的单车价值</w:t>
      </w:r>
      <w:r>
        <w:rPr>
          <w:color w:val="1F497D"/>
        </w:rPr>
        <w:t xml:space="preserve"> </w:t>
      </w:r>
      <w:r>
        <w:rPr>
          <w:color w:val="1F497D"/>
          <w:spacing w:val="-3"/>
        </w:rPr>
        <w:t>量提升幅度差别较大：例如三合一集成电驱系统单车价值量提升最高，</w:t>
      </w:r>
      <w:r>
        <w:rPr>
          <w:color w:val="1F497D"/>
          <w:spacing w:val="11"/>
        </w:rPr>
        <w:t xml:space="preserve"> </w:t>
      </w:r>
      <w:r>
        <w:rPr>
          <w:rFonts w:ascii="Arial" w:eastAsia="Arial" w:hAnsi="Arial" w:cs="Arial"/>
          <w:color w:val="1F497D"/>
          <w:spacing w:val="-1"/>
        </w:rPr>
        <w:t xml:space="preserve">OBC </w:t>
      </w:r>
      <w:r>
        <w:rPr>
          <w:color w:val="1F497D"/>
          <w:spacing w:val="-1"/>
        </w:rPr>
        <w:t>集成产品略有提升；熔断器环节逐步配置激励熔断器，单价提升</w:t>
      </w:r>
      <w:r>
        <w:rPr>
          <w:color w:val="1F497D"/>
          <w:spacing w:val="10"/>
        </w:rPr>
        <w:t xml:space="preserve"> </w:t>
      </w:r>
      <w:r>
        <w:rPr>
          <w:color w:val="1F497D"/>
        </w:rPr>
        <w:t>明显；高压继电器主要变化在配置数量增加，整体价值量存在上限；</w:t>
      </w:r>
      <w:r>
        <w:rPr>
          <w:color w:val="1F497D"/>
          <w:spacing w:val="5"/>
        </w:rPr>
        <w:t xml:space="preserve">  </w:t>
      </w:r>
      <w:r>
        <w:rPr>
          <w:color w:val="1F497D"/>
          <w:spacing w:val="-3"/>
        </w:rPr>
        <w:t>高压连接器需求明显提升，</w:t>
      </w:r>
      <w:r>
        <w:rPr>
          <w:color w:val="1F497D"/>
          <w:spacing w:val="-3"/>
        </w:rPr>
        <w:t xml:space="preserve"> </w:t>
      </w:r>
      <w:r>
        <w:rPr>
          <w:color w:val="1F497D"/>
          <w:spacing w:val="-3"/>
        </w:rPr>
        <w:t>带动高端铜合金需求提升；热管理系统、</w:t>
      </w:r>
      <w:r>
        <w:rPr>
          <w:color w:val="1F497D"/>
          <w:spacing w:val="5"/>
        </w:rPr>
        <w:t xml:space="preserve">  </w:t>
      </w:r>
      <w:r>
        <w:rPr>
          <w:color w:val="1F497D"/>
          <w:spacing w:val="-4"/>
        </w:rPr>
        <w:t>薄膜电容价值量提升逻辑与电驱系统类似，</w:t>
      </w:r>
      <w:r>
        <w:rPr>
          <w:color w:val="1F497D"/>
          <w:spacing w:val="32"/>
        </w:rPr>
        <w:t xml:space="preserve"> </w:t>
      </w:r>
      <w:r>
        <w:rPr>
          <w:color w:val="1F497D"/>
          <w:spacing w:val="-4"/>
        </w:rPr>
        <w:t>配置确定性与全系</w:t>
      </w:r>
      <w:r>
        <w:rPr>
          <w:rFonts w:ascii="Arial" w:eastAsia="Arial" w:hAnsi="Arial" w:cs="Arial"/>
          <w:color w:val="1F497D"/>
          <w:spacing w:val="-4"/>
        </w:rPr>
        <w:t>/</w:t>
      </w:r>
      <w:r>
        <w:rPr>
          <w:color w:val="1F497D"/>
          <w:spacing w:val="-4"/>
        </w:rPr>
        <w:t>非全系</w:t>
      </w:r>
      <w:r>
        <w:rPr>
          <w:color w:val="1F497D"/>
        </w:rPr>
        <w:t xml:space="preserve"> </w:t>
      </w:r>
      <w:r>
        <w:rPr>
          <w:color w:val="1F497D"/>
          <w:spacing w:val="-9"/>
        </w:rPr>
        <w:t>选择有关，</w:t>
      </w:r>
      <w:r>
        <w:rPr>
          <w:color w:val="1F497D"/>
          <w:spacing w:val="-9"/>
        </w:rPr>
        <w:t xml:space="preserve"> </w:t>
      </w:r>
      <w:r>
        <w:rPr>
          <w:color w:val="1F497D"/>
          <w:spacing w:val="-9"/>
        </w:rPr>
        <w:t>幅度相对有限。</w:t>
      </w:r>
    </w:p>
    <w:p>
      <w:pPr>
        <w:pStyle w:val="BodyText"/>
        <w:spacing w:before="80" w:line="281" w:lineRule="auto"/>
        <w:ind w:left="543" w:right="54" w:hanging="405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9"/>
        </w:rPr>
        <w:t xml:space="preserve">  </w:t>
      </w:r>
      <w:r>
        <w:rPr>
          <w:color w:val="1F497D"/>
          <w:spacing w:val="1"/>
          <w14:textOutline w14:w="3831">
            <w14:solidFill>
              <w14:srgbClr w14:val="1F497D"/>
            </w14:solidFill>
            <w14:prstDash w14:val="solid"/>
            <w14:round/>
          </w14:textOutline>
        </w:rPr>
        <w:t>从格局、盈利、弹性多维度筛选产业链优质环节。</w:t>
      </w:r>
      <w:r>
        <w:rPr>
          <w:color w:val="1F497D"/>
          <w:spacing w:val="-69"/>
        </w:rPr>
        <w:t xml:space="preserve"> </w:t>
      </w:r>
      <w:r>
        <w:rPr>
          <w:color w:val="1F497D"/>
          <w:spacing w:val="1"/>
          <w14:textOutline w14:w="3831">
            <w14:solidFill>
              <w14:srgbClr w14:val="1F497D"/>
            </w14:solidFill>
            <w14:prstDash w14:val="solid"/>
            <w14:round/>
          </w14:textOutline>
        </w:rPr>
        <w:t>①看格局，</w:t>
      </w:r>
      <w:r>
        <w:rPr>
          <w:color w:val="1F497D"/>
          <w:spacing w:val="1"/>
        </w:rPr>
        <w:t>中小型</w:t>
      </w:r>
      <w:r>
        <w:rPr>
          <w:color w:val="1F497D"/>
        </w:rPr>
        <w:t xml:space="preserve"> </w:t>
      </w:r>
      <w:r>
        <w:rPr>
          <w:color w:val="1F497D"/>
          <w:spacing w:val="-9"/>
        </w:rPr>
        <w:t>器件市场集中度更高，</w:t>
      </w:r>
      <w:r>
        <w:rPr>
          <w:color w:val="1F497D"/>
          <w:spacing w:val="-61"/>
        </w:rPr>
        <w:t xml:space="preserve"> </w:t>
      </w:r>
      <w:r>
        <w:rPr>
          <w:color w:val="1F497D"/>
          <w:spacing w:val="-9"/>
        </w:rPr>
        <w:t>熔断器、继电器、薄膜电容</w:t>
      </w:r>
      <w:r>
        <w:rPr>
          <w:color w:val="1F497D"/>
          <w:spacing w:val="-41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 xml:space="preserve">CR3 </w:t>
      </w:r>
      <w:r>
        <w:rPr>
          <w:color w:val="1F497D"/>
          <w:spacing w:val="-9"/>
        </w:rPr>
        <w:t>份额超过</w:t>
      </w:r>
      <w:r>
        <w:rPr>
          <w:color w:val="1F497D"/>
          <w:spacing w:val="-45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>80%</w:t>
      </w:r>
      <w:r>
        <w:rPr>
          <w:color w:val="1F497D"/>
          <w:spacing w:val="-9"/>
        </w:rPr>
        <w:t>，</w:t>
      </w:r>
      <w:r>
        <w:rPr>
          <w:color w:val="1F497D"/>
        </w:rPr>
        <w:t xml:space="preserve"> </w:t>
      </w:r>
      <w:r>
        <w:rPr>
          <w:color w:val="1F497D"/>
          <w:spacing w:val="3"/>
        </w:rPr>
        <w:t>国产化率均较高。电机电控、</w:t>
      </w:r>
      <w:r>
        <w:rPr>
          <w:rFonts w:ascii="Arial" w:eastAsia="Arial" w:hAnsi="Arial" w:cs="Arial"/>
          <w:color w:val="1F497D"/>
        </w:rPr>
        <w:t>OBC</w:t>
      </w:r>
      <w:r>
        <w:rPr>
          <w:rFonts w:ascii="Arial" w:eastAsia="Arial" w:hAnsi="Arial" w:cs="Arial"/>
          <w:color w:val="1F497D"/>
          <w:spacing w:val="3"/>
        </w:rPr>
        <w:t xml:space="preserve">  </w:t>
      </w:r>
      <w:r>
        <w:rPr>
          <w:color w:val="1F497D"/>
          <w:spacing w:val="3"/>
        </w:rPr>
        <w:t>整体市场相对</w:t>
      </w:r>
      <w:r>
        <w:rPr>
          <w:color w:val="1F497D"/>
          <w:spacing w:val="2"/>
        </w:rPr>
        <w:t>分散。</w:t>
      </w:r>
      <w:r>
        <w:rPr>
          <w:color w:val="1F497D"/>
          <w:spacing w:val="-55"/>
        </w:rPr>
        <w:t xml:space="preserve"> </w:t>
      </w:r>
      <w:r>
        <w:rPr>
          <w:color w:val="1F497D"/>
          <w:spacing w:val="2"/>
        </w:rPr>
        <w:t>高压连接器</w:t>
      </w:r>
      <w:r>
        <w:rPr>
          <w:color w:val="1F497D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 xml:space="preserve">TOP3 </w:t>
      </w:r>
      <w:r>
        <w:rPr>
          <w:color w:val="1F497D"/>
          <w:spacing w:val="-5"/>
        </w:rPr>
        <w:t>仍为外资。</w:t>
      </w:r>
      <w:r>
        <w:rPr>
          <w:color w:val="1F497D"/>
          <w:spacing w:val="-5"/>
          <w14:textOutline w14:w="3831">
            <w14:solidFill>
              <w14:srgbClr w14:val="1F497D"/>
            </w14:solidFill>
            <w14:prstDash w14:val="solid"/>
            <w14:round/>
          </w14:textOutline>
        </w:rPr>
        <w:t>②看盈利，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5"/>
        </w:rPr>
        <w:t>熔断器、</w:t>
      </w:r>
      <w:r>
        <w:rPr>
          <w:color w:val="1F497D"/>
          <w:spacing w:val="-6"/>
        </w:rPr>
        <w:t>继电器基本维持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6"/>
        </w:rPr>
        <w:t>35%~40%</w:t>
      </w:r>
      <w:r>
        <w:rPr>
          <w:color w:val="1F497D"/>
          <w:spacing w:val="-6"/>
        </w:rPr>
        <w:t>的毛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利率区间，连接器、薄膜电容毛利率约</w:t>
      </w:r>
      <w:r>
        <w:rPr>
          <w:color w:val="1F497D"/>
          <w:spacing w:val="-26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30%~35%</w:t>
      </w:r>
      <w:r>
        <w:rPr>
          <w:color w:val="1F497D"/>
          <w:spacing w:val="-4"/>
        </w:rPr>
        <w:t>。热管理、电机电控</w:t>
      </w:r>
      <w:r>
        <w:rPr>
          <w:color w:val="1F497D"/>
        </w:rPr>
        <w:t xml:space="preserve"> </w:t>
      </w:r>
      <w:r>
        <w:rPr>
          <w:color w:val="1F497D"/>
          <w:spacing w:val="-1"/>
        </w:rPr>
        <w:t>和</w:t>
      </w:r>
      <w:r>
        <w:rPr>
          <w:color w:val="1F497D"/>
          <w:spacing w:val="-1"/>
        </w:rPr>
        <w:t xml:space="preserve"> </w:t>
      </w:r>
      <w:r>
        <w:rPr>
          <w:rFonts w:ascii="Arial" w:eastAsia="Arial" w:hAnsi="Arial" w:cs="Arial"/>
          <w:color w:val="1F497D"/>
          <w:spacing w:val="-1"/>
        </w:rPr>
        <w:t xml:space="preserve">OBC  </w:t>
      </w:r>
      <w:r>
        <w:rPr>
          <w:color w:val="1F497D"/>
          <w:spacing w:val="-1"/>
        </w:rPr>
        <w:t>的毛利率相对更低，排序来看热管理＞电机电控＞</w:t>
      </w:r>
      <w:r>
        <w:rPr>
          <w:rFonts w:ascii="Arial" w:eastAsia="Arial" w:hAnsi="Arial" w:cs="Arial"/>
          <w:color w:val="1F497D"/>
          <w:spacing w:val="-2"/>
        </w:rPr>
        <w:t>OBC</w:t>
      </w:r>
      <w:r>
        <w:rPr>
          <w:rFonts w:ascii="Arial" w:eastAsia="Arial" w:hAnsi="Arial" w:cs="Arial"/>
          <w:color w:val="1F497D"/>
          <w:spacing w:val="-30"/>
        </w:rPr>
        <w:t xml:space="preserve"> </w:t>
      </w:r>
      <w:r>
        <w:rPr>
          <w:color w:val="1F497D"/>
          <w:spacing w:val="-2"/>
        </w:rPr>
        <w:t>，约</w:t>
      </w:r>
      <w:r>
        <w:rPr>
          <w:color w:val="1F497D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18%~23%</w:t>
      </w:r>
      <w:r>
        <w:rPr>
          <w:color w:val="1F497D"/>
          <w:spacing w:val="-4"/>
        </w:rPr>
        <w:t>。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③看弹性，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4"/>
        </w:rPr>
        <w:t>在</w:t>
      </w:r>
      <w:r>
        <w:rPr>
          <w:color w:val="1F497D"/>
          <w:spacing w:val="-51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2025</w:t>
      </w:r>
      <w:r>
        <w:rPr>
          <w:rFonts w:ascii="Arial" w:eastAsia="Arial" w:hAnsi="Arial" w:cs="Arial"/>
          <w:color w:val="1F497D"/>
          <w:spacing w:val="-5"/>
        </w:rPr>
        <w:t xml:space="preserve"> </w:t>
      </w:r>
      <w:r>
        <w:rPr>
          <w:color w:val="1F497D"/>
          <w:spacing w:val="-5"/>
        </w:rPr>
        <w:t>年高压快充渗透率</w:t>
      </w:r>
      <w:r>
        <w:rPr>
          <w:color w:val="1F497D"/>
          <w:spacing w:val="-46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20%</w:t>
      </w:r>
      <w:r>
        <w:rPr>
          <w:color w:val="1F497D"/>
          <w:spacing w:val="-5"/>
        </w:rPr>
        <w:t>的假设下，按</w:t>
      </w:r>
      <w:r>
        <w:rPr>
          <w:color w:val="1F497D"/>
        </w:rPr>
        <w:t xml:space="preserve"> </w:t>
      </w:r>
      <w:r>
        <w:rPr>
          <w:color w:val="1F497D"/>
        </w:rPr>
        <w:t>照全系</w:t>
      </w:r>
      <w:r>
        <w:rPr>
          <w:color w:val="1F497D"/>
        </w:rPr>
        <w:t xml:space="preserve"> </w:t>
      </w:r>
      <w:r>
        <w:rPr>
          <w:rFonts w:ascii="Arial" w:eastAsia="Arial" w:hAnsi="Arial" w:cs="Arial"/>
          <w:color w:val="1F497D"/>
        </w:rPr>
        <w:t xml:space="preserve">800V  </w:t>
      </w:r>
      <w:r>
        <w:rPr>
          <w:color w:val="1F497D"/>
        </w:rPr>
        <w:t>配置假设各环节单车价值量提</w:t>
      </w:r>
      <w:r>
        <w:rPr>
          <w:color w:val="1F497D"/>
          <w:spacing w:val="-1"/>
        </w:rPr>
        <w:t>升幅度，我们测算各环节</w:t>
      </w:r>
      <w:r>
        <w:rPr>
          <w:color w:val="1F497D"/>
        </w:rPr>
        <w:t xml:space="preserve"> </w:t>
      </w:r>
      <w:r>
        <w:rPr>
          <w:rFonts w:ascii="Arial" w:eastAsia="Arial" w:hAnsi="Arial" w:cs="Arial"/>
          <w:color w:val="1F497D"/>
          <w:spacing w:val="-1"/>
        </w:rPr>
        <w:t xml:space="preserve">2025 </w:t>
      </w:r>
      <w:r>
        <w:rPr>
          <w:color w:val="1F497D"/>
          <w:spacing w:val="-1"/>
        </w:rPr>
        <w:t>年市场空间弹性。结果来看，高压熔断器环节为弹性（高压</w:t>
      </w:r>
      <w:r>
        <w:rPr>
          <w:color w:val="1F497D"/>
          <w:spacing w:val="-2"/>
        </w:rPr>
        <w:t>电气</w:t>
      </w:r>
      <w:r>
        <w:rPr>
          <w:color w:val="1F497D"/>
        </w:rPr>
        <w:t xml:space="preserve"> </w:t>
      </w:r>
      <w:r>
        <w:rPr>
          <w:color w:val="1F497D"/>
        </w:rPr>
        <w:t>架构配置下市场空间弹性，下同）最大环节（</w:t>
      </w:r>
      <w:r>
        <w:rPr>
          <w:rFonts w:ascii="Arial" w:eastAsia="Arial" w:hAnsi="Arial" w:cs="Arial"/>
          <w:color w:val="1F497D"/>
        </w:rPr>
        <w:t>13.3%</w:t>
      </w:r>
      <w:r>
        <w:rPr>
          <w:color w:val="1F497D"/>
          <w:spacing w:val="-44"/>
          <w:w w:val="96"/>
        </w:rPr>
        <w:t>），</w:t>
      </w:r>
      <w:r>
        <w:rPr>
          <w:color w:val="1F497D"/>
        </w:rPr>
        <w:t>其次分别为高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压直流继电器（</w:t>
      </w:r>
      <w:r>
        <w:rPr>
          <w:rFonts w:ascii="Arial" w:eastAsia="Arial" w:hAnsi="Arial" w:cs="Arial"/>
          <w:color w:val="1F497D"/>
          <w:spacing w:val="-5"/>
        </w:rPr>
        <w:t>12.0%</w:t>
      </w:r>
      <w:r>
        <w:rPr>
          <w:color w:val="1F497D"/>
          <w:spacing w:val="-5"/>
        </w:rPr>
        <w:t>）、高压连接器（</w:t>
      </w:r>
      <w:r>
        <w:rPr>
          <w:rFonts w:ascii="Arial" w:eastAsia="Arial" w:hAnsi="Arial" w:cs="Arial"/>
          <w:color w:val="1F497D"/>
          <w:spacing w:val="-5"/>
        </w:rPr>
        <w:t>9.0%</w:t>
      </w:r>
      <w:r>
        <w:rPr>
          <w:color w:val="1F497D"/>
          <w:spacing w:val="-5"/>
        </w:rPr>
        <w:t>）、薄膜电</w:t>
      </w:r>
      <w:r>
        <w:rPr>
          <w:color w:val="1F497D"/>
          <w:spacing w:val="-6"/>
        </w:rPr>
        <w:t>容（</w:t>
      </w:r>
      <w:r>
        <w:rPr>
          <w:rFonts w:ascii="Arial" w:eastAsia="Arial" w:hAnsi="Arial" w:cs="Arial"/>
          <w:color w:val="1F497D"/>
          <w:spacing w:val="-6"/>
        </w:rPr>
        <w:t>7.7%</w:t>
      </w:r>
      <w:r>
        <w:rPr>
          <w:color w:val="1F497D"/>
          <w:spacing w:val="-6"/>
        </w:rPr>
        <w:t>）、</w:t>
      </w:r>
      <w:r>
        <w:rPr>
          <w:color w:val="1F497D"/>
        </w:rPr>
        <w:t xml:space="preserve"> </w:t>
      </w:r>
      <w:r>
        <w:rPr>
          <w:color w:val="1F497D"/>
          <w:spacing w:val="-8"/>
        </w:rPr>
        <w:t>电机电控系统（</w:t>
      </w:r>
      <w:r>
        <w:rPr>
          <w:rFonts w:ascii="Arial" w:eastAsia="Arial" w:hAnsi="Arial" w:cs="Arial"/>
          <w:color w:val="1F497D"/>
          <w:spacing w:val="-8"/>
        </w:rPr>
        <w:t>6.7%</w:t>
      </w:r>
      <w:r>
        <w:rPr>
          <w:color w:val="1F497D"/>
          <w:spacing w:val="-8"/>
        </w:rPr>
        <w:t>）、</w:t>
      </w:r>
      <w:r>
        <w:rPr>
          <w:rFonts w:ascii="Arial" w:eastAsia="Arial" w:hAnsi="Arial" w:cs="Arial"/>
          <w:color w:val="1F497D"/>
          <w:spacing w:val="-8"/>
        </w:rPr>
        <w:t>OBC</w:t>
      </w:r>
      <w:r>
        <w:rPr>
          <w:rFonts w:ascii="Arial" w:eastAsia="Arial" w:hAnsi="Arial" w:cs="Arial"/>
          <w:color w:val="1F497D"/>
          <w:spacing w:val="14"/>
        </w:rPr>
        <w:t xml:space="preserve"> </w:t>
      </w:r>
      <w:r>
        <w:rPr>
          <w:color w:val="1F497D"/>
          <w:spacing w:val="-8"/>
        </w:rPr>
        <w:t>集成（</w:t>
      </w:r>
      <w:r>
        <w:rPr>
          <w:rFonts w:ascii="Arial" w:eastAsia="Arial" w:hAnsi="Arial" w:cs="Arial"/>
          <w:color w:val="1F497D"/>
          <w:spacing w:val="-8"/>
        </w:rPr>
        <w:t>3.5%</w:t>
      </w:r>
      <w:r>
        <w:rPr>
          <w:color w:val="1F497D"/>
          <w:spacing w:val="-8"/>
        </w:rPr>
        <w:t>）、热管</w:t>
      </w:r>
      <w:r>
        <w:rPr>
          <w:color w:val="1F497D"/>
          <w:spacing w:val="-9"/>
        </w:rPr>
        <w:t>理系统（</w:t>
      </w:r>
      <w:r>
        <w:rPr>
          <w:rFonts w:ascii="Arial" w:eastAsia="Arial" w:hAnsi="Arial" w:cs="Arial"/>
          <w:color w:val="1F497D"/>
          <w:spacing w:val="-9"/>
        </w:rPr>
        <w:t>0.2%</w:t>
      </w:r>
      <w:r>
        <w:rPr>
          <w:color w:val="1F497D"/>
          <w:spacing w:val="-9"/>
        </w:rPr>
        <w:t>）。</w:t>
      </w:r>
    </w:p>
    <w:p>
      <w:pPr>
        <w:pStyle w:val="BodyText"/>
        <w:spacing w:before="80" w:line="277" w:lineRule="auto"/>
        <w:ind w:left="541" w:right="53" w:hanging="403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5"/>
        </w:rPr>
        <w:t xml:space="preserve">  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投资建议。</w:t>
      </w:r>
      <w:r>
        <w:rPr>
          <w:color w:val="1F497D"/>
          <w:spacing w:val="-1"/>
        </w:rPr>
        <w:t>从核心零部件未来生命周期增值与差异化角度看，</w:t>
      </w:r>
      <w:r>
        <w:rPr>
          <w:color w:val="1F497D"/>
          <w:spacing w:val="-2"/>
        </w:rPr>
        <w:t xml:space="preserve"> </w:t>
      </w:r>
      <w:r>
        <w:rPr>
          <w:color w:val="1F497D"/>
          <w:spacing w:val="-2"/>
        </w:rPr>
        <w:t>未来价</w:t>
      </w:r>
      <w:r>
        <w:rPr>
          <w:color w:val="1F497D"/>
        </w:rPr>
        <w:t xml:space="preserve"> </w:t>
      </w:r>
      <w:r>
        <w:rPr>
          <w:color w:val="1F497D"/>
          <w:spacing w:val="2"/>
        </w:rPr>
        <w:t>值潜力较大的环节主要包括高价值、高差异化部件系统。</w:t>
      </w:r>
      <w:r>
        <w:rPr>
          <w:color w:val="1F497D"/>
          <w:spacing w:val="2"/>
          <w14:textOutline w14:w="3831">
            <w14:solidFill>
              <w14:srgbClr w14:val="1F497D"/>
            </w14:solidFill>
            <w14:prstDash w14:val="solid"/>
            <w14:round/>
          </w14:textOutline>
        </w:rPr>
        <w:t>核心零部件</w:t>
      </w:r>
      <w:r>
        <w:rPr>
          <w:color w:val="1F497D"/>
          <w:spacing w:val="11"/>
        </w:rPr>
        <w:t xml:space="preserve"> </w:t>
      </w:r>
      <w:r>
        <w:rPr>
          <w:color w:val="1F497D"/>
          <w:spacing w:val="2"/>
          <w14:textOutline w14:w="3831">
            <w14:solidFill>
              <w14:srgbClr w14:val="1F497D"/>
            </w14:solidFill>
            <w14:prstDash w14:val="solid"/>
            <w14:round/>
          </w14:textOutline>
        </w:rPr>
        <w:t>环节优选熔断器、继电器、连接器等格局较好、盈利水平较高、利润</w:t>
      </w:r>
      <w:r>
        <w:rPr>
          <w:color w:val="1F497D"/>
          <w:spacing w:val="10"/>
        </w:rPr>
        <w:t xml:space="preserve"> </w:t>
      </w:r>
      <w:r>
        <w:rPr>
          <w:color w:val="1F497D"/>
          <w:spacing w:val="2"/>
          <w14:textOutline w14:w="3831">
            <w14:solidFill>
              <w14:srgbClr w14:val="1F497D"/>
            </w14:solidFill>
            <w14:prstDash w14:val="solid"/>
            <w14:round/>
          </w14:textOutline>
        </w:rPr>
        <w:t>弹性较大的子赛道，同时在上游原材料环节，优选有望受益高压快充</w:t>
      </w:r>
      <w:r>
        <w:rPr>
          <w:color w:val="1F497D"/>
          <w:spacing w:val="11"/>
        </w:rPr>
        <w:t xml:space="preserve"> </w:t>
      </w:r>
      <w:r>
        <w:rPr>
          <w:color w:val="1F497D"/>
          <w:spacing w:val="2"/>
          <w14:textOutline w14:w="3831">
            <w14:solidFill>
              <w14:srgbClr w14:val="1F497D"/>
            </w14:solidFill>
            <w14:prstDash w14:val="solid"/>
            <w14:round/>
          </w14:textOutline>
        </w:rPr>
        <w:t>产业趋势的高端铜合金赛道，建议关注产业链细分龙头中熔电气、宏</w:t>
      </w:r>
      <w:r>
        <w:rPr>
          <w:color w:val="1F497D"/>
          <w:spacing w:val="10"/>
        </w:rPr>
        <w:t xml:space="preserve"> 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发股份、博威合金、威迈斯、永贵电器、瑞可达（通信</w:t>
      </w:r>
      <w:r>
        <w:rPr>
          <w:rFonts w:ascii="Arial" w:eastAsia="Arial" w:hAnsi="Arial" w:cs="Arial"/>
          <w:b/>
          <w:bCs/>
          <w:color w:val="1F497D"/>
          <w:spacing w:val="-7"/>
        </w:rPr>
        <w:t>&amp;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电子覆</w:t>
      </w:r>
      <w:r>
        <w:rPr>
          <w:color w:val="1F497D"/>
          <w:spacing w:val="-8"/>
          <w14:textOutline w14:w="3831">
            <w14:solidFill>
              <w14:srgbClr w14:val="1F497D"/>
            </w14:solidFill>
            <w14:prstDash w14:val="solid"/>
            <w14:round/>
          </w14:textOutline>
        </w:rPr>
        <w:t>盖）等。</w:t>
      </w:r>
    </w:p>
    <w:p>
      <w:pPr>
        <w:pStyle w:val="BodyText"/>
        <w:spacing w:before="67" w:line="235" w:lineRule="auto"/>
        <w:ind w:left="546" w:right="49" w:hanging="408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41"/>
        </w:rPr>
        <w:t xml:space="preserve">  </w:t>
      </w:r>
      <w:r>
        <w:rPr>
          <w:color w:val="1F497D"/>
          <w:spacing w:val="2"/>
          <w14:textOutline w14:w="3831">
            <w14:solidFill>
              <w14:srgbClr w14:val="1F497D"/>
            </w14:solidFill>
            <w14:prstDash w14:val="solid"/>
            <w14:round/>
          </w14:textOutline>
        </w:rPr>
        <w:t>风险提示。</w:t>
      </w:r>
      <w:r>
        <w:rPr>
          <w:color w:val="1F497D"/>
          <w:spacing w:val="2"/>
        </w:rPr>
        <w:t>新能源汽车行业发展不及预期的风险；各环节行业竞争加</w:t>
      </w:r>
      <w:r>
        <w:rPr>
          <w:color w:val="1F497D"/>
          <w:spacing w:val="1"/>
        </w:rPr>
        <w:t xml:space="preserve"> </w:t>
      </w:r>
      <w:r>
        <w:rPr>
          <w:color w:val="1F497D"/>
          <w:spacing w:val="-3"/>
        </w:rPr>
        <w:t>剧的风险；主要原材料价格上涨的风险；各环节产品技术迭代的风险。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0"/>
          <w:footerReference w:type="default" r:id="rId11"/>
          <w:type w:val="continuous"/>
          <w:pgSz w:w="11907" w:h="16839"/>
          <w:pgMar w:top="1715" w:right="638" w:bottom="1289" w:left="622" w:header="794" w:footer="723" w:gutter="0"/>
          <w:pgNumType w:start="2"/>
          <w:cols w:num="2" w:space="708" w:equalWidth="0">
            <w:col w:w="7031" w:space="100"/>
            <w:col w:w="351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"/>
        <w:tblW w:w="351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27"/>
        <w:gridCol w:w="987"/>
      </w:tblGrid>
      <w:tr>
        <w:tblPrEx>
          <w:tblW w:w="351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16"/>
        </w:trPr>
        <w:tc>
          <w:tcPr>
            <w:tcW w:w="3514" w:type="dxa"/>
            <w:gridSpan w:val="2"/>
            <w:vAlign w:val="top"/>
          </w:tcPr>
          <w:tbl>
            <w:tblPr>
              <w:tblStyle w:val="TableNormal0"/>
              <w:tblW w:w="3513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2376"/>
              <w:gridCol w:w="1137"/>
            </w:tblGrid>
            <w:tr>
              <w:tblPrEx>
                <w:tblW w:w="3513" w:type="dxa"/>
                <w:tblInd w:w="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401"/>
              </w:trPr>
              <w:tc>
                <w:tcPr>
                  <w:tcW w:w="2376" w:type="dxa"/>
                  <w:tcBorders>
                    <w:bottom w:val="single" w:sz="2" w:space="0" w:color="1F497D"/>
                  </w:tcBorders>
                  <w:shd w:val="clear" w:color="auto" w:fill="DEDFEF"/>
                  <w:vAlign w:val="top"/>
                </w:tcPr>
                <w:p>
                  <w:pPr>
                    <w:spacing w:before="78" w:line="215" w:lineRule="auto"/>
                    <w:ind w:left="115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1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行业评级</w:t>
                  </w:r>
                </w:p>
              </w:tc>
              <w:tc>
                <w:tcPr>
                  <w:tcW w:w="1137" w:type="dxa"/>
                  <w:tcBorders>
                    <w:bottom w:val="single" w:sz="2" w:space="0" w:color="1F497D"/>
                  </w:tcBorders>
                  <w:shd w:val="clear" w:color="auto" w:fill="DEDFEF"/>
                  <w:vAlign w:val="top"/>
                </w:tcPr>
                <w:p>
                  <w:pPr>
                    <w:spacing w:before="78" w:line="225" w:lineRule="auto"/>
                    <w:ind w:left="572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6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买入</w:t>
                  </w:r>
                </w:p>
              </w:tc>
            </w:tr>
            <w:tr>
              <w:tblPrEx>
                <w:tblW w:w="3513" w:type="dxa"/>
                <w:tblInd w:w="0" w:type="dxa"/>
                <w:tblLayout w:type="fixed"/>
              </w:tblPrEx>
              <w:trPr>
                <w:trHeight w:val="1346"/>
              </w:trPr>
              <w:tc>
                <w:tcPr>
                  <w:tcW w:w="2376" w:type="dxa"/>
                  <w:tcBorders>
                    <w:top w:val="single" w:sz="2" w:space="0" w:color="1F497D"/>
                    <w:bottom w:val="single" w:sz="2" w:space="0" w:color="1F497D"/>
                  </w:tcBorders>
                  <w:vAlign w:val="top"/>
                </w:tcPr>
                <w:p>
                  <w:pPr>
                    <w:spacing w:before="71" w:line="327" w:lineRule="exact"/>
                    <w:ind w:left="118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2"/>
                      <w:position w:val="11"/>
                      <w:sz w:val="18"/>
                      <w:szCs w:val="18"/>
                    </w:rPr>
                    <w:t>前次评级</w:t>
                  </w:r>
                </w:p>
                <w:p>
                  <w:pPr>
                    <w:spacing w:line="216" w:lineRule="auto"/>
                    <w:ind w:left="111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1"/>
                      <w:sz w:val="18"/>
                      <w:szCs w:val="18"/>
                    </w:rPr>
                    <w:t>报告日期</w:t>
                  </w:r>
                </w:p>
                <w:p>
                  <w:pPr>
                    <w:pStyle w:val="TableText"/>
                    <w:spacing w:line="387" w:lineRule="auto"/>
                    <w:rPr>
                      <w:sz w:val="21"/>
                    </w:rPr>
                  </w:pPr>
                </w:p>
                <w:p>
                  <w:pPr>
                    <w:spacing w:before="68" w:line="220" w:lineRule="auto"/>
                    <w:ind w:left="46"/>
                    <w:rPr>
                      <w:rFonts w:ascii="KaiTi" w:eastAsia="KaiTi" w:hAnsi="KaiTi" w:cs="KaiTi"/>
                      <w:sz w:val="21"/>
                      <w:szCs w:val="21"/>
                    </w:rPr>
                  </w:pPr>
                  <w:r>
                    <w:rPr>
                      <w:rFonts w:ascii="KaiTi" w:eastAsia="KaiTi" w:hAnsi="KaiTi" w:cs="KaiTi"/>
                      <w:color w:val="1F497D"/>
                      <w:spacing w:val="1"/>
                      <w:sz w:val="21"/>
                      <w:szCs w:val="21"/>
                      <w14:textOutline w14:w="3831">
                        <w14:solidFill>
                          <w14:srgbClr w14:val="1F497D"/>
                        </w14:solidFill>
                        <w14:prstDash w14:val="solid"/>
                        <w14:round/>
                      </w14:textOutline>
                    </w:rPr>
                    <w:t>相对市场表现</w:t>
                  </w:r>
                </w:p>
              </w:tc>
              <w:tc>
                <w:tcPr>
                  <w:tcW w:w="1137" w:type="dxa"/>
                  <w:tcBorders>
                    <w:top w:val="single" w:sz="2" w:space="0" w:color="1F497D"/>
                    <w:bottom w:val="single" w:sz="2" w:space="0" w:color="1F497D"/>
                  </w:tcBorders>
                  <w:vAlign w:val="top"/>
                </w:tcPr>
                <w:p>
                  <w:pPr>
                    <w:spacing w:before="71" w:line="343" w:lineRule="exact"/>
                    <w:ind w:left="688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5"/>
                      <w:position w:val="12"/>
                      <w:sz w:val="18"/>
                      <w:szCs w:val="18"/>
                    </w:rPr>
                    <w:t>买入</w:t>
                  </w:r>
                </w:p>
                <w:p>
                  <w:pPr>
                    <w:pStyle w:val="TableText"/>
                    <w:spacing w:line="196" w:lineRule="auto"/>
                    <w:ind w:left="113"/>
                  </w:pPr>
                  <w:r>
                    <w:rPr>
                      <w:color w:val="17365D"/>
                      <w:spacing w:val="-1"/>
                    </w:rPr>
                    <w:t>2024-03-08</w:t>
                  </w:r>
                </w:p>
              </w:tc>
            </w:tr>
          </w:tbl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</w:tr>
      <w:tr>
        <w:tblPrEx>
          <w:tblW w:w="3514" w:type="dxa"/>
          <w:tblInd w:w="0" w:type="dxa"/>
          <w:tblLayout w:type="fixed"/>
        </w:tblPrEx>
        <w:trPr>
          <w:trHeight w:val="2026"/>
        </w:trPr>
        <w:tc>
          <w:tcPr>
            <w:tcW w:w="3514" w:type="dxa"/>
            <w:gridSpan w:val="2"/>
            <w:vAlign w:val="top"/>
          </w:tcPr>
          <w:p>
            <w:pPr>
              <w:pStyle w:val="TableText"/>
              <w:spacing w:before="157" w:line="218" w:lineRule="auto"/>
              <w:ind w:left="272"/>
              <w:rPr>
                <w:sz w:val="11"/>
                <w:szCs w:val="11"/>
              </w:rPr>
            </w:pPr>
            <w:r>
              <w:pict>
                <v:shape id="_x0000_s1030" style="width:0.75pt;height:85.55pt;margin-top:10.24pt;margin-left:25.8pt;position:absolute;z-index:-251658240" coordorigin="0,0" coordsize="15,1711" path="m7,1710l7,e" filled="f" strokecolor="#868686" strokeweight="0.75pt"/>
              </w:pict>
            </w: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327596</wp:posOffset>
                  </wp:positionH>
                  <wp:positionV relativeFrom="paragraph">
                    <wp:posOffset>149289</wp:posOffset>
                  </wp:positionV>
                  <wp:extent cx="1691449" cy="45847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449" cy="45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31" style="width:1.35pt;height:3.15pt;margin-top:56.75pt;margin-left:-68.38pt;mso-position-horizontal-relative:right-margin-area;mso-position-vertical-relative:top-margin-area;position:absolute;z-index:251669504" filled="t" fillcolor="red" stroked="f"/>
              </w:pict>
            </w:r>
            <w:r>
              <w:pict>
                <v:rect id="_x0000_s1032" style="width:0.65pt;height:6.45pt;margin-top:89.51pt;margin-left:-26.26pt;mso-position-horizontal-relative:right-margin-area;mso-position-vertical-relative:top-margin-area;position:absolute;z-index:251670528" filled="t" fillcolor="red" stroked="f"/>
              </w:pict>
            </w:r>
            <w:r>
              <w:pict>
                <v:rect id="_x0000_s1033" style="width:0.65pt;height:4.1pt;margin-top:45.83pt;margin-left:-87.46pt;mso-position-horizontal-relative:right-margin-area;mso-position-vertical-relative:top-margin-area;position:absolute;z-index:251671552" filled="t" fillcolor="red" stroked="f"/>
              </w:pict>
            </w:r>
            <w:r>
              <w:pict>
                <v:rect id="_x0000_s1034" style="width:0.65pt;height:1.6pt;margin-top:24.11pt;margin-left:-82.66pt;mso-position-horizontal-relative:right-margin-area;mso-position-vertical-relative:top-margin-area;position:absolute;z-index:251672576" filled="t" fillcolor="navy" stroked="f"/>
              </w:pict>
            </w: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rightMargin">
                    <wp:posOffset>-1148778</wp:posOffset>
                  </wp:positionH>
                  <wp:positionV relativeFrom="topMargin">
                    <wp:posOffset>303099</wp:posOffset>
                  </wp:positionV>
                  <wp:extent cx="7746" cy="7746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6" cy="7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rightMargin">
                    <wp:posOffset>-379159</wp:posOffset>
                  </wp:positionH>
                  <wp:positionV relativeFrom="topMargin">
                    <wp:posOffset>496647</wp:posOffset>
                  </wp:positionV>
                  <wp:extent cx="161671" cy="12357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71" cy="123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rightMargin">
                    <wp:posOffset>-1031430</wp:posOffset>
                  </wp:positionH>
                  <wp:positionV relativeFrom="topMargin">
                    <wp:posOffset>612471</wp:posOffset>
                  </wp:positionV>
                  <wp:extent cx="705738" cy="93091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738" cy="93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5" style="width:60pt;height:40.75pt;margin-top:55.19pt;margin-left:-76.78pt;mso-position-horizontal-relative:right-margin-area;mso-position-vertical-relative:top-margin-area;position:absolute;z-index:-251654144" coordorigin="0,0" coordsize="1200,815" path="m2,28l9,57l16,2m192,91l199,81l206,120l213,148l220,129l242,211l249,194l259,199l266,208l273,122l295,93l302,132l309,144l316,194l324,148l345,60l352,69l360,69l367,48l374,76l398,67l405,81l412,45l420,108l427,96l448,86l456,108l463,163l470,146l477,189m499,218l506,199l516,235l523,249l530,266l552,292l559,336l566,300l573,319l580,326l602,314l609,328m669,465l676,400m720,398l727,252l734,244l763,285l772,288l780,331l787,372l808,400l816,379l823,360l830,307l837,304l859,333l866,300l873,376l880,333l888,379l912,465l919,446l926,458l933,417l940,463l962,564l969,631l976,667l984,672l991,751l1012,811m1020,688l1029,638l1036,576l1116,576l1123,588l1130,559l1137,540l1144,508l1168,511l1176,470l1183,530l1190,446l1197,420e" filled="f" strokecolor="red" strokeweight="0.25pt">
                  <v:stroke endcap="round"/>
                </v:shape>
              </w:pict>
            </w:r>
            <w:r>
              <w:pict>
                <v:shape id="_x0000_s1036" style="width:12.4pt;height:14.1pt;margin-top:64.55pt;margin-left:-53.02pt;mso-position-horizontal-relative:right-margin-area;mso-position-vertical-relative:top-margin-area;position:absolute;z-index:251668480" coordorigin="0,0" coordsize="247,282" path="m2,2l24,31m134,141l141,192l148,204l156,208l180,271l187,252l194,278m201,213l208,192l230,180l237,199l244,211e" filled="f" strokecolor="red" strokeweight="0.25pt">
                  <v:stroke endcap="round"/>
                </v:shape>
              </w:pict>
            </w:r>
            <w:r>
              <w:rPr>
                <w:spacing w:val="-3"/>
                <w:sz w:val="11"/>
                <w:szCs w:val="11"/>
              </w:rPr>
              <w:t>1%</w:t>
            </w:r>
            <w:r>
              <w:rPr>
                <w:sz w:val="11"/>
                <w:szCs w:val="11"/>
              </w:rPr>
              <w:t xml:space="preserve">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2097" cy="9525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sz w:val="11"/>
                <w:szCs w:val="11"/>
              </w:rPr>
              <w:t xml:space="preserve">         </w:t>
            </w:r>
            <w:r>
              <w:rPr>
                <w:position w:val="-2"/>
                <w:sz w:val="11"/>
                <w:szCs w:val="11"/>
              </w:rPr>
              <w:drawing>
                <wp:inline distT="0" distB="0" distL="0" distR="0">
                  <wp:extent cx="27559" cy="41211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9" cy="41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68" w:line="162" w:lineRule="auto"/>
              <w:ind w:left="389"/>
              <w:rPr>
                <w:sz w:val="11"/>
                <w:szCs w:val="11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333057</wp:posOffset>
                  </wp:positionH>
                  <wp:positionV relativeFrom="paragraph">
                    <wp:posOffset>-16028</wp:posOffset>
                  </wp:positionV>
                  <wp:extent cx="659765" cy="315594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765" cy="315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337375</wp:posOffset>
                  </wp:positionH>
                  <wp:positionV relativeFrom="paragraph">
                    <wp:posOffset>19023</wp:posOffset>
                  </wp:positionV>
                  <wp:extent cx="1680845" cy="431419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845" cy="431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1"/>
                <w:sz w:val="11"/>
                <w:szCs w:val="11"/>
              </w:rPr>
              <w:t>03/23     05/23</w:t>
            </w:r>
            <w:r>
              <w:rPr>
                <w:spacing w:val="4"/>
                <w:sz w:val="11"/>
                <w:szCs w:val="11"/>
              </w:rPr>
              <w:t xml:space="preserve">     </w:t>
            </w:r>
            <w:r>
              <w:rPr>
                <w:spacing w:val="1"/>
                <w:sz w:val="11"/>
                <w:szCs w:val="11"/>
              </w:rPr>
              <w:t>07/23</w:t>
            </w:r>
            <w:r>
              <w:rPr>
                <w:spacing w:val="4"/>
                <w:sz w:val="11"/>
                <w:szCs w:val="11"/>
              </w:rPr>
              <w:t xml:space="preserve">     </w:t>
            </w:r>
            <w:r>
              <w:rPr>
                <w:spacing w:val="1"/>
                <w:sz w:val="11"/>
                <w:szCs w:val="11"/>
              </w:rPr>
              <w:t>09/23</w:t>
            </w:r>
            <w:r>
              <w:rPr>
                <w:spacing w:val="4"/>
                <w:sz w:val="11"/>
                <w:szCs w:val="11"/>
              </w:rPr>
              <w:t xml:space="preserve">     </w:t>
            </w:r>
            <w:r>
              <w:rPr>
                <w:spacing w:val="1"/>
                <w:sz w:val="11"/>
                <w:szCs w:val="11"/>
              </w:rPr>
              <w:t>11/23</w:t>
            </w:r>
            <w:r>
              <w:rPr>
                <w:spacing w:val="3"/>
                <w:sz w:val="11"/>
                <w:szCs w:val="11"/>
              </w:rPr>
              <w:t xml:space="preserve">     </w:t>
            </w:r>
            <w:r>
              <w:rPr>
                <w:spacing w:val="1"/>
                <w:sz w:val="11"/>
                <w:szCs w:val="11"/>
              </w:rPr>
              <w:t>01/24</w:t>
            </w:r>
          </w:p>
          <w:p>
            <w:pPr>
              <w:pStyle w:val="TableText"/>
              <w:spacing w:before="22"/>
              <w:ind w:left="225"/>
              <w:rPr>
                <w:sz w:val="11"/>
                <w:szCs w:val="11"/>
              </w:rPr>
            </w:pPr>
            <w:r>
              <w:rPr>
                <w:spacing w:val="2"/>
                <w:sz w:val="11"/>
                <w:szCs w:val="11"/>
              </w:rPr>
              <w:t>-8%</w:t>
            </w:r>
            <w:r>
              <w:rPr>
                <w:sz w:val="11"/>
                <w:szCs w:val="11"/>
              </w:rPr>
              <w:t xml:space="preserve">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2097" cy="8601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8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11"/>
                <w:szCs w:val="11"/>
              </w:rPr>
              <w:t xml:space="preserve">  </w:t>
            </w:r>
            <w:r>
              <w:rPr>
                <w:position w:val="-6"/>
                <w:sz w:val="11"/>
                <w:szCs w:val="11"/>
              </w:rPr>
              <w:drawing>
                <wp:inline distT="0" distB="0" distL="0" distR="0">
                  <wp:extent cx="990727" cy="121221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727" cy="121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93" w:lineRule="exact"/>
              <w:ind w:left="884"/>
            </w:pPr>
            <w:r>
              <w:rPr>
                <w:position w:val="-4"/>
              </w:rPr>
              <w:drawing>
                <wp:inline distT="0" distB="0" distL="0" distR="0">
                  <wp:extent cx="1047115" cy="122682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115" cy="122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229" w:lineRule="auto"/>
              <w:ind w:left="161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 xml:space="preserve">-17%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2097" cy="9269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sz w:val="11"/>
                <w:szCs w:val="11"/>
              </w:rPr>
              <w:t xml:space="preserve">                      </w:t>
            </w:r>
            <w:r>
              <w:rPr>
                <w:sz w:val="11"/>
                <w:szCs w:val="11"/>
              </w:rPr>
              <w:t xml:space="preserve">                 </w:t>
            </w:r>
            <w:r>
              <w:rPr>
                <w:position w:val="-8"/>
                <w:sz w:val="11"/>
                <w:szCs w:val="11"/>
              </w:rPr>
              <w:drawing>
                <wp:inline distT="0" distB="0" distL="0" distR="0">
                  <wp:extent cx="100710" cy="112838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10" cy="112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sz w:val="11"/>
                <w:szCs w:val="11"/>
              </w:rPr>
              <w:t xml:space="preserve">                    </w:t>
            </w:r>
            <w:r>
              <w:rPr>
                <w:position w:val="-7"/>
                <w:sz w:val="11"/>
                <w:szCs w:val="11"/>
              </w:rPr>
              <w:drawing>
                <wp:inline distT="0" distB="0" distL="0" distR="0">
                  <wp:extent cx="365886" cy="103940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886" cy="10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1" w:line="65" w:lineRule="exact"/>
              <w:ind w:left="1968"/>
            </w:pPr>
            <w:r>
              <w:rPr>
                <w:position w:val="-1"/>
              </w:rPr>
              <w:drawing>
                <wp:inline distT="0" distB="0" distL="0" distR="0">
                  <wp:extent cx="115950" cy="41275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50" cy="41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7" w:line="203" w:lineRule="auto"/>
              <w:ind w:left="161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 xml:space="preserve">-27%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2097" cy="952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35" w:line="203" w:lineRule="auto"/>
              <w:ind w:left="161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 xml:space="preserve">-36%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2097" cy="9525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35" w:line="203" w:lineRule="auto"/>
              <w:ind w:left="161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 xml:space="preserve">-45%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2097" cy="952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514" w:type="dxa"/>
          <w:tblInd w:w="0" w:type="dxa"/>
          <w:tblLayout w:type="fixed"/>
        </w:tblPrEx>
        <w:trPr>
          <w:trHeight w:val="5760"/>
        </w:trPr>
        <w:tc>
          <w:tcPr>
            <w:tcW w:w="3514" w:type="dxa"/>
            <w:gridSpan w:val="2"/>
            <w:tcBorders>
              <w:bottom w:val="single" w:sz="8" w:space="0" w:color="FFFFFF"/>
            </w:tcBorders>
            <w:vAlign w:val="top"/>
          </w:tcPr>
          <w:p>
            <w:pPr>
              <w:tabs>
                <w:tab w:val="left" w:pos="1216"/>
              </w:tabs>
              <w:spacing w:before="70" w:line="232" w:lineRule="auto"/>
              <w:ind w:left="828"/>
              <w:rPr>
                <w:rFonts w:ascii="Calibri" w:eastAsia="Calibri" w:hAnsi="Calibri" w:cs="Calibri"/>
                <w:sz w:val="13"/>
                <w:szCs w:val="13"/>
              </w:rPr>
            </w:pP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rightMargin">
                    <wp:posOffset>-2040254</wp:posOffset>
                  </wp:positionH>
                  <wp:positionV relativeFrom="topMargin">
                    <wp:posOffset>703555</wp:posOffset>
                  </wp:positionV>
                  <wp:extent cx="219075" cy="597192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597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7456" behindDoc="0" locked="0" layoutInCell="1" allowOverlap="1">
                  <wp:simplePos x="0" y="0"/>
                  <wp:positionH relativeFrom="rightMargin">
                    <wp:posOffset>-2040254</wp:posOffset>
                  </wp:positionH>
                  <wp:positionV relativeFrom="topMargin">
                    <wp:posOffset>1634973</wp:posOffset>
                  </wp:positionV>
                  <wp:extent cx="219075" cy="194729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eastAsia="KaiTi" w:hAnsi="KaiTi" w:cs="KaiTi"/>
                <w:strike/>
                <w:sz w:val="13"/>
                <w:szCs w:val="13"/>
              </w:rPr>
              <w:tab/>
            </w:r>
            <w:r>
              <w:rPr>
                <w:rFonts w:ascii="KaiTi" w:eastAsia="KaiTi" w:hAnsi="KaiTi" w:cs="KaiTi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电力设备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trike/>
                <w:spacing w:val="12"/>
                <w:sz w:val="13"/>
                <w:szCs w:val="13"/>
              </w:rPr>
              <w:t xml:space="preserve">     </w:t>
            </w:r>
            <w:r>
              <w:rPr>
                <w:rFonts w:ascii="KaiTi" w:eastAsia="KaiTi" w:hAnsi="KaiTi" w:cs="KaiTi"/>
                <w:spacing w:val="-4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13"/>
                <w:szCs w:val="13"/>
              </w:rPr>
              <w:t>沪深</w:t>
            </w:r>
            <w:r>
              <w:rPr>
                <w:rFonts w:ascii="Calibri" w:eastAsia="Calibri" w:hAnsi="Calibri" w:cs="Calibri"/>
                <w:spacing w:val="2"/>
                <w:sz w:val="13"/>
                <w:szCs w:val="13"/>
              </w:rPr>
              <w:t>300</w:t>
            </w:r>
          </w:p>
          <w:p>
            <w:pPr>
              <w:pStyle w:val="TableText"/>
              <w:spacing w:line="275" w:lineRule="auto"/>
              <w:rPr>
                <w:sz w:val="21"/>
              </w:rPr>
            </w:pPr>
          </w:p>
          <w:p>
            <w:pPr>
              <w:pStyle w:val="TableText"/>
              <w:spacing w:line="275" w:lineRule="auto"/>
              <w:rPr>
                <w:sz w:val="21"/>
              </w:rPr>
            </w:pPr>
          </w:p>
          <w:p>
            <w:pPr>
              <w:spacing w:before="59" w:line="214" w:lineRule="auto"/>
              <w:ind w:left="12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</w:rPr>
              <w:t>陈子坤</w:t>
            </w:r>
          </w:p>
          <w:p>
            <w:pPr>
              <w:pStyle w:val="TableText"/>
              <w:spacing w:before="133" w:line="336" w:lineRule="exact"/>
              <w:ind w:left="1077"/>
              <w:rPr>
                <w:sz w:val="15"/>
                <w:szCs w:val="15"/>
              </w:rPr>
            </w:pPr>
            <w:r>
              <w:rPr>
                <w:color w:val="1F497D"/>
                <w:spacing w:val="-4"/>
                <w:position w:val="14"/>
                <w:sz w:val="15"/>
                <w:szCs w:val="15"/>
              </w:rPr>
              <w:t>SAC</w:t>
            </w:r>
            <w:r>
              <w:rPr>
                <w:color w:val="1F497D"/>
                <w:spacing w:val="42"/>
                <w:w w:val="101"/>
                <w:position w:val="14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position w:val="1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position w:val="1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position w:val="14"/>
                <w:sz w:val="15"/>
                <w:szCs w:val="15"/>
              </w:rPr>
              <w:t>S0260513080001</w:t>
            </w:r>
          </w:p>
          <w:p>
            <w:pPr>
              <w:pStyle w:val="TableText"/>
              <w:spacing w:line="194" w:lineRule="auto"/>
              <w:ind w:left="1077"/>
            </w:pPr>
            <w:r>
              <w:rPr>
                <w:color w:val="1F497D"/>
                <w:spacing w:val="-1"/>
              </w:rPr>
              <w:t>010-59136690</w:t>
            </w:r>
          </w:p>
          <w:p>
            <w:pPr>
              <w:pStyle w:val="TableText"/>
              <w:spacing w:before="157" w:line="196" w:lineRule="auto"/>
              <w:ind w:left="1077"/>
            </w:pPr>
            <w:r>
              <w:rPr>
                <w:color w:val="1F497D"/>
                <w:spacing w:val="-1"/>
              </w:rPr>
              <w:t>chenzikun@gf.com.cn</w:t>
            </w:r>
          </w:p>
          <w:p>
            <w:pPr>
              <w:spacing w:before="131" w:line="217" w:lineRule="auto"/>
              <w:ind w:left="12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</w:rPr>
              <w:t>纪成炜</w:t>
            </w:r>
          </w:p>
          <w:p>
            <w:pPr>
              <w:pStyle w:val="TableText"/>
              <w:spacing w:before="129" w:line="219" w:lineRule="auto"/>
              <w:ind w:left="1077"/>
              <w:rPr>
                <w:sz w:val="15"/>
                <w:szCs w:val="15"/>
              </w:rPr>
            </w:pPr>
            <w:r>
              <w:rPr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color w:val="1F497D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S0260518060001</w:t>
            </w:r>
          </w:p>
          <w:p>
            <w:pPr>
              <w:pStyle w:val="TableText"/>
              <w:spacing w:before="169" w:line="197" w:lineRule="auto"/>
              <w:ind w:left="1077"/>
              <w:rPr>
                <w:sz w:val="15"/>
                <w:szCs w:val="15"/>
              </w:rPr>
            </w:pPr>
            <w:r>
              <w:rPr>
                <w:color w:val="1F497D"/>
                <w:spacing w:val="-2"/>
                <w:sz w:val="15"/>
                <w:szCs w:val="15"/>
              </w:rPr>
              <w:t>SFC CE</w:t>
            </w:r>
            <w:r>
              <w:rPr>
                <w:color w:val="1F497D"/>
                <w:spacing w:val="13"/>
                <w:w w:val="101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2"/>
                <w:sz w:val="15"/>
                <w:szCs w:val="15"/>
              </w:rPr>
              <w:t>No.</w:t>
            </w:r>
            <w:r>
              <w:rPr>
                <w:color w:val="1F497D"/>
                <w:spacing w:val="12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2"/>
                <w:sz w:val="15"/>
                <w:szCs w:val="15"/>
              </w:rPr>
              <w:t>BOI548</w:t>
            </w:r>
          </w:p>
          <w:p>
            <w:pPr>
              <w:pStyle w:val="TableText"/>
              <w:spacing w:before="95"/>
              <w:ind w:left="300"/>
            </w:pPr>
            <w:r>
              <w:rPr>
                <w:color w:val="1F497D"/>
                <w:position w:val="-7"/>
              </w:rPr>
              <w:drawing>
                <wp:inline distT="0" distB="0" distL="0" distR="0">
                  <wp:extent cx="219075" cy="180975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</w:rPr>
              <w:t xml:space="preserve">        </w:t>
            </w:r>
            <w:r>
              <w:rPr>
                <w:color w:val="1F497D"/>
                <w:spacing w:val="-1"/>
              </w:rPr>
              <w:t>021-38003594</w:t>
            </w:r>
          </w:p>
          <w:p>
            <w:pPr>
              <w:pStyle w:val="TableText"/>
              <w:spacing w:before="49"/>
              <w:ind w:left="300"/>
            </w:pPr>
            <w:r>
              <w:rPr>
                <w:color w:val="1F497D"/>
                <w:position w:val="-6"/>
              </w:rPr>
              <w:drawing>
                <wp:inline distT="0" distB="0" distL="0" distR="0">
                  <wp:extent cx="219075" cy="171450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</w:rPr>
              <w:t xml:space="preserve">        </w:t>
            </w:r>
            <w:r>
              <w:rPr>
                <w:color w:val="1F497D"/>
              </w:rPr>
              <w:t>jichengwei</w:t>
            </w:r>
            <w:r>
              <w:rPr>
                <w:color w:val="1F497D"/>
                <w:spacing w:val="3"/>
              </w:rPr>
              <w:t>@</w:t>
            </w:r>
            <w:r>
              <w:rPr>
                <w:color w:val="1F497D"/>
              </w:rPr>
              <w:t>gf</w:t>
            </w:r>
            <w:r>
              <w:rPr>
                <w:color w:val="1F497D"/>
                <w:spacing w:val="3"/>
              </w:rPr>
              <w:t>.</w:t>
            </w:r>
            <w:r>
              <w:rPr>
                <w:color w:val="1F497D"/>
              </w:rPr>
              <w:t>com</w:t>
            </w:r>
            <w:r>
              <w:rPr>
                <w:color w:val="1F497D"/>
                <w:spacing w:val="3"/>
              </w:rPr>
              <w:t>.</w:t>
            </w:r>
            <w:r>
              <w:rPr>
                <w:color w:val="1F497D"/>
              </w:rPr>
              <w:t>cn</w:t>
            </w:r>
          </w:p>
          <w:p>
            <w:pPr>
              <w:spacing w:before="104" w:line="216" w:lineRule="auto"/>
              <w:ind w:left="12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</w:rPr>
              <w:t>李靖</w:t>
            </w:r>
          </w:p>
          <w:p>
            <w:pPr>
              <w:pStyle w:val="TableText"/>
              <w:spacing w:before="49"/>
              <w:ind w:left="300"/>
              <w:rPr>
                <w:sz w:val="15"/>
                <w:szCs w:val="15"/>
              </w:rPr>
            </w:pPr>
            <w:r>
              <w:rPr>
                <w:color w:val="1F497D"/>
                <w:position w:val="-9"/>
                <w:sz w:val="15"/>
                <w:szCs w:val="15"/>
              </w:rPr>
              <w:drawing>
                <wp:inline distT="0" distB="0" distL="0" distR="0">
                  <wp:extent cx="219075" cy="194729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  <w:sz w:val="15"/>
                <w:szCs w:val="15"/>
              </w:rPr>
              <w:t xml:space="preserve">          </w:t>
            </w:r>
            <w:r>
              <w:rPr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color w:val="1F497D"/>
                <w:spacing w:val="37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S0260522070005</w:t>
            </w:r>
          </w:p>
          <w:p>
            <w:pPr>
              <w:pStyle w:val="TableText"/>
              <w:spacing w:before="30"/>
              <w:ind w:left="300"/>
            </w:pPr>
            <w:r>
              <w:rPr>
                <w:color w:val="1F497D"/>
                <w:position w:val="-7"/>
              </w:rPr>
              <w:drawing>
                <wp:inline distT="0" distB="0" distL="0" distR="0">
                  <wp:extent cx="219075" cy="180975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</w:rPr>
              <w:t xml:space="preserve">        </w:t>
            </w:r>
            <w:r>
              <w:rPr>
                <w:color w:val="1F497D"/>
                <w:spacing w:val="-1"/>
              </w:rPr>
              <w:t>021-38003647</w:t>
            </w:r>
          </w:p>
          <w:p>
            <w:pPr>
              <w:pStyle w:val="TableText"/>
              <w:spacing w:before="49"/>
              <w:ind w:left="300"/>
            </w:pPr>
            <w:r>
              <w:rPr>
                <w:color w:val="1F497D"/>
                <w:position w:val="-6"/>
              </w:rPr>
              <w:drawing>
                <wp:inline distT="0" distB="0" distL="0" distR="0">
                  <wp:extent cx="219075" cy="171450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</w:rPr>
              <w:t xml:space="preserve">        </w:t>
            </w:r>
            <w:r>
              <w:rPr>
                <w:color w:val="1F497D"/>
                <w:spacing w:val="-1"/>
              </w:rPr>
              <w:t>shlijing@gf.com.cn</w:t>
            </w:r>
          </w:p>
          <w:p>
            <w:pPr>
              <w:pStyle w:val="TableText"/>
              <w:spacing w:before="79" w:line="267" w:lineRule="auto"/>
              <w:ind w:left="121" w:right="120" w:hanging="10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请注意，陈子坤</w:t>
            </w:r>
            <w:r>
              <w:rPr>
                <w:color w:val="1F497D"/>
                <w:spacing w:val="9"/>
                <w:sz w:val="12"/>
                <w:szCs w:val="12"/>
              </w:rPr>
              <w:t>,</w:t>
            </w: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李靖并非香港证券及期货事务监察委员会</w:t>
            </w:r>
            <w:r>
              <w:rPr>
                <w:rFonts w:ascii="KaiTi" w:eastAsia="KaiTi" w:hAnsi="KaiTi" w:cs="KaiTi"/>
                <w:color w:val="1F497D"/>
                <w:spacing w:val="13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8"/>
                <w:sz w:val="12"/>
                <w:szCs w:val="12"/>
              </w:rPr>
              <w:t>的注册持牌人，不可在香港从事受监管活动。</w:t>
            </w:r>
          </w:p>
        </w:tc>
      </w:tr>
      <w:tr>
        <w:tblPrEx>
          <w:tblW w:w="3514" w:type="dxa"/>
          <w:tblInd w:w="0" w:type="dxa"/>
          <w:tblLayout w:type="fixed"/>
        </w:tblPrEx>
        <w:trPr>
          <w:trHeight w:val="321"/>
        </w:trPr>
        <w:tc>
          <w:tcPr>
            <w:tcW w:w="3514" w:type="dxa"/>
            <w:gridSpan w:val="2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spacing w:before="48" w:line="226" w:lineRule="auto"/>
              <w:ind w:left="11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1F497D"/>
                <w:spacing w:val="-9"/>
                <w:sz w:val="21"/>
                <w:szCs w:val="2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  <w:tr>
        <w:tblPrEx>
          <w:tblW w:w="3514" w:type="dxa"/>
          <w:tblInd w:w="0" w:type="dxa"/>
          <w:tblLayout w:type="fixed"/>
        </w:tblPrEx>
        <w:trPr>
          <w:trHeight w:val="491"/>
        </w:trPr>
        <w:tc>
          <w:tcPr>
            <w:tcW w:w="2527" w:type="dxa"/>
            <w:vMerge w:val="restart"/>
            <w:tcBorders>
              <w:top w:val="single" w:sz="2" w:space="0" w:color="1F497D"/>
              <w:bottom w:val="nil"/>
            </w:tcBorders>
            <w:vAlign w:val="top"/>
          </w:tcPr>
          <w:p>
            <w:pPr>
              <w:pStyle w:val="TableText"/>
              <w:spacing w:before="72" w:line="274" w:lineRule="auto"/>
              <w:ind w:left="118" w:right="206" w:firstLine="16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1F497D"/>
                <w:spacing w:val="-2"/>
              </w:rPr>
              <w:t>电力设备行业</w:t>
            </w:r>
            <w:r>
              <w:rPr>
                <w:color w:val="1F497D"/>
                <w:spacing w:val="-2"/>
              </w:rPr>
              <w:t>:</w:t>
            </w:r>
            <w:r>
              <w:rPr>
                <w:rFonts w:ascii="KaiTi" w:eastAsia="KaiTi" w:hAnsi="KaiTi" w:cs="KaiTi"/>
                <w:color w:val="1F497D"/>
                <w:spacing w:val="-2"/>
              </w:rPr>
              <w:t>氢能政策利好</w:t>
            </w:r>
            <w:r>
              <w:rPr>
                <w:rFonts w:ascii="KaiTi" w:eastAsia="KaiTi" w:hAnsi="KaiTi" w:cs="KaiTi"/>
                <w:color w:val="1F497D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1"/>
              </w:rPr>
              <w:t>频出，行业经济性渐显</w:t>
            </w:r>
          </w:p>
          <w:p>
            <w:pPr>
              <w:pStyle w:val="TableText"/>
              <w:spacing w:before="119" w:line="295" w:lineRule="auto"/>
              <w:ind w:left="127" w:right="114" w:firstLine="7"/>
              <w:jc w:val="both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1F497D"/>
                <w:spacing w:val="-9"/>
              </w:rPr>
              <w:t>电力设备行业</w:t>
            </w:r>
            <w:r>
              <w:rPr>
                <w:color w:val="1F497D"/>
                <w:spacing w:val="-9"/>
              </w:rPr>
              <w:t>:</w:t>
            </w:r>
            <w:r>
              <w:rPr>
                <w:rFonts w:ascii="KaiTi" w:eastAsia="KaiTi" w:hAnsi="KaiTi" w:cs="KaiTi"/>
                <w:color w:val="1F497D"/>
                <w:spacing w:val="-9"/>
              </w:rPr>
              <w:t>比亚迪打响“电</w:t>
            </w:r>
            <w:r>
              <w:rPr>
                <w:rFonts w:ascii="KaiTi" w:eastAsia="KaiTi" w:hAnsi="KaiTi" w:cs="KaiTi"/>
                <w:color w:val="1F497D"/>
                <w:spacing w:val="11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11"/>
              </w:rPr>
              <w:t>比油低”价格战，</w:t>
            </w:r>
            <w:r>
              <w:rPr>
                <w:rFonts w:ascii="KaiTi" w:eastAsia="KaiTi" w:hAnsi="KaiTi" w:cs="KaiTi"/>
                <w:color w:val="1F497D"/>
                <w:spacing w:val="-11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11"/>
              </w:rPr>
              <w:t>光伏景气度</w:t>
            </w:r>
            <w:r>
              <w:rPr>
                <w:rFonts w:ascii="KaiTi" w:eastAsia="KaiTi" w:hAnsi="KaiTi" w:cs="KaiTi"/>
                <w:color w:val="1F497D"/>
                <w:spacing w:val="7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2"/>
              </w:rPr>
              <w:t>改善拐点有望提前</w:t>
            </w:r>
          </w:p>
          <w:p>
            <w:pPr>
              <w:pStyle w:val="TableText"/>
              <w:spacing w:before="114" w:line="281" w:lineRule="auto"/>
              <w:ind w:left="110" w:right="112" w:firstLine="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1F497D"/>
                <w:spacing w:val="-2"/>
              </w:rPr>
              <w:t>新能源汽车行业</w:t>
            </w:r>
            <w:r>
              <w:rPr>
                <w:color w:val="1F497D"/>
                <w:spacing w:val="-2"/>
              </w:rPr>
              <w:t>:1</w:t>
            </w:r>
            <w:r>
              <w:rPr>
                <w:color w:val="1F497D"/>
                <w:spacing w:val="18"/>
                <w:w w:val="101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2"/>
              </w:rPr>
              <w:t>月电动车</w:t>
            </w:r>
            <w:r>
              <w:rPr>
                <w:rFonts w:ascii="KaiTi" w:eastAsia="KaiTi" w:hAnsi="KaiTi" w:cs="KaiTi"/>
                <w:color w:val="1F497D"/>
              </w:rPr>
              <w:t xml:space="preserve">  </w:t>
            </w:r>
            <w:r>
              <w:rPr>
                <w:rFonts w:ascii="KaiTi" w:eastAsia="KaiTi" w:hAnsi="KaiTi" w:cs="KaiTi"/>
                <w:color w:val="1F497D"/>
                <w:spacing w:val="-12"/>
              </w:rPr>
              <w:t>销量开门红，</w:t>
            </w:r>
            <w:r>
              <w:rPr>
                <w:rFonts w:ascii="KaiTi" w:eastAsia="KaiTi" w:hAnsi="KaiTi" w:cs="KaiTi"/>
                <w:color w:val="1F497D"/>
                <w:spacing w:val="46"/>
              </w:rPr>
              <w:t xml:space="preserve"> </w:t>
            </w:r>
            <w:r>
              <w:rPr>
                <w:color w:val="1F497D"/>
                <w:spacing w:val="-12"/>
              </w:rPr>
              <w:t>3</w:t>
            </w:r>
            <w:r>
              <w:rPr>
                <w:color w:val="1F497D"/>
                <w:spacing w:val="13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12"/>
              </w:rPr>
              <w:t>月补库拐点将</w:t>
            </w:r>
            <w:r>
              <w:rPr>
                <w:rFonts w:ascii="KaiTi" w:eastAsia="KaiTi" w:hAnsi="KaiTi" w:cs="KaiTi"/>
                <w:color w:val="1F497D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</w:rPr>
              <w:t>至</w:t>
            </w:r>
          </w:p>
        </w:tc>
        <w:tc>
          <w:tcPr>
            <w:tcW w:w="987" w:type="dxa"/>
            <w:tcBorders>
              <w:top w:val="single" w:sz="2" w:space="0" w:color="1F497D"/>
            </w:tcBorders>
            <w:vAlign w:val="top"/>
          </w:tcPr>
          <w:p>
            <w:pPr>
              <w:pStyle w:val="TableText"/>
              <w:spacing w:before="110" w:line="195" w:lineRule="auto"/>
              <w:ind w:left="113"/>
              <w:rPr>
                <w:sz w:val="15"/>
                <w:szCs w:val="15"/>
              </w:rPr>
            </w:pPr>
            <w:r>
              <w:rPr>
                <w:color w:val="1F497D"/>
                <w:spacing w:val="-1"/>
                <w:sz w:val="15"/>
                <w:szCs w:val="15"/>
              </w:rPr>
              <w:t>2024-03-03</w:t>
            </w:r>
          </w:p>
        </w:tc>
      </w:tr>
      <w:tr>
        <w:tblPrEx>
          <w:tblW w:w="3514" w:type="dxa"/>
          <w:tblInd w:w="0" w:type="dxa"/>
          <w:tblLayout w:type="fixed"/>
        </w:tblPrEx>
        <w:trPr>
          <w:trHeight w:val="815"/>
        </w:trPr>
        <w:tc>
          <w:tcPr>
            <w:tcW w:w="2527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87" w:type="dxa"/>
            <w:vAlign w:val="top"/>
          </w:tcPr>
          <w:p>
            <w:pPr>
              <w:pStyle w:val="TableText"/>
              <w:spacing w:before="272" w:line="195" w:lineRule="auto"/>
              <w:ind w:left="113"/>
              <w:rPr>
                <w:sz w:val="15"/>
                <w:szCs w:val="15"/>
              </w:rPr>
            </w:pPr>
            <w:r>
              <w:rPr>
                <w:color w:val="1F497D"/>
                <w:spacing w:val="-1"/>
                <w:sz w:val="15"/>
                <w:szCs w:val="15"/>
              </w:rPr>
              <w:t>2024-02-25</w:t>
            </w:r>
          </w:p>
        </w:tc>
      </w:tr>
      <w:tr>
        <w:tblPrEx>
          <w:tblW w:w="3514" w:type="dxa"/>
          <w:tblInd w:w="0" w:type="dxa"/>
          <w:tblLayout w:type="fixed"/>
        </w:tblPrEx>
        <w:trPr>
          <w:trHeight w:val="1230"/>
        </w:trPr>
        <w:tc>
          <w:tcPr>
            <w:tcW w:w="2527" w:type="dxa"/>
            <w:vMerge/>
            <w:tcBorders>
              <w:top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87" w:type="dxa"/>
            <w:vAlign w:val="top"/>
          </w:tcPr>
          <w:p>
            <w:pPr>
              <w:pStyle w:val="TableText"/>
              <w:spacing w:line="388" w:lineRule="auto"/>
              <w:rPr>
                <w:sz w:val="21"/>
              </w:rPr>
            </w:pPr>
          </w:p>
          <w:p>
            <w:pPr>
              <w:pStyle w:val="TableText"/>
              <w:spacing w:before="44" w:line="195" w:lineRule="auto"/>
              <w:ind w:left="113"/>
              <w:rPr>
                <w:sz w:val="15"/>
                <w:szCs w:val="15"/>
              </w:rPr>
            </w:pPr>
            <w:r>
              <w:rPr>
                <w:color w:val="1F497D"/>
                <w:spacing w:val="-1"/>
                <w:sz w:val="15"/>
                <w:szCs w:val="15"/>
              </w:rPr>
              <w:t>2024-02-22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4"/>
          <w:footerReference w:type="default" r:id="rId35"/>
          <w:type w:val="nextPage"/>
          <w:pgSz w:w="11907" w:h="16839"/>
          <w:pgMar w:top="1715" w:right="638" w:bottom="1289" w:left="622" w:header="794" w:footer="723" w:gutter="0"/>
          <w:pgNumType w:start="3"/>
          <w:cols w:num="2" w:space="708" w:equalWidth="0">
            <w:col w:w="7031" w:space="100"/>
            <w:col w:w="3515" w:space="0"/>
          </w:cols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63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重点公司估值和财务分析表</w:t>
      </w:r>
    </w:p>
    <w:p>
      <w:pPr>
        <w:spacing w:line="19" w:lineRule="exact"/>
      </w:pPr>
    </w:p>
    <w:tbl>
      <w:tblPr>
        <w:tblStyle w:val="TableNormal1"/>
        <w:tblW w:w="1049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67"/>
        <w:gridCol w:w="953"/>
        <w:gridCol w:w="552"/>
        <w:gridCol w:w="662"/>
        <w:gridCol w:w="909"/>
        <w:gridCol w:w="444"/>
        <w:gridCol w:w="829"/>
        <w:gridCol w:w="694"/>
        <w:gridCol w:w="708"/>
        <w:gridCol w:w="709"/>
        <w:gridCol w:w="709"/>
        <w:gridCol w:w="708"/>
        <w:gridCol w:w="673"/>
        <w:gridCol w:w="1175"/>
      </w:tblGrid>
      <w:tr>
        <w:tblPrEx>
          <w:tblW w:w="1049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3"/>
        </w:trPr>
        <w:tc>
          <w:tcPr>
            <w:tcW w:w="76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6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95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14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552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8" w:lineRule="auto"/>
              <w:ind w:left="10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662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19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spacing w:line="224" w:lineRule="auto"/>
              <w:ind w:left="12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90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215" w:lineRule="auto"/>
              <w:ind w:left="3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spacing w:before="139" w:line="218" w:lineRule="auto"/>
              <w:ind w:left="14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44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4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2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7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5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b/>
                <w:bCs/>
                <w:color w:val="1F497D"/>
                <w:sz w:val="16"/>
                <w:szCs w:val="16"/>
              </w:rPr>
              <w:t>/</w:t>
            </w: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402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2" w:line="213" w:lineRule="auto"/>
              <w:ind w:left="411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EPS(</w:t>
            </w: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元</w:t>
            </w: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5" w:line="197" w:lineRule="auto"/>
              <w:ind w:left="51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PE(x)</w:t>
            </w:r>
          </w:p>
        </w:tc>
        <w:tc>
          <w:tcPr>
            <w:tcW w:w="1381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5" w:line="197" w:lineRule="auto"/>
              <w:ind w:left="196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EV/EBITDA(x)</w:t>
            </w:r>
          </w:p>
        </w:tc>
        <w:tc>
          <w:tcPr>
            <w:tcW w:w="1175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5" w:line="197" w:lineRule="auto"/>
              <w:ind w:left="32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ROE(%)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317"/>
        </w:trPr>
        <w:tc>
          <w:tcPr>
            <w:tcW w:w="767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5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552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62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4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9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0" w:line="195" w:lineRule="auto"/>
              <w:ind w:left="113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0" w:line="195" w:lineRule="auto"/>
              <w:ind w:left="127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0" w:line="195" w:lineRule="auto"/>
              <w:ind w:left="128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0" w:line="195" w:lineRule="auto"/>
              <w:ind w:left="12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0" w:line="195" w:lineRule="auto"/>
              <w:ind w:left="128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7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0" w:line="195" w:lineRule="auto"/>
              <w:ind w:left="12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1175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0" w:line="195" w:lineRule="auto"/>
              <w:ind w:left="94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  <w:r>
              <w:rPr>
                <w:b/>
                <w:bCs/>
                <w:color w:val="1F497D"/>
                <w:spacing w:val="11"/>
                <w:w w:val="101"/>
                <w:sz w:val="16"/>
                <w:szCs w:val="16"/>
              </w:rPr>
              <w:t xml:space="preserve">  </w:t>
            </w: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318"/>
        </w:trPr>
        <w:tc>
          <w:tcPr>
            <w:tcW w:w="767" w:type="dxa"/>
            <w:tcBorders>
              <w:top w:val="single" w:sz="6" w:space="0" w:color="000000"/>
            </w:tcBorders>
            <w:vAlign w:val="top"/>
          </w:tcPr>
          <w:p>
            <w:pPr>
              <w:spacing w:before="79" w:line="220" w:lineRule="auto"/>
              <w:ind w:left="7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</w:rPr>
              <w:t>汇川技术</w:t>
            </w:r>
          </w:p>
        </w:tc>
        <w:tc>
          <w:tcPr>
            <w:tcW w:w="95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7" w:lineRule="auto"/>
              <w:ind w:left="77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300124.SZ</w:t>
            </w:r>
          </w:p>
        </w:tc>
        <w:tc>
          <w:tcPr>
            <w:tcW w:w="55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7" w:lineRule="auto"/>
              <w:ind w:left="100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6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5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66.87</w:t>
            </w:r>
          </w:p>
        </w:tc>
        <w:tc>
          <w:tcPr>
            <w:tcW w:w="9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7" w:lineRule="auto"/>
              <w:ind w:left="7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2024/01/31</w:t>
            </w:r>
          </w:p>
        </w:tc>
        <w:tc>
          <w:tcPr>
            <w:tcW w:w="444" w:type="dxa"/>
            <w:tcBorders>
              <w:top w:val="single" w:sz="6" w:space="0" w:color="000000"/>
            </w:tcBorders>
            <w:vAlign w:val="top"/>
          </w:tcPr>
          <w:p>
            <w:pPr>
              <w:spacing w:before="79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20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69.55</w:t>
            </w:r>
          </w:p>
        </w:tc>
        <w:tc>
          <w:tcPr>
            <w:tcW w:w="69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201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1.80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20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2.32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64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37.15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6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28.82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6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35.51</w:t>
            </w:r>
          </w:p>
        </w:tc>
        <w:tc>
          <w:tcPr>
            <w:tcW w:w="67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6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27.49</w:t>
            </w:r>
          </w:p>
        </w:tc>
        <w:tc>
          <w:tcPr>
            <w:tcW w:w="117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2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20.20</w:t>
            </w:r>
            <w:r>
              <w:rPr>
                <w:color w:val="1F497D"/>
                <w:spacing w:val="13"/>
                <w:w w:val="101"/>
                <w:sz w:val="16"/>
                <w:szCs w:val="16"/>
              </w:rPr>
              <w:t xml:space="preserve">   </w:t>
            </w:r>
            <w:r>
              <w:rPr>
                <w:color w:val="1F497D"/>
                <w:spacing w:val="-1"/>
                <w:sz w:val="16"/>
                <w:szCs w:val="16"/>
              </w:rPr>
              <w:t>21.60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326"/>
        </w:trPr>
        <w:tc>
          <w:tcPr>
            <w:tcW w:w="767" w:type="dxa"/>
            <w:vAlign w:val="top"/>
          </w:tcPr>
          <w:p>
            <w:pPr>
              <w:spacing w:before="88" w:line="218" w:lineRule="auto"/>
              <w:ind w:left="8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中熔电气</w:t>
            </w:r>
          </w:p>
        </w:tc>
        <w:tc>
          <w:tcPr>
            <w:tcW w:w="953" w:type="dxa"/>
            <w:vAlign w:val="top"/>
          </w:tcPr>
          <w:p>
            <w:pPr>
              <w:pStyle w:val="TableText"/>
              <w:spacing w:before="111" w:line="197" w:lineRule="auto"/>
              <w:ind w:left="77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301031.SZ</w:t>
            </w:r>
          </w:p>
        </w:tc>
        <w:tc>
          <w:tcPr>
            <w:tcW w:w="552" w:type="dxa"/>
            <w:vAlign w:val="top"/>
          </w:tcPr>
          <w:p>
            <w:pPr>
              <w:pStyle w:val="TableText"/>
              <w:spacing w:before="111" w:line="197" w:lineRule="auto"/>
              <w:ind w:left="100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12" w:line="195" w:lineRule="auto"/>
              <w:ind w:left="15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94.37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11" w:line="197" w:lineRule="auto"/>
              <w:ind w:left="7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2023/11/03</w:t>
            </w:r>
          </w:p>
        </w:tc>
        <w:tc>
          <w:tcPr>
            <w:tcW w:w="444" w:type="dxa"/>
            <w:vAlign w:val="top"/>
          </w:tcPr>
          <w:p>
            <w:pPr>
              <w:spacing w:before="88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12" w:line="195" w:lineRule="auto"/>
              <w:ind w:left="171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141.49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12" w:line="195" w:lineRule="auto"/>
              <w:ind w:left="188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2.31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12" w:line="195" w:lineRule="auto"/>
              <w:ind w:left="200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4.72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2" w:line="195" w:lineRule="auto"/>
              <w:ind w:left="1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40.85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2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19.99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12" w:line="195" w:lineRule="auto"/>
              <w:ind w:left="16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34.18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2" w:line="195" w:lineRule="auto"/>
              <w:ind w:left="17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16.86</w:t>
            </w:r>
          </w:p>
        </w:tc>
        <w:tc>
          <w:tcPr>
            <w:tcW w:w="1175" w:type="dxa"/>
            <w:vAlign w:val="top"/>
          </w:tcPr>
          <w:p>
            <w:pPr>
              <w:pStyle w:val="TableText"/>
              <w:spacing w:before="112" w:line="195" w:lineRule="auto"/>
              <w:ind w:left="139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15.50</w:t>
            </w:r>
            <w:r>
              <w:rPr>
                <w:color w:val="1F497D"/>
                <w:spacing w:val="15"/>
                <w:w w:val="101"/>
                <w:sz w:val="16"/>
                <w:szCs w:val="16"/>
              </w:rPr>
              <w:t xml:space="preserve">   </w:t>
            </w:r>
            <w:r>
              <w:rPr>
                <w:color w:val="1F497D"/>
                <w:spacing w:val="-3"/>
                <w:sz w:val="16"/>
                <w:szCs w:val="16"/>
              </w:rPr>
              <w:t>24.00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336"/>
        </w:trPr>
        <w:tc>
          <w:tcPr>
            <w:tcW w:w="767" w:type="dxa"/>
            <w:tcBorders>
              <w:bottom w:val="single" w:sz="2" w:space="0" w:color="000000"/>
            </w:tcBorders>
            <w:vAlign w:val="top"/>
          </w:tcPr>
          <w:p>
            <w:pPr>
              <w:spacing w:before="88" w:line="216" w:lineRule="auto"/>
              <w:ind w:left="6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博威合金</w:t>
            </w:r>
          </w:p>
        </w:tc>
        <w:tc>
          <w:tcPr>
            <w:tcW w:w="95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1" w:line="197" w:lineRule="auto"/>
              <w:ind w:left="67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601137.SH</w:t>
            </w:r>
          </w:p>
        </w:tc>
        <w:tc>
          <w:tcPr>
            <w:tcW w:w="55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1" w:line="197" w:lineRule="auto"/>
              <w:ind w:left="100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6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5" w:lineRule="auto"/>
              <w:ind w:left="16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15.00</w:t>
            </w:r>
          </w:p>
        </w:tc>
        <w:tc>
          <w:tcPr>
            <w:tcW w:w="9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1" w:line="197" w:lineRule="auto"/>
              <w:ind w:left="7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2023/11/01</w:t>
            </w:r>
          </w:p>
        </w:tc>
        <w:tc>
          <w:tcPr>
            <w:tcW w:w="444" w:type="dxa"/>
            <w:tcBorders>
              <w:bottom w:val="single" w:sz="2" w:space="0" w:color="000000"/>
            </w:tcBorders>
            <w:vAlign w:val="top"/>
          </w:tcPr>
          <w:p>
            <w:pPr>
              <w:spacing w:before="88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5" w:lineRule="auto"/>
              <w:ind w:left="20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24.98</w:t>
            </w:r>
          </w:p>
        </w:tc>
        <w:tc>
          <w:tcPr>
            <w:tcW w:w="69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5" w:lineRule="auto"/>
              <w:ind w:left="201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1.32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5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1.78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11.36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8.43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5" w:lineRule="auto"/>
              <w:ind w:left="205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6.12</w:t>
            </w:r>
          </w:p>
        </w:tc>
        <w:tc>
          <w:tcPr>
            <w:tcW w:w="67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4" w:lineRule="auto"/>
              <w:ind w:left="20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4.75</w:t>
            </w:r>
          </w:p>
        </w:tc>
        <w:tc>
          <w:tcPr>
            <w:tcW w:w="1175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3" w:line="195" w:lineRule="auto"/>
              <w:ind w:left="139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14.60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color w:val="1F497D"/>
                <w:spacing w:val="-4"/>
                <w:sz w:val="16"/>
                <w:szCs w:val="16"/>
              </w:rPr>
              <w:t>16.40</w:t>
            </w:r>
          </w:p>
        </w:tc>
      </w:tr>
    </w:tbl>
    <w:p>
      <w:pPr>
        <w:pStyle w:val="BodyText"/>
        <w:spacing w:before="73" w:line="216" w:lineRule="auto"/>
        <w:ind w:left="3"/>
        <w:rPr>
          <w:sz w:val="18"/>
          <w:szCs w:val="18"/>
        </w:rPr>
      </w:pPr>
      <w:r>
        <w:rPr>
          <w:color w:val="1F497D"/>
          <w:spacing w:val="-7"/>
          <w:sz w:val="18"/>
          <w:szCs w:val="18"/>
        </w:rPr>
        <w:t>数据来源：</w:t>
      </w:r>
      <w:r>
        <w:rPr>
          <w:color w:val="1F497D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7"/>
          <w:sz w:val="18"/>
          <w:szCs w:val="18"/>
        </w:rPr>
        <w:t>Wind</w:t>
      </w:r>
      <w:r>
        <w:rPr>
          <w:color w:val="1F497D"/>
          <w:spacing w:val="-7"/>
          <w:sz w:val="18"/>
          <w:szCs w:val="18"/>
        </w:rPr>
        <w:t>、广发证券发展研究中心</w:t>
      </w:r>
    </w:p>
    <w:p>
      <w:pPr>
        <w:pStyle w:val="BodyText"/>
        <w:spacing w:before="115" w:line="214" w:lineRule="auto"/>
        <w:ind w:left="1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备注：表中估值指标按照最新收盘价计算</w:t>
      </w:r>
    </w:p>
    <w:p>
      <w:pPr>
        <w:spacing w:line="214" w:lineRule="auto"/>
        <w:rPr>
          <w:sz w:val="18"/>
          <w:szCs w:val="18"/>
        </w:rPr>
        <w:sectPr>
          <w:headerReference w:type="default" r:id="rId36"/>
          <w:footerReference w:type="default" r:id="rId37"/>
          <w:pgSz w:w="11907" w:h="16839"/>
          <w:pgMar w:top="1383" w:right="649" w:bottom="1289" w:left="585" w:header="794" w:footer="723" w:gutter="0"/>
          <w:pgNumType w:start="4"/>
          <w:cols w:space="708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96072929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63"/>
            <w:rPr>
              <w:sz w:val="31"/>
              <w:szCs w:val="31"/>
            </w:rPr>
          </w:pPr>
          <w:r>
            <w:rPr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4"/>
            </w:tabs>
            <w:spacing w:before="170" w:line="213" w:lineRule="auto"/>
            <w:ind w:left="2424"/>
            <w:rPr>
              <w:rFonts w:ascii="Arial" w:eastAsia="Arial" w:hAnsi="Arial" w:cs="Arial"/>
            </w:rPr>
          </w:pPr>
          <w:r>
            <w:rPr>
              <w:spacing w:val="-1"/>
            </w:rPr>
            <w:t>一、快充本质在功率，高电压与大电流殊途同归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3" w:lineRule="auto"/>
            <w:ind w:left="2419"/>
            <w:rPr>
              <w:rFonts w:ascii="Arial" w:eastAsia="Arial" w:hAnsi="Arial" w:cs="Arial"/>
            </w:rPr>
          </w:pPr>
          <w:r>
            <w:rPr>
              <w:spacing w:val="-1"/>
            </w:rPr>
            <w:t>二、全系</w:t>
          </w:r>
          <w:r>
            <w:rPr>
              <w:spacing w:val="-36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或成主流，单车价值量增幅是关键指标</w:t>
          </w:r>
          <w:r>
            <w:rPr>
              <w:spacing w:val="-67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6" w:lineRule="auto"/>
            <w:ind w:left="2422"/>
            <w:rPr>
              <w:rFonts w:ascii="Arial" w:eastAsia="Arial" w:hAnsi="Arial" w:cs="Arial"/>
            </w:rPr>
          </w:pPr>
          <w:r>
            <w:rPr>
              <w:spacing w:val="-1"/>
            </w:rPr>
            <w:t>三、从格局、盈利、弹性多维度筛选产业链优质环节</w:t>
          </w:r>
          <w:r>
            <w:rPr>
              <w:spacing w:val="-47"/>
            </w:rPr>
            <w:t xml:space="preserve"> </w:t>
          </w:r>
          <w:r>
            <w:tab/>
          </w:r>
          <w:hyperlink w:anchor="bookmark3" w:history="1">
            <w:r>
              <w:rPr>
                <w:rFonts w:ascii="Arial" w:eastAsia="Arial" w:hAnsi="Arial" w:cs="Arial"/>
                <w:spacing w:val="1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2894"/>
            <w:rPr>
              <w:rFonts w:ascii="Arial" w:eastAsia="Arial" w:hAnsi="Arial" w:cs="Arial"/>
            </w:rPr>
          </w:pPr>
          <w:r>
            <w:t>（一）格局探讨：集中度与国产化进程体现壁垒深浅</w:t>
          </w:r>
          <w:r>
            <w:rPr>
              <w:spacing w:val="-81"/>
            </w:rPr>
            <w:t xml:space="preserve"> </w:t>
          </w:r>
          <w:r>
            <w:tab/>
          </w:r>
          <w:hyperlink w:anchor="bookmark4" w:history="1">
            <w:r>
              <w:rPr>
                <w:rFonts w:ascii="Arial" w:eastAsia="Arial" w:hAnsi="Arial" w:cs="Arial"/>
                <w:spacing w:val="1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20" w:lineRule="auto"/>
            <w:ind w:left="2894"/>
            <w:rPr>
              <w:rFonts w:ascii="Arial" w:eastAsia="Arial" w:hAnsi="Arial" w:cs="Arial"/>
            </w:rPr>
          </w:pPr>
          <w:r>
            <w:rPr>
              <w:spacing w:val="-3"/>
            </w:rPr>
            <w:t>（二）</w:t>
          </w:r>
          <w:r>
            <w:rPr>
              <w:spacing w:val="-26"/>
            </w:rPr>
            <w:t xml:space="preserve"> </w:t>
          </w:r>
          <w:r>
            <w:rPr>
              <w:spacing w:val="-3"/>
            </w:rPr>
            <w:t>盈利能力：优选通缩压力小</w:t>
          </w:r>
          <w:r>
            <w:rPr>
              <w:rFonts w:ascii="Arial" w:eastAsia="Arial" w:hAnsi="Arial" w:cs="Arial"/>
              <w:spacing w:val="-3"/>
            </w:rPr>
            <w:t>+</w:t>
          </w:r>
          <w:r>
            <w:rPr>
              <w:spacing w:val="-3"/>
            </w:rPr>
            <w:t>利润弹性大的子赛道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5" w:history="1">
            <w:r>
              <w:rPr>
                <w:rFonts w:ascii="Arial" w:eastAsia="Arial" w:hAnsi="Arial" w:cs="Arial"/>
                <w:spacing w:val="-4"/>
              </w:rPr>
              <w:t>31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4" w:line="219" w:lineRule="auto"/>
            <w:ind w:left="2430"/>
            <w:rPr>
              <w:rFonts w:ascii="Arial" w:eastAsia="Arial" w:hAnsi="Arial" w:cs="Arial"/>
            </w:rPr>
          </w:pPr>
          <w:r>
            <w:rPr>
              <w:spacing w:val="-3"/>
            </w:rPr>
            <w:t>四、投资建议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6" w:history="1">
            <w:r>
              <w:rPr>
                <w:rFonts w:ascii="Arial" w:eastAsia="Arial" w:hAnsi="Arial" w:cs="Arial"/>
                <w:spacing w:val="-4"/>
              </w:rPr>
              <w:t>34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23" w:lineRule="auto"/>
            <w:ind w:left="2417"/>
            <w:rPr>
              <w:rFonts w:ascii="Arial" w:eastAsia="Arial" w:hAnsi="Arial" w:cs="Arial"/>
            </w:rPr>
          </w:pPr>
          <w:r>
            <w:rPr>
              <w:spacing w:val="-1"/>
            </w:rPr>
            <w:t>五、风险提示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7" w:history="1">
            <w:r>
              <w:rPr>
                <w:rFonts w:ascii="Arial" w:eastAsia="Arial" w:hAnsi="Arial" w:cs="Arial"/>
                <w:spacing w:val="-4"/>
              </w:rPr>
              <w:t>35</w:t>
            </w:r>
          </w:hyperlink>
        </w:p>
      </w:sdtContent>
    </w:sdt>
    <w:p>
      <w:pPr>
        <w:spacing w:line="223" w:lineRule="auto"/>
        <w:rPr>
          <w:rFonts w:ascii="Arial" w:eastAsia="Arial" w:hAnsi="Arial" w:cs="Arial"/>
        </w:rPr>
        <w:sectPr>
          <w:headerReference w:type="default" r:id="rId38"/>
          <w:footerReference w:type="default" r:id="rId39"/>
          <w:pgSz w:w="11907" w:h="16839"/>
          <w:pgMar w:top="1383" w:right="646" w:bottom="1289" w:left="622" w:header="794" w:footer="723" w:gutter="0"/>
          <w:pgNumType w:start="5"/>
          <w:cols w:space="708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78986025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37"/>
            <w:rPr>
              <w:sz w:val="31"/>
              <w:szCs w:val="31"/>
            </w:rPr>
          </w:pPr>
          <w:r>
            <w:rPr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34"/>
            </w:tabs>
            <w:spacing w:before="169" w:line="229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</w:t>
          </w:r>
          <w:r>
            <w:rPr>
              <w:spacing w:val="-2"/>
            </w:rPr>
            <w:t>：充电倍率与电压</w:t>
          </w:r>
          <w:r>
            <w:rPr>
              <w:rFonts w:ascii="Arial" w:eastAsia="Arial" w:hAnsi="Arial" w:cs="Arial"/>
              <w:spacing w:val="-2"/>
            </w:rPr>
            <w:t>&amp;</w:t>
          </w:r>
          <w:r>
            <w:rPr>
              <w:spacing w:val="-2"/>
            </w:rPr>
            <w:t>电流的关系</w:t>
          </w:r>
          <w:r>
            <w:rPr>
              <w:spacing w:val="-74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65" w:line="214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</w:t>
          </w:r>
          <w:r>
            <w:rPr>
              <w:spacing w:val="-2"/>
            </w:rPr>
            <w:t>：国内月度新能源乘用车渗透率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2022 </w:t>
          </w:r>
          <w:r>
            <w:rPr>
              <w:spacing w:val="-2"/>
            </w:rPr>
            <w:t>年中国汽车市场分等级车型结构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20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4</w:t>
          </w:r>
          <w:r>
            <w:rPr>
              <w:spacing w:val="-2"/>
            </w:rPr>
            <w:t>：用户购买电动车时的主要顾虑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6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5</w:t>
          </w:r>
          <w:r>
            <w:rPr>
              <w:spacing w:val="-2"/>
            </w:rPr>
            <w:t>：电动车平均充电时间分布</w:t>
          </w:r>
          <w:r>
            <w:rPr>
              <w:spacing w:val="-74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7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6</w:t>
          </w:r>
          <w:r>
            <w:rPr>
              <w:spacing w:val="-2"/>
            </w:rPr>
            <w:t>：高压快充架构升级趋势</w:t>
          </w:r>
          <w:r>
            <w:rPr>
              <w:spacing w:val="-39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7</w:t>
          </w:r>
          <w:r>
            <w:rPr>
              <w:spacing w:val="-3"/>
            </w:rPr>
            <w:t>：全系</w:t>
          </w:r>
          <w:r>
            <w:rPr>
              <w:spacing w:val="-44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800V </w:t>
          </w:r>
          <w:r>
            <w:rPr>
              <w:spacing w:val="-3"/>
            </w:rPr>
            <w:t>与部分</w:t>
          </w:r>
          <w:r>
            <w:rPr>
              <w:spacing w:val="-47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800V</w:t>
          </w:r>
          <w:r>
            <w:rPr>
              <w:rFonts w:ascii="Arial" w:eastAsia="Arial" w:hAnsi="Arial" w:cs="Arial"/>
              <w:spacing w:val="24"/>
              <w:w w:val="101"/>
            </w:rPr>
            <w:t xml:space="preserve"> </w:t>
          </w:r>
          <w:r>
            <w:rPr>
              <w:spacing w:val="-3"/>
            </w:rPr>
            <w:t>高压电气架构原理</w:t>
          </w:r>
          <w:r>
            <w:rPr>
              <w:spacing w:val="-74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20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8</w:t>
          </w:r>
          <w:r>
            <w:rPr>
              <w:spacing w:val="-2"/>
            </w:rPr>
            <w:t>：电控主要由结构件及电子元器件组成</w:t>
          </w:r>
          <w:r>
            <w:rPr>
              <w:spacing w:val="-77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9</w:t>
          </w:r>
          <w:r>
            <w:rPr>
              <w:spacing w:val="-3"/>
            </w:rPr>
            <w:t>：功率模块在电控成本中占比近四成（</w:t>
          </w:r>
          <w:r>
            <w:rPr>
              <w:rFonts w:ascii="Arial" w:eastAsia="Arial" w:hAnsi="Arial" w:cs="Arial"/>
              <w:spacing w:val="-3"/>
            </w:rPr>
            <w:t xml:space="preserve">2022 </w:t>
          </w:r>
          <w:r>
            <w:rPr>
              <w:spacing w:val="-3"/>
            </w:rPr>
            <w:t>年）</w:t>
          </w:r>
          <w:r>
            <w:rPr>
              <w:spacing w:val="-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6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10</w:t>
          </w:r>
          <w:r>
            <w:rPr>
              <w:spacing w:val="-6"/>
            </w:rPr>
            <w:t>：主要公司车载电源集成产品价格对比（元）</w:t>
          </w:r>
          <w:r>
            <w:rPr>
              <w:spacing w:val="29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11</w:t>
          </w:r>
          <w:r>
            <w:rPr>
              <w:spacing w:val="-2"/>
            </w:rPr>
            <w:t>：分电压等级车载电源集成产品价格对比（元）</w:t>
          </w:r>
          <w:r>
            <w:rPr>
              <w:spacing w:val="-44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12</w:t>
          </w:r>
          <w:r>
            <w:rPr>
              <w:spacing w:val="-2"/>
            </w:rPr>
            <w:t>：高压直流继电器在新能源车中的配置情况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13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2022 </w:t>
          </w:r>
          <w:r>
            <w:rPr>
              <w:spacing w:val="-2"/>
            </w:rPr>
            <w:t>年全球高端铜合金市场格局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13"/>
              </w:rPr>
              <w:t>1</w:t>
            </w:r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14</w:t>
          </w:r>
          <w:r>
            <w:rPr>
              <w:spacing w:val="-2"/>
            </w:rPr>
            <w:t>：博威合金分类铜合金产品销售均价</w:t>
          </w:r>
          <w:r>
            <w:rPr>
              <w:spacing w:val="-4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0" w:history="1">
            <w:r>
              <w:rPr>
                <w:rFonts w:ascii="Arial" w:eastAsia="Arial" w:hAnsi="Arial" w:cs="Arial"/>
                <w:spacing w:val="-13"/>
              </w:rPr>
              <w:t>1</w:t>
            </w:r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23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15</w:t>
          </w:r>
          <w:r>
            <w:rPr>
              <w:spacing w:val="-4"/>
            </w:rPr>
            <w:t>：薄膜电容单车价值量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1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9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16</w:t>
          </w:r>
          <w:r>
            <w:rPr>
              <w:spacing w:val="-2"/>
            </w:rPr>
            <w:t>：松下薄膜电容体积比变化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2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17</w:t>
          </w:r>
          <w:r>
            <w:rPr>
              <w:spacing w:val="-3"/>
            </w:rPr>
            <w:t>：</w:t>
          </w:r>
          <w:r>
            <w:rPr>
              <w:rFonts w:ascii="Arial" w:eastAsia="Arial" w:hAnsi="Arial" w:cs="Arial"/>
              <w:spacing w:val="-3"/>
            </w:rPr>
            <w:t xml:space="preserve">800V </w:t>
          </w:r>
          <w:r>
            <w:rPr>
              <w:spacing w:val="-3"/>
            </w:rPr>
            <w:t>趋势下各电气部件市场空间弹性对比（</w:t>
          </w:r>
          <w:r>
            <w:rPr>
              <w:rFonts w:ascii="Arial" w:eastAsia="Arial" w:hAnsi="Arial" w:cs="Arial"/>
              <w:spacing w:val="-3"/>
            </w:rPr>
            <w:t xml:space="preserve">2025 </w:t>
          </w:r>
          <w:r>
            <w:rPr>
              <w:spacing w:val="-3"/>
            </w:rPr>
            <w:t>年）</w:t>
          </w:r>
          <w:r>
            <w:rPr>
              <w:spacing w:val="-3"/>
            </w:rPr>
            <w:t xml:space="preserve"> </w:t>
          </w:r>
          <w:r>
            <w:tab/>
          </w:r>
          <w:hyperlink w:anchor="bookmark23" w:history="1">
            <w:r>
              <w:rPr>
                <w:rFonts w:ascii="Arial" w:eastAsia="Arial" w:hAnsi="Arial" w:cs="Arial"/>
                <w:spacing w:val="11"/>
              </w:rPr>
              <w:t>20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18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2022 </w:t>
          </w:r>
          <w:r>
            <w:rPr>
              <w:spacing w:val="-2"/>
            </w:rPr>
            <w:t>年国内新能源车电机市场格局</w:t>
          </w:r>
          <w:r>
            <w:rPr>
              <w:spacing w:val="-26"/>
            </w:rPr>
            <w:t xml:space="preserve"> </w:t>
          </w:r>
          <w:r>
            <w:tab/>
          </w:r>
          <w:hyperlink w:anchor="bookmark24" w:history="1">
            <w:r>
              <w:rPr>
                <w:rFonts w:ascii="Arial" w:eastAsia="Arial" w:hAnsi="Arial" w:cs="Arial"/>
                <w:spacing w:val="1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19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2022 </w:t>
          </w:r>
          <w:r>
            <w:rPr>
              <w:spacing w:val="-2"/>
            </w:rPr>
            <w:t>年国内新能源车电控市场格局</w:t>
          </w:r>
          <w:r>
            <w:rPr>
              <w:spacing w:val="-26"/>
            </w:rPr>
            <w:t xml:space="preserve"> </w:t>
          </w:r>
          <w:r>
            <w:tab/>
          </w:r>
          <w:hyperlink w:anchor="bookmark25" w:history="1">
            <w:r>
              <w:rPr>
                <w:rFonts w:ascii="Arial" w:eastAsia="Arial" w:hAnsi="Arial" w:cs="Arial"/>
                <w:spacing w:val="1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20</w:t>
          </w:r>
          <w:r>
            <w:rPr>
              <w:spacing w:val="-3"/>
            </w:rPr>
            <w:t>：</w:t>
          </w:r>
          <w:r>
            <w:rPr>
              <w:rFonts w:ascii="Arial" w:eastAsia="Arial" w:hAnsi="Arial" w:cs="Arial"/>
              <w:spacing w:val="-3"/>
            </w:rPr>
            <w:t xml:space="preserve">2022 </w:t>
          </w:r>
          <w:r>
            <w:rPr>
              <w:spacing w:val="-3"/>
            </w:rPr>
            <w:t>年国内</w:t>
          </w:r>
          <w:r>
            <w:rPr>
              <w:spacing w:val="-30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OBC </w:t>
          </w:r>
          <w:r>
            <w:rPr>
              <w:spacing w:val="-3"/>
            </w:rPr>
            <w:t>市场格局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26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21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2022 </w:t>
          </w:r>
          <w:r>
            <w:rPr>
              <w:spacing w:val="-2"/>
            </w:rPr>
            <w:t>年国内新能源车热管理市场格局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27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1"/>
            </w:rPr>
            <w:t>图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22</w:t>
          </w:r>
          <w:r>
            <w:rPr>
              <w:spacing w:val="-1"/>
            </w:rPr>
            <w:t>：</w:t>
          </w:r>
          <w:r>
            <w:rPr>
              <w:rFonts w:ascii="Arial" w:eastAsia="Arial" w:hAnsi="Arial" w:cs="Arial"/>
              <w:spacing w:val="-1"/>
            </w:rPr>
            <w:t xml:space="preserve">2019 </w:t>
          </w:r>
          <w:r>
            <w:rPr>
              <w:spacing w:val="-1"/>
            </w:rPr>
            <w:t>年国内新能源车电力</w:t>
          </w:r>
          <w:r>
            <w:rPr>
              <w:spacing w:val="-2"/>
            </w:rPr>
            <w:t>熔断器市场格局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28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23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2020 </w:t>
          </w:r>
          <w:r>
            <w:rPr>
              <w:spacing w:val="-2"/>
            </w:rPr>
            <w:t>年国内高压直流继电器市场格局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29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24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2021 </w:t>
          </w:r>
          <w:r>
            <w:rPr>
              <w:spacing w:val="-2"/>
            </w:rPr>
            <w:t>年国内高压连接器市场格局</w:t>
          </w:r>
          <w:r>
            <w:rPr>
              <w:spacing w:val="-48"/>
            </w:rPr>
            <w:t xml:space="preserve"> </w:t>
          </w:r>
          <w:r>
            <w:tab/>
          </w:r>
          <w:hyperlink w:anchor="bookmark30" w:history="1">
            <w:r>
              <w:rPr>
                <w:rFonts w:ascii="Arial" w:eastAsia="Arial" w:hAnsi="Arial" w:cs="Arial"/>
                <w:spacing w:val="11"/>
              </w:rPr>
              <w:t>25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25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2022 </w:t>
          </w:r>
          <w:r>
            <w:rPr>
              <w:spacing w:val="-2"/>
            </w:rPr>
            <w:t>年国内薄膜电容市场格局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31" w:history="1">
            <w:r>
              <w:rPr>
                <w:rFonts w:ascii="Arial" w:eastAsia="Arial" w:hAnsi="Arial" w:cs="Arial"/>
                <w:spacing w:val="-3"/>
              </w:rPr>
              <w:t>25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26</w:t>
          </w:r>
          <w:r>
            <w:rPr>
              <w:spacing w:val="-2"/>
            </w:rPr>
            <w:t>：各环节国内市场格局对比（</w:t>
          </w:r>
          <w:r>
            <w:rPr>
              <w:rFonts w:ascii="Arial" w:eastAsia="Arial" w:hAnsi="Arial" w:cs="Arial"/>
              <w:spacing w:val="-2"/>
            </w:rPr>
            <w:t>CR3</w:t>
          </w:r>
          <w:r>
            <w:rPr>
              <w:spacing w:val="-2"/>
            </w:rPr>
            <w:t>）</w:t>
          </w:r>
          <w:r>
            <w:rPr>
              <w:spacing w:val="-40"/>
            </w:rPr>
            <w:t xml:space="preserve"> </w:t>
          </w:r>
          <w:r>
            <w:tab/>
          </w:r>
          <w:hyperlink w:anchor="bookmark32" w:history="1">
            <w:r>
              <w:rPr>
                <w:rFonts w:ascii="Arial" w:eastAsia="Arial" w:hAnsi="Arial" w:cs="Arial"/>
                <w:spacing w:val="11"/>
              </w:rPr>
              <w:t>25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1"/>
            </w:rPr>
            <w:t>图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27</w:t>
          </w:r>
          <w:r>
            <w:rPr>
              <w:spacing w:val="-1"/>
            </w:rPr>
            <w:t>：各环节主要公司</w:t>
          </w:r>
          <w:r>
            <w:rPr>
              <w:spacing w:val="-49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2018-202</w:t>
          </w:r>
          <w:r>
            <w:rPr>
              <w:rFonts w:ascii="Arial" w:eastAsia="Arial" w:hAnsi="Arial" w:cs="Arial"/>
              <w:spacing w:val="-2"/>
            </w:rPr>
            <w:t xml:space="preserve">2 </w:t>
          </w:r>
          <w:r>
            <w:rPr>
              <w:spacing w:val="-2"/>
            </w:rPr>
            <w:t>年平均研发投入</w:t>
          </w:r>
          <w:r>
            <w:rPr>
              <w:spacing w:val="-88"/>
            </w:rPr>
            <w:t xml:space="preserve"> </w:t>
          </w:r>
          <w:r>
            <w:tab/>
          </w:r>
          <w:hyperlink w:anchor="bookmark33" w:history="1">
            <w:r>
              <w:rPr>
                <w:rFonts w:ascii="Arial" w:eastAsia="Arial" w:hAnsi="Arial" w:cs="Arial"/>
                <w:spacing w:val="11"/>
              </w:rPr>
              <w:t>26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28</w:t>
          </w:r>
          <w:r>
            <w:rPr>
              <w:spacing w:val="-2"/>
            </w:rPr>
            <w:t>：高压平台下对相关零部件的要求</w:t>
          </w:r>
          <w:r>
            <w:rPr>
              <w:spacing w:val="-64"/>
            </w:rPr>
            <w:t xml:space="preserve"> </w:t>
          </w:r>
          <w:r>
            <w:tab/>
          </w:r>
          <w:hyperlink w:anchor="bookmark34" w:history="1">
            <w:r>
              <w:rPr>
                <w:rFonts w:ascii="Arial" w:eastAsia="Arial" w:hAnsi="Arial" w:cs="Arial"/>
                <w:spacing w:val="11"/>
              </w:rPr>
              <w:t>26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1"/>
            </w:rPr>
            <w:t>图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29</w:t>
          </w:r>
          <w:r>
            <w:rPr>
              <w:spacing w:val="-1"/>
            </w:rPr>
            <w:t>：各环节主要公司</w:t>
          </w:r>
          <w:r>
            <w:rPr>
              <w:spacing w:val="-48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2018-2022 </w:t>
          </w:r>
          <w:r>
            <w:rPr>
              <w:spacing w:val="-1"/>
            </w:rPr>
            <w:t>年平均固定资产占比及</w:t>
          </w:r>
          <w:r>
            <w:rPr>
              <w:spacing w:val="-2"/>
            </w:rPr>
            <w:t>周转率</w:t>
          </w:r>
          <w:r>
            <w:rPr>
              <w:spacing w:val="-81"/>
            </w:rPr>
            <w:t xml:space="preserve"> </w:t>
          </w:r>
          <w:r>
            <w:tab/>
          </w:r>
          <w:hyperlink w:anchor="bookmark35" w:history="1">
            <w:r>
              <w:rPr>
                <w:rFonts w:ascii="Arial" w:eastAsia="Arial" w:hAnsi="Arial" w:cs="Arial"/>
                <w:spacing w:val="11"/>
              </w:rPr>
              <w:t>28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rFonts w:ascii="Arial" w:eastAsia="Arial" w:hAnsi="Arial" w:cs="Arial"/>
            </w:rPr>
            <w:sectPr>
              <w:headerReference w:type="default" r:id="rId40"/>
              <w:footerReference w:type="default" r:id="rId41"/>
              <w:pgSz w:w="11907" w:h="16839"/>
              <w:pgMar w:top="1383" w:right="646" w:bottom="1289" w:left="622" w:header="794" w:footer="723" w:gutter="0"/>
              <w:pgNumType w:start="6"/>
              <w:cols w:space="708"/>
            </w:sect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30</w:t>
          </w:r>
          <w:r>
            <w:rPr>
              <w:spacing w:val="-2"/>
            </w:rPr>
            <w:t>：各环节总资产周转率</w:t>
          </w:r>
          <w:r>
            <w:rPr>
              <w:spacing w:val="-60"/>
            </w:rPr>
            <w:t xml:space="preserve"> </w:t>
          </w:r>
          <w:r>
            <w:tab/>
          </w:r>
          <w:hyperlink w:anchor="bookmark36" w:history="1">
            <w:r>
              <w:rPr>
                <w:rFonts w:ascii="Arial" w:eastAsia="Arial" w:hAnsi="Arial" w:cs="Arial"/>
                <w:spacing w:val="11"/>
              </w:rPr>
              <w:t>29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124103059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80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-5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31</w:t>
          </w:r>
          <w:r>
            <w:rPr>
              <w:spacing w:val="-5"/>
            </w:rPr>
            <w:t>：各环节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 xml:space="preserve">2015-2022 </w:t>
          </w:r>
          <w:r>
            <w:rPr>
              <w:spacing w:val="-5"/>
            </w:rPr>
            <w:t>年平均运营</w:t>
          </w:r>
          <w:r>
            <w:rPr>
              <w:spacing w:val="-6"/>
            </w:rPr>
            <w:t>周期（天）</w:t>
          </w:r>
          <w:r>
            <w:rPr>
              <w:spacing w:val="53"/>
            </w:rPr>
            <w:t xml:space="preserve"> </w:t>
          </w:r>
          <w:r>
            <w:tab/>
          </w:r>
          <w:hyperlink w:anchor="bookmark37" w:history="1">
            <w:r>
              <w:rPr>
                <w:rFonts w:ascii="Arial" w:eastAsia="Arial" w:hAnsi="Arial" w:cs="Arial"/>
                <w:spacing w:val="11"/>
              </w:rPr>
              <w:t>29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32</w:t>
          </w:r>
          <w:r>
            <w:rPr>
              <w:spacing w:val="-2"/>
            </w:rPr>
            <w:t>：各环节应收及应付账款周转天数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4"/>
              </w:rPr>
              <w:t>30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33</w:t>
          </w:r>
          <w:r>
            <w:rPr>
              <w:spacing w:val="-2"/>
            </w:rPr>
            <w:t>：各环节</w:t>
          </w:r>
          <w:r>
            <w:rPr>
              <w:spacing w:val="-41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2015-2022 </w:t>
          </w:r>
          <w:r>
            <w:rPr>
              <w:spacing w:val="-2"/>
            </w:rPr>
            <w:t>平均毛利率</w:t>
          </w:r>
          <w:r>
            <w:rPr>
              <w:spacing w:val="-38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39" w:history="1">
            <w:r>
              <w:rPr>
                <w:rFonts w:ascii="Arial" w:eastAsia="Arial" w:hAnsi="Arial" w:cs="Arial"/>
                <w:spacing w:val="-4"/>
              </w:rPr>
              <w:t>31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34</w:t>
          </w:r>
          <w:r>
            <w:rPr>
              <w:spacing w:val="-2"/>
            </w:rPr>
            <w:t>：各环节</w:t>
          </w:r>
          <w:r>
            <w:rPr>
              <w:spacing w:val="-41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2015-2022 </w:t>
          </w:r>
          <w:r>
            <w:rPr>
              <w:spacing w:val="-2"/>
            </w:rPr>
            <w:t>平均净利率</w:t>
          </w:r>
          <w:r>
            <w:rPr>
              <w:spacing w:val="-38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0" w:history="1">
            <w:r>
              <w:rPr>
                <w:rFonts w:ascii="Arial" w:eastAsia="Arial" w:hAnsi="Arial" w:cs="Arial"/>
                <w:spacing w:val="-4"/>
              </w:rPr>
              <w:t>32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35</w:t>
          </w:r>
          <w:r>
            <w:rPr>
              <w:spacing w:val="-3"/>
            </w:rPr>
            <w:t>：各环节核心公司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800V </w:t>
          </w:r>
          <w:r>
            <w:rPr>
              <w:spacing w:val="-3"/>
            </w:rPr>
            <w:t>配置下净利润弹性（</w:t>
          </w:r>
          <w:r>
            <w:rPr>
              <w:rFonts w:ascii="Arial" w:eastAsia="Arial" w:hAnsi="Arial" w:cs="Arial"/>
              <w:spacing w:val="-3"/>
            </w:rPr>
            <w:t xml:space="preserve">2025 </w:t>
          </w:r>
          <w:r>
            <w:rPr>
              <w:spacing w:val="-3"/>
            </w:rPr>
            <w:t>年）</w:t>
          </w:r>
          <w:r>
            <w:rPr>
              <w:spacing w:val="-20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1" w:history="1">
            <w:r>
              <w:rPr>
                <w:rFonts w:ascii="Arial" w:eastAsia="Arial" w:hAnsi="Arial" w:cs="Arial"/>
                <w:spacing w:val="-4"/>
              </w:rPr>
              <w:t>33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36</w:t>
          </w:r>
          <w:r>
            <w:rPr>
              <w:spacing w:val="-2"/>
            </w:rPr>
            <w:t>：细分零部件长期价值潜力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2" w:history="1">
            <w:r>
              <w:rPr>
                <w:rFonts w:ascii="Arial" w:eastAsia="Arial" w:hAnsi="Arial" w:cs="Arial"/>
                <w:spacing w:val="-4"/>
              </w:rPr>
              <w:t>34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37</w:t>
          </w:r>
          <w:r>
            <w:rPr>
              <w:spacing w:val="-2"/>
            </w:rPr>
            <w:t>：各电气部件受益高压快充趋势逻辑梳理</w:t>
          </w:r>
          <w:r>
            <w:rPr>
              <w:spacing w:val="-54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3" w:history="1">
            <w:r>
              <w:rPr>
                <w:rFonts w:ascii="Arial" w:eastAsia="Arial" w:hAnsi="Arial" w:cs="Arial"/>
                <w:spacing w:val="-4"/>
              </w:rPr>
              <w:t>35</w:t>
            </w:r>
          </w:hyperlink>
        </w:p>
      </w:sdtContent>
    </w:sdt>
    <w:p>
      <w:pPr>
        <w:spacing w:line="218" w:lineRule="auto"/>
        <w:rPr>
          <w:rFonts w:ascii="Arial" w:eastAsia="Arial" w:hAnsi="Arial" w:cs="Arial"/>
        </w:rPr>
        <w:sectPr>
          <w:headerReference w:type="default" r:id="rId42"/>
          <w:footerReference w:type="default" r:id="rId43"/>
          <w:type w:val="nextPage"/>
          <w:pgSz w:w="11907" w:h="16839"/>
          <w:pgMar w:top="1383" w:right="646" w:bottom="1289" w:left="622" w:header="794" w:footer="723" w:gutter="0"/>
          <w:pgNumType w:start="7"/>
          <w:cols w:space="708"/>
          <w:titlePg w:val="0"/>
        </w:sectPr>
      </w:pPr>
    </w:p>
    <w:sdt>
      <w:sdtPr>
        <w:rPr>
          <w:rFonts w:ascii="KaiTi" w:eastAsia="KaiTi" w:hAnsi="KaiTi" w:cs="KaiTi"/>
          <w:sz w:val="21"/>
          <w:szCs w:val="21"/>
        </w:rPr>
        <w:id w:val="171473688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4"/>
            </w:tabs>
            <w:spacing w:before="50" w:line="220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1</w:t>
          </w:r>
          <w:r>
            <w:t>：主流充电模块已满足高压快充参数要求</w:t>
          </w:r>
          <w:r>
            <w:rPr>
              <w:spacing w:val="-70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4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6" w:line="217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2</w:t>
          </w:r>
          <w:r>
            <w:t>：各类升压方案优劣势对比</w:t>
          </w:r>
          <w:r>
            <w:rPr>
              <w:spacing w:val="-77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5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21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3</w:t>
          </w:r>
          <w:r>
            <w:rPr>
              <w:spacing w:val="-1"/>
            </w:rPr>
            <w:t>：分车型电控价值量对比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46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3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4</w:t>
          </w:r>
          <w:r>
            <w:rPr>
              <w:spacing w:val="-1"/>
            </w:rPr>
            <w:t>：不同新能源车型对应电力熔断器需求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7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5</w:t>
          </w:r>
          <w:r>
            <w:t>：熔断器成本拆分</w:t>
          </w:r>
          <w:r>
            <w:rPr>
              <w:spacing w:val="-4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8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7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6</w:t>
          </w:r>
          <w:r>
            <w:rPr>
              <w:spacing w:val="-1"/>
            </w:rPr>
            <w:t>：高压及高速连接器价格水平</w:t>
          </w:r>
          <w:r>
            <w:rPr>
              <w:spacing w:val="-4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9" w:history="1">
            <w:r>
              <w:rPr>
                <w:rFonts w:ascii="Arial" w:eastAsia="Arial" w:hAnsi="Arial" w:cs="Arial"/>
                <w:spacing w:val="-1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7</w:t>
          </w:r>
          <w:r>
            <w:t>：博威合金高端铜合金项目情况</w:t>
          </w:r>
          <w:r>
            <w:rPr>
              <w:spacing w:val="-3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0" w:history="1">
            <w:r>
              <w:rPr>
                <w:rFonts w:ascii="Arial" w:eastAsia="Arial" w:hAnsi="Arial" w:cs="Arial"/>
                <w:spacing w:val="-13"/>
              </w:rPr>
              <w:t>1</w:t>
            </w:r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3"/>
            </w:rPr>
            <w:t>表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8</w:t>
          </w:r>
          <w:r>
            <w:rPr>
              <w:spacing w:val="-3"/>
            </w:rPr>
            <w:t>：主要铜合金企业财务对比（亿元）</w:t>
          </w:r>
          <w:r>
            <w:rPr>
              <w:spacing w:val="-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1" w:history="1">
            <w:r>
              <w:rPr>
                <w:rFonts w:ascii="Arial" w:eastAsia="Arial" w:hAnsi="Arial" w:cs="Arial"/>
                <w:spacing w:val="-13"/>
              </w:rPr>
              <w:t>1</w:t>
            </w:r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6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9</w:t>
          </w:r>
          <w:r>
            <w:t>：博威合金高端铜合金产品单吨净利（元）弹性测算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2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6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10</w:t>
          </w:r>
          <w:r>
            <w:t>：博威合金高端铜合金产品净利润（亿元）弹性测算</w:t>
          </w:r>
          <w:r>
            <w:rPr>
              <w:spacing w:val="-8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3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11</w:t>
          </w:r>
          <w:r>
            <w:rPr>
              <w:spacing w:val="-1"/>
            </w:rPr>
            <w:t>：新能源车热管理单车价值量拆分</w:t>
          </w:r>
          <w:r>
            <w:rPr>
              <w:spacing w:val="-5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4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8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12</w:t>
          </w:r>
          <w:r>
            <w:t>：新能源汽车薄膜电容单车价值量拆分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5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13</w:t>
          </w:r>
          <w:r>
            <w:rPr>
              <w:spacing w:val="-1"/>
            </w:rPr>
            <w:t>：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趋势下各电气部件市场空间测算</w:t>
          </w:r>
          <w:r>
            <w:rPr>
              <w:spacing w:val="-2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14</w:t>
          </w:r>
          <w:r>
            <w:rPr>
              <w:spacing w:val="-1"/>
            </w:rPr>
            <w:t>：电机电控环节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市场空间弹性的敏感性分析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57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15</w:t>
          </w:r>
          <w:r>
            <w:rPr>
              <w:spacing w:val="-1"/>
            </w:rPr>
            <w:t>：</w:t>
          </w:r>
          <w:r>
            <w:rPr>
              <w:rFonts w:ascii="Arial" w:eastAsia="Arial" w:hAnsi="Arial" w:cs="Arial"/>
              <w:spacing w:val="-1"/>
            </w:rPr>
            <w:t xml:space="preserve">OBC </w:t>
          </w:r>
          <w:r>
            <w:rPr>
              <w:spacing w:val="-1"/>
            </w:rPr>
            <w:t>环节</w:t>
          </w:r>
          <w:r>
            <w:rPr>
              <w:spacing w:val="-37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市场空间弹性的敏感性分析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58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16</w:t>
          </w:r>
          <w:r>
            <w:rPr>
              <w:spacing w:val="-1"/>
            </w:rPr>
            <w:t>：高压熔断器环节</w:t>
          </w:r>
          <w:r>
            <w:rPr>
              <w:spacing w:val="-30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市场空间弹性的敏感性分析</w:t>
          </w:r>
          <w:r>
            <w:rPr>
              <w:spacing w:val="-50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59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17</w:t>
          </w:r>
          <w:r>
            <w:rPr>
              <w:spacing w:val="-1"/>
            </w:rPr>
            <w:t>：高压直流继电器环节</w:t>
          </w:r>
          <w:r>
            <w:rPr>
              <w:spacing w:val="-28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市场空间弹性的敏感性分析</w:t>
          </w:r>
          <w:r>
            <w:rPr>
              <w:spacing w:val="-66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60" w:history="1">
            <w:r>
              <w:rPr>
                <w:rFonts w:ascii="Arial" w:eastAsia="Arial" w:hAnsi="Arial" w:cs="Arial"/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18</w:t>
          </w:r>
          <w:r>
            <w:rPr>
              <w:spacing w:val="-1"/>
            </w:rPr>
            <w:t>：热管理环节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市场空间弹性的敏感性分析</w:t>
          </w:r>
          <w:r>
            <w:rPr>
              <w:spacing w:val="-33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61" w:history="1">
            <w:r>
              <w:rPr>
                <w:rFonts w:ascii="Arial" w:eastAsia="Arial" w:hAnsi="Arial" w:cs="Arial"/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19</w:t>
          </w:r>
          <w:r>
            <w:rPr>
              <w:spacing w:val="-1"/>
            </w:rPr>
            <w:t>：高压连接器环节</w:t>
          </w:r>
          <w:r>
            <w:rPr>
              <w:spacing w:val="-30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市场空间弹性的敏感性分析</w:t>
          </w:r>
          <w:r>
            <w:rPr>
              <w:spacing w:val="-50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62" w:history="1">
            <w:r>
              <w:rPr>
                <w:rFonts w:ascii="Arial" w:eastAsia="Arial" w:hAnsi="Arial" w:cs="Arial"/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20</w:t>
          </w:r>
          <w:r>
            <w:rPr>
              <w:spacing w:val="-1"/>
            </w:rPr>
            <w:t>：薄膜电容环节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800V </w:t>
          </w:r>
          <w:r>
            <w:rPr>
              <w:spacing w:val="-1"/>
            </w:rPr>
            <w:t>市场空间弹性的敏感性分析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25" w:history="1">
            <w:r>
              <w:rPr>
                <w:rFonts w:ascii="Arial" w:eastAsia="Arial" w:hAnsi="Arial" w:cs="Arial"/>
                <w:spacing w:val="-3"/>
              </w:rPr>
              <w:t>2</w:t>
            </w:r>
          </w:hyperlink>
          <w:r>
            <w:rPr>
              <w:rFonts w:ascii="Arial" w:eastAsia="Arial" w:hAnsi="Arial" w:cs="Arial"/>
              <w:spacing w:val="-3"/>
            </w:rPr>
            <w:t>3</w:t>
          </w:r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21</w:t>
          </w:r>
          <w:r>
            <w:t>：各环节细分产线投资情况</w:t>
          </w:r>
          <w:r>
            <w:rPr>
              <w:spacing w:val="-7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63" w:history="1">
            <w:r>
              <w:rPr>
                <w:rFonts w:ascii="Arial" w:eastAsia="Arial" w:hAnsi="Arial" w:cs="Arial"/>
                <w:spacing w:val="-3"/>
              </w:rPr>
              <w:t>27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31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22</w:t>
          </w:r>
          <w:r>
            <w:rPr>
              <w:spacing w:val="-1"/>
            </w:rPr>
            <w:t>：各环节经营性现金流</w:t>
          </w:r>
          <w:r>
            <w:rPr>
              <w:rFonts w:ascii="Arial" w:eastAsia="Arial" w:hAnsi="Arial" w:cs="Arial"/>
              <w:spacing w:val="-1"/>
            </w:rPr>
            <w:t>/</w:t>
          </w:r>
          <w:r>
            <w:rPr>
              <w:spacing w:val="-1"/>
            </w:rPr>
            <w:t>净利润比值</w:t>
          </w:r>
          <w:r>
            <w:rPr>
              <w:spacing w:val="-56"/>
            </w:rPr>
            <w:t xml:space="preserve"> </w:t>
          </w:r>
          <w:r>
            <w:tab/>
          </w:r>
          <w:hyperlink w:anchor="bookmark64" w:history="1">
            <w:r>
              <w:rPr>
                <w:rFonts w:ascii="Arial" w:eastAsia="Arial" w:hAnsi="Arial" w:cs="Arial"/>
                <w:spacing w:val="11"/>
              </w:rPr>
              <w:t>28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63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23</w:t>
          </w:r>
          <w:r>
            <w:rPr>
              <w:spacing w:val="-1"/>
            </w:rPr>
            <w:t>：各环节主要公司毛利率变化</w:t>
          </w:r>
          <w:r>
            <w:rPr>
              <w:spacing w:val="-42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65" w:history="1">
            <w:r>
              <w:rPr>
                <w:rFonts w:ascii="Arial" w:eastAsia="Arial" w:hAnsi="Arial" w:cs="Arial"/>
                <w:spacing w:val="-4"/>
              </w:rPr>
              <w:t>31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2"/>
            </w:rP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24</w:t>
          </w:r>
          <w:r>
            <w:rPr>
              <w:spacing w:val="-2"/>
            </w:rPr>
            <w:t>：各环节主要公司</w:t>
          </w:r>
          <w:r>
            <w:rPr>
              <w:spacing w:val="-24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ROE </w:t>
          </w:r>
          <w:r>
            <w:rPr>
              <w:spacing w:val="-2"/>
            </w:rPr>
            <w:t>拆分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66" w:history="1">
            <w:r>
              <w:rPr>
                <w:rFonts w:ascii="Arial" w:eastAsia="Arial" w:hAnsi="Arial" w:cs="Arial"/>
                <w:spacing w:val="-4"/>
              </w:rPr>
              <w:t>33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2"/>
            </w:rP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25</w:t>
          </w:r>
          <w:r>
            <w:rPr>
              <w:spacing w:val="-2"/>
            </w:rPr>
            <w:t>：部分环节龙头公司受益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800V </w:t>
          </w:r>
          <w:r>
            <w:rPr>
              <w:spacing w:val="-2"/>
            </w:rPr>
            <w:t>趋势下净利润弹性测算（</w:t>
          </w:r>
          <w:r>
            <w:rPr>
              <w:rFonts w:ascii="Arial" w:eastAsia="Arial" w:hAnsi="Arial" w:cs="Arial"/>
              <w:spacing w:val="-2"/>
            </w:rPr>
            <w:t xml:space="preserve">2025 </w:t>
          </w:r>
          <w:r>
            <w:rPr>
              <w:spacing w:val="-2"/>
            </w:rPr>
            <w:t>年）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67" w:history="1">
            <w:r>
              <w:rPr>
                <w:rFonts w:ascii="Arial" w:eastAsia="Arial" w:hAnsi="Arial" w:cs="Arial"/>
                <w:spacing w:val="-4"/>
              </w:rPr>
              <w:t>34</w:t>
            </w:r>
          </w:hyperlink>
        </w:p>
      </w:sdtContent>
    </w:sdt>
    <w:p>
      <w:pPr>
        <w:spacing w:line="218" w:lineRule="auto"/>
        <w:rPr>
          <w:rFonts w:ascii="Arial" w:eastAsia="Arial" w:hAnsi="Arial" w:cs="Arial"/>
        </w:rPr>
        <w:sectPr>
          <w:headerReference w:type="default" r:id="rId44"/>
          <w:footerReference w:type="default" r:id="rId45"/>
          <w:pgSz w:w="11907" w:h="16839"/>
          <w:pgMar w:top="1383" w:right="646" w:bottom="1289" w:left="622" w:header="794" w:footer="723" w:gutter="0"/>
          <w:pgNumType w:start="8"/>
          <w:cols w:space="708"/>
        </w:sectPr>
      </w:pPr>
    </w:p>
    <w:p>
      <w:pPr>
        <w:pStyle w:val="BodyText"/>
        <w:spacing w:before="159" w:line="218" w:lineRule="auto"/>
        <w:ind w:left="3046"/>
        <w:outlineLvl w:val="0"/>
        <w:rPr>
          <w:sz w:val="31"/>
          <w:szCs w:val="31"/>
        </w:rPr>
      </w:pP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2339975</wp:posOffset>
            </wp:positionH>
            <wp:positionV relativeFrom="page">
              <wp:posOffset>3264155</wp:posOffset>
            </wp:positionV>
            <wp:extent cx="4650740" cy="3034664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650740" cy="3034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r>
        <w:rPr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一、快充本质在功率，</w:t>
      </w:r>
      <w:r>
        <w:rPr>
          <w:spacing w:val="63"/>
          <w:sz w:val="31"/>
          <w:szCs w:val="31"/>
        </w:rPr>
        <w:t xml:space="preserve"> </w:t>
      </w:r>
      <w:r>
        <w:rPr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高电压与大电流殊途同归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68" w:line="289" w:lineRule="auto"/>
        <w:ind w:left="3032" w:firstLine="429"/>
        <w:jc w:val="both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快充的本质是实现充电功率远大于单车带电量。</w:t>
      </w:r>
      <w:r>
        <w:rPr>
          <w:spacing w:val="1"/>
        </w:rPr>
        <w:t>按充电倍率与充电时间的换算</w:t>
      </w:r>
      <w:r>
        <w:rPr>
          <w:spacing w:val="9"/>
        </w:rPr>
        <w:t xml:space="preserve"> </w:t>
      </w:r>
      <w:r>
        <w:rPr>
          <w:spacing w:val="-9"/>
        </w:rPr>
        <w:t>规则，</w:t>
      </w:r>
      <w:r>
        <w:rPr>
          <w:spacing w:val="-58"/>
        </w:rPr>
        <w:t xml:space="preserve"> </w:t>
      </w:r>
      <w:r>
        <w:rPr>
          <w:spacing w:val="-9"/>
        </w:rPr>
        <w:t>在单车</w:t>
      </w:r>
      <w:r>
        <w:rPr>
          <w:spacing w:val="-8"/>
        </w:rPr>
        <w:t>带电量一定的情况下，充电功率越高，</w:t>
      </w:r>
      <w:r>
        <w:rPr>
          <w:spacing w:val="-50"/>
        </w:rPr>
        <w:t xml:space="preserve"> </w:t>
      </w:r>
      <w:r>
        <w:rPr>
          <w:spacing w:val="-9"/>
        </w:rPr>
        <w:t>充电时间越短。慢充桩多为</w:t>
      </w:r>
      <w:r>
        <w:rPr>
          <w:rFonts w:ascii="Arial" w:eastAsia="Arial" w:hAnsi="Arial" w:cs="Arial"/>
          <w:spacing w:val="-9"/>
        </w:rPr>
        <w:t>220</w:t>
      </w:r>
      <w:r>
        <w:rPr>
          <w:rFonts w:ascii="Arial" w:eastAsia="Arial" w:hAnsi="Arial" w:cs="Arial"/>
          <w:spacing w:val="-3"/>
        </w:rPr>
        <w:t>V</w:t>
      </w:r>
      <w:r>
        <w:rPr>
          <w:rFonts w:ascii="Arial" w:eastAsia="Arial" w:hAnsi="Arial" w:cs="Arial"/>
        </w:rPr>
        <w:t xml:space="preserve"> </w:t>
      </w:r>
      <w:r>
        <w:t>交流电，充电电压及电流上限较低。对比来看</w:t>
      </w:r>
      <w:r>
        <w:rPr>
          <w:spacing w:val="-1"/>
        </w:rPr>
        <w:t>，直流快充桩电压能提高到</w:t>
      </w:r>
      <w:r>
        <w:rPr>
          <w:rFonts w:ascii="Arial" w:eastAsia="Arial" w:hAnsi="Arial" w:cs="Arial"/>
          <w:spacing w:val="-1"/>
        </w:rPr>
        <w:t>800V</w:t>
      </w:r>
      <w:r>
        <w:rPr>
          <w:spacing w:val="-1"/>
        </w:rPr>
        <w:t>甚至</w:t>
      </w:r>
      <w:r>
        <w:t xml:space="preserve"> </w:t>
      </w:r>
      <w:r>
        <w:rPr>
          <w:spacing w:val="-1"/>
        </w:rPr>
        <w:t>更高，</w:t>
      </w:r>
      <w:r>
        <w:rPr>
          <w:spacing w:val="-1"/>
        </w:rPr>
        <w:t xml:space="preserve"> </w:t>
      </w:r>
      <w:r>
        <w:rPr>
          <w:spacing w:val="-1"/>
        </w:rPr>
        <w:t>若配备液冷枪线，也能够承受更高的电</w:t>
      </w:r>
      <w:r>
        <w:rPr>
          <w:spacing w:val="-2"/>
        </w:rPr>
        <w:t>流。当前多数电动车单车带电量不超</w:t>
      </w:r>
      <w:r>
        <w:t xml:space="preserve"> </w:t>
      </w:r>
      <w:r>
        <w:rPr>
          <w:spacing w:val="-2"/>
        </w:rPr>
        <w:t>过</w:t>
      </w:r>
      <w:r>
        <w:rPr>
          <w:rFonts w:ascii="Arial" w:eastAsia="Arial" w:hAnsi="Arial" w:cs="Arial"/>
          <w:spacing w:val="-2"/>
        </w:rPr>
        <w:t>100kWh</w:t>
      </w:r>
      <w:r>
        <w:rPr>
          <w:spacing w:val="-2"/>
        </w:rPr>
        <w:t>，我们以</w:t>
      </w:r>
      <w:r>
        <w:rPr>
          <w:rFonts w:ascii="Arial" w:eastAsia="Arial" w:hAnsi="Arial" w:cs="Arial"/>
          <w:spacing w:val="-2"/>
        </w:rPr>
        <w:t>80kWh</w:t>
      </w:r>
      <w:r>
        <w:rPr>
          <w:spacing w:val="-2"/>
        </w:rPr>
        <w:t>电池包为例，理论上，</w:t>
      </w:r>
      <w:r>
        <w:rPr>
          <w:rFonts w:ascii="Arial" w:eastAsia="Arial" w:hAnsi="Arial" w:cs="Arial"/>
          <w:spacing w:val="-2"/>
        </w:rPr>
        <w:t>220V/200A</w:t>
      </w:r>
      <w:r>
        <w:rPr>
          <w:spacing w:val="-2"/>
        </w:rPr>
        <w:t>和</w:t>
      </w:r>
      <w:r>
        <w:rPr>
          <w:rFonts w:ascii="Arial" w:eastAsia="Arial" w:hAnsi="Arial" w:cs="Arial"/>
          <w:spacing w:val="-2"/>
        </w:rPr>
        <w:t>800V/400A</w:t>
      </w:r>
      <w:r>
        <w:rPr>
          <w:spacing w:val="-2"/>
        </w:rPr>
        <w:t>两种工况</w:t>
      </w:r>
      <w:r>
        <w:rPr>
          <w:spacing w:val="8"/>
        </w:rPr>
        <w:t xml:space="preserve"> </w:t>
      </w:r>
      <w:r>
        <w:rPr>
          <w:spacing w:val="-1"/>
        </w:rPr>
        <w:t>对应充电倍率分别为</w:t>
      </w:r>
      <w:r>
        <w:rPr>
          <w:rFonts w:ascii="Arial" w:eastAsia="Arial" w:hAnsi="Arial" w:cs="Arial"/>
          <w:spacing w:val="-1"/>
        </w:rPr>
        <w:t>0.5C</w:t>
      </w:r>
      <w:r>
        <w:rPr>
          <w:rFonts w:ascii="Arial" w:eastAsia="Arial" w:hAnsi="Arial" w:cs="Arial"/>
          <w:spacing w:val="-34"/>
        </w:rPr>
        <w:t xml:space="preserve"> </w:t>
      </w:r>
      <w:r>
        <w:rPr>
          <w:spacing w:val="-1"/>
        </w:rPr>
        <w:t>、</w:t>
      </w:r>
      <w:r>
        <w:rPr>
          <w:rFonts w:ascii="Arial" w:eastAsia="Arial" w:hAnsi="Arial" w:cs="Arial"/>
          <w:spacing w:val="-1"/>
        </w:rPr>
        <w:t>4C</w:t>
      </w:r>
      <w:r>
        <w:rPr>
          <w:spacing w:val="-1"/>
        </w:rPr>
        <w:t>，在电压和电流数值同时</w:t>
      </w:r>
      <w:r>
        <w:rPr>
          <w:spacing w:val="-2"/>
        </w:rPr>
        <w:t>达到较高数值时，充电倍率</w:t>
      </w:r>
      <w:r>
        <w:t xml:space="preserve"> </w:t>
      </w:r>
      <w:r>
        <w:rPr>
          <w:spacing w:val="-3"/>
        </w:rPr>
        <w:t>能够实现大幅提升。</w:t>
      </w:r>
    </w:p>
    <w:p>
      <w:pPr>
        <w:pStyle w:val="BodyText"/>
        <w:spacing w:before="250" w:line="229" w:lineRule="auto"/>
        <w:ind w:left="3091"/>
      </w:pP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1"/>
        </w:rPr>
        <w:t>1</w:t>
      </w: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：充电倍率与电压</w:t>
      </w:r>
      <w:r>
        <w:rPr>
          <w:rFonts w:ascii="Arial" w:eastAsia="Arial" w:hAnsi="Arial" w:cs="Arial"/>
          <w:b/>
          <w:bCs/>
          <w:color w:val="0F243E"/>
          <w:spacing w:val="-1"/>
        </w:rPr>
        <w:t>&amp;</w:t>
      </w: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电流的关系</w:t>
      </w:r>
    </w:p>
    <w:p>
      <w:pPr>
        <w:spacing w:before="7" w:line="4885" w:lineRule="exact"/>
        <w:ind w:firstLine="2955"/>
      </w:pPr>
      <w:r>
        <w:rPr>
          <w:position w:val="-97"/>
        </w:rPr>
        <w:pict>
          <v:group id="_x0000_i1037" style="width:377.15pt;height:244.25pt;mso-position-horizontal-relative:char;mso-position-vertical-relative:line" coordorigin="0,0" coordsize="7542,4885" filled="f" stroked="f">
            <v:rect id="_x0000_s1038" style="width:7542;height:10;position:absolute" filled="t" fillcolor="black" stroked="f"/>
            <v:rect id="_x0000_s1039" style="width:7542;height:10;position:absolute;top:4875" filled="t" fillcolor="black" stroked="f"/>
            <w10:wrap type="none"/>
          </v:group>
        </w:pict>
      </w:r>
    </w:p>
    <w:p>
      <w:pPr>
        <w:pStyle w:val="BodyText"/>
        <w:spacing w:before="73" w:line="216" w:lineRule="auto"/>
        <w:ind w:left="3065"/>
        <w:rPr>
          <w:sz w:val="18"/>
          <w:szCs w:val="18"/>
        </w:rPr>
      </w:pPr>
      <w:r>
        <w:rPr>
          <w:color w:val="0F243E"/>
          <w:spacing w:val="-1"/>
          <w:sz w:val="18"/>
          <w:szCs w:val="18"/>
        </w:rPr>
        <w:t>数据来源：广发证券发展研究中心</w:t>
      </w:r>
    </w:p>
    <w:p>
      <w:pPr>
        <w:pStyle w:val="BodyText"/>
        <w:spacing w:before="270" w:line="280" w:lineRule="auto"/>
        <w:ind w:left="3036" w:firstLine="425"/>
        <w:jc w:val="both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近年电动车渗透率持续提升，当前车型结构和整体汽车市场仍有差异。</w:t>
      </w:r>
      <w:r>
        <w:rPr>
          <w:spacing w:val="1"/>
        </w:rPr>
        <w:t>据中汽</w:t>
      </w:r>
      <w:r>
        <w:rPr>
          <w:spacing w:val="9"/>
        </w:rPr>
        <w:t xml:space="preserve"> </w:t>
      </w:r>
      <w:r>
        <w:t>协，国内月度新能源乘用车渗透率在</w:t>
      </w:r>
      <w:r>
        <w:rPr>
          <w:rFonts w:ascii="Arial" w:eastAsia="Arial" w:hAnsi="Arial" w:cs="Arial"/>
        </w:rPr>
        <w:t>2023</w:t>
      </w:r>
      <w:r>
        <w:t>年</w:t>
      </w:r>
      <w:r>
        <w:rPr>
          <w:rFonts w:ascii="Arial" w:eastAsia="Arial" w:hAnsi="Arial" w:cs="Arial"/>
        </w:rPr>
        <w:t>12</w:t>
      </w:r>
      <w:r>
        <w:t>月已经达到</w:t>
      </w:r>
      <w:r>
        <w:rPr>
          <w:rFonts w:ascii="Arial" w:eastAsia="Arial" w:hAnsi="Arial" w:cs="Arial"/>
        </w:rPr>
        <w:t>39.7%</w:t>
      </w:r>
      <w:r>
        <w:t>，创单月渗透率历</w:t>
      </w:r>
      <w:r>
        <w:rPr>
          <w:spacing w:val="13"/>
        </w:rPr>
        <w:t xml:space="preserve"> </w:t>
      </w:r>
      <w:r>
        <w:rPr>
          <w:spacing w:val="-4"/>
        </w:rPr>
        <w:t>史新</w:t>
      </w:r>
      <w:r>
        <w:rPr>
          <w:spacing w:val="-3"/>
        </w:rPr>
        <w:t>高。但从结构来看，</w:t>
      </w:r>
      <w:r>
        <w:rPr>
          <w:spacing w:val="-28"/>
        </w:rPr>
        <w:t xml:space="preserve"> </w:t>
      </w:r>
      <w:r>
        <w:rPr>
          <w:spacing w:val="-3"/>
        </w:rPr>
        <w:t>电动车仅仅在</w:t>
      </w:r>
      <w:r>
        <w:rPr>
          <w:rFonts w:ascii="Arial" w:eastAsia="Arial" w:hAnsi="Arial" w:cs="Arial"/>
          <w:spacing w:val="-3"/>
        </w:rPr>
        <w:t>A00</w:t>
      </w:r>
      <w:r>
        <w:rPr>
          <w:spacing w:val="-3"/>
        </w:rPr>
        <w:t>级</w:t>
      </w:r>
      <w:r>
        <w:rPr>
          <w:spacing w:val="-4"/>
        </w:rPr>
        <w:t>和</w:t>
      </w:r>
      <w:r>
        <w:rPr>
          <w:rFonts w:ascii="Arial" w:eastAsia="Arial" w:hAnsi="Arial" w:cs="Arial"/>
          <w:spacing w:val="-4"/>
        </w:rPr>
        <w:t>C</w:t>
      </w:r>
      <w:r>
        <w:rPr>
          <w:spacing w:val="-4"/>
        </w:rPr>
        <w:t>级车型销量占比相对高于汽车整</w:t>
      </w:r>
      <w:r>
        <w:rPr>
          <w:spacing w:val="-2"/>
        </w:rPr>
        <w:t>体</w:t>
      </w:r>
      <w:r>
        <w:t xml:space="preserve"> </w:t>
      </w:r>
      <w:r>
        <w:rPr>
          <w:spacing w:val="-6"/>
        </w:rPr>
        <w:t>市场，</w:t>
      </w:r>
      <w:r>
        <w:rPr>
          <w:spacing w:val="-6"/>
        </w:rPr>
        <w:t xml:space="preserve"> </w:t>
      </w:r>
      <w:r>
        <w:rPr>
          <w:spacing w:val="-6"/>
        </w:rPr>
        <w:t>市场消费潜力最高的</w:t>
      </w:r>
      <w:r>
        <w:rPr>
          <w:rFonts w:ascii="Arial" w:eastAsia="Arial" w:hAnsi="Arial" w:cs="Arial"/>
          <w:spacing w:val="-6"/>
        </w:rPr>
        <w:t>A/B</w:t>
      </w:r>
      <w:r>
        <w:rPr>
          <w:spacing w:val="-6"/>
        </w:rPr>
        <w:t>级车型更有差距。</w:t>
      </w:r>
    </w:p>
    <w:p>
      <w:pPr>
        <w:pStyle w:val="BodyText"/>
        <w:spacing w:before="262" w:line="289" w:lineRule="auto"/>
        <w:ind w:left="3032" w:firstLine="440"/>
        <w:jc w:val="both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背后原因与消费者购车心理和偏好有关，充电问题仍然是消费者购买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电动车时</w:t>
      </w:r>
      <w: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的主要考虑，目前电动车充电时间普遍较长。</w:t>
      </w:r>
      <w:r>
        <w:rPr>
          <w:spacing w:val="1"/>
        </w:rPr>
        <w:t>据中汽中心及华为，当前用户购买电</w:t>
      </w:r>
      <w:r>
        <w:rPr>
          <w:spacing w:val="14"/>
        </w:rPr>
        <w:t xml:space="preserve"> </w:t>
      </w:r>
      <w:r>
        <w:rPr>
          <w:spacing w:val="-5"/>
        </w:rPr>
        <w:t>动车</w:t>
      </w:r>
      <w:r>
        <w:rPr>
          <w:spacing w:val="-4"/>
        </w:rPr>
        <w:t>时排名</w:t>
      </w:r>
      <w:r>
        <w:rPr>
          <w:rFonts w:ascii="Arial" w:eastAsia="Arial" w:hAnsi="Arial" w:cs="Arial"/>
          <w:spacing w:val="-4"/>
        </w:rPr>
        <w:t>TOP2</w:t>
      </w:r>
      <w:r>
        <w:rPr>
          <w:spacing w:val="-4"/>
        </w:rPr>
        <w:t>的主要顾虑分别为充电不方便、续航里程短，</w:t>
      </w:r>
      <w:r>
        <w:rPr>
          <w:spacing w:val="-26"/>
        </w:rPr>
        <w:t xml:space="preserve"> </w:t>
      </w:r>
      <w:r>
        <w:rPr>
          <w:spacing w:val="-4"/>
        </w:rPr>
        <w:t>同时充电时间长也</w:t>
      </w:r>
      <w:r>
        <w:rPr>
          <w:spacing w:val="-2"/>
        </w:rPr>
        <w:t>是</w:t>
      </w:r>
      <w:r>
        <w:t xml:space="preserve"> </w:t>
      </w:r>
      <w:r>
        <w:rPr>
          <w:spacing w:val="-2"/>
        </w:rPr>
        <w:t>不容忽视的一点。从电动车平均充电时间分布来看，目前平均充电时间不超过</w:t>
      </w:r>
      <w:r>
        <w:rPr>
          <w:rFonts w:ascii="Arial" w:eastAsia="Arial" w:hAnsi="Arial" w:cs="Arial"/>
          <w:spacing w:val="-2"/>
        </w:rPr>
        <w:t>1</w:t>
      </w:r>
      <w:r>
        <w:rPr>
          <w:spacing w:val="-2"/>
        </w:rPr>
        <w:t>小时</w:t>
      </w:r>
      <w:r>
        <w:rPr>
          <w:spacing w:val="10"/>
        </w:rPr>
        <w:t xml:space="preserve"> </w:t>
      </w:r>
      <w:r>
        <w:rPr>
          <w:spacing w:val="2"/>
        </w:rPr>
        <w:t>的比例仅为</w:t>
      </w:r>
      <w:r>
        <w:rPr>
          <w:rFonts w:ascii="Arial" w:eastAsia="Arial" w:hAnsi="Arial" w:cs="Arial"/>
          <w:spacing w:val="2"/>
        </w:rPr>
        <w:t>4%</w:t>
      </w:r>
      <w:r>
        <w:rPr>
          <w:spacing w:val="2"/>
        </w:rPr>
        <w:t>，大部分电动车充电时间在</w:t>
      </w:r>
      <w:r>
        <w:rPr>
          <w:rFonts w:ascii="Arial" w:eastAsia="Arial" w:hAnsi="Arial" w:cs="Arial"/>
          <w:spacing w:val="2"/>
        </w:rPr>
        <w:t>1</w:t>
      </w:r>
      <w:r>
        <w:rPr>
          <w:rFonts w:ascii="Arial" w:eastAsia="Arial" w:hAnsi="Arial" w:cs="Arial"/>
          <w:spacing w:val="1"/>
        </w:rPr>
        <w:t>.5~2</w:t>
      </w:r>
      <w:r>
        <w:rPr>
          <w:spacing w:val="1"/>
        </w:rPr>
        <w:t>小时区间，未来快充车型提升空间</w:t>
      </w:r>
      <w:r>
        <w:t xml:space="preserve"> </w:t>
      </w:r>
      <w:r>
        <w:rPr>
          <w:spacing w:val="-10"/>
        </w:rPr>
        <w:t>较大。</w:t>
      </w:r>
    </w:p>
    <w:p>
      <w:pPr>
        <w:spacing w:line="289" w:lineRule="auto"/>
        <w:sectPr>
          <w:headerReference w:type="default" r:id="rId47"/>
          <w:footerReference w:type="default" r:id="rId48"/>
          <w:pgSz w:w="11907" w:h="16839"/>
          <w:pgMar w:top="1383" w:right="633" w:bottom="1289" w:left="622" w:header="794" w:footer="723" w:gutter="0"/>
          <w:pgNumType w:start="9"/>
          <w:cols w:space="708"/>
        </w:sectPr>
      </w:pPr>
    </w:p>
    <w:p>
      <w:pPr>
        <w:spacing w:line="89" w:lineRule="auto"/>
        <w:rPr>
          <w:rFonts w:ascii="Arial"/>
          <w:sz w:val="2"/>
        </w:rPr>
      </w:pPr>
      <w:r>
        <w:pict>
          <v:shape id="_x0000_s1040" style="width:253.75pt;height:0.5pt;margin-top:85.08pt;margin-left:32.88pt;mso-position-horizontal-relative:page;mso-position-vertical-relative:page;position:absolute;z-index:251674624" coordorigin="0,0" coordsize="5075,10" o:allowincell="f" path="m,9l5074,9l5074,l,l,9xe" filled="t" fillcolor="black" stroked="f"/>
        </w:pict>
      </w:r>
    </w:p>
    <w:p>
      <w:pPr>
        <w:spacing w:line="89" w:lineRule="auto"/>
        <w:rPr>
          <w:rFonts w:ascii="Arial" w:eastAsia="Arial" w:hAnsi="Arial" w:cs="Arial"/>
          <w:sz w:val="2"/>
          <w:szCs w:val="2"/>
        </w:rPr>
        <w:sectPr>
          <w:headerReference w:type="default" r:id="rId49"/>
          <w:footerReference w:type="default" r:id="rId50"/>
          <w:pgSz w:w="11907" w:h="16839"/>
          <w:pgMar w:top="1383" w:right="570" w:bottom="1289" w:left="622" w:header="794" w:footer="723" w:gutter="0"/>
          <w:pgNumType w:start="10"/>
          <w:cols w:num="1" w:space="708" w:equalWidth="0">
            <w:col w:w="10714" w:space="0"/>
          </w:cols>
        </w:sectPr>
      </w:pPr>
    </w:p>
    <w:p>
      <w:pPr>
        <w:pStyle w:val="BodyText"/>
        <w:spacing w:before="42" w:line="214" w:lineRule="auto"/>
        <w:ind w:left="42"/>
      </w:pPr>
      <w:bookmarkStart w:id="1" w:name="bookmark8"/>
      <w:bookmarkEnd w:id="1"/>
      <w:bookmarkStart w:id="2" w:name="bookmark9"/>
      <w:bookmarkEnd w:id="2"/>
      <w:bookmarkStart w:id="3" w:name="bookmark10"/>
      <w:bookmarkEnd w:id="3"/>
      <w:bookmarkStart w:id="4" w:name="bookmark11"/>
      <w:bookmarkEnd w:id="4"/>
      <w:r>
        <w:rPr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4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4"/>
        </w:rPr>
        <w:t>2</w:t>
      </w:r>
      <w:r>
        <w:rPr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color w:val="0F243E"/>
          <w:spacing w:val="-53"/>
        </w:rPr>
        <w:t xml:space="preserve"> </w:t>
      </w:r>
      <w:r>
        <w:rPr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国内月度新能源乘用车渗透率</w:t>
      </w:r>
    </w:p>
    <w:p>
      <w:pPr>
        <w:spacing w:before="214" w:line="203" w:lineRule="exact"/>
        <w:ind w:left="459"/>
        <w:rPr>
          <w:rFonts w:ascii="Arial" w:eastAsia="Arial" w:hAnsi="Arial" w:cs="Arial"/>
          <w:sz w:val="16"/>
          <w:szCs w:val="16"/>
        </w:rPr>
      </w:pPr>
      <w:r>
        <w:rPr>
          <w:rFonts w:ascii="Microsoft YaHei" w:eastAsia="Microsoft YaHei" w:hAnsi="Microsoft YaHei" w:cs="Microsoft YaHei"/>
          <w:color w:val="196BA5"/>
          <w:spacing w:val="-1"/>
          <w:sz w:val="19"/>
          <w:szCs w:val="19"/>
        </w:rPr>
        <w:t>—一</w:t>
      </w:r>
      <w:r>
        <w:rPr>
          <w:rFonts w:ascii="Microsoft YaHei" w:eastAsia="Microsoft YaHei" w:hAnsi="Microsoft YaHei" w:cs="Microsoft YaHei"/>
          <w:color w:val="196BA5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2019</w:t>
      </w:r>
      <w:r>
        <w:rPr>
          <w:rFonts w:ascii="Arial" w:eastAsia="Arial" w:hAnsi="Arial" w:cs="Arial"/>
          <w:spacing w:val="28"/>
          <w:w w:val="10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E4C864"/>
          <w:spacing w:val="-1"/>
          <w:sz w:val="19"/>
          <w:szCs w:val="19"/>
        </w:rPr>
        <w:t>—.一</w:t>
      </w:r>
      <w:r>
        <w:rPr>
          <w:rFonts w:ascii="Microsoft YaHei" w:eastAsia="Microsoft YaHei" w:hAnsi="Microsoft YaHei" w:cs="Microsoft YaHei"/>
          <w:color w:val="E4C864"/>
          <w:spacing w:val="-26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2020</w:t>
      </w:r>
      <w:r>
        <w:rPr>
          <w:rFonts w:ascii="Arial" w:eastAsia="Arial" w:hAnsi="Arial" w:cs="Arial"/>
          <w:spacing w:val="2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6B6B6"/>
          <w:spacing w:val="-1"/>
          <w:sz w:val="19"/>
          <w:szCs w:val="19"/>
        </w:rPr>
        <w:t>—一</w:t>
      </w:r>
      <w:r>
        <w:rPr>
          <w:rFonts w:ascii="Microsoft YaHei" w:eastAsia="Microsoft YaHei" w:hAnsi="Microsoft YaHei" w:cs="Microsoft YaHei"/>
          <w:color w:val="B6B6B6"/>
          <w:spacing w:val="-26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2021</w:t>
      </w:r>
      <w:r>
        <w:rPr>
          <w:rFonts w:ascii="Arial" w:eastAsia="Arial" w:hAnsi="Arial" w:cs="Arial"/>
          <w:spacing w:val="2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699C8"/>
          <w:spacing w:val="-1"/>
          <w:sz w:val="19"/>
          <w:szCs w:val="19"/>
        </w:rPr>
        <w:t>—一</w:t>
      </w:r>
      <w:r>
        <w:rPr>
          <w:rFonts w:ascii="Microsoft YaHei" w:eastAsia="Microsoft YaHei" w:hAnsi="Microsoft YaHei" w:cs="Microsoft YaHei"/>
          <w:color w:val="7699C8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2022</w:t>
      </w:r>
      <w:r>
        <w:rPr>
          <w:rFonts w:ascii="Arial" w:eastAsia="Arial" w:hAnsi="Arial" w:cs="Arial"/>
          <w:spacing w:val="2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9CDE5"/>
          <w:spacing w:val="-1"/>
          <w:sz w:val="19"/>
          <w:szCs w:val="19"/>
        </w:rPr>
        <w:t>—.一</w:t>
      </w:r>
      <w:r>
        <w:rPr>
          <w:rFonts w:ascii="Microsoft YaHei" w:eastAsia="Microsoft YaHei" w:hAnsi="Microsoft YaHei" w:cs="Microsoft YaHei"/>
          <w:color w:val="B9CDE5"/>
          <w:spacing w:val="-26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2023</w:t>
      </w:r>
    </w:p>
    <w:p>
      <w:pPr>
        <w:spacing w:line="108" w:lineRule="exact"/>
      </w:pPr>
    </w:p>
    <w:tbl>
      <w:tblPr>
        <w:tblStyle w:val="TableNormal2"/>
        <w:tblW w:w="4746" w:type="dxa"/>
        <w:tblInd w:w="17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3"/>
        <w:gridCol w:w="4383"/>
      </w:tblGrid>
      <w:tr>
        <w:tblPrEx>
          <w:tblW w:w="4746" w:type="dxa"/>
          <w:tblInd w:w="17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45"/>
        </w:trPr>
        <w:tc>
          <w:tcPr>
            <w:tcW w:w="363" w:type="dxa"/>
            <w:vAlign w:val="top"/>
          </w:tcPr>
          <w:p>
            <w:pPr>
              <w:pStyle w:val="TableText"/>
              <w:spacing w:before="3" w:line="434" w:lineRule="auto"/>
              <w:ind w:right="44"/>
              <w:jc w:val="right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45%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40%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35%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30%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25%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20%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15%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10%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5%</w:t>
            </w:r>
          </w:p>
          <w:p>
            <w:pPr>
              <w:pStyle w:val="TableText"/>
              <w:spacing w:line="196" w:lineRule="auto"/>
              <w:ind w:left="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4383" w:type="dxa"/>
            <w:vAlign w:val="top"/>
          </w:tcPr>
          <w:p>
            <w:pPr>
              <w:spacing w:before="59" w:line="3053" w:lineRule="exact"/>
              <w:ind w:firstLine="44"/>
            </w:pPr>
            <w:r>
              <w:rPr>
                <w:position w:val="-61"/>
              </w:rPr>
              <w:drawing>
                <wp:inline distT="0" distB="0" distL="0" distR="0">
                  <wp:extent cx="2755131" cy="1938718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131" cy="1938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1" w:line="174" w:lineRule="auto"/>
              <w:ind w:right="16"/>
              <w:jc w:val="right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1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50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2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34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3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30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4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34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5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33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6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35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7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34"/>
                <w:w w:val="10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8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34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9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10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spacing w:val="-2"/>
                <w:sz w:val="16"/>
                <w:szCs w:val="16"/>
              </w:rPr>
              <w:t>11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  <w:r>
              <w:rPr>
                <w:spacing w:val="-2"/>
                <w:sz w:val="16"/>
                <w:szCs w:val="16"/>
              </w:rPr>
              <w:t>12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月</w:t>
            </w:r>
          </w:p>
        </w:tc>
      </w:tr>
    </w:tbl>
    <w:p>
      <w:pPr>
        <w:spacing w:line="121" w:lineRule="exact"/>
      </w:pPr>
    </w:p>
    <w:tbl>
      <w:tblPr>
        <w:tblStyle w:val="TableNormal2"/>
        <w:tblW w:w="5092" w:type="dxa"/>
        <w:tblInd w:w="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31"/>
        <w:gridCol w:w="3661"/>
      </w:tblGrid>
      <w:tr>
        <w:tblPrEx>
          <w:tblW w:w="5092" w:type="dxa"/>
          <w:tblInd w:w="1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30"/>
        </w:trPr>
        <w:tc>
          <w:tcPr>
            <w:tcW w:w="509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0" w:line="212" w:lineRule="auto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>数据来源：</w:t>
            </w:r>
            <w:r>
              <w:rPr>
                <w:rFonts w:ascii="KaiTi" w:eastAsia="KaiTi" w:hAnsi="KaiTi" w:cs="KaiTi"/>
                <w:color w:val="0F243E"/>
                <w:spacing w:val="58"/>
                <w:w w:val="10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>中汽协，广发证券发展研究中心</w:t>
            </w:r>
          </w:p>
          <w:p>
            <w:pPr>
              <w:pStyle w:val="TableText"/>
              <w:spacing w:line="349" w:lineRule="auto"/>
              <w:rPr>
                <w:sz w:val="21"/>
              </w:rPr>
            </w:pPr>
          </w:p>
          <w:p>
            <w:pPr>
              <w:pStyle w:val="TableText"/>
              <w:spacing w:line="350" w:lineRule="auto"/>
              <w:rPr>
                <w:sz w:val="21"/>
              </w:rPr>
            </w:pPr>
          </w:p>
          <w:p>
            <w:pPr>
              <w:pStyle w:val="TableText"/>
              <w:spacing w:before="68" w:line="220" w:lineRule="auto"/>
              <w:ind w:left="2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rFonts w:ascii="KaiTi" w:eastAsia="KaiTi" w:hAnsi="KaiTi" w:cs="KaiTi"/>
                <w:color w:val="0F243E"/>
                <w:spacing w:val="-2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0F243E"/>
                <w:spacing w:val="-2"/>
                <w:sz w:val="21"/>
                <w:szCs w:val="21"/>
              </w:rPr>
              <w:t>4</w:t>
            </w:r>
            <w:r>
              <w:rPr>
                <w:rFonts w:ascii="KaiTi" w:eastAsia="KaiTi" w:hAnsi="KaiTi" w:cs="KaiTi"/>
                <w:color w:val="0F243E"/>
                <w:spacing w:val="-2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：用户购买电动车时的主要顾虑</w:t>
            </w:r>
          </w:p>
        </w:tc>
      </w:tr>
      <w:tr>
        <w:tblPrEx>
          <w:tblW w:w="5092" w:type="dxa"/>
          <w:tblInd w:w="16" w:type="dxa"/>
          <w:tblLayout w:type="fixed"/>
        </w:tblPrEx>
        <w:trPr>
          <w:trHeight w:val="3966"/>
        </w:trPr>
        <w:tc>
          <w:tcPr>
            <w:tcW w:w="14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58" w:lineRule="auto"/>
              <w:rPr>
                <w:sz w:val="21"/>
              </w:rPr>
            </w:pPr>
          </w:p>
          <w:p>
            <w:pPr>
              <w:spacing w:before="43" w:line="510" w:lineRule="auto"/>
              <w:ind w:left="682" w:right="56"/>
              <w:jc w:val="right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8"/>
                <w:sz w:val="13"/>
                <w:szCs w:val="13"/>
              </w:rPr>
              <w:t>充电不方便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8"/>
                <w:sz w:val="13"/>
                <w:szCs w:val="13"/>
              </w:rPr>
              <w:t>续航里程短</w:t>
            </w:r>
          </w:p>
          <w:p>
            <w:pPr>
              <w:spacing w:line="230" w:lineRule="auto"/>
              <w:ind w:left="538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9"/>
                <w:sz w:val="13"/>
                <w:szCs w:val="13"/>
              </w:rPr>
              <w:t>换电池成本高</w:t>
            </w:r>
          </w:p>
          <w:p>
            <w:pPr>
              <w:spacing w:before="196" w:line="359" w:lineRule="exact"/>
              <w:ind w:left="693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6"/>
                <w:position w:val="17"/>
                <w:sz w:val="13"/>
                <w:szCs w:val="13"/>
              </w:rPr>
              <w:t>电池寿命短</w:t>
            </w:r>
          </w:p>
          <w:p>
            <w:pPr>
              <w:spacing w:line="231" w:lineRule="auto"/>
              <w:ind w:left="254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9"/>
                <w:sz w:val="13"/>
                <w:szCs w:val="13"/>
              </w:rPr>
              <w:t>质量问题（自燃）</w:t>
            </w:r>
          </w:p>
          <w:p>
            <w:pPr>
              <w:tabs>
                <w:tab w:val="left" w:pos="539"/>
              </w:tabs>
              <w:spacing w:before="196" w:line="509" w:lineRule="auto"/>
              <w:ind w:left="397" w:right="56" w:firstLine="285"/>
              <w:jc w:val="right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8"/>
                <w:sz w:val="13"/>
                <w:szCs w:val="13"/>
              </w:rPr>
              <w:t>充电时间长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z w:val="13"/>
                <w:szCs w:val="13"/>
              </w:rPr>
              <w:tab/>
            </w:r>
            <w:r>
              <w:rPr>
                <w:rFonts w:ascii="KaiTi" w:eastAsia="KaiTi" w:hAnsi="KaiTi" w:cs="KaiTi"/>
                <w:spacing w:val="8"/>
                <w:sz w:val="13"/>
                <w:szCs w:val="13"/>
              </w:rPr>
              <w:t>二手车残值低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9"/>
                <w:sz w:val="13"/>
                <w:szCs w:val="13"/>
              </w:rPr>
              <w:t>价格比燃油车高</w:t>
            </w:r>
          </w:p>
          <w:p>
            <w:pPr>
              <w:spacing w:line="230" w:lineRule="auto"/>
              <w:ind w:left="823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驾驶感差</w:t>
            </w:r>
          </w:p>
          <w:p>
            <w:pPr>
              <w:spacing w:before="197" w:line="230" w:lineRule="auto"/>
              <w:ind w:left="1099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其他</w:t>
            </w:r>
          </w:p>
        </w:tc>
        <w:tc>
          <w:tcPr>
            <w:tcW w:w="36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64" w:lineRule="auto"/>
              <w:rPr>
                <w:sz w:val="21"/>
              </w:rPr>
            </w:pPr>
          </w:p>
          <w:p>
            <w:pPr>
              <w:pStyle w:val="TableText"/>
              <w:spacing w:before="46" w:line="358" w:lineRule="exact"/>
              <w:ind w:left="64"/>
              <w:rPr>
                <w:sz w:val="16"/>
                <w:szCs w:val="16"/>
              </w:rPr>
            </w:pPr>
            <w:r>
              <w:pict>
                <v:rect id="_x0000_s1041" style="width:0.75pt;height:179.4pt;margin-top:-3.48pt;margin-left:2.86pt;position:absolute;z-index:251677696" filled="t" fillcolor="black" stroked="f"/>
              </w:pict>
            </w:r>
            <w:r>
              <w:rPr>
                <w:position w:val="16"/>
                <w:sz w:val="16"/>
                <w:szCs w:val="16"/>
              </w:rPr>
              <w:drawing>
                <wp:inline distT="0" distB="0" distL="0" distR="0">
                  <wp:extent cx="1936622" cy="80793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622" cy="8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0"/>
                <w:w w:val="101"/>
                <w:position w:val="16"/>
                <w:sz w:val="16"/>
                <w:szCs w:val="16"/>
              </w:rPr>
              <w:t xml:space="preserve"> </w:t>
            </w:r>
            <w:r>
              <w:rPr>
                <w:spacing w:val="-2"/>
                <w:position w:val="16"/>
                <w:sz w:val="16"/>
                <w:szCs w:val="16"/>
              </w:rPr>
              <w:t>56%</w:t>
            </w:r>
          </w:p>
          <w:p>
            <w:pPr>
              <w:pStyle w:val="TableText"/>
              <w:spacing w:line="205" w:lineRule="auto"/>
              <w:ind w:left="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1763649" cy="80793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3649" cy="8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sz w:val="16"/>
                <w:szCs w:val="16"/>
              </w:rPr>
              <w:t xml:space="preserve">  </w:t>
            </w:r>
            <w:r>
              <w:rPr>
                <w:spacing w:val="-2"/>
                <w:sz w:val="16"/>
                <w:szCs w:val="16"/>
              </w:rPr>
              <w:t>51%</w:t>
            </w:r>
          </w:p>
          <w:p>
            <w:pPr>
              <w:pStyle w:val="TableText"/>
              <w:spacing w:before="201" w:line="205" w:lineRule="auto"/>
              <w:ind w:left="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1383284" cy="80793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284" cy="8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6"/>
                <w:w w:val="101"/>
                <w:sz w:val="16"/>
                <w:szCs w:val="16"/>
              </w:rPr>
              <w:t xml:space="preserve">  </w:t>
            </w:r>
            <w:r>
              <w:rPr>
                <w:spacing w:val="-1"/>
                <w:sz w:val="16"/>
                <w:szCs w:val="16"/>
              </w:rPr>
              <w:t>40%</w:t>
            </w:r>
          </w:p>
          <w:p>
            <w:pPr>
              <w:pStyle w:val="TableText"/>
              <w:spacing w:before="201" w:line="359" w:lineRule="exact"/>
              <w:ind w:left="64"/>
              <w:rPr>
                <w:sz w:val="16"/>
                <w:szCs w:val="16"/>
              </w:rPr>
            </w:pPr>
            <w:r>
              <w:rPr>
                <w:position w:val="16"/>
                <w:sz w:val="16"/>
                <w:szCs w:val="16"/>
              </w:rPr>
              <w:drawing>
                <wp:inline distT="0" distB="0" distL="0" distR="0">
                  <wp:extent cx="1002868" cy="80793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868" cy="8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position w:val="16"/>
                <w:sz w:val="16"/>
                <w:szCs w:val="16"/>
              </w:rPr>
              <w:t xml:space="preserve">  </w:t>
            </w:r>
            <w:r>
              <w:rPr>
                <w:spacing w:val="-1"/>
                <w:position w:val="16"/>
                <w:sz w:val="16"/>
                <w:szCs w:val="16"/>
              </w:rPr>
              <w:t>29%</w:t>
            </w:r>
          </w:p>
          <w:p>
            <w:pPr>
              <w:pStyle w:val="TableText"/>
              <w:spacing w:line="205" w:lineRule="auto"/>
              <w:ind w:left="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968286" cy="80793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286" cy="8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w w:val="101"/>
                <w:sz w:val="16"/>
                <w:szCs w:val="16"/>
              </w:rPr>
              <w:t xml:space="preserve">  </w:t>
            </w:r>
            <w:r>
              <w:rPr>
                <w:spacing w:val="-1"/>
                <w:sz w:val="16"/>
                <w:szCs w:val="16"/>
              </w:rPr>
              <w:t>28%</w:t>
            </w:r>
          </w:p>
          <w:p>
            <w:pPr>
              <w:pStyle w:val="TableText"/>
              <w:spacing w:before="201" w:line="206" w:lineRule="auto"/>
              <w:ind w:left="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829957" cy="80793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57" cy="8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w w:val="101"/>
                <w:sz w:val="16"/>
                <w:szCs w:val="16"/>
              </w:rPr>
              <w:t xml:space="preserve">  </w:t>
            </w:r>
            <w:r>
              <w:rPr>
                <w:spacing w:val="-1"/>
                <w:sz w:val="16"/>
                <w:szCs w:val="16"/>
              </w:rPr>
              <w:t>24%</w:t>
            </w:r>
          </w:p>
          <w:p>
            <w:pPr>
              <w:pStyle w:val="TableText"/>
              <w:spacing w:before="201" w:line="206" w:lineRule="auto"/>
              <w:ind w:left="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726211" cy="80793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211" cy="8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sz w:val="16"/>
                <w:szCs w:val="16"/>
              </w:rPr>
              <w:t xml:space="preserve">  </w:t>
            </w:r>
            <w:r>
              <w:rPr>
                <w:spacing w:val="-1"/>
                <w:sz w:val="16"/>
                <w:szCs w:val="16"/>
              </w:rPr>
              <w:t>21%</w:t>
            </w:r>
          </w:p>
          <w:p>
            <w:pPr>
              <w:pStyle w:val="TableText"/>
              <w:spacing w:before="201" w:line="359" w:lineRule="exact"/>
              <w:ind w:left="64"/>
              <w:rPr>
                <w:sz w:val="16"/>
                <w:szCs w:val="16"/>
              </w:rPr>
            </w:pPr>
            <w:r>
              <w:rPr>
                <w:position w:val="16"/>
                <w:sz w:val="16"/>
                <w:szCs w:val="16"/>
              </w:rPr>
              <w:drawing>
                <wp:inline distT="0" distB="0" distL="0" distR="0">
                  <wp:extent cx="449567" cy="80793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567" cy="80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position w:val="16"/>
                <w:sz w:val="16"/>
                <w:szCs w:val="16"/>
              </w:rPr>
              <w:t xml:space="preserve">   </w:t>
            </w:r>
            <w:r>
              <w:rPr>
                <w:spacing w:val="-4"/>
                <w:position w:val="16"/>
                <w:sz w:val="16"/>
                <w:szCs w:val="16"/>
              </w:rPr>
              <w:t>13%</w:t>
            </w:r>
          </w:p>
          <w:p>
            <w:pPr>
              <w:pStyle w:val="TableText"/>
              <w:spacing w:line="206" w:lineRule="auto"/>
              <w:ind w:left="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276656" cy="80794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656" cy="80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sz w:val="16"/>
                <w:szCs w:val="16"/>
              </w:rPr>
              <w:t xml:space="preserve">  </w:t>
            </w:r>
            <w:r>
              <w:rPr>
                <w:spacing w:val="-2"/>
                <w:sz w:val="16"/>
                <w:szCs w:val="16"/>
              </w:rPr>
              <w:t>8%</w:t>
            </w:r>
          </w:p>
          <w:p>
            <w:pPr>
              <w:pStyle w:val="TableText"/>
              <w:spacing w:before="200" w:line="206" w:lineRule="auto"/>
              <w:ind w:left="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69162" cy="80794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62" cy="80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w w:val="102"/>
                <w:sz w:val="16"/>
                <w:szCs w:val="16"/>
              </w:rPr>
              <w:t xml:space="preserve">  </w:t>
            </w:r>
            <w:r>
              <w:rPr>
                <w:spacing w:val="-1"/>
                <w:sz w:val="16"/>
                <w:szCs w:val="16"/>
              </w:rPr>
              <w:t>2%</w:t>
            </w:r>
          </w:p>
        </w:tc>
      </w:tr>
    </w:tbl>
    <w:p>
      <w:pPr>
        <w:pStyle w:val="BodyText"/>
        <w:spacing w:before="73" w:line="185" w:lineRule="auto"/>
        <w:ind w:left="16"/>
        <w:rPr>
          <w:sz w:val="18"/>
          <w:szCs w:val="18"/>
        </w:rPr>
      </w:pPr>
      <w:r>
        <w:rPr>
          <w:color w:val="0F243E"/>
          <w:spacing w:val="-7"/>
          <w:sz w:val="18"/>
          <w:szCs w:val="18"/>
        </w:rPr>
        <w:t>数据来源：</w:t>
      </w:r>
      <w:r>
        <w:rPr>
          <w:color w:val="0F243E"/>
          <w:spacing w:val="46"/>
          <w:w w:val="101"/>
          <w:sz w:val="18"/>
          <w:szCs w:val="18"/>
        </w:rPr>
        <w:t xml:space="preserve"> </w:t>
      </w:r>
      <w:r>
        <w:rPr>
          <w:color w:val="0F243E"/>
          <w:spacing w:val="-7"/>
          <w:sz w:val="18"/>
          <w:szCs w:val="18"/>
        </w:rPr>
        <w:t>中汽中心，广发证券发展研究中心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18" w:lineRule="auto"/>
        <w:ind w:left="39"/>
      </w:pP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1"/>
        </w:rPr>
        <w:t>3</w:t>
      </w: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Arial" w:eastAsia="Arial" w:hAnsi="Arial" w:cs="Arial"/>
          <w:b/>
          <w:bCs/>
          <w:color w:val="0F243E"/>
          <w:spacing w:val="-1"/>
        </w:rPr>
        <w:t>2022</w:t>
      </w: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年中国汽车市场分等级车型结构</w:t>
      </w:r>
    </w:p>
    <w:p>
      <w:pPr>
        <w:spacing w:line="19" w:lineRule="exact"/>
      </w:pPr>
    </w:p>
    <w:tbl>
      <w:tblPr>
        <w:tblStyle w:val="TableNormal2"/>
        <w:tblW w:w="507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2"/>
        <w:gridCol w:w="3256"/>
        <w:gridCol w:w="1316"/>
      </w:tblGrid>
      <w:tr>
        <w:tblPrEx>
          <w:tblW w:w="507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966"/>
        </w:trPr>
        <w:tc>
          <w:tcPr>
            <w:tcW w:w="50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79" w:lineRule="auto"/>
              <w:rPr>
                <w:sz w:val="21"/>
              </w:rPr>
            </w:pPr>
          </w:p>
          <w:p>
            <w:pPr>
              <w:pStyle w:val="TableText"/>
              <w:spacing w:before="46" w:line="197" w:lineRule="auto"/>
              <w:ind w:left="14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60%</w:t>
            </w:r>
          </w:p>
          <w:p>
            <w:pPr>
              <w:pStyle w:val="TableText"/>
              <w:spacing w:line="308" w:lineRule="auto"/>
              <w:rPr>
                <w:sz w:val="21"/>
              </w:rPr>
            </w:pPr>
          </w:p>
          <w:p>
            <w:pPr>
              <w:pStyle w:val="TableText"/>
              <w:spacing w:before="46" w:line="197" w:lineRule="auto"/>
              <w:ind w:left="14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50%</w:t>
            </w:r>
          </w:p>
          <w:p>
            <w:pPr>
              <w:pStyle w:val="TableText"/>
              <w:spacing w:line="307" w:lineRule="auto"/>
              <w:rPr>
                <w:sz w:val="21"/>
              </w:rPr>
            </w:pPr>
          </w:p>
          <w:p>
            <w:pPr>
              <w:pStyle w:val="TableText"/>
              <w:spacing w:before="46" w:line="197" w:lineRule="auto"/>
              <w:ind w:left="13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40%</w:t>
            </w:r>
          </w:p>
          <w:p>
            <w:pPr>
              <w:pStyle w:val="TableText"/>
              <w:spacing w:line="308" w:lineRule="auto"/>
              <w:rPr>
                <w:sz w:val="21"/>
              </w:rPr>
            </w:pPr>
          </w:p>
          <w:p>
            <w:pPr>
              <w:pStyle w:val="TableText"/>
              <w:spacing w:before="46" w:line="197" w:lineRule="auto"/>
              <w:ind w:left="14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30%</w:t>
            </w:r>
          </w:p>
          <w:p>
            <w:pPr>
              <w:pStyle w:val="TableText"/>
              <w:spacing w:line="307" w:lineRule="auto"/>
              <w:rPr>
                <w:sz w:val="21"/>
              </w:rPr>
            </w:pPr>
          </w:p>
          <w:p>
            <w:pPr>
              <w:pStyle w:val="TableText"/>
              <w:spacing w:before="46" w:line="197" w:lineRule="auto"/>
              <w:ind w:left="14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20%</w:t>
            </w:r>
          </w:p>
          <w:p>
            <w:pPr>
              <w:pStyle w:val="TableText"/>
              <w:spacing w:line="307" w:lineRule="auto"/>
              <w:rPr>
                <w:sz w:val="21"/>
              </w:rPr>
            </w:pPr>
          </w:p>
          <w:p>
            <w:pPr>
              <w:pStyle w:val="TableText"/>
              <w:spacing w:before="47" w:line="197" w:lineRule="auto"/>
              <w:ind w:left="15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10%</w:t>
            </w:r>
          </w:p>
          <w:p>
            <w:pPr>
              <w:pStyle w:val="TableText"/>
              <w:spacing w:line="308" w:lineRule="auto"/>
              <w:rPr>
                <w:sz w:val="21"/>
              </w:rPr>
            </w:pPr>
          </w:p>
          <w:p>
            <w:pPr>
              <w:pStyle w:val="TableText"/>
              <w:spacing w:before="46" w:line="197" w:lineRule="auto"/>
              <w:ind w:left="23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4572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28" w:line="218" w:lineRule="auto"/>
              <w:ind w:left="558"/>
              <w:rPr>
                <w:rFonts w:ascii="KaiTi" w:eastAsia="KaiTi" w:hAnsi="KaiTi" w:cs="KaiTi"/>
                <w:sz w:val="16"/>
                <w:szCs w:val="16"/>
              </w:rPr>
            </w:pPr>
            <w:r>
              <w:pict>
                <v:shape id="_x0000_s1042" style="width:2.8pt;height:152.45pt;margin-top:24.38pt;margin-left:-226.39pt;mso-position-horizontal-relative:right-margin-area;mso-position-vertical-relative:top-margin-area;position:absolute;z-index:251675648" coordorigin="0,0" coordsize="55,3048" path="m48,3048l48,7m,2541l48,2541m,2034l48,2034m,1528l48,1528m,1021l48,1021m,513l48,513m,7l48,7e" filled="f" strokecolor="black" strokeweight="0.75pt"/>
              </w:pict>
            </w:r>
            <w:r>
              <w:pict>
                <v:shape id="_x0000_s1043" style="width:218.45pt;height:2.8pt;margin-top:176.4pt;margin-left:-226.39pt;mso-position-horizontal-relative:right-margin-area;mso-position-vertical-relative:top-margin-area;position:absolute;z-index:251676672" coordorigin="0,0" coordsize="4368,55" path="m,7l48,7m48,7l4361,7m48,7l48,55m912,7l912,55m1773,7l1773,55m2635,7l2635,55m3499,7l3499,55m4361,7l4361,55e" filled="f" strokecolor="black" strokeweight="0.75pt"/>
              </w:pict>
            </w:r>
            <w:r>
              <w:rPr>
                <w:rFonts w:ascii="KaiTi" w:eastAsia="KaiTi" w:hAnsi="KaiTi" w:cs="KaiTi"/>
                <w:position w:val="1"/>
                <w:sz w:val="16"/>
                <w:szCs w:val="16"/>
              </w:rPr>
              <w:drawing>
                <wp:inline distT="0" distB="0" distL="0" distR="0">
                  <wp:extent cx="51064" cy="51064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64" cy="5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7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新能源车市场结构</w:t>
            </w:r>
            <w:r>
              <w:rPr>
                <w:rFonts w:ascii="KaiTi" w:eastAsia="KaiTi" w:hAnsi="KaiTi" w:cs="KaiTi"/>
                <w:spacing w:val="4"/>
                <w:sz w:val="16"/>
                <w:szCs w:val="16"/>
              </w:rPr>
              <w:t xml:space="preserve">      </w:t>
            </w:r>
            <w:r>
              <w:rPr>
                <w:sz w:val="16"/>
                <w:szCs w:val="16"/>
              </w:rPr>
              <w:drawing>
                <wp:inline distT="0" distB="0" distL="0" distR="0">
                  <wp:extent cx="58673" cy="57150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3" cy="57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5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汽车整体市场结构</w:t>
            </w:r>
          </w:p>
          <w:p>
            <w:pPr>
              <w:pStyle w:val="TableText"/>
              <w:spacing w:before="242" w:line="197" w:lineRule="auto"/>
              <w:ind w:left="221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52%</w:t>
            </w:r>
          </w:p>
          <w:p>
            <w:pPr>
              <w:pStyle w:val="TableText"/>
              <w:spacing w:before="81" w:line="2646" w:lineRule="exact"/>
              <w:ind w:firstLine="245"/>
            </w:pPr>
            <w:r>
              <w:rPr>
                <w:position w:val="-52"/>
              </w:rPr>
              <w:pict>
                <v:group id="_x0000_i1044" style="width:198.5pt;height:132.3pt;mso-position-horizontal-relative:char;mso-position-vertical-relative:line" coordorigin="0,0" coordsize="3970,2646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45" type="#_x0000_t75" style="width:3892;height:2646;left:58;position:absolute" filled="f" stroked="f">
                    <v:imagedata r:id="rId64" o:title=""/>
                  </v:shape>
                  <v:shape id="_x0000_s1046" type="#_x0000_t202" style="width:3807;height:1733;left:-20;position:absolute;top:50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97" w:lineRule="auto"/>
                            <w:ind w:left="1747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16"/>
                              <w:szCs w:val="16"/>
                            </w:rPr>
                            <w:t>37%</w:t>
                          </w:r>
                        </w:p>
                        <w:p>
                          <w:pPr>
                            <w:spacing w:line="40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213" w:lineRule="auto"/>
                            <w:ind w:left="2607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4"/>
                              <w:position w:val="-4"/>
                              <w:sz w:val="16"/>
                              <w:szCs w:val="16"/>
                            </w:rPr>
                            <w:t>23%</w:t>
                          </w:r>
                          <w:r>
                            <w:rPr>
                              <w:rFonts w:ascii="Arial" w:eastAsia="Arial" w:hAnsi="Arial" w:cs="Arial"/>
                              <w:spacing w:val="-14"/>
                              <w:position w:val="5"/>
                              <w:sz w:val="16"/>
                              <w:szCs w:val="16"/>
                            </w:rPr>
                            <w:t>25%</w:t>
                          </w:r>
                        </w:p>
                        <w:p>
                          <w:pPr>
                            <w:spacing w:line="196" w:lineRule="auto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16"/>
                              <w:szCs w:val="16"/>
                            </w:rPr>
                            <w:t>20%</w:t>
                          </w:r>
                        </w:p>
                        <w:p>
                          <w:pPr>
                            <w:spacing w:line="25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112" w:lineRule="exact"/>
                            <w:ind w:right="12"/>
                            <w:jc w:val="righ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4"/>
                              <w:position w:val="-2"/>
                              <w:sz w:val="16"/>
                              <w:szCs w:val="16"/>
                            </w:rPr>
                            <w:t>11%</w:t>
                          </w:r>
                        </w:p>
                        <w:p>
                          <w:pPr>
                            <w:spacing w:line="184" w:lineRule="auto"/>
                            <w:ind w:left="93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2"/>
                              <w:sz w:val="16"/>
                              <w:szCs w:val="16"/>
                            </w:rPr>
                            <w:t>9%9%</w:t>
                          </w:r>
                        </w:p>
                        <w:p>
                          <w:pPr>
                            <w:spacing w:line="197" w:lineRule="auto"/>
                            <w:ind w:left="312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16"/>
                              <w:szCs w:val="16"/>
                            </w:rPr>
                            <w:t>6%</w:t>
                          </w:r>
                        </w:p>
                      </w:txbxContent>
                    </v:textbox>
                  </v:shape>
                  <v:shape id="_x0000_s1047" type="#_x0000_t202" style="width:266;height:162;left:3723;position:absolute;top:197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97" w:lineRule="auto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16"/>
                              <w:szCs w:val="16"/>
                            </w:rPr>
                            <w:t>8%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121" w:line="197" w:lineRule="auto"/>
              <w:ind w:left="38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A00              A0       </w:t>
            </w:r>
            <w:r>
              <w:rPr>
                <w:spacing w:val="-1"/>
                <w:sz w:val="16"/>
                <w:szCs w:val="16"/>
              </w:rPr>
              <w:t xml:space="preserve">         A</w:t>
            </w:r>
            <w:r>
              <w:rPr>
                <w:sz w:val="16"/>
                <w:szCs w:val="16"/>
              </w:rPr>
              <w:t xml:space="preserve">                 </w:t>
            </w:r>
            <w:r>
              <w:rPr>
                <w:spacing w:val="-1"/>
                <w:sz w:val="16"/>
                <w:szCs w:val="16"/>
              </w:rPr>
              <w:t>B</w:t>
            </w:r>
            <w:r>
              <w:rPr>
                <w:sz w:val="16"/>
                <w:szCs w:val="16"/>
              </w:rPr>
              <w:t xml:space="preserve">                 </w:t>
            </w:r>
            <w:r>
              <w:rPr>
                <w:spacing w:val="-1"/>
                <w:sz w:val="16"/>
                <w:szCs w:val="16"/>
              </w:rPr>
              <w:t>C</w:t>
            </w:r>
          </w:p>
        </w:tc>
      </w:tr>
      <w:tr>
        <w:tblPrEx>
          <w:tblW w:w="5074" w:type="dxa"/>
          <w:tblInd w:w="0" w:type="dxa"/>
          <w:tblLayout w:type="fixed"/>
        </w:tblPrEx>
        <w:trPr>
          <w:trHeight w:val="1326"/>
        </w:trPr>
        <w:tc>
          <w:tcPr>
            <w:tcW w:w="5074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7" w:line="212" w:lineRule="auto"/>
              <w:ind w:left="1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>数据来源：</w:t>
            </w:r>
            <w:r>
              <w:rPr>
                <w:rFonts w:ascii="KaiTi" w:eastAsia="KaiTi" w:hAnsi="KaiTi" w:cs="KaiTi"/>
                <w:color w:val="0F243E"/>
                <w:spacing w:val="58"/>
                <w:w w:val="101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>中汽协，广发证券发展研究中心</w:t>
            </w:r>
          </w:p>
          <w:p>
            <w:pPr>
              <w:pStyle w:val="TableText"/>
              <w:spacing w:line="349" w:lineRule="auto"/>
              <w:rPr>
                <w:sz w:val="21"/>
              </w:rPr>
            </w:pPr>
          </w:p>
          <w:p>
            <w:pPr>
              <w:pStyle w:val="TableText"/>
              <w:spacing w:line="350" w:lineRule="auto"/>
              <w:rPr>
                <w:sz w:val="21"/>
              </w:rPr>
            </w:pPr>
          </w:p>
          <w:p>
            <w:pPr>
              <w:pStyle w:val="TableText"/>
              <w:spacing w:before="68" w:line="217" w:lineRule="auto"/>
              <w:ind w:left="3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0F243E"/>
                <w:spacing w:val="-3"/>
                <w:sz w:val="21"/>
                <w:szCs w:val="21"/>
              </w:rPr>
              <w:t>5</w:t>
            </w: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：电动车平均充电时间分布</w:t>
            </w:r>
          </w:p>
        </w:tc>
      </w:tr>
      <w:tr>
        <w:tblPrEx>
          <w:tblW w:w="5074" w:type="dxa"/>
          <w:tblInd w:w="0" w:type="dxa"/>
          <w:tblLayout w:type="fixed"/>
        </w:tblPrEx>
        <w:trPr>
          <w:trHeight w:val="3967"/>
        </w:trPr>
        <w:tc>
          <w:tcPr>
            <w:tcW w:w="3758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50" w:lineRule="auto"/>
              <w:rPr>
                <w:sz w:val="21"/>
              </w:rPr>
            </w:pPr>
          </w:p>
          <w:p>
            <w:pPr>
              <w:pStyle w:val="TableText"/>
              <w:spacing w:line="250" w:lineRule="auto"/>
              <w:rPr>
                <w:sz w:val="21"/>
              </w:rPr>
            </w:pPr>
          </w:p>
          <w:p>
            <w:pPr>
              <w:pStyle w:val="TableText"/>
              <w:spacing w:line="2991" w:lineRule="exact"/>
              <w:ind w:firstLine="536"/>
            </w:pPr>
            <w:r>
              <w:rPr>
                <w:position w:val="-59"/>
              </w:rPr>
              <w:pict>
                <v:group id="_x0000_i1048" style="width:149.6pt;height:149.6pt;mso-position-horizontal-relative:char;mso-position-vertical-relative:line" coordorigin="0,0" coordsize="2992,2992" filled="f" stroked="f">
                  <v:shape id="_x0000_s1049" type="#_x0000_t75" style="width:2992;height:2992;position:absolute" filled="f" stroked="f">
                    <v:imagedata r:id="rId65" o:title=""/>
                  </v:shape>
                  <v:shape id="_x0000_s1050" type="#_x0000_t202" style="width:2637;height:2577;left:80;position:absolute;top:13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10" w:lineRule="auto"/>
                            <w:ind w:left="1026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position w:val="-1"/>
                              <w:sz w:val="16"/>
                              <w:szCs w:val="16"/>
                            </w:rPr>
                            <w:t>7%</w:t>
                          </w:r>
                          <w:r>
                            <w:rPr>
                              <w:rFonts w:ascii="Arial" w:eastAsia="Arial" w:hAnsi="Arial" w:cs="Arial"/>
                              <w:spacing w:val="6"/>
                              <w:position w:val="-1"/>
                              <w:sz w:val="16"/>
                              <w:szCs w:val="16"/>
                            </w:rPr>
                            <w:t xml:space="preserve">    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position w:val="1"/>
                              <w:sz w:val="16"/>
                              <w:szCs w:val="16"/>
                            </w:rPr>
                            <w:t>4%</w:t>
                          </w:r>
                        </w:p>
                        <w:p>
                          <w:pPr>
                            <w:spacing w:before="134" w:line="197" w:lineRule="auto"/>
                            <w:ind w:left="485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16"/>
                              <w:szCs w:val="16"/>
                            </w:rPr>
                            <w:t>8%</w:t>
                          </w:r>
                        </w:p>
                        <w:p>
                          <w:pPr>
                            <w:spacing w:before="178" w:line="197" w:lineRule="auto"/>
                            <w:ind w:right="18"/>
                            <w:jc w:val="righ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16"/>
                              <w:szCs w:val="16"/>
                            </w:rPr>
                            <w:t>23%</w:t>
                          </w:r>
                        </w:p>
                        <w:p>
                          <w:pPr>
                            <w:spacing w:line="28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197" w:lineRule="auto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"/>
                              <w:sz w:val="16"/>
                              <w:szCs w:val="16"/>
                            </w:rPr>
                            <w:t>23%</w:t>
                          </w:r>
                        </w:p>
                        <w:p>
                          <w:pPr>
                            <w:spacing w:line="26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197" w:lineRule="auto"/>
                            <w:ind w:left="1747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16"/>
                              <w:szCs w:val="16"/>
                            </w:rPr>
                            <w:t>35%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131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31" w:lineRule="auto"/>
              <w:rPr>
                <w:sz w:val="21"/>
              </w:rPr>
            </w:pPr>
          </w:p>
          <w:p>
            <w:pPr>
              <w:pStyle w:val="TableText"/>
              <w:spacing w:line="332" w:lineRule="auto"/>
              <w:rPr>
                <w:sz w:val="21"/>
              </w:rPr>
            </w:pPr>
          </w:p>
          <w:p>
            <w:pPr>
              <w:pStyle w:val="TableText"/>
              <w:spacing w:before="52" w:line="220" w:lineRule="auto"/>
              <w:ind w:left="1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57150" cy="58673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" cy="58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0.5-1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小时</w:t>
            </w:r>
          </w:p>
          <w:p>
            <w:pPr>
              <w:pStyle w:val="TableText"/>
              <w:spacing w:line="245" w:lineRule="auto"/>
              <w:rPr>
                <w:sz w:val="21"/>
              </w:rPr>
            </w:pPr>
          </w:p>
          <w:p>
            <w:pPr>
              <w:pStyle w:val="TableText"/>
              <w:spacing w:before="52" w:line="220" w:lineRule="auto"/>
              <w:ind w:left="1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57150" cy="58673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" cy="58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1-1.5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小时</w:t>
            </w:r>
          </w:p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pStyle w:val="TableText"/>
              <w:spacing w:before="52" w:line="220" w:lineRule="auto"/>
              <w:ind w:left="1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57150" cy="58673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" cy="58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1.5-2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小时</w:t>
            </w:r>
          </w:p>
          <w:p>
            <w:pPr>
              <w:pStyle w:val="TableText"/>
              <w:spacing w:line="245" w:lineRule="auto"/>
              <w:rPr>
                <w:sz w:val="21"/>
              </w:rPr>
            </w:pPr>
          </w:p>
          <w:p>
            <w:pPr>
              <w:pStyle w:val="TableText"/>
              <w:spacing w:before="52" w:line="220" w:lineRule="auto"/>
              <w:ind w:left="1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57150" cy="58673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" cy="58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2-2.5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小时</w:t>
            </w:r>
          </w:p>
          <w:p>
            <w:pPr>
              <w:pStyle w:val="TableText"/>
              <w:spacing w:line="245" w:lineRule="auto"/>
              <w:rPr>
                <w:sz w:val="21"/>
              </w:rPr>
            </w:pPr>
          </w:p>
          <w:p>
            <w:pPr>
              <w:pStyle w:val="TableText"/>
              <w:spacing w:before="52" w:line="220" w:lineRule="auto"/>
              <w:ind w:left="1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57150" cy="57150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" cy="57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2.5-3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小时</w:t>
            </w:r>
          </w:p>
          <w:p>
            <w:pPr>
              <w:pStyle w:val="TableText"/>
              <w:spacing w:line="245" w:lineRule="auto"/>
              <w:rPr>
                <w:sz w:val="21"/>
              </w:rPr>
            </w:pPr>
          </w:p>
          <w:p>
            <w:pPr>
              <w:pStyle w:val="TableText"/>
              <w:spacing w:before="52" w:line="220" w:lineRule="auto"/>
              <w:ind w:left="1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57150" cy="57150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" cy="57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3</w:t>
            </w:r>
            <w:r>
              <w:rPr>
                <w:rFonts w:ascii="KaiTi" w:eastAsia="KaiTi" w:hAnsi="KaiTi" w:cs="KaiTi"/>
                <w:sz w:val="16"/>
                <w:szCs w:val="16"/>
              </w:rPr>
              <w:t>小时以上</w:t>
            </w:r>
          </w:p>
        </w:tc>
      </w:tr>
    </w:tbl>
    <w:p>
      <w:pPr>
        <w:pStyle w:val="BodyText"/>
        <w:spacing w:before="73" w:line="185" w:lineRule="auto"/>
        <w:ind w:left="13"/>
        <w:rPr>
          <w:sz w:val="18"/>
          <w:szCs w:val="18"/>
        </w:rPr>
      </w:pPr>
      <w:r>
        <w:rPr>
          <w:color w:val="0F243E"/>
          <w:spacing w:val="-9"/>
          <w:sz w:val="18"/>
          <w:szCs w:val="18"/>
        </w:rPr>
        <w:t>数据来源：</w:t>
      </w:r>
      <w:r>
        <w:rPr>
          <w:color w:val="0F243E"/>
          <w:spacing w:val="47"/>
          <w:sz w:val="18"/>
          <w:szCs w:val="18"/>
        </w:rPr>
        <w:t xml:space="preserve"> </w:t>
      </w:r>
      <w:r>
        <w:rPr>
          <w:color w:val="0F243E"/>
          <w:spacing w:val="-9"/>
          <w:sz w:val="18"/>
          <w:szCs w:val="18"/>
        </w:rPr>
        <w:t>华为</w:t>
      </w:r>
      <w:r>
        <w:rPr>
          <w:color w:val="0F243E"/>
          <w:spacing w:val="-31"/>
          <w:sz w:val="18"/>
          <w:szCs w:val="18"/>
        </w:rPr>
        <w:t xml:space="preserve"> </w:t>
      </w:r>
      <w:r>
        <w:rPr>
          <w:rFonts w:ascii="Arial" w:eastAsia="Arial" w:hAnsi="Arial" w:cs="Arial"/>
          <w:color w:val="0F243E"/>
          <w:spacing w:val="-9"/>
          <w:sz w:val="18"/>
          <w:szCs w:val="18"/>
        </w:rPr>
        <w:t>MI</w:t>
      </w:r>
      <w:r>
        <w:rPr>
          <w:rFonts w:ascii="Arial" w:eastAsia="Arial" w:hAnsi="Arial" w:cs="Arial"/>
          <w:color w:val="0F243E"/>
          <w:spacing w:val="-25"/>
          <w:sz w:val="18"/>
          <w:szCs w:val="18"/>
        </w:rPr>
        <w:t xml:space="preserve"> </w:t>
      </w:r>
      <w:r>
        <w:rPr>
          <w:color w:val="0F243E"/>
          <w:spacing w:val="-9"/>
          <w:sz w:val="18"/>
          <w:szCs w:val="18"/>
        </w:rPr>
        <w:t>，广发证券发展研究中心</w:t>
      </w:r>
    </w:p>
    <w:p>
      <w:pPr>
        <w:spacing w:line="185" w:lineRule="auto"/>
        <w:rPr>
          <w:sz w:val="18"/>
          <w:szCs w:val="18"/>
        </w:rPr>
        <w:sectPr>
          <w:headerReference w:type="default" r:id="rId72"/>
          <w:footerReference w:type="default" r:id="rId73"/>
          <w:type w:val="continuous"/>
          <w:pgSz w:w="11907" w:h="16839"/>
          <w:pgMar w:top="1383" w:right="570" w:bottom="1289" w:left="622" w:header="794" w:footer="723" w:gutter="0"/>
          <w:pgNumType w:start="11"/>
          <w:cols w:num="2" w:space="708" w:equalWidth="0">
            <w:col w:w="5293" w:space="100"/>
            <w:col w:w="5321" w:space="0"/>
          </w:cols>
        </w:sectPr>
      </w:pPr>
    </w:p>
    <w:p>
      <w:pPr>
        <w:pStyle w:val="BodyText"/>
        <w:spacing w:before="302" w:line="213" w:lineRule="auto"/>
        <w:jc w:val="right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从技术层面看，电压与电流在同步提升，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未来</w:t>
      </w:r>
      <w:r>
        <w:rPr>
          <w:rFonts w:ascii="Arial" w:eastAsia="Arial" w:hAnsi="Arial" w:cs="Arial"/>
          <w:b/>
          <w:bCs/>
          <w:spacing w:val="-7"/>
        </w:rPr>
        <w:t>800V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及以上的电压等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级趋势明确。</w:t>
      </w:r>
    </w:p>
    <w:p>
      <w:pPr>
        <w:pStyle w:val="BodyText"/>
        <w:spacing w:before="98" w:line="284" w:lineRule="auto"/>
        <w:ind w:left="3031" w:firstLine="27"/>
        <w:jc w:val="both"/>
      </w:pPr>
      <w:r>
        <w:rPr>
          <w:spacing w:val="17"/>
        </w:rPr>
        <w:t>电动车推广初期的电压与电流都较低，</w:t>
      </w:r>
      <w:r>
        <w:rPr>
          <w:spacing w:val="-55"/>
        </w:rPr>
        <w:t xml:space="preserve"> </w:t>
      </w:r>
      <w:r>
        <w:rPr>
          <w:spacing w:val="17"/>
        </w:rPr>
        <w:t>早期补能方式以</w:t>
      </w:r>
      <w:r>
        <w:rPr>
          <w:spacing w:val="16"/>
        </w:rPr>
        <w:t>慢充为主，</w:t>
      </w:r>
      <w:r>
        <w:rPr>
          <w:spacing w:val="-55"/>
        </w:rPr>
        <w:t xml:space="preserve"> </w:t>
      </w:r>
      <w:r>
        <w:rPr>
          <w:spacing w:val="16"/>
        </w:rPr>
        <w:t>参数多为</w:t>
      </w:r>
      <w:r>
        <w:t xml:space="preserve"> </w:t>
      </w:r>
      <w:r>
        <w:rPr>
          <w:rFonts w:ascii="Arial" w:eastAsia="Arial" w:hAnsi="Arial" w:cs="Arial"/>
          <w:spacing w:val="-4"/>
        </w:rPr>
        <w:t>350V/125A</w:t>
      </w:r>
      <w:r>
        <w:rPr>
          <w:spacing w:val="-4"/>
        </w:rPr>
        <w:t>以下。随电动车快速上量，</w:t>
      </w:r>
      <w:r>
        <w:rPr>
          <w:spacing w:val="-4"/>
        </w:rPr>
        <w:t xml:space="preserve"> </w:t>
      </w:r>
      <w:r>
        <w:rPr>
          <w:spacing w:val="-4"/>
        </w:rPr>
        <w:t>电池容量不断提升，</w:t>
      </w:r>
      <w:r>
        <w:rPr>
          <w:spacing w:val="-4"/>
        </w:rPr>
        <w:t xml:space="preserve"> </w:t>
      </w:r>
      <w:r>
        <w:rPr>
          <w:spacing w:val="-4"/>
        </w:rPr>
        <w:t>用户追求更高的充电效</w:t>
      </w:r>
      <w:r>
        <w:rPr>
          <w:spacing w:val="-4"/>
        </w:rPr>
        <w:t xml:space="preserve"> </w:t>
      </w:r>
      <w:r>
        <w:rPr>
          <w:spacing w:val="1"/>
        </w:rPr>
        <w:t>率，直流充电口电流从原先</w:t>
      </w:r>
      <w:r>
        <w:rPr>
          <w:rFonts w:ascii="Arial" w:eastAsia="Arial" w:hAnsi="Arial" w:cs="Arial"/>
          <w:spacing w:val="1"/>
        </w:rPr>
        <w:t>125A</w:t>
      </w:r>
      <w:r>
        <w:rPr>
          <w:spacing w:val="1"/>
        </w:rPr>
        <w:t>提升至</w:t>
      </w:r>
      <w:r>
        <w:rPr>
          <w:rFonts w:ascii="Arial" w:eastAsia="Arial" w:hAnsi="Arial" w:cs="Arial"/>
          <w:spacing w:val="1"/>
        </w:rPr>
        <w:t>250A</w:t>
      </w:r>
      <w:r>
        <w:rPr>
          <w:spacing w:val="1"/>
        </w:rPr>
        <w:t>。随后电气平台电压由</w:t>
      </w:r>
      <w:r>
        <w:rPr>
          <w:rFonts w:ascii="Arial" w:eastAsia="Arial" w:hAnsi="Arial" w:cs="Arial"/>
          <w:spacing w:val="1"/>
        </w:rPr>
        <w:t>350V</w:t>
      </w:r>
      <w:r>
        <w:rPr>
          <w:spacing w:val="1"/>
        </w:rPr>
        <w:t>向</w:t>
      </w:r>
      <w:r>
        <w:rPr>
          <w:rFonts w:ascii="Arial" w:eastAsia="Arial" w:hAnsi="Arial" w:cs="Arial"/>
          <w:spacing w:val="1"/>
        </w:rPr>
        <w:t>450V</w:t>
      </w:r>
      <w:r>
        <w:rPr>
          <w:spacing w:val="1"/>
        </w:rPr>
        <w:t>、</w:t>
      </w:r>
      <w:r>
        <w:rPr>
          <w:spacing w:val="5"/>
        </w:rPr>
        <w:t xml:space="preserve"> </w:t>
      </w:r>
      <w:r>
        <w:rPr>
          <w:rFonts w:ascii="Arial" w:eastAsia="Arial" w:hAnsi="Arial" w:cs="Arial"/>
          <w:spacing w:val="-3"/>
        </w:rPr>
        <w:t>750V</w:t>
      </w:r>
      <w:r>
        <w:rPr>
          <w:spacing w:val="-3"/>
        </w:rPr>
        <w:t>演进，</w:t>
      </w:r>
      <w:r>
        <w:rPr>
          <w:spacing w:val="-50"/>
        </w:rPr>
        <w:t xml:space="preserve"> </w:t>
      </w:r>
      <w:r>
        <w:rPr>
          <w:spacing w:val="-3"/>
        </w:rPr>
        <w:t>实现充电倍率</w:t>
      </w:r>
      <w:r>
        <w:rPr>
          <w:rFonts w:ascii="Arial" w:eastAsia="Arial" w:hAnsi="Arial" w:cs="Arial"/>
          <w:spacing w:val="-3"/>
        </w:rPr>
        <w:t>1~2C</w:t>
      </w:r>
      <w:r>
        <w:rPr>
          <w:spacing w:val="-3"/>
        </w:rPr>
        <w:t>。预计未来</w:t>
      </w:r>
      <w:r>
        <w:rPr>
          <w:rFonts w:ascii="Arial" w:eastAsia="Arial" w:hAnsi="Arial" w:cs="Arial"/>
          <w:spacing w:val="-3"/>
        </w:rPr>
        <w:t>800V/50</w:t>
      </w:r>
      <w:r>
        <w:rPr>
          <w:rFonts w:ascii="Arial" w:eastAsia="Arial" w:hAnsi="Arial" w:cs="Arial"/>
          <w:spacing w:val="-4"/>
        </w:rPr>
        <w:t>0A</w:t>
      </w:r>
      <w:r>
        <w:rPr>
          <w:spacing w:val="-4"/>
        </w:rPr>
        <w:t>等级的高压快充桩数量将持续</w:t>
      </w:r>
      <w:r>
        <w:t xml:space="preserve"> </w:t>
      </w:r>
      <w:r>
        <w:rPr>
          <w:spacing w:val="-5"/>
        </w:rPr>
        <w:t>提升，</w:t>
      </w:r>
      <w:r>
        <w:rPr>
          <w:spacing w:val="-5"/>
        </w:rPr>
        <w:t xml:space="preserve"> </w:t>
      </w:r>
      <w:r>
        <w:rPr>
          <w:spacing w:val="-5"/>
        </w:rPr>
        <w:t>充电功率达到</w:t>
      </w:r>
      <w:r>
        <w:rPr>
          <w:rFonts w:ascii="Arial" w:eastAsia="Arial" w:hAnsi="Arial" w:cs="Arial"/>
          <w:spacing w:val="-5"/>
        </w:rPr>
        <w:t>400kW</w:t>
      </w:r>
      <w:r>
        <w:rPr>
          <w:spacing w:val="-5"/>
        </w:rPr>
        <w:t>，可实现分钟级的补能效率。</w:t>
      </w:r>
    </w:p>
    <w:p>
      <w:pPr>
        <w:pStyle w:val="BodyText"/>
        <w:spacing w:before="259" w:line="278" w:lineRule="auto"/>
        <w:ind w:left="3040" w:right="17" w:firstLine="447"/>
        <w:jc w:val="both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当前充电模块多数已经达到</w:t>
      </w:r>
      <w:r>
        <w:rPr>
          <w:rFonts w:ascii="Arial" w:eastAsia="Arial" w:hAnsi="Arial" w:cs="Arial"/>
          <w:b/>
          <w:bCs/>
          <w:spacing w:val="-2"/>
        </w:rPr>
        <w:t>800V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以上参数要求，实现快充的硬件瓶颈还涉及车</w:t>
      </w:r>
      <w:r>
        <w:rPr>
          <w:spacing w:val="16"/>
        </w:rP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内多个部件。</w:t>
      </w:r>
      <w:r>
        <w:rPr>
          <w:spacing w:val="1"/>
        </w:rPr>
        <w:t>一方面，电池需要更高的倍率性能，需要从电池材料角度综合考虑性</w:t>
      </w:r>
      <w:r>
        <w:rPr>
          <w:spacing w:val="9"/>
        </w:rPr>
        <w:t xml:space="preserve"> </w:t>
      </w:r>
      <w:r>
        <w:rPr>
          <w:spacing w:val="2"/>
        </w:rPr>
        <w:t>能提升，例如据宁德时代官方披露，其于</w:t>
      </w:r>
      <w:r>
        <w:rPr>
          <w:rFonts w:ascii="Arial" w:eastAsia="Arial" w:hAnsi="Arial" w:cs="Arial"/>
          <w:spacing w:val="2"/>
        </w:rPr>
        <w:t>2023</w:t>
      </w:r>
      <w:r>
        <w:rPr>
          <w:spacing w:val="2"/>
        </w:rPr>
        <w:t>年</w:t>
      </w:r>
      <w:r>
        <w:rPr>
          <w:rFonts w:ascii="Arial" w:eastAsia="Arial" w:hAnsi="Arial" w:cs="Arial"/>
          <w:spacing w:val="2"/>
        </w:rPr>
        <w:t>8</w:t>
      </w:r>
      <w:r>
        <w:rPr>
          <w:spacing w:val="2"/>
        </w:rPr>
        <w:t>月发布的神行电池为全球首款采</w:t>
      </w:r>
      <w:r>
        <w:rPr>
          <w:spacing w:val="16"/>
        </w:rPr>
        <w:t xml:space="preserve"> </w:t>
      </w:r>
      <w:r>
        <w:rPr>
          <w:spacing w:val="1"/>
        </w:rPr>
        <w:t>用磷酸铁锂材料并可实现大规模量产的</w:t>
      </w:r>
      <w:r>
        <w:rPr>
          <w:rFonts w:ascii="Arial" w:eastAsia="Arial" w:hAnsi="Arial" w:cs="Arial"/>
          <w:spacing w:val="1"/>
        </w:rPr>
        <w:t>4C</w:t>
      </w:r>
      <w:r>
        <w:rPr>
          <w:spacing w:val="1"/>
        </w:rPr>
        <w:t>超充电池，打开平价快充电池下沉空</w:t>
      </w:r>
      <w:r>
        <w:t>间；</w:t>
      </w:r>
      <w:r>
        <w:t xml:space="preserve"> </w:t>
      </w:r>
      <w:r>
        <w:rPr>
          <w:spacing w:val="-3"/>
        </w:rPr>
        <w:t>另一方面，</w:t>
      </w:r>
      <w:r>
        <w:rPr>
          <w:spacing w:val="-29"/>
        </w:rPr>
        <w:t xml:space="preserve"> </w:t>
      </w:r>
      <w:r>
        <w:rPr>
          <w:spacing w:val="-3"/>
        </w:rPr>
        <w:t>车内电气部件中的硅基功率器件耐压等级</w:t>
      </w:r>
      <w:r>
        <w:rPr>
          <w:spacing w:val="-4"/>
        </w:rPr>
        <w:t>一般低于</w:t>
      </w:r>
      <w:r>
        <w:rPr>
          <w:rFonts w:ascii="Arial" w:eastAsia="Arial" w:hAnsi="Arial" w:cs="Arial"/>
          <w:spacing w:val="-4"/>
        </w:rPr>
        <w:t>750V</w:t>
      </w:r>
      <w:r>
        <w:rPr>
          <w:rFonts w:ascii="Arial" w:eastAsia="Arial" w:hAnsi="Arial" w:cs="Arial"/>
          <w:spacing w:val="-29"/>
        </w:rPr>
        <w:t xml:space="preserve"> </w:t>
      </w:r>
      <w:r>
        <w:rPr>
          <w:spacing w:val="-4"/>
        </w:rPr>
        <w:t>，若充电电流往</w:t>
      </w:r>
    </w:p>
    <w:p>
      <w:pPr>
        <w:spacing w:line="278" w:lineRule="auto"/>
        <w:sectPr>
          <w:headerReference w:type="default" r:id="rId74"/>
          <w:footerReference w:type="default" r:id="rId75"/>
          <w:type w:val="continuous"/>
          <w:pgSz w:w="11907" w:h="16839"/>
          <w:pgMar w:top="1383" w:right="570" w:bottom="1289" w:left="622" w:header="794" w:footer="723" w:gutter="0"/>
          <w:pgNumType w:start="12"/>
          <w:cols w:num="1" w:space="708" w:equalWidth="0">
            <w:col w:w="10714" w:space="0"/>
          </w:cols>
        </w:sectPr>
      </w:pPr>
    </w:p>
    <w:p>
      <w:pPr>
        <w:pStyle w:val="BodyText"/>
        <w:spacing w:before="58" w:line="216" w:lineRule="auto"/>
        <w:jc w:val="right"/>
      </w:pPr>
      <w:r>
        <w:drawing>
          <wp:anchor distT="0" distB="0" distL="0" distR="0" simplePos="0" relativeHeight="251678720" behindDoc="1" locked="0" layoutInCell="0" allowOverlap="1">
            <wp:simplePos x="0" y="0"/>
            <wp:positionH relativeFrom="page">
              <wp:posOffset>2339975</wp:posOffset>
            </wp:positionH>
            <wp:positionV relativeFrom="page">
              <wp:posOffset>1666494</wp:posOffset>
            </wp:positionV>
            <wp:extent cx="4586605" cy="1986153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586605" cy="1986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1"/>
        </w:rPr>
        <w:t>500A</w:t>
      </w:r>
      <w:r>
        <w:rPr>
          <w:spacing w:val="-1"/>
        </w:rPr>
        <w:t>以上继续提升会带来充电部件重量增加、散热难度提升等问题。高电压方案逐</w:t>
      </w:r>
    </w:p>
    <w:p>
      <w:pPr>
        <w:pStyle w:val="BodyText"/>
        <w:spacing w:before="100" w:line="213" w:lineRule="auto"/>
        <w:ind w:left="3047"/>
      </w:pPr>
      <w:r>
        <w:rPr>
          <w:spacing w:val="-4"/>
        </w:rPr>
        <w:t>步被车企提上日程，</w:t>
      </w:r>
      <w:r>
        <w:rPr>
          <w:spacing w:val="-4"/>
        </w:rPr>
        <w:t xml:space="preserve"> </w:t>
      </w:r>
      <w:r>
        <w:rPr>
          <w:spacing w:val="-4"/>
        </w:rPr>
        <w:t>未来</w:t>
      </w:r>
      <w:r>
        <w:rPr>
          <w:rFonts w:ascii="Arial" w:eastAsia="Arial" w:hAnsi="Arial" w:cs="Arial"/>
          <w:spacing w:val="-4"/>
        </w:rPr>
        <w:t>800V</w:t>
      </w:r>
      <w:r>
        <w:rPr>
          <w:spacing w:val="-4"/>
        </w:rPr>
        <w:t>或成为快充车型标配，相关零部件将进一步升级。</w:t>
      </w:r>
    </w:p>
    <w:p>
      <w:pPr>
        <w:pStyle w:val="BodyText"/>
        <w:spacing w:before="251" w:line="217" w:lineRule="auto"/>
        <w:ind w:left="3091"/>
      </w:pPr>
      <w:bookmarkStart w:id="5" w:name="bookmark44"/>
      <w:bookmarkEnd w:id="5"/>
      <w:bookmarkStart w:id="6" w:name="bookmark12"/>
      <w:bookmarkEnd w:id="6"/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2"/>
        </w:rPr>
        <w:t>6</w:t>
      </w:r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：高压快充架构升级趋势</w:t>
      </w:r>
    </w:p>
    <w:p>
      <w:pPr>
        <w:spacing w:before="21" w:line="3298" w:lineRule="exact"/>
        <w:ind w:firstLine="2955"/>
      </w:pPr>
      <w:r>
        <w:rPr>
          <w:position w:val="-65"/>
        </w:rPr>
        <w:pict>
          <v:group id="_x0000_i1051" style="width:377.15pt;height:164.95pt;mso-position-horizontal-relative:char;mso-position-vertical-relative:line" coordorigin="0,0" coordsize="7542,3298" filled="f" stroked="f">
            <v:rect id="_x0000_s1052" style="width:7542;height:10;position:absolute" filled="t" fillcolor="black" stroked="f"/>
            <v:rect id="_x0000_s1053" style="width:7542;height:10;position:absolute;top:3288" filled="t" fillcolor="black" stroked="f"/>
            <w10:wrap type="none"/>
          </v:group>
        </w:pict>
      </w:r>
    </w:p>
    <w:p>
      <w:pPr>
        <w:pStyle w:val="BodyText"/>
        <w:spacing w:before="73" w:line="212" w:lineRule="auto"/>
        <w:ind w:left="3065"/>
        <w:rPr>
          <w:sz w:val="18"/>
          <w:szCs w:val="18"/>
        </w:rPr>
      </w:pPr>
      <w:r>
        <w:rPr>
          <w:color w:val="0F243E"/>
          <w:spacing w:val="-7"/>
          <w:sz w:val="18"/>
          <w:szCs w:val="18"/>
        </w:rPr>
        <w:t>数据来源：华为，</w:t>
      </w:r>
      <w:r>
        <w:rPr>
          <w:color w:val="0F243E"/>
          <w:spacing w:val="33"/>
          <w:sz w:val="18"/>
          <w:szCs w:val="18"/>
        </w:rPr>
        <w:t xml:space="preserve"> </w:t>
      </w:r>
      <w:r>
        <w:rPr>
          <w:color w:val="0F243E"/>
          <w:spacing w:val="-7"/>
          <w:sz w:val="18"/>
          <w:szCs w:val="18"/>
        </w:rPr>
        <w:t>广发证券发展研究中心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  <w:ind w:left="3100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表</w:t>
      </w:r>
      <w:r>
        <w:t xml:space="preserve"> </w:t>
      </w:r>
      <w:r>
        <w:rPr>
          <w:rFonts w:ascii="Arial" w:eastAsia="Arial" w:hAnsi="Arial" w:cs="Arial"/>
          <w:b/>
          <w:bCs/>
        </w:rPr>
        <w:t>1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：主流充电模块已满足高压快充参数要求</w:t>
      </w:r>
    </w:p>
    <w:p>
      <w:pPr>
        <w:spacing w:line="18" w:lineRule="exact"/>
      </w:pPr>
    </w:p>
    <w:tbl>
      <w:tblPr>
        <w:tblStyle w:val="TableNormal3"/>
        <w:tblW w:w="7552" w:type="dxa"/>
        <w:tblInd w:w="298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4"/>
        <w:gridCol w:w="2127"/>
        <w:gridCol w:w="1416"/>
        <w:gridCol w:w="1561"/>
        <w:gridCol w:w="1454"/>
      </w:tblGrid>
      <w:tr>
        <w:tblPrEx>
          <w:tblW w:w="7552" w:type="dxa"/>
          <w:tblInd w:w="298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994" w:type="dxa"/>
            <w:tcBorders>
              <w:left w:val="nil"/>
            </w:tcBorders>
            <w:shd w:val="clear" w:color="auto" w:fill="DBE5F1"/>
            <w:vAlign w:val="top"/>
          </w:tcPr>
          <w:p>
            <w:pPr>
              <w:spacing w:before="77" w:line="217" w:lineRule="auto"/>
              <w:ind w:left="32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厂商</w:t>
            </w:r>
          </w:p>
        </w:tc>
        <w:tc>
          <w:tcPr>
            <w:tcW w:w="2127" w:type="dxa"/>
            <w:shd w:val="clear" w:color="auto" w:fill="DBE5F1"/>
            <w:vAlign w:val="top"/>
          </w:tcPr>
          <w:p>
            <w:pPr>
              <w:spacing w:before="78" w:line="215" w:lineRule="auto"/>
              <w:ind w:left="88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产品</w:t>
            </w:r>
          </w:p>
        </w:tc>
        <w:tc>
          <w:tcPr>
            <w:tcW w:w="1416" w:type="dxa"/>
            <w:shd w:val="clear" w:color="auto" w:fill="DBE5F1"/>
            <w:vAlign w:val="top"/>
          </w:tcPr>
          <w:p>
            <w:pPr>
              <w:pStyle w:val="TableText"/>
              <w:spacing w:before="78" w:line="220" w:lineRule="auto"/>
              <w:ind w:left="122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恒定电流（</w:t>
            </w:r>
            <w:r>
              <w:rPr>
                <w:b/>
                <w:bCs/>
                <w:spacing w:val="-2"/>
              </w:rPr>
              <w:t>A</w:t>
            </w:r>
            <w:r>
              <w:rPr>
                <w:rFonts w:ascii="KaiTi" w:eastAsia="KaiTi" w:hAnsi="KaiTi" w:cs="KaiTi"/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）</w:t>
            </w:r>
          </w:p>
        </w:tc>
        <w:tc>
          <w:tcPr>
            <w:tcW w:w="1561" w:type="dxa"/>
            <w:shd w:val="clear" w:color="auto" w:fill="DBE5F1"/>
            <w:vAlign w:val="top"/>
          </w:tcPr>
          <w:p>
            <w:pPr>
              <w:pStyle w:val="TableText"/>
              <w:spacing w:before="77" w:line="214" w:lineRule="auto"/>
              <w:ind w:right="14"/>
              <w:jc w:val="right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4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最高电压（</w:t>
            </w:r>
            <w:r>
              <w:rPr>
                <w:b/>
                <w:bCs/>
                <w:spacing w:val="-4"/>
              </w:rPr>
              <w:t>VDC</w:t>
            </w:r>
            <w:r>
              <w:rPr>
                <w:rFonts w:ascii="KaiTi" w:eastAsia="KaiTi" w:hAnsi="KaiTi" w:cs="KaiTi"/>
                <w:spacing w:val="-4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）</w:t>
            </w:r>
          </w:p>
        </w:tc>
        <w:tc>
          <w:tcPr>
            <w:tcW w:w="1454" w:type="dxa"/>
            <w:tcBorders>
              <w:right w:val="nil"/>
            </w:tcBorders>
            <w:shd w:val="clear" w:color="auto" w:fill="DBE5F1"/>
            <w:vAlign w:val="top"/>
          </w:tcPr>
          <w:p>
            <w:pPr>
              <w:pStyle w:val="TableText"/>
              <w:spacing w:before="78" w:line="226" w:lineRule="auto"/>
              <w:ind w:right="16"/>
              <w:jc w:val="right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4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最大功率（</w:t>
            </w:r>
            <w:r>
              <w:rPr>
                <w:b/>
                <w:bCs/>
                <w:spacing w:val="-4"/>
              </w:rPr>
              <w:t>kW</w:t>
            </w:r>
            <w:r>
              <w:rPr>
                <w:rFonts w:ascii="KaiTi" w:eastAsia="KaiTi" w:hAnsi="KaiTi" w:cs="KaiTi"/>
                <w:spacing w:val="-4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）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line="283" w:lineRule="auto"/>
              <w:rPr>
                <w:sz w:val="21"/>
              </w:rPr>
            </w:pPr>
          </w:p>
          <w:p>
            <w:pPr>
              <w:pStyle w:val="TableText"/>
              <w:spacing w:line="283" w:lineRule="auto"/>
              <w:rPr>
                <w:sz w:val="21"/>
              </w:rPr>
            </w:pPr>
          </w:p>
          <w:p>
            <w:pPr>
              <w:pStyle w:val="TableText"/>
              <w:spacing w:line="283" w:lineRule="auto"/>
              <w:rPr>
                <w:sz w:val="21"/>
              </w:rPr>
            </w:pPr>
          </w:p>
          <w:p>
            <w:pPr>
              <w:spacing w:before="59" w:line="217" w:lineRule="auto"/>
              <w:ind w:left="32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华为</w:t>
            </w: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7" w:line="196" w:lineRule="auto"/>
              <w:ind w:left="584"/>
            </w:pPr>
            <w:r>
              <w:rPr>
                <w:b/>
                <w:bCs/>
                <w:spacing w:val="-2"/>
              </w:rPr>
              <w:t>R100020G1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99" w:line="194" w:lineRule="auto"/>
              <w:ind w:left="609"/>
            </w:pPr>
            <w:r>
              <w:rPr>
                <w:b/>
                <w:bCs/>
                <w:spacing w:val="-1"/>
              </w:rPr>
              <w:t>20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99" w:line="194" w:lineRule="auto"/>
              <w:ind w:left="590"/>
            </w:pPr>
            <w:r>
              <w:rPr>
                <w:b/>
                <w:bCs/>
                <w:color w:val="C00000"/>
                <w:spacing w:val="-3"/>
              </w:rPr>
              <w:t>1000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99" w:line="194" w:lineRule="auto"/>
              <w:ind w:left="627"/>
            </w:pPr>
            <w:r>
              <w:rPr>
                <w:b/>
                <w:bCs/>
                <w:spacing w:val="-1"/>
              </w:rPr>
              <w:t>20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0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7" w:line="196" w:lineRule="auto"/>
              <w:ind w:left="584"/>
            </w:pPr>
            <w:r>
              <w:rPr>
                <w:b/>
                <w:bCs/>
                <w:spacing w:val="-2"/>
              </w:rPr>
              <w:t>R100030G1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99" w:line="194" w:lineRule="auto"/>
              <w:ind w:left="611"/>
            </w:pPr>
            <w:r>
              <w:rPr>
                <w:b/>
                <w:bCs/>
                <w:spacing w:val="-2"/>
              </w:rPr>
              <w:t>30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99" w:line="194" w:lineRule="auto"/>
              <w:ind w:left="590"/>
            </w:pPr>
            <w:r>
              <w:rPr>
                <w:b/>
                <w:bCs/>
                <w:color w:val="C00000"/>
                <w:spacing w:val="-3"/>
              </w:rPr>
              <w:t>1000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99" w:line="194" w:lineRule="auto"/>
              <w:ind w:left="630"/>
            </w:pPr>
            <w:r>
              <w:rPr>
                <w:b/>
                <w:bCs/>
                <w:spacing w:val="-2"/>
              </w:rPr>
              <w:t>30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8" w:line="196" w:lineRule="auto"/>
              <w:ind w:left="634"/>
            </w:pPr>
            <w:r>
              <w:rPr>
                <w:b/>
                <w:bCs/>
                <w:spacing w:val="-2"/>
              </w:rPr>
              <w:t>R95021G1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0" w:line="194" w:lineRule="auto"/>
              <w:ind w:left="609"/>
            </w:pPr>
            <w:r>
              <w:rPr>
                <w:b/>
                <w:bCs/>
                <w:spacing w:val="-1"/>
              </w:rPr>
              <w:t>20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0" w:line="194" w:lineRule="auto"/>
              <w:ind w:left="632"/>
            </w:pPr>
            <w:r>
              <w:rPr>
                <w:b/>
                <w:bCs/>
                <w:color w:val="C00000"/>
                <w:spacing w:val="-1"/>
              </w:rPr>
              <w:t>950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0" w:line="194" w:lineRule="auto"/>
              <w:ind w:left="627"/>
            </w:pPr>
            <w:r>
              <w:rPr>
                <w:b/>
                <w:bCs/>
                <w:spacing w:val="-1"/>
              </w:rPr>
              <w:t>20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0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8" w:line="196" w:lineRule="auto"/>
              <w:ind w:left="635"/>
            </w:pPr>
            <w:r>
              <w:rPr>
                <w:spacing w:val="-2"/>
              </w:rPr>
              <w:t>R75027G1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0" w:line="194" w:lineRule="auto"/>
              <w:ind w:left="535"/>
            </w:pPr>
            <w:r>
              <w:rPr>
                <w:spacing w:val="-2"/>
              </w:rPr>
              <w:t>26.7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0" w:line="194" w:lineRule="auto"/>
              <w:ind w:left="634"/>
            </w:pPr>
            <w:r>
              <w:rPr>
                <w:spacing w:val="-2"/>
              </w:rPr>
              <w:t>750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0" w:line="194" w:lineRule="auto"/>
              <w:ind w:left="628"/>
            </w:pPr>
            <w:r>
              <w:rPr>
                <w:spacing w:val="-2"/>
              </w:rPr>
              <w:t>20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9" w:line="196" w:lineRule="auto"/>
              <w:ind w:left="635"/>
            </w:pPr>
            <w:r>
              <w:rPr>
                <w:spacing w:val="-2"/>
              </w:rPr>
              <w:t>R75020G2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1" w:line="194" w:lineRule="auto"/>
              <w:ind w:left="609"/>
            </w:pPr>
            <w:r>
              <w:rPr>
                <w:spacing w:val="-2"/>
              </w:rPr>
              <w:t>20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1" w:line="194" w:lineRule="auto"/>
              <w:ind w:left="634"/>
            </w:pPr>
            <w:r>
              <w:rPr>
                <w:spacing w:val="-2"/>
              </w:rPr>
              <w:t>750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1" w:line="194" w:lineRule="auto"/>
              <w:ind w:left="643"/>
            </w:pPr>
            <w:r>
              <w:rPr>
                <w:spacing w:val="-5"/>
              </w:rPr>
              <w:t>15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/>
            <w:tcBorders>
              <w:top w:val="nil"/>
              <w:lef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9" w:line="196" w:lineRule="auto"/>
              <w:ind w:left="635"/>
            </w:pPr>
            <w:r>
              <w:rPr>
                <w:spacing w:val="-2"/>
              </w:rPr>
              <w:t>R75020G1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1" w:line="194" w:lineRule="auto"/>
              <w:ind w:left="609"/>
            </w:pPr>
            <w:r>
              <w:rPr>
                <w:spacing w:val="-2"/>
              </w:rPr>
              <w:t>20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1" w:line="194" w:lineRule="auto"/>
              <w:ind w:left="634"/>
            </w:pPr>
            <w:r>
              <w:rPr>
                <w:spacing w:val="-2"/>
              </w:rPr>
              <w:t>750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1" w:line="194" w:lineRule="auto"/>
              <w:ind w:left="643"/>
            </w:pPr>
            <w:r>
              <w:rPr>
                <w:spacing w:val="-5"/>
              </w:rPr>
              <w:t>15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line="254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spacing w:before="58" w:line="222" w:lineRule="auto"/>
              <w:ind w:left="23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英飞源</w:t>
            </w: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9" w:line="196" w:lineRule="auto"/>
              <w:ind w:left="560"/>
            </w:pPr>
            <w:r>
              <w:rPr>
                <w:b/>
                <w:bCs/>
                <w:spacing w:val="-2"/>
              </w:rPr>
              <w:t>REG1K0135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1" w:line="194" w:lineRule="auto"/>
              <w:ind w:left="560"/>
            </w:pPr>
            <w:r>
              <w:rPr>
                <w:b/>
                <w:bCs/>
                <w:spacing w:val="-3"/>
              </w:rPr>
              <w:t>&lt;80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1" w:line="194" w:lineRule="auto"/>
              <w:ind w:left="590"/>
            </w:pPr>
            <w:r>
              <w:rPr>
                <w:b/>
                <w:bCs/>
                <w:color w:val="C00000"/>
                <w:spacing w:val="-3"/>
              </w:rPr>
              <w:t>1000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1" w:line="194" w:lineRule="auto"/>
              <w:ind w:left="626"/>
            </w:pPr>
            <w:r>
              <w:rPr>
                <w:b/>
                <w:bCs/>
                <w:spacing w:val="-1"/>
              </w:rPr>
              <w:t>40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9" w:line="196" w:lineRule="auto"/>
              <w:ind w:left="560"/>
            </w:pPr>
            <w:r>
              <w:rPr>
                <w:b/>
                <w:bCs/>
                <w:spacing w:val="-2"/>
              </w:rPr>
              <w:t>REG1K0100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1" w:line="194" w:lineRule="auto"/>
              <w:ind w:left="568"/>
            </w:pPr>
            <w:r>
              <w:rPr>
                <w:b/>
                <w:bCs/>
                <w:spacing w:val="-3"/>
              </w:rPr>
              <w:t>100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1" w:line="194" w:lineRule="auto"/>
              <w:ind w:left="590"/>
            </w:pPr>
            <w:r>
              <w:rPr>
                <w:b/>
                <w:bCs/>
                <w:color w:val="C00000"/>
                <w:spacing w:val="-3"/>
              </w:rPr>
              <w:t>1000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1" w:line="194" w:lineRule="auto"/>
              <w:ind w:left="630"/>
            </w:pPr>
            <w:r>
              <w:rPr>
                <w:b/>
                <w:bCs/>
                <w:spacing w:val="-2"/>
              </w:rPr>
              <w:t>30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9" w:line="196" w:lineRule="auto"/>
              <w:ind w:left="610"/>
            </w:pPr>
            <w:r>
              <w:rPr>
                <w:b/>
                <w:bCs/>
                <w:spacing w:val="-2"/>
              </w:rPr>
              <w:t>REG1K070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1" w:line="194" w:lineRule="auto"/>
              <w:ind w:left="612"/>
            </w:pPr>
            <w:r>
              <w:rPr>
                <w:b/>
                <w:bCs/>
                <w:spacing w:val="-2"/>
              </w:rPr>
              <w:t>80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1" w:line="194" w:lineRule="auto"/>
              <w:ind w:left="590"/>
            </w:pPr>
            <w:r>
              <w:rPr>
                <w:b/>
                <w:bCs/>
                <w:color w:val="C00000"/>
                <w:spacing w:val="-3"/>
              </w:rPr>
              <w:t>1000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1" w:line="194" w:lineRule="auto"/>
              <w:ind w:left="627"/>
            </w:pPr>
            <w:r>
              <w:rPr>
                <w:b/>
                <w:bCs/>
                <w:spacing w:val="-1"/>
              </w:rPr>
              <w:t>20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9" w:line="196" w:lineRule="auto"/>
              <w:ind w:left="626"/>
            </w:pPr>
            <w:r>
              <w:rPr>
                <w:spacing w:val="-2"/>
              </w:rPr>
              <w:t>REG75060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1" w:line="194" w:lineRule="auto"/>
              <w:ind w:left="611"/>
            </w:pPr>
            <w:r>
              <w:rPr>
                <w:spacing w:val="-2"/>
              </w:rPr>
              <w:t>67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1" w:line="194" w:lineRule="auto"/>
              <w:ind w:left="634"/>
            </w:pPr>
            <w:r>
              <w:rPr>
                <w:spacing w:val="-2"/>
              </w:rPr>
              <w:t>750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1" w:line="194" w:lineRule="auto"/>
              <w:ind w:left="628"/>
            </w:pPr>
            <w:r>
              <w:rPr>
                <w:spacing w:val="-2"/>
              </w:rPr>
              <w:t>20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9" w:line="196" w:lineRule="auto"/>
              <w:ind w:left="626"/>
            </w:pPr>
            <w:r>
              <w:rPr>
                <w:spacing w:val="-2"/>
              </w:rPr>
              <w:t>REG75060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1" w:line="194" w:lineRule="auto"/>
              <w:ind w:left="611"/>
            </w:pPr>
            <w:r>
              <w:rPr>
                <w:spacing w:val="-2"/>
              </w:rPr>
              <w:t>60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1" w:line="194" w:lineRule="auto"/>
              <w:ind w:left="634"/>
            </w:pPr>
            <w:r>
              <w:rPr>
                <w:spacing w:val="-2"/>
              </w:rPr>
              <w:t>750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1" w:line="194" w:lineRule="auto"/>
              <w:ind w:left="628"/>
            </w:pPr>
            <w:r>
              <w:rPr>
                <w:spacing w:val="-2"/>
              </w:rPr>
              <w:t>20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0"/>
        </w:trPr>
        <w:tc>
          <w:tcPr>
            <w:tcW w:w="994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99" w:line="196" w:lineRule="auto"/>
              <w:ind w:left="676"/>
            </w:pPr>
            <w:r>
              <w:rPr>
                <w:spacing w:val="-2"/>
              </w:rPr>
              <w:t>REG7505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0" w:line="237" w:lineRule="auto"/>
              <w:ind w:left="679"/>
            </w:pPr>
            <w:r>
              <w:t>\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1" w:line="194" w:lineRule="auto"/>
              <w:ind w:left="634"/>
            </w:pPr>
            <w:r>
              <w:rPr>
                <w:spacing w:val="-2"/>
              </w:rPr>
              <w:t>750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1" w:line="194" w:lineRule="auto"/>
              <w:ind w:left="628"/>
            </w:pPr>
            <w:r>
              <w:rPr>
                <w:spacing w:val="-2"/>
              </w:rPr>
              <w:t>20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vMerge/>
            <w:tcBorders>
              <w:top w:val="nil"/>
              <w:lef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100" w:line="196" w:lineRule="auto"/>
              <w:ind w:left="626"/>
            </w:pPr>
            <w:r>
              <w:rPr>
                <w:spacing w:val="-2"/>
              </w:rPr>
              <w:t>REG75050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1" w:line="237" w:lineRule="auto"/>
              <w:ind w:left="679"/>
            </w:pPr>
            <w:r>
              <w:t>\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2" w:line="194" w:lineRule="auto"/>
              <w:ind w:left="634"/>
            </w:pPr>
            <w:r>
              <w:rPr>
                <w:spacing w:val="-2"/>
              </w:rPr>
              <w:t>750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2" w:line="194" w:lineRule="auto"/>
              <w:ind w:left="628"/>
            </w:pPr>
            <w:r>
              <w:rPr>
                <w:spacing w:val="-2"/>
              </w:rPr>
              <w:t>20</w:t>
            </w:r>
          </w:p>
        </w:tc>
      </w:tr>
      <w:tr>
        <w:tblPrEx>
          <w:tblW w:w="7552" w:type="dxa"/>
          <w:tblInd w:w="2989" w:type="dxa"/>
          <w:tblLayout w:type="fixed"/>
        </w:tblPrEx>
        <w:trPr>
          <w:trHeight w:val="331"/>
        </w:trPr>
        <w:tc>
          <w:tcPr>
            <w:tcW w:w="994" w:type="dxa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line="296" w:lineRule="auto"/>
              <w:rPr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100" w:line="225" w:lineRule="auto"/>
              <w:ind w:left="485"/>
            </w:pPr>
            <w:r>
              <w:rPr>
                <w:b/>
                <w:bCs/>
                <w:spacing w:val="-2"/>
              </w:rPr>
              <w:t>UR100060-LQ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2" w:line="194" w:lineRule="auto"/>
              <w:ind w:left="612"/>
            </w:pPr>
            <w:r>
              <w:rPr>
                <w:b/>
                <w:bCs/>
                <w:spacing w:val="-2"/>
              </w:rPr>
              <w:t>60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02" w:line="194" w:lineRule="auto"/>
              <w:ind w:left="590"/>
            </w:pPr>
            <w:r>
              <w:rPr>
                <w:b/>
                <w:bCs/>
                <w:color w:val="C00000"/>
                <w:spacing w:val="-3"/>
              </w:rPr>
              <w:t>1000</w:t>
            </w:r>
          </w:p>
        </w:tc>
        <w:tc>
          <w:tcPr>
            <w:tcW w:w="14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2" w:line="194" w:lineRule="auto"/>
              <w:ind w:left="631"/>
            </w:pPr>
            <w:r>
              <w:rPr>
                <w:b/>
                <w:bCs/>
                <w:spacing w:val="-2"/>
              </w:rPr>
              <w:t>60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https://d.book118.com/976012054153010055</w:t>
        </w:r>
      </w:hyperlink>
    </w:p>
    <w:p/>
    <w:sectPr>
      <w:headerReference w:type="default" r:id="rId78"/>
      <w:footerReference w:type="default" r:id="rId79"/>
      <w:pgSz w:w="11907" w:h="16839"/>
      <w:pgMar w:top="1383" w:right="633" w:bottom="1289" w:left="622" w:header="794" w:footer="723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49" style="width:529.55pt;height:1pt;margin-top:777.44pt;margin-left:31.15pt;mso-position-horizontal-relative:page;mso-position-vertical-relative:page;position:absolute;z-index:251659264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25pt;margin-top:2.45pt;margin-left:0;position:absolute;z-index:25165824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5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51" style="width:529.55pt;height:1pt;margin-top:777.44pt;margin-left:31.15pt;mso-position-horizontal-relative:page;mso-position-vertical-relative:page;position:absolute;z-index:251661312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25pt;margin-top:2.45pt;margin-left:0;position:absolute;z-index:25166028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5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53" style="width:529.55pt;height:1pt;margin-top:777.44pt;margin-left:31.15pt;mso-position-horizontal-relative:page;mso-position-vertical-relative:page;position:absolute;z-index:251663360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25pt;margin-top:2.45pt;margin-left:0;position:absolute;z-index:25166233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5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37"/>
    </w:pPr>
    <w:r>
      <w:pict>
        <v:shape id="_x0000_i2055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7pt;height:12.25pt;margin-top:-1pt;margin-left:1.87pt;position:absolute;z-index:25166438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77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57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7pt;height:12.25pt;margin-top:-1pt;margin-left:0;position:absolute;z-index:25166540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2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59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25pt;margin-top:-1pt;margin-left:0;position:absolute;z-index:25166643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3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61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7pt;height:12.25pt;margin-top:-1pt;margin-left:0;position:absolute;z-index:25166745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3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63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2.7pt;height:12.25pt;margin-top:-1pt;margin-left:0;position:absolute;z-index:25166848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5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65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7pt;height:12.25pt;margin-top:-1pt;margin-left:0;position:absolute;z-index:25166950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67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2.7pt;height:12.25pt;margin-top:-1pt;margin-left:0;position:absolute;z-index:25167052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38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69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2.7pt;height:12.25pt;margin-top:-1pt;margin-left:0;position:absolute;z-index:25167155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38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71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2.7pt;height:12.25pt;margin-top:-1pt;margin-left:0;position:absolute;z-index:25167257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38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73" style="width:530.35pt;height:1.05pt;mso-position-horizontal-relative:char;mso-position-vertical-relative:line" coordorigin="0,0" coordsize="10606,20" path="m15,9l10605,10m,9l10590,9e" filled="f" strokecolor="#009ee1" strokeweight="1pt">
          <w10:wrap type="none"/>
        </v:shape>
      </w:pict>
    </w:r>
  </w:p>
  <w:p>
    <w:pPr>
      <w:spacing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2.7pt;height:12.25pt;margin-top:-1pt;margin-left:0;position:absolute;z-index:25167360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0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4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1" w:line="259" w:lineRule="auto"/>
      <w:ind w:left="9450" w:right="120" w:hanging="956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深度分析|电力设备</w:t>
    </w:r>
    <w:r>
      <w:rPr>
        <w:rFonts w:ascii="SimHei" w:eastAsia="SimHei" w:hAnsi="SimHei" w:cs="SimHei"/>
        <w:color w:val="1F497D"/>
        <w:spacing w:val="7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1" w:line="259" w:lineRule="auto"/>
      <w:ind w:left="9450" w:right="120" w:hanging="956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6879924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879924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深度分析|电力设备</w:t>
    </w:r>
    <w:r>
      <w:rPr>
        <w:rFonts w:ascii="SimHei" w:eastAsia="SimHei" w:hAnsi="SimHei" w:cs="SimHei"/>
        <w:color w:val="1F497D"/>
        <w:spacing w:val="7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1" w:line="259" w:lineRule="auto"/>
      <w:ind w:left="9450" w:right="120" w:hanging="956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55126961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126961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深度分析|电力设备</w:t>
    </w:r>
    <w:r>
      <w:rPr>
        <w:rFonts w:ascii="SimHei" w:eastAsia="SimHei" w:hAnsi="SimHei" w:cs="SimHei"/>
        <w:color w:val="1F497D"/>
        <w:spacing w:val="7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40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28727315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8727315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7321784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784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706292742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6292742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44882300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882300" name="IM 7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52707789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2707789" name="IM 7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深度分析|电力设备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jpeg" /><Relationship Id="rId32" Type="http://schemas.openxmlformats.org/officeDocument/2006/relationships/image" Target="media/image26.jpeg" /><Relationship Id="rId33" Type="http://schemas.openxmlformats.org/officeDocument/2006/relationships/image" Target="media/image27.jpeg" /><Relationship Id="rId34" Type="http://schemas.openxmlformats.org/officeDocument/2006/relationships/header" Target="header3.xml" /><Relationship Id="rId35" Type="http://schemas.openxmlformats.org/officeDocument/2006/relationships/footer" Target="footer3.xml" /><Relationship Id="rId36" Type="http://schemas.openxmlformats.org/officeDocument/2006/relationships/header" Target="header4.xml" /><Relationship Id="rId37" Type="http://schemas.openxmlformats.org/officeDocument/2006/relationships/footer" Target="footer4.xml" /><Relationship Id="rId38" Type="http://schemas.openxmlformats.org/officeDocument/2006/relationships/header" Target="header5.xml" /><Relationship Id="rId39" Type="http://schemas.openxmlformats.org/officeDocument/2006/relationships/footer" Target="footer5.xml" /><Relationship Id="rId4" Type="http://schemas.openxmlformats.org/officeDocument/2006/relationships/header" Target="header1.xml" /><Relationship Id="rId40" Type="http://schemas.openxmlformats.org/officeDocument/2006/relationships/header" Target="header6.xml" /><Relationship Id="rId41" Type="http://schemas.openxmlformats.org/officeDocument/2006/relationships/footer" Target="footer6.xml" /><Relationship Id="rId42" Type="http://schemas.openxmlformats.org/officeDocument/2006/relationships/header" Target="header7.xml" /><Relationship Id="rId43" Type="http://schemas.openxmlformats.org/officeDocument/2006/relationships/footer" Target="footer7.xml" /><Relationship Id="rId44" Type="http://schemas.openxmlformats.org/officeDocument/2006/relationships/header" Target="header8.xml" /><Relationship Id="rId45" Type="http://schemas.openxmlformats.org/officeDocument/2006/relationships/footer" Target="footer8.xml" /><Relationship Id="rId46" Type="http://schemas.openxmlformats.org/officeDocument/2006/relationships/image" Target="media/image29.jpeg" /><Relationship Id="rId47" Type="http://schemas.openxmlformats.org/officeDocument/2006/relationships/header" Target="header9.xml" /><Relationship Id="rId48" Type="http://schemas.openxmlformats.org/officeDocument/2006/relationships/footer" Target="footer9.xml" /><Relationship Id="rId49" Type="http://schemas.openxmlformats.org/officeDocument/2006/relationships/header" Target="header10.xml" /><Relationship Id="rId5" Type="http://schemas.openxmlformats.org/officeDocument/2006/relationships/footer" Target="footer1.xml" /><Relationship Id="rId50" Type="http://schemas.openxmlformats.org/officeDocument/2006/relationships/footer" Target="footer10.xml" /><Relationship Id="rId51" Type="http://schemas.openxmlformats.org/officeDocument/2006/relationships/image" Target="media/image30.png" /><Relationship Id="rId52" Type="http://schemas.openxmlformats.org/officeDocument/2006/relationships/image" Target="media/image31.png" /><Relationship Id="rId53" Type="http://schemas.openxmlformats.org/officeDocument/2006/relationships/image" Target="media/image32.jpeg" /><Relationship Id="rId54" Type="http://schemas.openxmlformats.org/officeDocument/2006/relationships/image" Target="media/image33.jpeg" /><Relationship Id="rId55" Type="http://schemas.openxmlformats.org/officeDocument/2006/relationships/image" Target="media/image34.jpeg" /><Relationship Id="rId56" Type="http://schemas.openxmlformats.org/officeDocument/2006/relationships/image" Target="media/image35.jpeg" /><Relationship Id="rId57" Type="http://schemas.openxmlformats.org/officeDocument/2006/relationships/image" Target="media/image36.jpeg" /><Relationship Id="rId58" Type="http://schemas.openxmlformats.org/officeDocument/2006/relationships/image" Target="media/image37.jpeg" /><Relationship Id="rId59" Type="http://schemas.openxmlformats.org/officeDocument/2006/relationships/image" Target="media/image38.png" /><Relationship Id="rId6" Type="http://schemas.openxmlformats.org/officeDocument/2006/relationships/image" Target="media/image2.png" /><Relationship Id="rId60" Type="http://schemas.openxmlformats.org/officeDocument/2006/relationships/image" Target="media/image39.png" /><Relationship Id="rId61" Type="http://schemas.openxmlformats.org/officeDocument/2006/relationships/image" Target="media/image40.png" /><Relationship Id="rId62" Type="http://schemas.openxmlformats.org/officeDocument/2006/relationships/image" Target="media/image41.png" /><Relationship Id="rId63" Type="http://schemas.openxmlformats.org/officeDocument/2006/relationships/image" Target="media/image42.png" /><Relationship Id="rId64" Type="http://schemas.openxmlformats.org/officeDocument/2006/relationships/image" Target="media/image43.png" /><Relationship Id="rId65" Type="http://schemas.openxmlformats.org/officeDocument/2006/relationships/image" Target="media/image44.png" /><Relationship Id="rId66" Type="http://schemas.openxmlformats.org/officeDocument/2006/relationships/image" Target="media/image45.png" /><Relationship Id="rId67" Type="http://schemas.openxmlformats.org/officeDocument/2006/relationships/image" Target="media/image46.png" /><Relationship Id="rId68" Type="http://schemas.openxmlformats.org/officeDocument/2006/relationships/image" Target="media/image47.png" /><Relationship Id="rId69" Type="http://schemas.openxmlformats.org/officeDocument/2006/relationships/image" Target="media/image48.png" /><Relationship Id="rId7" Type="http://schemas.openxmlformats.org/officeDocument/2006/relationships/image" Target="media/image3.png" /><Relationship Id="rId70" Type="http://schemas.openxmlformats.org/officeDocument/2006/relationships/image" Target="media/image49.png" /><Relationship Id="rId71" Type="http://schemas.openxmlformats.org/officeDocument/2006/relationships/image" Target="media/image50.png" /><Relationship Id="rId72" Type="http://schemas.openxmlformats.org/officeDocument/2006/relationships/header" Target="header11.xml" /><Relationship Id="rId73" Type="http://schemas.openxmlformats.org/officeDocument/2006/relationships/footer" Target="footer11.xml" /><Relationship Id="rId74" Type="http://schemas.openxmlformats.org/officeDocument/2006/relationships/header" Target="header12.xml" /><Relationship Id="rId75" Type="http://schemas.openxmlformats.org/officeDocument/2006/relationships/footer" Target="footer12.xml" /><Relationship Id="rId76" Type="http://schemas.openxmlformats.org/officeDocument/2006/relationships/image" Target="media/image51.jpeg" /><Relationship Id="rId77" Type="http://schemas.openxmlformats.org/officeDocument/2006/relationships/hyperlink" Target="https://d.book118.com/976012054153010055" TargetMode="External" /><Relationship Id="rId78" Type="http://schemas.openxmlformats.org/officeDocument/2006/relationships/header" Target="header13.xml" /><Relationship Id="rId79" Type="http://schemas.openxmlformats.org/officeDocument/2006/relationships/footer" Target="footer13.xml" /><Relationship Id="rId8" Type="http://schemas.openxmlformats.org/officeDocument/2006/relationships/image" Target="media/image4.png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2024-03-08T11:22:29Z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2024-03-08T18:07:49Z</vt:filetime>
  </property>
  <property fmtid="{D5CDD505-2E9C-101B-9397-08002B2CF9AE}" pid="3" name="CRO">
    <vt:lpwstr>wqlLaW5nc29mdCBQREYgdG8gV1BTIDkw</vt:lpwstr>
  </property>
</Properties>
</file>