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2018-2023年宁夏葡萄酒与防沙治沙职业技术学院高职单招（数学／语文／英语）历年常考试题库含答案解析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辛弃疾《水龙吟（登建康赏心亭）》中运用典故表达壮志未酬、时光虚度的感伤之情的是（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A.休说鲈鱼堪脍，尽西风、季鹰归未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B.求田问舍，怕应羞见，刘郎才气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C.可惜流年，忧愁风雨，树犹如此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D.倩何人，唤取红巾翠袖，揾英雄泪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“人与马对话”的感人情节是契诃夫哪部小说中所描写的情节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A.《万卡》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B.《渴睡》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D.《醋栗》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3.</w:t>
      </w:r>
      <w:r>
        <w:rPr>
          <w:rFonts w:ascii="黑体" w:eastAsia="黑体" w:hAnsi="黑体" w:cs="Times New Roman"/>
          <w:sz w:val="24"/>
          <w:lang w:val="en-US" w:eastAsia="ja-JP" w:bidi="ar-SA"/>
        </w:rPr>
        <w:t>下面不是冰心创作的问题小说有（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A.《斯人独憔悴》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B.《往事》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C.《超人》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D.《两个家庭》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2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《故都的秋》一文主要描绘了（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A.南国的秋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B.北京的秋色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C.北国的景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D.秋天的奇景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被人称作具有“含泪的微笑”风格的小说家是（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下列哪个诗句是出自于闻一多的《发现》的（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B.“请告诉我谁是中国人”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C.“我要回来，乘着你的拳头像兰花未放，”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D.“这不是我的中华，不对，不对!”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《炉中煤》中的“我年青的女郎”指的是（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A.心爱的姑娘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B.日本的妻子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C.诗人心目中的祖国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D.未实现的梦想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关于《陌上桑》一诗，下列表述错误的是（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A.是一首汉乐府民歌。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B.是一首叙事诗。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C.诗中主人公是罗敷。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D.是一首表达青年男女爱情的诗歌。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闻一多属于下列诗歌流派中的（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C.湖畔派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D.象征诗派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王昌龄的《从军行》（青海长云暗雪山）主要是表现戍边将士（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A.艰难困苦的生活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B.出生入死的经历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C.报国御敌的壮志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D.思念家乡的感情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下列作家中，具有“含泪的微笑”艺术风格的是（）。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《种树郭橐驼传》主要的创作意图是（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B.揭露统治者的政令扰民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D.借“养树”之道，喻“养民”之道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《麦琪的礼物》的故事结局是（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A.皆大欢喜的大团圆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B.留下许多未决的悬案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https://d.book118.com/976031241230010052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76031241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