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2" w:line="1140" w:lineRule="exact"/>
        <w:ind w:firstLine="6072"/>
      </w:pPr>
      <w:r>
        <w:rPr>
          <w:position w:val="-22"/>
        </w:rPr>
        <w:drawing>
          <wp:inline distT="0" distB="0" distL="0" distR="0">
            <wp:extent cx="1837944" cy="7239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37944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4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169" w:line="221" w:lineRule="auto"/>
        <w:ind w:left="29"/>
        <w:outlineLvl w:val="0"/>
        <w:rPr>
          <w:sz w:val="52"/>
          <w:szCs w:val="52"/>
        </w:rPr>
      </w:pPr>
      <w:r>
        <w:rPr>
          <w:spacing w:val="63"/>
          <w:sz w:val="52"/>
          <w:szCs w:val="52"/>
        </w:rPr>
        <w:t>北</w:t>
      </w:r>
      <w:r>
        <w:rPr>
          <w:spacing w:val="63"/>
          <w:sz w:val="52"/>
          <w:szCs w:val="52"/>
        </w:rPr>
        <w:t xml:space="preserve"> </w:t>
      </w:r>
      <w:r>
        <w:rPr>
          <w:spacing w:val="63"/>
          <w:sz w:val="52"/>
          <w:szCs w:val="52"/>
        </w:rPr>
        <w:t>京</w:t>
      </w:r>
      <w:r>
        <w:rPr>
          <w:spacing w:val="63"/>
          <w:sz w:val="52"/>
          <w:szCs w:val="52"/>
        </w:rPr>
        <w:t xml:space="preserve"> </w:t>
      </w:r>
      <w:r>
        <w:rPr>
          <w:spacing w:val="63"/>
          <w:sz w:val="52"/>
          <w:szCs w:val="52"/>
        </w:rPr>
        <w:t>市</w:t>
      </w:r>
      <w:r>
        <w:rPr>
          <w:spacing w:val="22"/>
          <w:sz w:val="52"/>
          <w:szCs w:val="52"/>
        </w:rPr>
        <w:t xml:space="preserve"> </w:t>
      </w:r>
      <w:r>
        <w:rPr>
          <w:spacing w:val="63"/>
          <w:sz w:val="52"/>
          <w:szCs w:val="52"/>
        </w:rPr>
        <w:t>地</w:t>
      </w:r>
      <w:r>
        <w:rPr>
          <w:spacing w:val="63"/>
          <w:sz w:val="52"/>
          <w:szCs w:val="52"/>
        </w:rPr>
        <w:t xml:space="preserve"> </w:t>
      </w:r>
      <w:r>
        <w:rPr>
          <w:spacing w:val="63"/>
          <w:sz w:val="52"/>
          <w:szCs w:val="52"/>
        </w:rPr>
        <w:t>方</w:t>
      </w:r>
      <w:r>
        <w:rPr>
          <w:spacing w:val="13"/>
          <w:sz w:val="52"/>
          <w:szCs w:val="52"/>
        </w:rPr>
        <w:t xml:space="preserve"> </w:t>
      </w:r>
      <w:r>
        <w:rPr>
          <w:spacing w:val="63"/>
          <w:sz w:val="52"/>
          <w:szCs w:val="52"/>
        </w:rPr>
        <w:t>计</w:t>
      </w:r>
      <w:r>
        <w:rPr>
          <w:spacing w:val="16"/>
          <w:sz w:val="52"/>
          <w:szCs w:val="52"/>
        </w:rPr>
        <w:t xml:space="preserve"> </w:t>
      </w:r>
      <w:r>
        <w:rPr>
          <w:spacing w:val="63"/>
          <w:sz w:val="52"/>
          <w:szCs w:val="52"/>
        </w:rPr>
        <w:t>量</w:t>
      </w:r>
      <w:r>
        <w:rPr>
          <w:spacing w:val="10"/>
          <w:sz w:val="52"/>
          <w:szCs w:val="52"/>
        </w:rPr>
        <w:t xml:space="preserve"> </w:t>
      </w:r>
      <w:r>
        <w:rPr>
          <w:spacing w:val="63"/>
          <w:sz w:val="52"/>
          <w:szCs w:val="52"/>
        </w:rPr>
        <w:t>技</w:t>
      </w:r>
      <w:r>
        <w:rPr>
          <w:spacing w:val="6"/>
          <w:sz w:val="52"/>
          <w:szCs w:val="52"/>
        </w:rPr>
        <w:t xml:space="preserve"> </w:t>
      </w:r>
      <w:r>
        <w:rPr>
          <w:spacing w:val="63"/>
          <w:sz w:val="52"/>
          <w:szCs w:val="52"/>
        </w:rPr>
        <w:t>术</w:t>
      </w:r>
      <w:r>
        <w:rPr>
          <w:spacing w:val="5"/>
          <w:sz w:val="52"/>
          <w:szCs w:val="52"/>
        </w:rPr>
        <w:t xml:space="preserve"> </w:t>
      </w:r>
      <w:r>
        <w:rPr>
          <w:spacing w:val="63"/>
          <w:sz w:val="52"/>
          <w:szCs w:val="52"/>
        </w:rPr>
        <w:t>规</w:t>
      </w:r>
      <w:r>
        <w:rPr>
          <w:spacing w:val="18"/>
          <w:sz w:val="52"/>
          <w:szCs w:val="52"/>
        </w:rPr>
        <w:t xml:space="preserve"> </w:t>
      </w:r>
      <w:r>
        <w:rPr>
          <w:spacing w:val="63"/>
          <w:sz w:val="52"/>
          <w:szCs w:val="52"/>
        </w:rPr>
        <w:t>范</w:t>
      </w:r>
    </w:p>
    <w:p>
      <w:pPr>
        <w:spacing w:before="171" w:line="26" w:lineRule="exact"/>
      </w:pPr>
      <w:r>
        <w:drawing>
          <wp:inline distT="0" distB="0" distL="0" distR="0">
            <wp:extent cx="5939789" cy="1650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9789" cy="16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91" w:line="223" w:lineRule="auto"/>
        <w:ind w:right="15"/>
        <w:jc w:val="right"/>
      </w:pPr>
      <w:r>
        <w:rPr>
          <w:spacing w:val="-1"/>
        </w:rPr>
        <w:t>JJF（京）3018—2022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70" w:line="218" w:lineRule="auto"/>
        <w:ind w:left="2000"/>
        <w:rPr>
          <w:sz w:val="52"/>
          <w:szCs w:val="52"/>
        </w:rPr>
      </w:pPr>
      <w:r>
        <w:rPr>
          <w:spacing w:val="17"/>
          <w:sz w:val="52"/>
          <w:szCs w:val="52"/>
        </w:rPr>
        <w:t>连续</w:t>
      </w:r>
      <w:r>
        <w:rPr>
          <w:sz w:val="52"/>
          <w:szCs w:val="52"/>
        </w:rPr>
        <w:t>pH</w:t>
      </w:r>
      <w:r>
        <w:rPr>
          <w:spacing w:val="17"/>
          <w:sz w:val="52"/>
          <w:szCs w:val="52"/>
        </w:rPr>
        <w:t>测量仪校准规范</w:t>
      </w:r>
    </w:p>
    <w:p>
      <w:pPr>
        <w:spacing w:line="394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1186"/>
      </w:pPr>
      <w:r>
        <w:t>Calibration</w:t>
      </w:r>
      <w:r>
        <w:t xml:space="preserve"> </w:t>
      </w:r>
      <w:r>
        <w:t>Specification</w:t>
      </w:r>
      <w:r>
        <w:t xml:space="preserve"> </w:t>
      </w:r>
      <w:r>
        <w:t>for</w:t>
      </w:r>
      <w:r>
        <w:t xml:space="preserve"> </w:t>
      </w:r>
      <w:r>
        <w:t>Continuous</w:t>
      </w:r>
      <w:r>
        <w:t xml:space="preserve"> </w:t>
      </w:r>
      <w:r>
        <w:t>p</w:t>
      </w:r>
      <w:r>
        <w:rPr>
          <w:spacing w:val="-1"/>
        </w:rPr>
        <w:t>H</w:t>
      </w:r>
      <w:r>
        <w:rPr>
          <w:spacing w:val="-1"/>
        </w:rPr>
        <w:t xml:space="preserve"> </w:t>
      </w:r>
      <w:r>
        <w:rPr>
          <w:spacing w:val="-1"/>
        </w:rPr>
        <w:t>Meters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pgSz w:w="11906" w:h="16839"/>
          <w:pgMar w:top="1431" w:right="1116" w:bottom="0" w:left="1418" w:header="0" w:footer="0" w:gutter="0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92" w:line="222" w:lineRule="auto"/>
        <w:ind w:left="9"/>
      </w:pPr>
      <w:r>
        <w:rPr>
          <w:spacing w:val="11"/>
        </w:rPr>
        <w:t>20</w:t>
      </w:r>
      <w:r>
        <w:rPr>
          <w:spacing w:val="-80"/>
        </w:rPr>
        <w:t xml:space="preserve"> </w:t>
      </w:r>
      <w:r>
        <w:rPr>
          <w:spacing w:val="11"/>
        </w:rPr>
        <w:t>22</w:t>
      </w:r>
      <w:r>
        <w:rPr>
          <w:spacing w:val="-80"/>
        </w:rPr>
        <w:t xml:space="preserve"> </w:t>
      </w:r>
      <w:r>
        <w:rPr>
          <w:spacing w:val="11"/>
        </w:rPr>
        <w:t>-</w:t>
      </w:r>
      <w:r>
        <w:rPr>
          <w:spacing w:val="-83"/>
        </w:rPr>
        <w:t xml:space="preserve"> </w:t>
      </w:r>
      <w:r>
        <w:rPr>
          <w:spacing w:val="11"/>
        </w:rPr>
        <w:t>03</w:t>
      </w:r>
      <w:r>
        <w:rPr>
          <w:spacing w:val="-82"/>
        </w:rPr>
        <w:t xml:space="preserve"> </w:t>
      </w:r>
      <w:r>
        <w:rPr>
          <w:spacing w:val="11"/>
        </w:rPr>
        <w:t>-</w:t>
      </w:r>
      <w:r>
        <w:rPr>
          <w:spacing w:val="-83"/>
        </w:rPr>
        <w:t xml:space="preserve"> </w:t>
      </w:r>
      <w:r>
        <w:rPr>
          <w:spacing w:val="11"/>
        </w:rPr>
        <w:t>29</w:t>
      </w:r>
      <w:r>
        <w:rPr>
          <w:spacing w:val="11"/>
        </w:rPr>
        <w:t xml:space="preserve"> </w:t>
      </w:r>
      <w:r>
        <w:rPr>
          <w:spacing w:val="11"/>
        </w:rPr>
        <w:t>发</w:t>
      </w:r>
      <w:r>
        <w:rPr>
          <w:spacing w:val="-83"/>
        </w:rPr>
        <w:t xml:space="preserve"> </w:t>
      </w:r>
      <w:r>
        <w:rPr>
          <w:spacing w:val="11"/>
        </w:rPr>
        <w:t>布</w:t>
      </w:r>
      <w:r>
        <w:rPr>
          <w:spacing w:val="11"/>
        </w:rPr>
        <w:t xml:space="preserve">                            </w:t>
      </w:r>
      <w:r>
        <w:rPr>
          <w:spacing w:val="11"/>
        </w:rPr>
        <w:t>20</w:t>
      </w:r>
      <w:r>
        <w:rPr>
          <w:spacing w:val="-77"/>
        </w:rPr>
        <w:t xml:space="preserve"> </w:t>
      </w:r>
      <w:r>
        <w:rPr>
          <w:spacing w:val="11"/>
        </w:rPr>
        <w:t>22</w:t>
      </w:r>
      <w:r>
        <w:rPr>
          <w:spacing w:val="-83"/>
        </w:rPr>
        <w:t xml:space="preserve"> </w:t>
      </w:r>
      <w:r>
        <w:rPr>
          <w:spacing w:val="11"/>
        </w:rPr>
        <w:t>-</w:t>
      </w:r>
      <w:r>
        <w:rPr>
          <w:spacing w:val="-83"/>
        </w:rPr>
        <w:t xml:space="preserve"> </w:t>
      </w:r>
      <w:r>
        <w:rPr>
          <w:spacing w:val="11"/>
        </w:rPr>
        <w:t>04</w:t>
      </w:r>
      <w:r>
        <w:rPr>
          <w:spacing w:val="-80"/>
        </w:rPr>
        <w:t xml:space="preserve"> </w:t>
      </w:r>
      <w:r>
        <w:rPr>
          <w:spacing w:val="10"/>
        </w:rPr>
        <w:t>-29</w:t>
      </w:r>
      <w:r>
        <w:rPr>
          <w:spacing w:val="10"/>
        </w:rPr>
        <w:t xml:space="preserve"> </w:t>
      </w:r>
      <w:r>
        <w:rPr>
          <w:spacing w:val="10"/>
        </w:rPr>
        <w:t>实</w:t>
      </w:r>
      <w:r>
        <w:rPr>
          <w:spacing w:val="-83"/>
        </w:rPr>
        <w:t xml:space="preserve"> </w:t>
      </w:r>
      <w:r>
        <w:rPr>
          <w:spacing w:val="10"/>
        </w:rPr>
        <w:t>施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" w:line="21" w:lineRule="exact"/>
      </w:pPr>
      <w:r>
        <w:drawing>
          <wp:inline distT="0" distB="0" distL="0" distR="0">
            <wp:extent cx="5950585" cy="1333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50585" cy="1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4" w:line="225" w:lineRule="auto"/>
        <w:ind w:left="25"/>
      </w:pPr>
      <w:r>
        <w:rPr>
          <w:spacing w:val="59"/>
          <w:sz w:val="43"/>
          <w:szCs w:val="43"/>
        </w:rPr>
        <w:t>北</w:t>
      </w:r>
      <w:r>
        <w:rPr>
          <w:spacing w:val="148"/>
          <w:sz w:val="43"/>
          <w:szCs w:val="43"/>
        </w:rPr>
        <w:t xml:space="preserve"> </w:t>
      </w:r>
      <w:r>
        <w:rPr>
          <w:spacing w:val="59"/>
          <w:sz w:val="43"/>
          <w:szCs w:val="43"/>
        </w:rPr>
        <w:t>京</w:t>
      </w:r>
      <w:r>
        <w:rPr>
          <w:spacing w:val="132"/>
          <w:sz w:val="43"/>
          <w:szCs w:val="43"/>
        </w:rPr>
        <w:t xml:space="preserve"> </w:t>
      </w:r>
      <w:r>
        <w:rPr>
          <w:spacing w:val="59"/>
          <w:sz w:val="43"/>
          <w:szCs w:val="43"/>
        </w:rPr>
        <w:t>市</w:t>
      </w:r>
      <w:r>
        <w:rPr>
          <w:spacing w:val="130"/>
          <w:sz w:val="43"/>
          <w:szCs w:val="43"/>
        </w:rPr>
        <w:t xml:space="preserve"> </w:t>
      </w:r>
      <w:r>
        <w:rPr>
          <w:spacing w:val="59"/>
          <w:sz w:val="43"/>
          <w:szCs w:val="43"/>
        </w:rPr>
        <w:t>市</w:t>
      </w:r>
      <w:r>
        <w:rPr>
          <w:spacing w:val="119"/>
          <w:sz w:val="43"/>
          <w:szCs w:val="43"/>
        </w:rPr>
        <w:t xml:space="preserve"> </w:t>
      </w:r>
      <w:r>
        <w:rPr>
          <w:spacing w:val="59"/>
          <w:sz w:val="43"/>
          <w:szCs w:val="43"/>
        </w:rPr>
        <w:t>场</w:t>
      </w:r>
      <w:r>
        <w:rPr>
          <w:spacing w:val="124"/>
          <w:sz w:val="43"/>
          <w:szCs w:val="43"/>
        </w:rPr>
        <w:t xml:space="preserve"> </w:t>
      </w:r>
      <w:r>
        <w:rPr>
          <w:spacing w:val="59"/>
          <w:sz w:val="43"/>
          <w:szCs w:val="43"/>
        </w:rPr>
        <w:t>监</w:t>
      </w:r>
      <w:r>
        <w:rPr>
          <w:spacing w:val="128"/>
          <w:sz w:val="43"/>
          <w:szCs w:val="43"/>
        </w:rPr>
        <w:t xml:space="preserve"> </w:t>
      </w:r>
      <w:r>
        <w:rPr>
          <w:spacing w:val="59"/>
          <w:sz w:val="43"/>
          <w:szCs w:val="43"/>
        </w:rPr>
        <w:t>督</w:t>
      </w:r>
      <w:r>
        <w:rPr>
          <w:spacing w:val="127"/>
          <w:sz w:val="43"/>
          <w:szCs w:val="43"/>
        </w:rPr>
        <w:t xml:space="preserve"> </w:t>
      </w:r>
      <w:r>
        <w:rPr>
          <w:spacing w:val="59"/>
          <w:sz w:val="43"/>
          <w:szCs w:val="43"/>
        </w:rPr>
        <w:t>管</w:t>
      </w:r>
      <w:r>
        <w:rPr>
          <w:spacing w:val="124"/>
          <w:sz w:val="43"/>
          <w:szCs w:val="43"/>
        </w:rPr>
        <w:t xml:space="preserve"> </w:t>
      </w:r>
      <w:r>
        <w:rPr>
          <w:spacing w:val="59"/>
          <w:sz w:val="43"/>
          <w:szCs w:val="43"/>
        </w:rPr>
        <w:t>理</w:t>
      </w:r>
      <w:r>
        <w:rPr>
          <w:spacing w:val="124"/>
          <w:sz w:val="43"/>
          <w:szCs w:val="43"/>
        </w:rPr>
        <w:t xml:space="preserve"> </w:t>
      </w:r>
      <w:r>
        <w:rPr>
          <w:spacing w:val="59"/>
          <w:sz w:val="43"/>
          <w:szCs w:val="43"/>
        </w:rPr>
        <w:t>局</w:t>
      </w:r>
      <w:r>
        <w:rPr>
          <w:spacing w:val="116"/>
          <w:sz w:val="43"/>
          <w:szCs w:val="43"/>
        </w:rPr>
        <w:t xml:space="preserve"> </w:t>
      </w:r>
      <w:r>
        <w:rPr>
          <w:spacing w:val="59"/>
        </w:rPr>
        <w:t>发</w:t>
      </w:r>
      <w:r>
        <w:rPr>
          <w:spacing w:val="20"/>
        </w:rPr>
        <w:t xml:space="preserve">  </w:t>
      </w:r>
      <w:r>
        <w:rPr>
          <w:spacing w:val="59"/>
        </w:rPr>
        <w:t>布</w:t>
      </w:r>
    </w:p>
    <w:p>
      <w:pPr>
        <w:spacing w:line="225" w:lineRule="auto"/>
        <w:sectPr>
          <w:type w:val="nextPage"/>
          <w:pgSz w:w="11906" w:h="16839"/>
          <w:pgMar w:top="1431" w:right="1116" w:bottom="0" w:left="1418" w:header="0" w:footer="0" w:gutter="0"/>
          <w:pgNumType w:start="2"/>
          <w:cols w:space="708"/>
          <w:titlePg w:val="0"/>
        </w:sectPr>
      </w:pPr>
    </w:p>
    <w:p>
      <w:pPr>
        <w:spacing w:line="283" w:lineRule="auto"/>
        <w:rPr>
          <w:rFonts w:ascii="Arial"/>
          <w:sz w:val="21"/>
        </w:rPr>
      </w:pPr>
      <w:r>
        <w:pict>
          <v:shape id="_x0000_s1025" style="width:0;height:31.25pt;margin-top:12.28pt;margin-left:0;position:absolute;z-index:251659264" coordorigin="0,0" coordsize="0,625" path="m,l,624e" filled="f" strokecolor="black">
            <v:stroke joinstyle="bevel" endcap="square"/>
          </v:shape>
        </w:pic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line="1441" w:lineRule="exact"/>
        <w:ind w:firstLine="6611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241.55pt;height:74pt;margin-top:18.63pt;margin-left:31.88pt;position:absolute;z-index:2516582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2" w:lineRule="auto"/>
                    <w:ind w:left="20"/>
                    <w:rPr>
                      <w:sz w:val="43"/>
                      <w:szCs w:val="43"/>
                    </w:rPr>
                  </w:pPr>
                  <w:r>
                    <w:rPr>
                      <w:spacing w:val="21"/>
                      <w:sz w:val="43"/>
                      <w:szCs w:val="43"/>
                    </w:rPr>
                    <w:t>连续</w:t>
                  </w:r>
                  <w:r>
                    <w:rPr>
                      <w:spacing w:val="-57"/>
                      <w:sz w:val="43"/>
                      <w:szCs w:val="43"/>
                    </w:rPr>
                    <w:t xml:space="preserve"> </w:t>
                  </w:r>
                  <w:r>
                    <w:rPr>
                      <w:sz w:val="43"/>
                      <w:szCs w:val="43"/>
                    </w:rPr>
                    <w:t>pH</w:t>
                  </w:r>
                  <w:r>
                    <w:rPr>
                      <w:spacing w:val="-73"/>
                      <w:sz w:val="43"/>
                      <w:szCs w:val="43"/>
                    </w:rPr>
                    <w:t xml:space="preserve"> </w:t>
                  </w:r>
                  <w:r>
                    <w:rPr>
                      <w:spacing w:val="21"/>
                      <w:sz w:val="43"/>
                      <w:szCs w:val="43"/>
                    </w:rPr>
                    <w:t>测量仪校准规范</w:t>
                  </w:r>
                </w:p>
                <w:p>
                  <w:pPr>
                    <w:pStyle w:val="BodyText"/>
                    <w:spacing w:before="153" w:line="219" w:lineRule="auto"/>
                    <w:ind w:left="392"/>
                  </w:pPr>
                  <w:r>
                    <w:rPr>
                      <w:spacing w:val="-1"/>
                    </w:rPr>
                    <w:t>Calibration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spacing w:val="-1"/>
                    </w:rPr>
                    <w:t>Specification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spacing w:val="-1"/>
                    </w:rPr>
                    <w:t>for</w:t>
                  </w:r>
                </w:p>
                <w:p>
                  <w:pPr>
                    <w:pStyle w:val="BodyText"/>
                    <w:spacing w:before="104" w:line="219" w:lineRule="auto"/>
                    <w:ind w:left="951"/>
                  </w:pPr>
                  <w:r>
                    <w:rPr>
                      <w:spacing w:val="-1"/>
                    </w:rPr>
                    <w:t>Continuous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spacing w:val="-1"/>
                    </w:rPr>
                    <w:t>pH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spacing w:val="-1"/>
                    </w:rPr>
                    <w:t>Meters</w:t>
                  </w:r>
                </w:p>
              </w:txbxContent>
            </v:textbox>
          </v:shape>
        </w:pict>
      </w:r>
      <w:r>
        <w:rPr>
          <w:position w:val="-28"/>
        </w:rPr>
        <w:pict>
          <v:group id="_x0000_i1027" style="width:145.55pt;height:72.1pt;mso-position-horizontal-relative:char;mso-position-vertical-relative:line" coordorigin="0,0" coordsize="2911,144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2911;height:1441;position:absolute" filled="f" stroked="f">
              <v:imagedata r:id="rId7" o:title=""/>
            </v:shape>
            <v:shape id="_x0000_s1029" type="#_x0000_t202" style="width:2951;height:1481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1" w:line="223" w:lineRule="auto"/>
                      <w:ind w:left="299"/>
                      <w:rPr>
                        <w:rFonts w:ascii="SimHei" w:eastAsia="SimHei" w:hAnsi="SimHei" w:cs="SimHei"/>
                        <w:sz w:val="28"/>
                        <w:szCs w:val="28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8"/>
                        <w:szCs w:val="28"/>
                      </w:rPr>
                      <w:t>JJF(京)3018—2022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26" w:lineRule="exact"/>
        <w:ind w:firstLine="145"/>
      </w:pPr>
      <w:r>
        <w:drawing>
          <wp:inline distT="0" distB="0" distL="0" distR="0">
            <wp:extent cx="5939790" cy="1650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6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1045"/>
      </w:pPr>
      <w:r>
        <w:rPr>
          <w:spacing w:val="-6"/>
        </w:rPr>
        <w:t>归</w:t>
      </w:r>
      <w:r>
        <w:rPr>
          <w:spacing w:val="103"/>
        </w:rPr>
        <w:t xml:space="preserve"> </w:t>
      </w:r>
      <w:r>
        <w:rPr>
          <w:spacing w:val="-6"/>
        </w:rPr>
        <w:t>口</w:t>
      </w:r>
      <w:r>
        <w:rPr>
          <w:spacing w:val="70"/>
        </w:rPr>
        <w:t xml:space="preserve"> </w:t>
      </w:r>
      <w:r>
        <w:rPr>
          <w:spacing w:val="-6"/>
        </w:rPr>
        <w:t>单</w:t>
      </w:r>
      <w:r>
        <w:rPr>
          <w:spacing w:val="59"/>
        </w:rPr>
        <w:t xml:space="preserve"> </w:t>
      </w:r>
      <w:r>
        <w:rPr>
          <w:spacing w:val="-6"/>
        </w:rPr>
        <w:t>位：北京市市场监督管理局</w:t>
      </w:r>
    </w:p>
    <w:p>
      <w:pPr>
        <w:pStyle w:val="BodyText"/>
        <w:spacing w:before="287" w:line="222" w:lineRule="auto"/>
        <w:ind w:left="1045"/>
      </w:pPr>
      <w:r>
        <w:rPr>
          <w:spacing w:val="-1"/>
        </w:rPr>
        <w:t>主要起草单位：北京市计量检测科学研究院</w:t>
      </w:r>
    </w:p>
    <w:p>
      <w:pPr>
        <w:pStyle w:val="BodyText"/>
        <w:spacing w:before="287" w:line="355" w:lineRule="auto"/>
        <w:ind w:left="3001" w:right="2621" w:hanging="1"/>
      </w:pPr>
      <w:r>
        <w:rPr>
          <w:spacing w:val="-1"/>
        </w:rPr>
        <w:t>天津市计量监督检测科学研究院</w:t>
      </w:r>
      <w:r>
        <w:rPr>
          <w:spacing w:val="4"/>
        </w:rPr>
        <w:t xml:space="preserve"> </w:t>
      </w:r>
      <w:r>
        <w:rPr>
          <w:spacing w:val="-1"/>
        </w:rPr>
        <w:t>河北省计量监督检测研究院</w:t>
      </w:r>
    </w:p>
    <w:p>
      <w:pPr>
        <w:pStyle w:val="BodyText"/>
        <w:spacing w:line="624" w:lineRule="exact"/>
        <w:ind w:left="1040"/>
      </w:pPr>
      <w:r>
        <w:rPr>
          <w:spacing w:val="-1"/>
          <w:position w:val="9"/>
        </w:rPr>
        <w:t>参加起草单位：</w:t>
      </w:r>
      <w:hyperlink r:id="rId9" w:history="1">
        <w:r>
          <w:rPr>
            <w:spacing w:val="-1"/>
            <w:position w:val="9"/>
          </w:rPr>
          <w:t>北京市生</w:t>
        </w:r>
      </w:hyperlink>
      <w:r>
        <w:rPr>
          <w:spacing w:val="-1"/>
          <w:position w:val="9"/>
        </w:rPr>
        <w:t>态环境监测中心</w:t>
      </w:r>
    </w:p>
    <w:p>
      <w:pPr>
        <w:pStyle w:val="BodyText"/>
        <w:spacing w:before="171" w:line="222" w:lineRule="auto"/>
        <w:ind w:left="3066"/>
      </w:pPr>
      <w:r>
        <w:rPr>
          <w:spacing w:val="-1"/>
        </w:rPr>
        <w:t>上海北裕分析仪器股份有限公司</w:t>
      </w:r>
    </w:p>
    <w:p>
      <w:pPr>
        <w:spacing w:line="242" w:lineRule="auto"/>
        <w:rPr>
          <w:rFonts w:ascii="Arial"/>
          <w:sz w:val="21"/>
        </w:rPr>
        <w:sectPr>
          <w:headerReference w:type="default" r:id="rId10"/>
          <w:pgSz w:w="11906" w:h="16839"/>
          <w:pgMar w:top="1599" w:right="1133" w:bottom="0" w:left="1238" w:header="1290" w:footer="0" w:gutter="0"/>
          <w:pgNumType w:start="3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91" w:line="220" w:lineRule="auto"/>
        <w:ind w:left="220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本规范委托北京市计量检测科学研究院负责解释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headerReference w:type="default" r:id="rId11"/>
          <w:type w:val="nextPage"/>
          <w:pgSz w:w="11906" w:h="16839"/>
          <w:pgMar w:top="1599" w:right="1133" w:bottom="0" w:left="1238" w:header="1290" w:footer="0" w:gutter="0"/>
          <w:pgNumType w:start="4"/>
          <w:cols w:space="708"/>
          <w:titlePg w:val="0"/>
        </w:sectPr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tbl>
      <w:tblPr>
        <w:tblStyle w:val="TableNormal0"/>
        <w:tblW w:w="6541" w:type="dxa"/>
        <w:tblInd w:w="2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358"/>
        <w:gridCol w:w="4183"/>
      </w:tblGrid>
      <w:tr>
        <w:tblPrEx>
          <w:tblW w:w="6541" w:type="dxa"/>
          <w:tblInd w:w="29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69"/>
        </w:trPr>
        <w:tc>
          <w:tcPr>
            <w:tcW w:w="2358" w:type="dxa"/>
            <w:vAlign w:val="top"/>
          </w:tcPr>
          <w:p>
            <w:pPr>
              <w:pStyle w:val="TableText"/>
              <w:spacing w:before="1" w:line="222" w:lineRule="auto"/>
              <w:jc w:val="right"/>
            </w:pPr>
            <w:r>
              <w:rPr>
                <w:spacing w:val="-19"/>
              </w:rPr>
              <w:t>本规范主要起草人：</w:t>
            </w:r>
          </w:p>
        </w:tc>
        <w:tc>
          <w:tcPr>
            <w:tcW w:w="41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541" w:type="dxa"/>
          <w:tblInd w:w="290" w:type="dxa"/>
          <w:tblLayout w:type="fixed"/>
        </w:tblPrEx>
        <w:trPr>
          <w:trHeight w:val="707"/>
        </w:trPr>
        <w:tc>
          <w:tcPr>
            <w:tcW w:w="2358" w:type="dxa"/>
            <w:vAlign w:val="top"/>
          </w:tcPr>
          <w:p>
            <w:pPr>
              <w:pStyle w:val="TableText"/>
              <w:spacing w:before="255" w:line="222" w:lineRule="auto"/>
              <w:ind w:left="1406"/>
            </w:pPr>
            <w:r>
              <w:rPr>
                <w:spacing w:val="-5"/>
              </w:rPr>
              <w:t>姜蓬勃</w:t>
            </w:r>
          </w:p>
        </w:tc>
        <w:tc>
          <w:tcPr>
            <w:tcW w:w="4183" w:type="dxa"/>
            <w:vAlign w:val="top"/>
          </w:tcPr>
          <w:p>
            <w:pPr>
              <w:pStyle w:val="TableText"/>
              <w:spacing w:before="82" w:line="614" w:lineRule="exact"/>
            </w:pPr>
            <w:r>
              <w:rPr>
                <w:spacing w:val="-9"/>
                <w:position w:val="8"/>
              </w:rPr>
              <w:t>（</w:t>
            </w:r>
            <w:hyperlink r:id="rId9" w:history="1">
              <w:r>
                <w:rPr>
                  <w:spacing w:val="-9"/>
                  <w:position w:val="8"/>
                </w:rPr>
                <w:t>北京市计量检测科学研究院</w:t>
              </w:r>
            </w:hyperlink>
            <w:r>
              <w:rPr>
                <w:spacing w:val="-9"/>
                <w:position w:val="8"/>
              </w:rPr>
              <w:t>）</w:t>
            </w:r>
          </w:p>
        </w:tc>
      </w:tr>
      <w:tr>
        <w:tblPrEx>
          <w:tblW w:w="6541" w:type="dxa"/>
          <w:tblInd w:w="290" w:type="dxa"/>
          <w:tblLayout w:type="fixed"/>
        </w:tblPrEx>
        <w:trPr>
          <w:trHeight w:val="710"/>
        </w:trPr>
        <w:tc>
          <w:tcPr>
            <w:tcW w:w="2358" w:type="dxa"/>
            <w:vAlign w:val="top"/>
          </w:tcPr>
          <w:p>
            <w:pPr>
              <w:pStyle w:val="TableText"/>
              <w:spacing w:before="172" w:line="222" w:lineRule="auto"/>
              <w:ind w:left="1407"/>
            </w:pPr>
            <w:r>
              <w:rPr>
                <w:spacing w:val="-9"/>
              </w:rPr>
              <w:t>刘</w:t>
            </w:r>
            <w:r>
              <w:rPr>
                <w:spacing w:val="6"/>
              </w:rPr>
              <w:t xml:space="preserve">  </w:t>
            </w:r>
            <w:r>
              <w:rPr>
                <w:spacing w:val="-9"/>
              </w:rPr>
              <w:t>冉</w:t>
            </w:r>
          </w:p>
        </w:tc>
        <w:tc>
          <w:tcPr>
            <w:tcW w:w="4183" w:type="dxa"/>
            <w:vAlign w:val="top"/>
          </w:tcPr>
          <w:p>
            <w:pPr>
              <w:pStyle w:val="TableText"/>
              <w:spacing w:line="623" w:lineRule="exact"/>
            </w:pPr>
            <w:r>
              <w:rPr>
                <w:spacing w:val="-9"/>
                <w:position w:val="9"/>
              </w:rPr>
              <w:t>（</w:t>
            </w:r>
            <w:hyperlink r:id="rId9" w:history="1">
              <w:r>
                <w:rPr>
                  <w:spacing w:val="-9"/>
                  <w:position w:val="9"/>
                </w:rPr>
                <w:t>北京市计量检测科学研究院</w:t>
              </w:r>
            </w:hyperlink>
            <w:r>
              <w:rPr>
                <w:spacing w:val="-9"/>
                <w:position w:val="9"/>
              </w:rPr>
              <w:t>）</w:t>
            </w:r>
          </w:p>
        </w:tc>
      </w:tr>
      <w:tr>
        <w:tblPrEx>
          <w:tblW w:w="6541" w:type="dxa"/>
          <w:tblInd w:w="290" w:type="dxa"/>
          <w:tblLayout w:type="fixed"/>
        </w:tblPrEx>
        <w:trPr>
          <w:trHeight w:val="541"/>
        </w:trPr>
        <w:tc>
          <w:tcPr>
            <w:tcW w:w="2358" w:type="dxa"/>
            <w:vAlign w:val="top"/>
          </w:tcPr>
          <w:p>
            <w:pPr>
              <w:pStyle w:val="TableText"/>
              <w:spacing w:before="86" w:line="220" w:lineRule="auto"/>
              <w:ind w:left="1402"/>
            </w:pPr>
            <w:r>
              <w:rPr>
                <w:spacing w:val="-7"/>
              </w:rPr>
              <w:t>郭</w:t>
            </w:r>
            <w:r>
              <w:rPr>
                <w:spacing w:val="4"/>
              </w:rPr>
              <w:t xml:space="preserve">  </w:t>
            </w:r>
            <w:r>
              <w:rPr>
                <w:spacing w:val="-7"/>
              </w:rPr>
              <w:t>硕</w:t>
            </w:r>
          </w:p>
        </w:tc>
        <w:tc>
          <w:tcPr>
            <w:tcW w:w="4183" w:type="dxa"/>
            <w:vAlign w:val="top"/>
          </w:tcPr>
          <w:p>
            <w:pPr>
              <w:pStyle w:val="TableText"/>
              <w:spacing w:before="85" w:line="222" w:lineRule="auto"/>
            </w:pPr>
            <w:r>
              <w:rPr>
                <w:spacing w:val="-9"/>
              </w:rPr>
              <w:t>（河北省计量监督检测研究院）</w:t>
            </w:r>
          </w:p>
        </w:tc>
      </w:tr>
      <w:tr>
        <w:tblPrEx>
          <w:tblW w:w="6541" w:type="dxa"/>
          <w:tblInd w:w="290" w:type="dxa"/>
          <w:tblLayout w:type="fixed"/>
        </w:tblPrEx>
        <w:trPr>
          <w:trHeight w:val="624"/>
        </w:trPr>
        <w:tc>
          <w:tcPr>
            <w:tcW w:w="2358" w:type="dxa"/>
            <w:vAlign w:val="top"/>
          </w:tcPr>
          <w:p>
            <w:pPr>
              <w:pStyle w:val="TableText"/>
              <w:spacing w:before="168" w:line="223" w:lineRule="auto"/>
              <w:ind w:left="1407"/>
            </w:pPr>
            <w:r>
              <w:rPr>
                <w:spacing w:val="-6"/>
              </w:rPr>
              <w:t>王志鹏</w:t>
            </w:r>
          </w:p>
        </w:tc>
        <w:tc>
          <w:tcPr>
            <w:tcW w:w="4183" w:type="dxa"/>
            <w:vAlign w:val="top"/>
          </w:tcPr>
          <w:p>
            <w:pPr>
              <w:pStyle w:val="TableText"/>
              <w:spacing w:before="168" w:line="222" w:lineRule="auto"/>
              <w:jc w:val="right"/>
            </w:pPr>
            <w:r>
              <w:rPr>
                <w:spacing w:val="-19"/>
              </w:rPr>
              <w:t>（天津市计量监督检测科学研究院）</w:t>
            </w:r>
          </w:p>
        </w:tc>
      </w:tr>
      <w:tr>
        <w:tblPrEx>
          <w:tblW w:w="6541" w:type="dxa"/>
          <w:tblInd w:w="290" w:type="dxa"/>
          <w:tblLayout w:type="fixed"/>
        </w:tblPrEx>
        <w:trPr>
          <w:trHeight w:val="538"/>
        </w:trPr>
        <w:tc>
          <w:tcPr>
            <w:tcW w:w="2358" w:type="dxa"/>
            <w:vAlign w:val="top"/>
          </w:tcPr>
          <w:p>
            <w:pPr>
              <w:pStyle w:val="TableText"/>
              <w:spacing w:before="168" w:line="224" w:lineRule="auto"/>
              <w:jc w:val="right"/>
            </w:pPr>
            <w:r>
              <w:rPr>
                <w:spacing w:val="-27"/>
              </w:rPr>
              <w:t>参加起草人：</w:t>
            </w:r>
          </w:p>
        </w:tc>
        <w:tc>
          <w:tcPr>
            <w:tcW w:w="41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541" w:type="dxa"/>
          <w:tblInd w:w="290" w:type="dxa"/>
          <w:tblLayout w:type="fixed"/>
        </w:tblPrEx>
        <w:trPr>
          <w:trHeight w:val="707"/>
        </w:trPr>
        <w:tc>
          <w:tcPr>
            <w:tcW w:w="2358" w:type="dxa"/>
            <w:vAlign w:val="top"/>
          </w:tcPr>
          <w:p>
            <w:pPr>
              <w:pStyle w:val="TableText"/>
              <w:spacing w:before="255" w:line="222" w:lineRule="auto"/>
              <w:ind w:left="1400"/>
            </w:pPr>
            <w:r>
              <w:rPr>
                <w:spacing w:val="-4"/>
              </w:rPr>
              <w:t>赵少雷</w:t>
            </w:r>
          </w:p>
        </w:tc>
        <w:tc>
          <w:tcPr>
            <w:tcW w:w="4183" w:type="dxa"/>
            <w:vAlign w:val="top"/>
          </w:tcPr>
          <w:p>
            <w:pPr>
              <w:pStyle w:val="TableText"/>
              <w:spacing w:before="82" w:line="615" w:lineRule="exact"/>
            </w:pPr>
            <w:r>
              <w:rPr>
                <w:spacing w:val="-9"/>
                <w:position w:val="8"/>
              </w:rPr>
              <w:t>（</w:t>
            </w:r>
            <w:hyperlink r:id="rId9" w:history="1">
              <w:r>
                <w:rPr>
                  <w:spacing w:val="-9"/>
                  <w:position w:val="8"/>
                </w:rPr>
                <w:t>北京市计量检测科学研究院</w:t>
              </w:r>
            </w:hyperlink>
            <w:r>
              <w:rPr>
                <w:spacing w:val="-9"/>
                <w:position w:val="8"/>
              </w:rPr>
              <w:t>）</w:t>
            </w:r>
          </w:p>
        </w:tc>
      </w:tr>
      <w:tr>
        <w:tblPrEx>
          <w:tblW w:w="6541" w:type="dxa"/>
          <w:tblInd w:w="290" w:type="dxa"/>
          <w:tblLayout w:type="fixed"/>
        </w:tblPrEx>
        <w:trPr>
          <w:trHeight w:val="710"/>
        </w:trPr>
        <w:tc>
          <w:tcPr>
            <w:tcW w:w="2358" w:type="dxa"/>
            <w:vAlign w:val="top"/>
          </w:tcPr>
          <w:p>
            <w:pPr>
              <w:pStyle w:val="TableText"/>
              <w:spacing w:before="171" w:line="222" w:lineRule="auto"/>
              <w:ind w:left="1400"/>
            </w:pPr>
            <w:r>
              <w:rPr>
                <w:spacing w:val="-4"/>
              </w:rPr>
              <w:t>赵泽熙</w:t>
            </w:r>
          </w:p>
        </w:tc>
        <w:tc>
          <w:tcPr>
            <w:tcW w:w="4183" w:type="dxa"/>
            <w:vAlign w:val="top"/>
          </w:tcPr>
          <w:p>
            <w:pPr>
              <w:pStyle w:val="TableText"/>
              <w:spacing w:line="623" w:lineRule="exact"/>
            </w:pPr>
            <w:r>
              <w:rPr>
                <w:spacing w:val="-10"/>
                <w:position w:val="9"/>
              </w:rPr>
              <w:t>（</w:t>
            </w:r>
            <w:hyperlink r:id="rId9" w:history="1">
              <w:r>
                <w:rPr>
                  <w:spacing w:val="-10"/>
                  <w:position w:val="9"/>
                </w:rPr>
                <w:t>北京市生</w:t>
              </w:r>
            </w:hyperlink>
            <w:r>
              <w:rPr>
                <w:spacing w:val="-10"/>
                <w:position w:val="9"/>
              </w:rPr>
              <w:t>态环境监测中心）</w:t>
            </w:r>
          </w:p>
        </w:tc>
      </w:tr>
      <w:tr>
        <w:tblPrEx>
          <w:tblW w:w="6541" w:type="dxa"/>
          <w:tblInd w:w="290" w:type="dxa"/>
          <w:tblLayout w:type="fixed"/>
        </w:tblPrEx>
        <w:trPr>
          <w:trHeight w:val="371"/>
        </w:trPr>
        <w:tc>
          <w:tcPr>
            <w:tcW w:w="2358" w:type="dxa"/>
            <w:vAlign w:val="top"/>
          </w:tcPr>
          <w:p>
            <w:pPr>
              <w:pStyle w:val="TableText"/>
              <w:spacing w:before="86" w:line="181" w:lineRule="auto"/>
              <w:ind w:left="1401"/>
            </w:pPr>
            <w:r>
              <w:rPr>
                <w:spacing w:val="-4"/>
              </w:rPr>
              <w:t>卢文武</w:t>
            </w:r>
          </w:p>
        </w:tc>
        <w:tc>
          <w:tcPr>
            <w:tcW w:w="4183" w:type="dxa"/>
            <w:vAlign w:val="top"/>
          </w:tcPr>
          <w:p>
            <w:pPr>
              <w:pStyle w:val="TableText"/>
              <w:spacing w:before="86" w:line="181" w:lineRule="auto"/>
              <w:jc w:val="right"/>
            </w:pPr>
            <w:r>
              <w:rPr>
                <w:spacing w:val="-19"/>
              </w:rPr>
              <w:t>（上海北裕分析仪器股份有限公司）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2"/>
          <w:pgSz w:w="11906" w:h="16839"/>
          <w:pgMar w:top="1599" w:right="1133" w:bottom="0" w:left="1418" w:header="1290" w:footer="0" w:gutter="0"/>
          <w:pgNumType w:start="5"/>
          <w:cols w:space="708"/>
        </w:sectPr>
      </w:pPr>
    </w:p>
    <w:sdt>
      <w:sdtPr>
        <w:rPr>
          <w:rFonts w:ascii="Arial" w:eastAsia="Arial" w:hAnsi="Arial" w:cs="Arial"/>
          <w:sz w:val="21"/>
          <w:szCs w:val="21"/>
        </w:rPr>
        <w:id w:val="1928527687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4"/>
          <w:szCs w:val="24"/>
        </w:rPr>
      </w:sdtEndPr>
      <w:sdtContent>
        <w:p>
          <w:pPr>
            <w:pStyle w:val="BodyText"/>
            <w:spacing w:before="277" w:line="225" w:lineRule="auto"/>
            <w:ind w:left="4089"/>
            <w:rPr>
              <w:sz w:val="43"/>
              <w:szCs w:val="43"/>
            </w:rPr>
          </w:pPr>
          <w:bookmarkStart w:id="0" w:name="bookmark1"/>
          <w:bookmarkEnd w:id="0"/>
          <w:r>
            <w:rPr>
              <w:spacing w:val="-32"/>
              <w:sz w:val="43"/>
              <w:szCs w:val="43"/>
            </w:rPr>
            <w:t>目</w:t>
          </w:r>
          <w:r>
            <w:rPr>
              <w:spacing w:val="15"/>
              <w:sz w:val="43"/>
              <w:szCs w:val="43"/>
            </w:rPr>
            <w:t xml:space="preserve">  </w:t>
          </w:r>
          <w:r>
            <w:rPr>
              <w:spacing w:val="-32"/>
              <w:sz w:val="43"/>
              <w:szCs w:val="43"/>
            </w:rPr>
            <w:t>录</w:t>
          </w:r>
        </w:p>
        <w:p>
          <w:pPr>
            <w:spacing w:line="32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9457"/>
            </w:tabs>
            <w:spacing w:before="78" w:line="222" w:lineRule="auto"/>
            <w:ind w:left="27"/>
            <w:rPr>
              <w:rFonts w:ascii="SimSun" w:eastAsia="SimSun" w:hAnsi="SimSun" w:cs="SimSun"/>
              <w:sz w:val="24"/>
              <w:szCs w:val="24"/>
            </w:rPr>
          </w:pPr>
          <w:bookmarkStart w:id="1" w:name="bookmark2"/>
          <w:bookmarkEnd w:id="1"/>
          <w:hyperlink w:anchor="bookmark2" w:history="1"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>引言</w:t>
            </w:r>
            <w:r>
              <w:rPr>
                <w:rFonts w:ascii="SimSun" w:eastAsia="SimSun" w:hAnsi="SimSun" w:cs="SimSun"/>
                <w:spacing w:val="-10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7"/>
                <w:sz w:val="24"/>
                <w:szCs w:val="24"/>
              </w:rPr>
              <w:t>（II）</w:t>
            </w:r>
          </w:hyperlink>
        </w:p>
        <w:p>
          <w:pPr>
            <w:tabs>
              <w:tab w:val="right" w:leader="dot" w:pos="9625"/>
            </w:tabs>
            <w:spacing w:before="180" w:line="185" w:lineRule="auto"/>
            <w:ind w:left="27"/>
            <w:rPr>
              <w:rFonts w:ascii="SimSun" w:eastAsia="SimSun" w:hAnsi="SimSun" w:cs="SimSun"/>
              <w:sz w:val="24"/>
              <w:szCs w:val="24"/>
            </w:rPr>
          </w:pPr>
          <w:bookmarkStart w:id="2" w:name="bookmark3"/>
          <w:bookmarkEnd w:id="2"/>
          <w:hyperlink w:anchor="bookmark4" w:history="1"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范围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625"/>
            </w:tabs>
            <w:spacing w:before="227" w:line="185" w:lineRule="auto"/>
            <w:ind w:left="12"/>
            <w:rPr>
              <w:rFonts w:ascii="SimSun" w:eastAsia="SimSun" w:hAnsi="SimSun" w:cs="SimSun"/>
              <w:sz w:val="24"/>
              <w:szCs w:val="24"/>
            </w:rPr>
          </w:pPr>
          <w:bookmarkStart w:id="3" w:name="bookmark5"/>
          <w:bookmarkEnd w:id="3"/>
          <w:hyperlink w:anchor="bookmark6" w:history="1"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引用文件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625"/>
            </w:tabs>
            <w:spacing w:before="227" w:line="185" w:lineRule="auto"/>
            <w:ind w:left="14"/>
            <w:rPr>
              <w:rFonts w:ascii="SimSun" w:eastAsia="SimSun" w:hAnsi="SimSun" w:cs="SimSun"/>
              <w:sz w:val="24"/>
              <w:szCs w:val="24"/>
            </w:rPr>
          </w:pPr>
          <w:bookmarkStart w:id="4" w:name="bookmark7"/>
          <w:bookmarkEnd w:id="4"/>
          <w:hyperlink w:anchor="bookmark8" w:history="1"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3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概述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625"/>
            </w:tabs>
            <w:spacing w:before="228" w:line="185" w:lineRule="auto"/>
            <w:ind w:left="8"/>
            <w:rPr>
              <w:rFonts w:ascii="SimSun" w:eastAsia="SimSun" w:hAnsi="SimSun" w:cs="SimSun"/>
              <w:sz w:val="24"/>
              <w:szCs w:val="24"/>
            </w:rPr>
          </w:pPr>
          <w:bookmarkStart w:id="5" w:name="bookmark9"/>
          <w:bookmarkEnd w:id="5"/>
          <w:hyperlink w:anchor="bookmark10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4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计量特性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625"/>
            </w:tabs>
            <w:spacing w:before="227" w:line="185" w:lineRule="auto"/>
            <w:ind w:left="14"/>
            <w:rPr>
              <w:rFonts w:ascii="SimSun" w:eastAsia="SimSun" w:hAnsi="SimSun" w:cs="SimSun"/>
              <w:sz w:val="24"/>
              <w:szCs w:val="24"/>
            </w:rPr>
          </w:pPr>
          <w:bookmarkStart w:id="6" w:name="bookmark11"/>
          <w:bookmarkEnd w:id="6"/>
          <w:hyperlink w:anchor="bookmark12" w:history="1"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5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校准条件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625"/>
            </w:tabs>
            <w:spacing w:before="228" w:line="185" w:lineRule="auto"/>
            <w:ind w:left="14"/>
            <w:rPr>
              <w:rFonts w:ascii="SimSun" w:eastAsia="SimSun" w:hAnsi="SimSun" w:cs="SimSun"/>
              <w:sz w:val="24"/>
              <w:szCs w:val="24"/>
            </w:rPr>
          </w:pPr>
          <w:bookmarkStart w:id="7" w:name="bookmark13"/>
          <w:bookmarkEnd w:id="7"/>
          <w:hyperlink w:anchor="bookmark14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5.1  环境条件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625"/>
            </w:tabs>
            <w:spacing w:before="227" w:line="185" w:lineRule="auto"/>
            <w:ind w:left="14"/>
            <w:rPr>
              <w:rFonts w:ascii="SimSun" w:eastAsia="SimSun" w:hAnsi="SimSun" w:cs="SimSun"/>
              <w:sz w:val="24"/>
              <w:szCs w:val="24"/>
            </w:rPr>
          </w:pPr>
          <w:bookmarkStart w:id="8" w:name="bookmark15"/>
          <w:bookmarkEnd w:id="8"/>
          <w:hyperlink w:anchor="bookmark16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5.2  温度恒定性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625"/>
            </w:tabs>
            <w:spacing w:before="228" w:line="185" w:lineRule="auto"/>
            <w:ind w:left="14"/>
            <w:rPr>
              <w:rFonts w:ascii="SimSun" w:eastAsia="SimSun" w:hAnsi="SimSun" w:cs="SimSun"/>
              <w:sz w:val="24"/>
              <w:szCs w:val="24"/>
            </w:rPr>
          </w:pPr>
          <w:bookmarkStart w:id="9" w:name="bookmark17"/>
          <w:bookmarkEnd w:id="9"/>
          <w:hyperlink w:anchor="bookmark18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5.3  测量标准及其他设备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625"/>
            </w:tabs>
            <w:spacing w:before="227" w:line="185" w:lineRule="auto"/>
            <w:ind w:left="11"/>
            <w:rPr>
              <w:rFonts w:ascii="SimSun" w:eastAsia="SimSun" w:hAnsi="SimSun" w:cs="SimSun"/>
              <w:sz w:val="24"/>
              <w:szCs w:val="24"/>
            </w:rPr>
          </w:pPr>
          <w:bookmarkStart w:id="10" w:name="bookmark19"/>
          <w:bookmarkEnd w:id="10"/>
          <w:hyperlink w:anchor="bookmark20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6</w:t>
            </w:r>
            <w:r>
              <w:rPr>
                <w:rFonts w:ascii="SimSun" w:eastAsia="SimSun" w:hAnsi="SimSun" w:cs="SimSu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校准项目和校准方法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625"/>
            </w:tabs>
            <w:spacing w:before="228" w:line="185" w:lineRule="auto"/>
            <w:ind w:left="11"/>
            <w:rPr>
              <w:rFonts w:ascii="SimSun" w:eastAsia="SimSun" w:hAnsi="SimSun" w:cs="SimSun"/>
              <w:sz w:val="24"/>
              <w:szCs w:val="24"/>
            </w:rPr>
          </w:pPr>
          <w:bookmarkStart w:id="11" w:name="bookmark21"/>
          <w:bookmarkEnd w:id="11"/>
          <w:hyperlink w:anchor="bookmark22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6.1  校准前检查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625"/>
            </w:tabs>
            <w:spacing w:before="227" w:line="185" w:lineRule="auto"/>
            <w:ind w:left="11"/>
            <w:rPr>
              <w:rFonts w:ascii="SimSun" w:eastAsia="SimSun" w:hAnsi="SimSun" w:cs="SimSun"/>
              <w:sz w:val="24"/>
              <w:szCs w:val="24"/>
            </w:rPr>
          </w:pPr>
          <w:bookmarkStart w:id="12" w:name="bookmark23"/>
          <w:bookmarkEnd w:id="12"/>
          <w:hyperlink w:anchor="bookmark24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6.2  温度示值误差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625"/>
            </w:tabs>
            <w:spacing w:before="228" w:line="185" w:lineRule="auto"/>
            <w:ind w:left="11"/>
            <w:rPr>
              <w:rFonts w:ascii="SimSun" w:eastAsia="SimSun" w:hAnsi="SimSun" w:cs="SimSun"/>
              <w:sz w:val="24"/>
              <w:szCs w:val="24"/>
            </w:rPr>
          </w:pPr>
          <w:bookmarkStart w:id="13" w:name="bookmark25"/>
          <w:bookmarkEnd w:id="13"/>
          <w:hyperlink w:anchor="bookmark26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6.3  仪器</w:t>
            </w:r>
            <w:r>
              <w:rPr>
                <w:rFonts w:ascii="SimSun" w:eastAsia="SimSun" w:hAnsi="SimSun" w:cs="SimSun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pH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示值误差及</w:t>
            </w:r>
            <w:r>
              <w:rPr>
                <w:rFonts w:ascii="SimSun" w:eastAsia="SimSun" w:hAnsi="SimSun" w:cs="SimSun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pH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测量重复性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9625"/>
            </w:tabs>
            <w:spacing w:before="227" w:line="185" w:lineRule="auto"/>
            <w:ind w:left="11"/>
            <w:rPr>
              <w:rFonts w:ascii="SimSun" w:eastAsia="SimSun" w:hAnsi="SimSun" w:cs="SimSun"/>
              <w:sz w:val="24"/>
              <w:szCs w:val="24"/>
            </w:rPr>
          </w:pPr>
          <w:bookmarkStart w:id="14" w:name="bookmark27"/>
          <w:bookmarkEnd w:id="14"/>
          <w:hyperlink w:anchor="bookmark28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6.4  pH</w:t>
            </w:r>
            <w:r>
              <w:rPr>
                <w:rFonts w:ascii="SimSun" w:eastAsia="SimSun" w:hAnsi="SimSun" w:cs="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测量稳定性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9625"/>
            </w:tabs>
            <w:spacing w:before="228" w:line="185" w:lineRule="auto"/>
            <w:ind w:left="15"/>
            <w:rPr>
              <w:rFonts w:ascii="SimSun" w:eastAsia="SimSun" w:hAnsi="SimSun" w:cs="SimSun"/>
              <w:sz w:val="24"/>
              <w:szCs w:val="24"/>
            </w:rPr>
          </w:pPr>
          <w:hyperlink w:anchor="bookmark29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7</w:t>
            </w:r>
            <w:r>
              <w:rPr>
                <w:rFonts w:ascii="SimSun" w:eastAsia="SimSun" w:hAnsi="SimSun" w:cs="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校准结果表达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4"/>
                <w:szCs w:val="24"/>
              </w:rPr>
              <w:t>4</w:t>
            </w:r>
          </w:hyperlink>
        </w:p>
        <w:p>
          <w:pPr>
            <w:tabs>
              <w:tab w:val="right" w:leader="dot" w:pos="9625"/>
            </w:tabs>
            <w:spacing w:before="227" w:line="185" w:lineRule="auto"/>
            <w:ind w:left="10"/>
            <w:rPr>
              <w:rFonts w:ascii="SimSun" w:eastAsia="SimSun" w:hAnsi="SimSun" w:cs="SimSun"/>
              <w:sz w:val="24"/>
              <w:szCs w:val="24"/>
            </w:rPr>
          </w:pPr>
          <w:bookmarkStart w:id="15" w:name="bookmark30"/>
          <w:bookmarkEnd w:id="15"/>
          <w:hyperlink w:anchor="bookmark31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8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复校时间间隔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5</w:t>
            </w:r>
          </w:hyperlink>
        </w:p>
        <w:p>
          <w:pPr>
            <w:tabs>
              <w:tab w:val="right" w:leader="dot" w:pos="9625"/>
            </w:tabs>
            <w:spacing w:before="228" w:line="185" w:lineRule="auto"/>
            <w:ind w:left="28"/>
            <w:rPr>
              <w:rFonts w:ascii="SimSun" w:eastAsia="SimSun" w:hAnsi="SimSun" w:cs="SimSun"/>
              <w:sz w:val="24"/>
              <w:szCs w:val="24"/>
            </w:rPr>
          </w:pPr>
          <w:bookmarkStart w:id="16" w:name="bookmark32"/>
          <w:bookmarkEnd w:id="16"/>
          <w:hyperlink w:anchor="bookmark33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A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仪器示值误差的不确定度评定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6</w:t>
            </w:r>
          </w:hyperlink>
        </w:p>
        <w:p>
          <w:pPr>
            <w:tabs>
              <w:tab w:val="right" w:leader="dot" w:pos="9625"/>
            </w:tabs>
            <w:spacing w:before="227" w:line="185" w:lineRule="auto"/>
            <w:ind w:left="28"/>
            <w:rPr>
              <w:rFonts w:ascii="SimSun" w:eastAsia="SimSun" w:hAnsi="SimSun" w:cs="SimSun"/>
              <w:sz w:val="24"/>
              <w:szCs w:val="24"/>
            </w:rPr>
          </w:pPr>
          <w:bookmarkStart w:id="17" w:name="bookmark34"/>
          <w:bookmarkEnd w:id="17"/>
          <w:hyperlink w:anchor="bookmark35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B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校准原始记录格式（参考）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>11</w:t>
            </w:r>
          </w:hyperlink>
        </w:p>
        <w:p>
          <w:pPr>
            <w:tabs>
              <w:tab w:val="right" w:leader="dot" w:pos="9625"/>
            </w:tabs>
            <w:spacing w:before="228" w:line="219" w:lineRule="auto"/>
            <w:ind w:left="28"/>
            <w:rPr>
              <w:rFonts w:ascii="SimSun" w:eastAsia="SimSun" w:hAnsi="SimSun" w:cs="SimSun"/>
              <w:sz w:val="24"/>
              <w:szCs w:val="24"/>
            </w:rPr>
          </w:pPr>
          <w:bookmarkStart w:id="18" w:name="bookmark36"/>
          <w:bookmarkEnd w:id="18"/>
          <w:hyperlink w:anchor="bookmark37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C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校准证书（内页）格式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>12</w:t>
            </w:r>
          </w:hyperlink>
        </w:p>
      </w:sdtContent>
    </w:sdt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3"/>
          <w:footerReference w:type="default" r:id="rId14"/>
          <w:pgSz w:w="11906" w:h="16839"/>
          <w:pgMar w:top="1627" w:right="861" w:bottom="1566" w:left="1418" w:header="1318" w:footer="1330" w:gutter="0"/>
          <w:pgNumType w:start="6"/>
          <w:cols w:space="708"/>
        </w:sectPr>
      </w:pPr>
    </w:p>
    <w:p>
      <w:pPr>
        <w:pStyle w:val="BodyText"/>
        <w:spacing w:before="302" w:line="227" w:lineRule="auto"/>
        <w:ind w:left="4072"/>
        <w:outlineLvl w:val="0"/>
        <w:rPr>
          <w:sz w:val="43"/>
          <w:szCs w:val="43"/>
        </w:rPr>
      </w:pPr>
      <w:r>
        <w:rPr>
          <w:spacing w:val="-23"/>
          <w:sz w:val="43"/>
          <w:szCs w:val="43"/>
        </w:rPr>
        <w:t>引</w:t>
      </w:r>
      <w:r>
        <w:rPr>
          <w:spacing w:val="21"/>
          <w:sz w:val="43"/>
          <w:szCs w:val="43"/>
        </w:rPr>
        <w:t xml:space="preserve">  </w:t>
      </w:r>
      <w:r>
        <w:rPr>
          <w:spacing w:val="-23"/>
          <w:sz w:val="43"/>
          <w:szCs w:val="43"/>
        </w:rPr>
        <w:t>言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78" w:line="346" w:lineRule="auto"/>
        <w:ind w:left="8" w:right="81" w:firstLine="64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本规范按照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JJF1001-2011《通用计量术语及定义》、JJF10</w:t>
      </w:r>
      <w:r>
        <w:rPr>
          <w:rFonts w:ascii="SimSun" w:eastAsia="SimSun" w:hAnsi="SimSun" w:cs="SimSun"/>
          <w:spacing w:val="-1"/>
          <w:sz w:val="24"/>
          <w:szCs w:val="24"/>
        </w:rPr>
        <w:t>59.1-2012《测量不确定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度评定与表示》和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JJF1071-2010《国家计</w:t>
      </w:r>
      <w:r>
        <w:rPr>
          <w:rFonts w:ascii="SimSun" w:eastAsia="SimSun" w:hAnsi="SimSun" w:cs="SimSun"/>
          <w:spacing w:val="-1"/>
          <w:sz w:val="24"/>
          <w:szCs w:val="24"/>
        </w:rPr>
        <w:t>量校准规范编写规则》的规定要求编写。</w:t>
      </w:r>
    </w:p>
    <w:p>
      <w:pPr>
        <w:spacing w:before="36" w:line="352" w:lineRule="auto"/>
        <w:ind w:left="6" w:firstLine="65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本规范在编写过程中参考了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JJG</w:t>
      </w:r>
      <w:r>
        <w:rPr>
          <w:rFonts w:ascii="SimSun" w:eastAsia="SimSun" w:hAnsi="SimSun" w:cs="SimSun"/>
          <w:spacing w:val="-2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119-2018 《实验室</w:t>
      </w:r>
      <w:r>
        <w:rPr>
          <w:rFonts w:ascii="SimSun" w:eastAsia="SimSun" w:hAnsi="SimSun" w:cs="SimSun"/>
          <w:spacing w:val="-5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pH（酸度）</w:t>
      </w:r>
      <w:r>
        <w:rPr>
          <w:rFonts w:ascii="SimSun" w:eastAsia="SimSun" w:hAnsi="SimSun" w:cs="SimSun"/>
          <w:spacing w:val="-2"/>
          <w:sz w:val="24"/>
          <w:szCs w:val="24"/>
        </w:rPr>
        <w:t>计检定规程》、JJF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1547-2015《在线</w:t>
      </w:r>
      <w:r>
        <w:rPr>
          <w:rFonts w:ascii="SimSun" w:eastAsia="SimSun" w:hAnsi="SimSun" w:cs="SimSun"/>
          <w:spacing w:val="-53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pH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计校准规范》、GB/T 6920-1986《水质</w:t>
      </w:r>
      <w:r>
        <w:rPr>
          <w:rFonts w:ascii="SimSun" w:eastAsia="SimSun" w:hAnsi="SimSun" w:cs="SimSun"/>
          <w:spacing w:val="-5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pH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值的测定 玻璃电极法》、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GB</w:t>
      </w:r>
      <w:r>
        <w:rPr>
          <w:rFonts w:ascii="SimSun" w:eastAsia="SimSun" w:hAnsi="SimSun" w:cs="SimSun"/>
          <w:spacing w:val="1"/>
          <w:sz w:val="24"/>
          <w:szCs w:val="24"/>
        </w:rPr>
        <w:t>/T 11165-2005《实验室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pH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计》、</w:t>
      </w:r>
      <w:r>
        <w:rPr>
          <w:rFonts w:ascii="SimSun" w:eastAsia="SimSun" w:hAnsi="SimSun" w:cs="SimSun"/>
          <w:sz w:val="24"/>
          <w:szCs w:val="24"/>
        </w:rPr>
        <w:t>GB</w:t>
      </w:r>
      <w:r>
        <w:rPr>
          <w:rFonts w:ascii="SimSun" w:eastAsia="SimSun" w:hAnsi="SimSun" w:cs="SimSun"/>
          <w:spacing w:val="1"/>
          <w:sz w:val="24"/>
          <w:szCs w:val="24"/>
        </w:rPr>
        <w:t>/T20245.2-2013《电化学分析器性能表示 第</w:t>
      </w:r>
      <w:r>
        <w:rPr>
          <w:rFonts w:ascii="SimSun" w:eastAsia="SimSun" w:hAnsi="SimSun" w:cs="SimSun"/>
          <w:spacing w:val="-4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2</w:t>
      </w:r>
      <w:r>
        <w:rPr>
          <w:rFonts w:ascii="SimSun" w:eastAsia="SimSun" w:hAnsi="SimSun" w:cs="SimSun"/>
          <w:spacing w:val="-4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部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分：pH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值》以及</w:t>
      </w:r>
      <w:r>
        <w:rPr>
          <w:rFonts w:ascii="SimSun" w:eastAsia="SimSun" w:hAnsi="SimSun" w:cs="SimSun"/>
          <w:spacing w:val="-5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HJ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1147-2020《水质 pH 值的测定</w:t>
      </w:r>
      <w:r>
        <w:rPr>
          <w:rFonts w:ascii="SimSun" w:eastAsia="SimSun" w:hAnsi="SimSun" w:cs="SimSun"/>
          <w:spacing w:val="3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电极法》中部分性能指标和试</w:t>
      </w:r>
      <w:r>
        <w:rPr>
          <w:rFonts w:ascii="SimSun" w:eastAsia="SimSun" w:hAnsi="SimSun" w:cs="SimSun"/>
          <w:spacing w:val="-5"/>
          <w:sz w:val="24"/>
          <w:szCs w:val="24"/>
        </w:rPr>
        <w:t>验方法。</w:t>
      </w:r>
    </w:p>
    <w:p>
      <w:pPr>
        <w:spacing w:before="42" w:line="346" w:lineRule="auto"/>
        <w:ind w:left="658" w:right="498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本规范为京津冀共建计量技术规范。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本规范为首次发布。</w:t>
      </w:r>
    </w:p>
    <w:p>
      <w:pPr>
        <w:spacing w:line="346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5"/>
          <w:footerReference w:type="default" r:id="rId16"/>
          <w:pgSz w:w="11906" w:h="16839"/>
          <w:pgMar w:top="1627" w:right="1053" w:bottom="1566" w:left="1418" w:header="1318" w:footer="1330" w:gutter="0"/>
          <w:pgNumType w:start="7"/>
          <w:cols w:space="708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1" w:line="223" w:lineRule="auto"/>
        <w:ind w:left="3011"/>
        <w:rPr>
          <w:sz w:val="31"/>
          <w:szCs w:val="31"/>
        </w:rPr>
      </w:pPr>
      <w:bookmarkStart w:id="19" w:name="bookmark4"/>
      <w:bookmarkEnd w:id="19"/>
      <w:r>
        <w:rPr>
          <w:spacing w:val="17"/>
          <w:sz w:val="31"/>
          <w:szCs w:val="31"/>
        </w:rPr>
        <w:t>连续</w:t>
      </w:r>
      <w:r>
        <w:rPr>
          <w:sz w:val="31"/>
          <w:szCs w:val="31"/>
        </w:rPr>
        <w:t>pH</w:t>
      </w:r>
      <w:r>
        <w:rPr>
          <w:spacing w:val="-66"/>
          <w:sz w:val="31"/>
          <w:szCs w:val="31"/>
        </w:rPr>
        <w:t xml:space="preserve"> </w:t>
      </w:r>
      <w:r>
        <w:rPr>
          <w:spacing w:val="17"/>
          <w:sz w:val="31"/>
          <w:szCs w:val="31"/>
        </w:rPr>
        <w:t>测量仪校准规范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78" w:line="223" w:lineRule="auto"/>
        <w:ind w:left="21"/>
        <w:outlineLvl w:val="0"/>
        <w:rPr>
          <w:sz w:val="24"/>
          <w:szCs w:val="24"/>
        </w:rPr>
      </w:pPr>
      <w:r>
        <w:rPr>
          <w:spacing w:val="-12"/>
          <w:sz w:val="24"/>
          <w:szCs w:val="24"/>
        </w:rPr>
        <w:t>1</w:t>
      </w:r>
      <w:r>
        <w:rPr>
          <w:spacing w:val="6"/>
          <w:sz w:val="24"/>
          <w:szCs w:val="24"/>
        </w:rPr>
        <w:t xml:space="preserve">  </w:t>
      </w:r>
      <w:r>
        <w:rPr>
          <w:spacing w:val="-12"/>
          <w:sz w:val="24"/>
          <w:szCs w:val="24"/>
        </w:rPr>
        <w:t>范围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78" w:line="215" w:lineRule="auto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本规范适用于具备自动化设计、可连续测量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pH（酸度）参数的仪器的校准。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78" w:line="222" w:lineRule="auto"/>
        <w:ind w:left="7"/>
        <w:outlineLvl w:val="0"/>
        <w:rPr>
          <w:sz w:val="24"/>
          <w:szCs w:val="24"/>
        </w:rPr>
      </w:pPr>
      <w:bookmarkStart w:id="20" w:name="bookmark6"/>
      <w:bookmarkEnd w:id="20"/>
      <w:r>
        <w:rPr>
          <w:spacing w:val="-8"/>
          <w:sz w:val="24"/>
          <w:szCs w:val="24"/>
        </w:rPr>
        <w:t>2</w:t>
      </w:r>
      <w:r>
        <w:rPr>
          <w:spacing w:val="15"/>
          <w:sz w:val="24"/>
          <w:szCs w:val="24"/>
        </w:rPr>
        <w:t xml:space="preserve">  </w:t>
      </w:r>
      <w:r>
        <w:rPr>
          <w:spacing w:val="-8"/>
          <w:sz w:val="24"/>
          <w:szCs w:val="24"/>
        </w:rPr>
        <w:t>引用文件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78" w:line="219" w:lineRule="auto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本规范引用了下列文件：</w:t>
      </w:r>
    </w:p>
    <w:p>
      <w:pPr>
        <w:spacing w:before="184" w:line="346" w:lineRule="auto"/>
        <w:ind w:left="487" w:right="4554" w:hanging="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HJ 1147-2020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水质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pH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值的测定</w:t>
      </w:r>
      <w:r>
        <w:rPr>
          <w:rFonts w:ascii="SimSun" w:eastAsia="SimSun" w:hAnsi="SimSun" w:cs="SimSun"/>
          <w:spacing w:val="3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电</w:t>
      </w:r>
      <w:r>
        <w:rPr>
          <w:rFonts w:ascii="SimSun" w:eastAsia="SimSun" w:hAnsi="SimSun" w:cs="SimSun"/>
          <w:spacing w:val="-4"/>
          <w:sz w:val="24"/>
          <w:szCs w:val="24"/>
        </w:rPr>
        <w:t>极法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仅注日期的引用文件适用于本规范。</w:t>
      </w:r>
    </w:p>
    <w:p>
      <w:pPr>
        <w:pStyle w:val="BodyText"/>
        <w:spacing w:before="192" w:line="221" w:lineRule="auto"/>
        <w:ind w:left="9"/>
        <w:outlineLvl w:val="0"/>
        <w:rPr>
          <w:sz w:val="24"/>
          <w:szCs w:val="24"/>
        </w:rPr>
      </w:pPr>
      <w:bookmarkStart w:id="21" w:name="bookmark8"/>
      <w:bookmarkEnd w:id="21"/>
      <w:r>
        <w:rPr>
          <w:spacing w:val="-6"/>
          <w:sz w:val="24"/>
          <w:szCs w:val="24"/>
        </w:rPr>
        <w:t>3</w:t>
      </w:r>
      <w:r>
        <w:rPr>
          <w:spacing w:val="3"/>
          <w:sz w:val="24"/>
          <w:szCs w:val="24"/>
        </w:rPr>
        <w:t xml:space="preserve">  </w:t>
      </w:r>
      <w:r>
        <w:rPr>
          <w:spacing w:val="-6"/>
          <w:sz w:val="24"/>
          <w:szCs w:val="24"/>
        </w:rPr>
        <w:t>概述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78" w:line="351" w:lineRule="auto"/>
        <w:ind w:left="12" w:right="1" w:firstLine="422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连续</w:t>
      </w:r>
      <w:r>
        <w:rPr>
          <w:rFonts w:ascii="SimSun" w:eastAsia="SimSun" w:hAnsi="SimSun" w:cs="SimSun"/>
          <w:sz w:val="24"/>
          <w:szCs w:val="24"/>
        </w:rPr>
        <w:t>pH</w:t>
      </w:r>
      <w:r>
        <w:rPr>
          <w:rFonts w:ascii="SimSun" w:eastAsia="SimSun" w:hAnsi="SimSun" w:cs="SimSun"/>
          <w:spacing w:val="-4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测量仪（以下简称“仪器</w:t>
      </w:r>
      <w:r>
        <w:rPr>
          <w:rFonts w:ascii="SimSun" w:eastAsia="SimSun" w:hAnsi="SimSun" w:cs="SimSun"/>
          <w:spacing w:val="-8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”）是与实验室</w:t>
      </w:r>
      <w:r>
        <w:rPr>
          <w:rFonts w:ascii="SimSun" w:eastAsia="SimSun" w:hAnsi="SimSun" w:cs="SimSun"/>
          <w:sz w:val="24"/>
          <w:szCs w:val="24"/>
        </w:rPr>
        <w:t>pH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计的测量原理基本相同、能够连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续自动测量批量样品的pH</w:t>
      </w:r>
      <w:r>
        <w:rPr>
          <w:rFonts w:ascii="SimSun" w:eastAsia="SimSun" w:hAnsi="SimSun" w:cs="SimSun"/>
          <w:spacing w:val="-3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值的自动化仪器。仪器主要由</w:t>
      </w:r>
      <w:r>
        <w:rPr>
          <w:rFonts w:ascii="SimSun" w:eastAsia="SimSun" w:hAnsi="SimSun" w:cs="SimSun"/>
          <w:spacing w:val="-5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pH</w:t>
      </w:r>
      <w:r>
        <w:rPr>
          <w:rFonts w:ascii="SimSun" w:eastAsia="SimSun" w:hAnsi="SimSun" w:cs="SimSun"/>
          <w:spacing w:val="-2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电计、pH</w:t>
      </w:r>
      <w:r>
        <w:rPr>
          <w:rFonts w:ascii="SimSun" w:eastAsia="SimSun" w:hAnsi="SimSun" w:cs="SimSun"/>
          <w:spacing w:val="-2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电极以及辅助测量设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备组成。辅助测量设备由装有工作站软件的计算机</w:t>
      </w:r>
      <w:r>
        <w:rPr>
          <w:rFonts w:ascii="SimSun" w:eastAsia="SimSun" w:hAnsi="SimSun" w:cs="SimSun"/>
          <w:spacing w:val="-1"/>
          <w:sz w:val="24"/>
          <w:szCs w:val="24"/>
        </w:rPr>
        <w:t>、操作架（臂）、样品台组成。</w:t>
      </w:r>
    </w:p>
    <w:p>
      <w:pPr>
        <w:spacing w:before="36" w:line="220" w:lineRule="auto"/>
        <w:ind w:left="43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仪器的测量方式为浸入式。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9" w:line="222" w:lineRule="auto"/>
        <w:ind w:left="3"/>
        <w:outlineLvl w:val="0"/>
        <w:rPr>
          <w:sz w:val="24"/>
          <w:szCs w:val="24"/>
        </w:rPr>
      </w:pPr>
      <w:bookmarkStart w:id="22" w:name="bookmark10"/>
      <w:bookmarkEnd w:id="22"/>
      <w:r>
        <w:rPr>
          <w:spacing w:val="-3"/>
          <w:sz w:val="24"/>
          <w:szCs w:val="24"/>
        </w:rPr>
        <w:t>4</w:t>
      </w:r>
      <w:r>
        <w:rPr>
          <w:spacing w:val="5"/>
          <w:sz w:val="24"/>
          <w:szCs w:val="24"/>
        </w:rPr>
        <w:t xml:space="preserve">  </w:t>
      </w:r>
      <w:r>
        <w:rPr>
          <w:spacing w:val="-3"/>
          <w:sz w:val="24"/>
          <w:szCs w:val="24"/>
        </w:rPr>
        <w:t>计量特性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78" w:line="220" w:lineRule="auto"/>
        <w:ind w:left="43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仪器计量特性列于表</w:t>
      </w:r>
      <w:r>
        <w:rPr>
          <w:rFonts w:ascii="SimSun" w:eastAsia="SimSun" w:hAnsi="SimSun" w:cs="SimSun"/>
          <w:spacing w:val="-2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1。</w:t>
      </w:r>
    </w:p>
    <w:p>
      <w:pPr>
        <w:pStyle w:val="BodyText"/>
        <w:spacing w:before="197" w:line="230" w:lineRule="auto"/>
        <w:ind w:left="4031"/>
        <w:rPr>
          <w:sz w:val="20"/>
          <w:szCs w:val="20"/>
        </w:rPr>
      </w:pPr>
      <w:r>
        <w:rPr>
          <w:spacing w:val="1"/>
          <w:sz w:val="20"/>
          <w:szCs w:val="20"/>
        </w:rPr>
        <w:t>表</w:t>
      </w:r>
      <w:r>
        <w:rPr>
          <w:spacing w:val="-24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1</w:t>
      </w:r>
      <w:r>
        <w:rPr>
          <w:spacing w:val="16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计量特性</w:t>
      </w:r>
    </w:p>
    <w:tbl>
      <w:tblPr>
        <w:tblStyle w:val="TableNormal1"/>
        <w:tblW w:w="8532" w:type="dxa"/>
        <w:tblInd w:w="4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3"/>
        <w:gridCol w:w="3116"/>
        <w:gridCol w:w="4453"/>
      </w:tblGrid>
      <w:tr>
        <w:tblPrEx>
          <w:tblW w:w="8532" w:type="dxa"/>
          <w:tblInd w:w="4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3"/>
        </w:trPr>
        <w:tc>
          <w:tcPr>
            <w:tcW w:w="963" w:type="dxa"/>
            <w:vAlign w:val="top"/>
          </w:tcPr>
          <w:p>
            <w:pPr>
              <w:spacing w:before="133" w:line="230" w:lineRule="auto"/>
              <w:ind w:left="2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3116" w:type="dxa"/>
            <w:vAlign w:val="top"/>
          </w:tcPr>
          <w:p>
            <w:pPr>
              <w:spacing w:before="133" w:line="229" w:lineRule="auto"/>
              <w:ind w:left="13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项目</w:t>
            </w:r>
          </w:p>
        </w:tc>
        <w:tc>
          <w:tcPr>
            <w:tcW w:w="4453" w:type="dxa"/>
            <w:vAlign w:val="top"/>
          </w:tcPr>
          <w:p>
            <w:pPr>
              <w:spacing w:before="134" w:line="228" w:lineRule="auto"/>
              <w:ind w:left="18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计量特性</w:t>
            </w:r>
          </w:p>
        </w:tc>
      </w:tr>
      <w:tr>
        <w:tblPrEx>
          <w:tblW w:w="8532" w:type="dxa"/>
          <w:tblInd w:w="410" w:type="dxa"/>
          <w:tblLayout w:type="fixed"/>
        </w:tblPrEx>
        <w:trPr>
          <w:trHeight w:val="448"/>
        </w:trPr>
        <w:tc>
          <w:tcPr>
            <w:tcW w:w="963" w:type="dxa"/>
            <w:vAlign w:val="top"/>
          </w:tcPr>
          <w:p>
            <w:pPr>
              <w:spacing w:before="161" w:line="189" w:lineRule="auto"/>
              <w:ind w:left="4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3116" w:type="dxa"/>
            <w:vAlign w:val="top"/>
          </w:tcPr>
          <w:p>
            <w:pPr>
              <w:spacing w:before="129" w:line="223" w:lineRule="auto"/>
              <w:ind w:left="10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pH</w:t>
            </w:r>
            <w:r>
              <w:rPr>
                <w:rFonts w:ascii="SimSun" w:eastAsia="SimSun" w:hAnsi="SimSun" w:cs="SimSun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示值误差</w:t>
            </w:r>
          </w:p>
        </w:tc>
        <w:tc>
          <w:tcPr>
            <w:tcW w:w="4453" w:type="dxa"/>
            <w:vAlign w:val="top"/>
          </w:tcPr>
          <w:p>
            <w:pPr>
              <w:spacing w:before="129" w:line="230" w:lineRule="auto"/>
              <w:ind w:left="16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不超过±0.1</w:t>
            </w:r>
          </w:p>
        </w:tc>
      </w:tr>
      <w:tr>
        <w:tblPrEx>
          <w:tblW w:w="8532" w:type="dxa"/>
          <w:tblInd w:w="410" w:type="dxa"/>
          <w:tblLayout w:type="fixed"/>
        </w:tblPrEx>
        <w:trPr>
          <w:trHeight w:val="448"/>
        </w:trPr>
        <w:tc>
          <w:tcPr>
            <w:tcW w:w="963" w:type="dxa"/>
            <w:vAlign w:val="top"/>
          </w:tcPr>
          <w:p>
            <w:pPr>
              <w:spacing w:before="164" w:line="189" w:lineRule="auto"/>
              <w:ind w:left="4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3116" w:type="dxa"/>
            <w:vAlign w:val="top"/>
          </w:tcPr>
          <w:p>
            <w:pPr>
              <w:spacing w:before="132" w:line="223" w:lineRule="auto"/>
              <w:ind w:left="9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pH</w:t>
            </w:r>
            <w:r>
              <w:rPr>
                <w:rFonts w:ascii="SimSun" w:eastAsia="SimSun" w:hAnsi="SimSun" w:cs="SimSun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测量重复性</w:t>
            </w:r>
          </w:p>
        </w:tc>
        <w:tc>
          <w:tcPr>
            <w:tcW w:w="4453" w:type="dxa"/>
            <w:vAlign w:val="top"/>
          </w:tcPr>
          <w:p>
            <w:pPr>
              <w:spacing w:before="132" w:line="230" w:lineRule="auto"/>
              <w:ind w:left="16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不超过</w:t>
            </w:r>
            <w:r>
              <w:rPr>
                <w:rFonts w:ascii="SimSun" w:eastAsia="SimSun" w:hAnsi="SimSun" w:cs="SimSun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0.05</w:t>
            </w:r>
          </w:p>
        </w:tc>
      </w:tr>
      <w:tr>
        <w:tblPrEx>
          <w:tblW w:w="8532" w:type="dxa"/>
          <w:tblInd w:w="410" w:type="dxa"/>
          <w:tblLayout w:type="fixed"/>
        </w:tblPrEx>
        <w:trPr>
          <w:trHeight w:val="448"/>
        </w:trPr>
        <w:tc>
          <w:tcPr>
            <w:tcW w:w="963" w:type="dxa"/>
            <w:vAlign w:val="top"/>
          </w:tcPr>
          <w:p>
            <w:pPr>
              <w:spacing w:before="165" w:line="189" w:lineRule="auto"/>
              <w:ind w:left="4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3116" w:type="dxa"/>
            <w:vAlign w:val="top"/>
          </w:tcPr>
          <w:p>
            <w:pPr>
              <w:spacing w:before="133" w:line="223" w:lineRule="auto"/>
              <w:ind w:left="9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pH</w:t>
            </w:r>
            <w:r>
              <w:rPr>
                <w:rFonts w:ascii="SimSun" w:eastAsia="SimSun" w:hAnsi="SimSun" w:cs="SimSun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测量稳定性</w:t>
            </w:r>
          </w:p>
        </w:tc>
        <w:tc>
          <w:tcPr>
            <w:tcW w:w="4453" w:type="dxa"/>
            <w:vAlign w:val="top"/>
          </w:tcPr>
          <w:p>
            <w:pPr>
              <w:spacing w:before="132" w:line="230" w:lineRule="auto"/>
              <w:ind w:left="160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不超过±0.05</w:t>
            </w:r>
          </w:p>
        </w:tc>
      </w:tr>
    </w:tbl>
    <w:p>
      <w:pPr>
        <w:sectPr>
          <w:headerReference w:type="default" r:id="rId17"/>
          <w:footerReference w:type="default" r:id="rId18"/>
          <w:pgSz w:w="11906" w:h="16839"/>
          <w:pgMar w:top="1627" w:right="1133" w:bottom="1559" w:left="1418" w:header="1318" w:footer="1397" w:gutter="0"/>
          <w:pgNumType w:start="8"/>
          <w:cols w:space="708"/>
        </w:sectPr>
      </w:pPr>
    </w:p>
    <w:tbl>
      <w:tblPr>
        <w:tblStyle w:val="TableNormal2"/>
        <w:tblW w:w="8532" w:type="dxa"/>
        <w:tblInd w:w="4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3"/>
        <w:gridCol w:w="3116"/>
        <w:gridCol w:w="4453"/>
      </w:tblGrid>
      <w:tr>
        <w:tblPrEx>
          <w:tblW w:w="8532" w:type="dxa"/>
          <w:tblInd w:w="4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8"/>
        </w:trPr>
        <w:tc>
          <w:tcPr>
            <w:tcW w:w="963" w:type="dxa"/>
            <w:vAlign w:val="top"/>
          </w:tcPr>
          <w:p>
            <w:pPr>
              <w:spacing w:before="166" w:line="189" w:lineRule="auto"/>
              <w:ind w:left="4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3116" w:type="dxa"/>
            <w:vAlign w:val="top"/>
          </w:tcPr>
          <w:p>
            <w:pPr>
              <w:spacing w:before="133" w:line="228" w:lineRule="auto"/>
              <w:ind w:left="9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温度示值误差</w:t>
            </w:r>
          </w:p>
        </w:tc>
        <w:tc>
          <w:tcPr>
            <w:tcW w:w="4453" w:type="dxa"/>
            <w:vAlign w:val="top"/>
          </w:tcPr>
          <w:p>
            <w:pPr>
              <w:spacing w:before="133" w:line="230" w:lineRule="auto"/>
              <w:ind w:left="155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不超过±0.5℃</w:t>
            </w:r>
          </w:p>
        </w:tc>
      </w:tr>
      <w:tr>
        <w:tblPrEx>
          <w:tblW w:w="8532" w:type="dxa"/>
          <w:tblInd w:w="410" w:type="dxa"/>
          <w:tblLayout w:type="fixed"/>
        </w:tblPrEx>
        <w:trPr>
          <w:trHeight w:val="453"/>
        </w:trPr>
        <w:tc>
          <w:tcPr>
            <w:tcW w:w="8532" w:type="dxa"/>
            <w:gridSpan w:val="3"/>
            <w:vAlign w:val="top"/>
          </w:tcPr>
          <w:p>
            <w:pPr>
              <w:spacing w:before="133" w:line="229" w:lineRule="auto"/>
              <w:ind w:left="547"/>
              <w:rPr>
                <w:rFonts w:ascii="FangSong" w:eastAsia="FangSong" w:hAnsi="FangSong" w:cs="FangSong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spacing w:val="6"/>
                <w:sz w:val="20"/>
                <w:szCs w:val="20"/>
              </w:rPr>
              <w:t>注：</w:t>
            </w:r>
            <w:r>
              <w:rPr>
                <w:rFonts w:ascii="FangSong" w:eastAsia="FangSong" w:hAnsi="FangSong" w:cs="FangSong"/>
                <w:spacing w:val="-52"/>
                <w:sz w:val="20"/>
                <w:szCs w:val="20"/>
              </w:rPr>
              <w:t xml:space="preserve"> </w:t>
            </w:r>
            <w:r>
              <w:rPr>
                <w:rFonts w:ascii="FangSong" w:eastAsia="FangSong" w:hAnsi="FangSong" w:cs="FangSong"/>
                <w:spacing w:val="6"/>
                <w:sz w:val="20"/>
                <w:szCs w:val="20"/>
              </w:rPr>
              <w:t>以上指标不用于合格性判别，仅供参考。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9"/>
          <w:footerReference w:type="default" r:id="rId20"/>
          <w:type w:val="nextPage"/>
          <w:pgSz w:w="11906" w:h="16839"/>
          <w:pgMar w:top="1627" w:right="1133" w:bottom="1559" w:left="1418" w:header="1318" w:footer="1397" w:gutter="0"/>
          <w:pgNumType w:start="9"/>
          <w:cols w:space="708"/>
          <w:titlePg w:val="0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78" w:line="222" w:lineRule="auto"/>
        <w:ind w:left="4"/>
        <w:outlineLvl w:val="0"/>
        <w:rPr>
          <w:sz w:val="24"/>
          <w:szCs w:val="24"/>
        </w:rPr>
      </w:pPr>
      <w:bookmarkStart w:id="23" w:name="bookmark12"/>
      <w:bookmarkEnd w:id="23"/>
      <w:r>
        <w:rPr>
          <w:spacing w:val="-1"/>
          <w:sz w:val="24"/>
          <w:szCs w:val="24"/>
        </w:rPr>
        <w:t>5</w:t>
      </w:r>
      <w:r>
        <w:rPr>
          <w:spacing w:val="-1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校准条件</w:t>
      </w:r>
    </w:p>
    <w:p>
      <w:pPr>
        <w:spacing w:before="258" w:line="220" w:lineRule="auto"/>
        <w:ind w:left="14"/>
        <w:outlineLvl w:val="0"/>
        <w:rPr>
          <w:rFonts w:ascii="SimSun" w:eastAsia="SimSun" w:hAnsi="SimSun" w:cs="SimSun"/>
          <w:sz w:val="24"/>
          <w:szCs w:val="24"/>
        </w:rPr>
      </w:pPr>
      <w:bookmarkStart w:id="24" w:name="bookmark14"/>
      <w:bookmarkEnd w:id="24"/>
      <w:r>
        <w:rPr>
          <w:rFonts w:ascii="SimSun" w:eastAsia="SimSun" w:hAnsi="SimSun" w:cs="SimSun"/>
          <w:spacing w:val="7"/>
          <w:sz w:val="24"/>
          <w:szCs w:val="24"/>
        </w:rPr>
        <w:t>5.1</w:t>
      </w:r>
      <w:r>
        <w:rPr>
          <w:rFonts w:ascii="SimSun" w:eastAsia="SimSun" w:hAnsi="SimSun" w:cs="SimSun"/>
          <w:spacing w:val="3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7"/>
          <w:sz w:val="24"/>
          <w:szCs w:val="24"/>
        </w:rPr>
        <w:t>环境条件</w:t>
      </w:r>
    </w:p>
    <w:p>
      <w:pPr>
        <w:spacing w:before="102" w:line="221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5.1.1  环境温度：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(10～40)℃</w:t>
      </w:r>
      <w:r>
        <w:rPr>
          <w:rFonts w:ascii="SimSun" w:eastAsia="SimSun" w:hAnsi="SimSun" w:cs="SimSun"/>
          <w:spacing w:val="-9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;</w:t>
      </w:r>
    </w:p>
    <w:p>
      <w:pPr>
        <w:spacing w:before="180" w:line="221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5.1.2  相对湿度：不大于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85%</w:t>
      </w:r>
      <w:r>
        <w:rPr>
          <w:rFonts w:ascii="SimSun" w:eastAsia="SimSun" w:hAnsi="SimSun" w:cs="SimSun"/>
          <w:spacing w:val="-5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;</w:t>
      </w:r>
    </w:p>
    <w:p>
      <w:pPr>
        <w:spacing w:before="181" w:line="220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5.1.3  电源：电压：</w:t>
      </w:r>
      <w:r>
        <w:rPr>
          <w:rFonts w:ascii="SimSun" w:eastAsia="SimSun" w:hAnsi="SimSun" w:cs="SimSun"/>
          <w:spacing w:val="-6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(220±22)V，频率</w:t>
      </w:r>
      <w:r>
        <w:rPr>
          <w:rFonts w:ascii="SimSun" w:eastAsia="SimSun" w:hAnsi="SimSun" w:cs="SimSun"/>
          <w:spacing w:val="-17"/>
          <w:sz w:val="24"/>
          <w:szCs w:val="24"/>
        </w:rPr>
        <w:t>：（</w:t>
      </w:r>
      <w:r>
        <w:rPr>
          <w:rFonts w:ascii="SimSun" w:eastAsia="SimSun" w:hAnsi="SimSun" w:cs="SimSun"/>
          <w:spacing w:val="-1"/>
          <w:sz w:val="24"/>
          <w:szCs w:val="24"/>
        </w:rPr>
        <w:t>50±1）Hz；</w:t>
      </w:r>
    </w:p>
    <w:p>
      <w:pPr>
        <w:spacing w:before="181" w:line="290" w:lineRule="auto"/>
        <w:ind w:left="9" w:right="81" w:firstLine="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5.1.4  周围无影响仪器性能的振动存在；周围空气中无腐蚀性的气体存在；周围无其他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影响仪器性能的电磁场干扰。</w:t>
      </w:r>
    </w:p>
    <w:p>
      <w:pPr>
        <w:spacing w:before="106" w:line="221" w:lineRule="auto"/>
        <w:ind w:left="14"/>
        <w:outlineLvl w:val="0"/>
        <w:rPr>
          <w:rFonts w:ascii="SimSun" w:eastAsia="SimSun" w:hAnsi="SimSun" w:cs="SimSun"/>
          <w:sz w:val="24"/>
          <w:szCs w:val="24"/>
        </w:rPr>
      </w:pPr>
      <w:bookmarkStart w:id="25" w:name="bookmark16"/>
      <w:bookmarkEnd w:id="25"/>
      <w:r>
        <w:rPr>
          <w:rFonts w:ascii="SimSun" w:eastAsia="SimSun" w:hAnsi="SimSun" w:cs="SimSun"/>
          <w:spacing w:val="8"/>
          <w:sz w:val="24"/>
          <w:szCs w:val="24"/>
        </w:rPr>
        <w:t>5.2</w:t>
      </w:r>
      <w:r>
        <w:rPr>
          <w:rFonts w:ascii="SimSun" w:eastAsia="SimSun" w:hAnsi="SimSun" w:cs="SimSun"/>
          <w:spacing w:val="34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8"/>
          <w:sz w:val="24"/>
          <w:szCs w:val="24"/>
        </w:rPr>
        <w:t>温度恒定性</w:t>
      </w:r>
    </w:p>
    <w:p>
      <w:pPr>
        <w:spacing w:before="101" w:line="221" w:lineRule="auto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标准溶液和电极系统的温度恒定性不超过±0.2℃。</w:t>
      </w:r>
    </w:p>
    <w:p>
      <w:pPr>
        <w:spacing w:before="104" w:line="221" w:lineRule="auto"/>
        <w:ind w:left="14"/>
        <w:outlineLvl w:val="0"/>
        <w:rPr>
          <w:rFonts w:ascii="SimSun" w:eastAsia="SimSun" w:hAnsi="SimSun" w:cs="SimSun"/>
          <w:sz w:val="24"/>
          <w:szCs w:val="24"/>
        </w:rPr>
      </w:pPr>
      <w:bookmarkStart w:id="26" w:name="bookmark18"/>
      <w:bookmarkEnd w:id="26"/>
      <w:r>
        <w:rPr>
          <w:rFonts w:ascii="SimSun" w:eastAsia="SimSun" w:hAnsi="SimSun" w:cs="SimSun"/>
          <w:spacing w:val="12"/>
          <w:sz w:val="24"/>
          <w:szCs w:val="24"/>
        </w:rPr>
        <w:t>5.3</w:t>
      </w:r>
      <w:r>
        <w:rPr>
          <w:rFonts w:ascii="SimSun" w:eastAsia="SimSun" w:hAnsi="SimSun" w:cs="SimSun"/>
          <w:spacing w:val="35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12"/>
          <w:sz w:val="24"/>
          <w:szCs w:val="24"/>
        </w:rPr>
        <w:t>测量标准及其他设备</w:t>
      </w:r>
    </w:p>
    <w:p>
      <w:pPr>
        <w:spacing w:before="102" w:line="310" w:lineRule="auto"/>
        <w:ind w:left="10" w:right="81" w:firstLine="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5.3.1  pH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标准物质：应使用经国家计量行政部门批准的有证标准物质。不同pH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值标准物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质的种类不少于</w:t>
      </w:r>
      <w:r>
        <w:rPr>
          <w:rFonts w:ascii="SimSun" w:eastAsia="SimSun" w:hAnsi="SimSun" w:cs="SimSun"/>
          <w:spacing w:val="-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3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个，其配制方法和</w:t>
      </w:r>
      <w:r>
        <w:rPr>
          <w:rFonts w:ascii="SimSun" w:eastAsia="SimSun" w:hAnsi="SimSun" w:cs="SimSun"/>
          <w:sz w:val="24"/>
          <w:szCs w:val="24"/>
        </w:rPr>
        <w:t>pH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值见相应的标准物质证书。标准物质的扩展不确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定度为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0.01（</w:t>
      </w:r>
      <w:r>
        <w:rPr>
          <w:rFonts w:ascii="SimSun" w:eastAsia="SimSun" w:hAnsi="SimSun" w:cs="SimSun"/>
          <w:i/>
          <w:iCs/>
          <w:spacing w:val="-3"/>
          <w:sz w:val="25"/>
          <w:szCs w:val="25"/>
        </w:rPr>
        <w:t>k</w:t>
      </w:r>
      <w:r>
        <w:rPr>
          <w:rFonts w:ascii="SimSun" w:eastAsia="SimSun" w:hAnsi="SimSun" w:cs="SimSun"/>
          <w:spacing w:val="-3"/>
          <w:sz w:val="24"/>
          <w:szCs w:val="24"/>
        </w:rPr>
        <w:t>=3）。</w:t>
      </w:r>
    </w:p>
    <w:p>
      <w:pPr>
        <w:spacing w:before="178" w:line="217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5.3.2  温度计：测量范围（0～60）</w:t>
      </w:r>
      <w:r>
        <w:rPr>
          <w:rFonts w:ascii="SimSun" w:eastAsia="SimSun" w:hAnsi="SimSun" w:cs="SimSun"/>
          <w:spacing w:val="-9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℃</w:t>
      </w:r>
      <w:r>
        <w:rPr>
          <w:rFonts w:ascii="SimSun" w:eastAsia="SimSun" w:hAnsi="SimSun" w:cs="SimSun"/>
          <w:spacing w:val="-9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,</w:t>
      </w:r>
      <w:r>
        <w:rPr>
          <w:rFonts w:ascii="SimSun" w:eastAsia="SimSun" w:hAnsi="SimSun" w:cs="SimSun"/>
          <w:spacing w:val="6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分度值</w:t>
      </w:r>
      <w:r>
        <w:rPr>
          <w:rFonts w:ascii="SimSun" w:eastAsia="SimSun" w:hAnsi="SimSun" w:cs="SimSun"/>
          <w:spacing w:val="-5"/>
          <w:sz w:val="24"/>
          <w:szCs w:val="24"/>
        </w:rPr>
        <w:t>不大于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0.1℃。</w:t>
      </w:r>
    </w:p>
    <w:p>
      <w:pPr>
        <w:spacing w:before="186" w:line="299" w:lineRule="auto"/>
        <w:ind w:left="11" w:right="133" w:firstLine="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5.3.3  恒温水槽：控温范围（0～60）</w:t>
      </w:r>
      <w:r>
        <w:rPr>
          <w:rFonts w:ascii="SimSun" w:eastAsia="SimSun" w:hAnsi="SimSun" w:cs="SimSun"/>
          <w:spacing w:val="-9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℃</w:t>
      </w:r>
      <w:r>
        <w:rPr>
          <w:rFonts w:ascii="SimSun" w:eastAsia="SimSun" w:hAnsi="SimSun" w:cs="SimSun"/>
          <w:spacing w:val="-9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,</w:t>
      </w:r>
      <w:r>
        <w:rPr>
          <w:rFonts w:ascii="SimSun" w:eastAsia="SimSun" w:hAnsi="SimSun" w:cs="SimSun"/>
          <w:spacing w:val="6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温度均匀性不超过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0.2℃</w:t>
      </w:r>
      <w:r>
        <w:rPr>
          <w:rFonts w:ascii="SimSun" w:eastAsia="SimSun" w:hAnsi="SimSun" w:cs="SimSun"/>
          <w:spacing w:val="-9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,</w:t>
      </w:r>
      <w:r>
        <w:rPr>
          <w:rFonts w:ascii="SimSun" w:eastAsia="SimSun" w:hAnsi="SimSun" w:cs="SimSun"/>
          <w:spacing w:val="6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温</w:t>
      </w:r>
      <w:r>
        <w:rPr>
          <w:rFonts w:ascii="SimSun" w:eastAsia="SimSun" w:hAnsi="SimSun" w:cs="SimSun"/>
          <w:spacing w:val="-6"/>
          <w:sz w:val="24"/>
          <w:szCs w:val="24"/>
        </w:rPr>
        <w:t>度波动度不大于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0.2℃。</w:t>
      </w:r>
    </w:p>
    <w:p>
      <w:pPr>
        <w:spacing w:before="159" w:line="220" w:lineRule="auto"/>
        <w:ind w:left="51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以上仪器均须检定合格或校准修正后方可使用，有证标准物质应在有效期内使</w:t>
      </w:r>
      <w:r>
        <w:rPr>
          <w:rFonts w:ascii="SimSun" w:eastAsia="SimSun" w:hAnsi="SimSun" w:cs="SimSun"/>
          <w:spacing w:val="-2"/>
          <w:sz w:val="24"/>
          <w:szCs w:val="24"/>
        </w:rPr>
        <w:t>用。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8" w:line="221" w:lineRule="auto"/>
        <w:ind w:left="8"/>
        <w:outlineLvl w:val="0"/>
        <w:rPr>
          <w:sz w:val="24"/>
          <w:szCs w:val="24"/>
        </w:rPr>
      </w:pPr>
      <w:bookmarkStart w:id="27" w:name="bookmark20"/>
      <w:bookmarkEnd w:id="27"/>
      <w:r>
        <w:rPr>
          <w:spacing w:val="-1"/>
          <w:sz w:val="24"/>
          <w:szCs w:val="24"/>
        </w:rPr>
        <w:t>6</w:t>
      </w:r>
      <w:r>
        <w:rPr>
          <w:spacing w:val="-1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校准项目和校准方法</w:t>
      </w:r>
    </w:p>
    <w:p>
      <w:pPr>
        <w:spacing w:before="260" w:line="220" w:lineRule="auto"/>
        <w:ind w:left="11"/>
        <w:outlineLvl w:val="0"/>
        <w:rPr>
          <w:rFonts w:ascii="SimSun" w:eastAsia="SimSun" w:hAnsi="SimSun" w:cs="SimSun"/>
          <w:sz w:val="24"/>
          <w:szCs w:val="24"/>
        </w:rPr>
      </w:pPr>
      <w:bookmarkStart w:id="28" w:name="bookmark22"/>
      <w:bookmarkEnd w:id="28"/>
      <w:r>
        <w:rPr>
          <w:rFonts w:ascii="SimSun" w:eastAsia="SimSun" w:hAnsi="SimSun" w:cs="SimSun"/>
          <w:spacing w:val="9"/>
          <w:sz w:val="24"/>
          <w:szCs w:val="24"/>
        </w:rPr>
        <w:t>6.1</w:t>
      </w:r>
      <w:r>
        <w:rPr>
          <w:rFonts w:ascii="SimSun" w:eastAsia="SimSun" w:hAnsi="SimSun" w:cs="SimSun"/>
          <w:spacing w:val="3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9"/>
          <w:sz w:val="24"/>
          <w:szCs w:val="24"/>
        </w:rPr>
        <w:t>校准前检查</w:t>
      </w:r>
    </w:p>
    <w:p>
      <w:pPr>
        <w:spacing w:before="103" w:line="219" w:lineRule="auto"/>
        <w:ind w:left="1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6.1.1  仪器的外观整齐、清洁，表面涂、镀层无明</w:t>
      </w:r>
      <w:r>
        <w:rPr>
          <w:rFonts w:ascii="SimSun" w:eastAsia="SimSun" w:hAnsi="SimSun" w:cs="SimSun"/>
          <w:spacing w:val="-1"/>
          <w:sz w:val="24"/>
          <w:szCs w:val="24"/>
        </w:rPr>
        <w:t>显剥落、擦伤、露底及污垢。</w:t>
      </w:r>
    </w:p>
    <w:p>
      <w:pPr>
        <w:spacing w:before="183" w:line="220" w:lineRule="auto"/>
        <w:ind w:left="1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6.1.2  所有铭牌及标志应耐久和清楚，内容</w:t>
      </w:r>
      <w:r>
        <w:rPr>
          <w:rFonts w:ascii="SimSun" w:eastAsia="SimSun" w:hAnsi="SimSun" w:cs="SimSun"/>
          <w:spacing w:val="-1"/>
          <w:sz w:val="24"/>
          <w:szCs w:val="24"/>
        </w:rPr>
        <w:t>符合相关法规、标准的要求。</w:t>
      </w:r>
    </w:p>
    <w:p>
      <w:pPr>
        <w:spacing w:before="183" w:line="219" w:lineRule="auto"/>
        <w:ind w:left="1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6.1.3  所有紧固件不得松动、各种调</w:t>
      </w:r>
      <w:r>
        <w:rPr>
          <w:rFonts w:ascii="SimSun" w:eastAsia="SimSun" w:hAnsi="SimSun" w:cs="SimSun"/>
          <w:spacing w:val="-1"/>
          <w:sz w:val="24"/>
          <w:szCs w:val="24"/>
        </w:rPr>
        <w:t>节件灵活，机械臂功能正常。</w:t>
      </w:r>
    </w:p>
    <w:p>
      <w:pPr>
        <w:spacing w:before="182" w:line="290" w:lineRule="auto"/>
        <w:ind w:left="35" w:right="81" w:hanging="2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6.1.4  玻璃电极或复合电极的玻璃泡无裂痕、爆裂现象。电极接线或插头清洁干燥。参</w:t>
      </w:r>
      <w:r>
        <w:rPr>
          <w:rFonts w:ascii="SimSun" w:eastAsia="SimSun" w:hAnsi="SimSun" w:cs="SimSun"/>
          <w:spacing w:val="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比电极内部充满溶液，液接界无吸附杂质，电解质溶</w:t>
      </w:r>
      <w:r>
        <w:rPr>
          <w:rFonts w:ascii="SimSun" w:eastAsia="SimSun" w:hAnsi="SimSun" w:cs="SimSun"/>
          <w:spacing w:val="-2"/>
          <w:sz w:val="24"/>
          <w:szCs w:val="24"/>
        </w:rPr>
        <w:t>液能正常渗透。</w:t>
      </w:r>
    </w:p>
    <w:p>
      <w:pPr>
        <w:spacing w:before="106" w:line="220" w:lineRule="auto"/>
        <w:ind w:left="11"/>
        <w:outlineLvl w:val="0"/>
        <w:rPr>
          <w:rFonts w:ascii="SimSun" w:eastAsia="SimSun" w:hAnsi="SimSun" w:cs="SimSun"/>
          <w:sz w:val="24"/>
          <w:szCs w:val="24"/>
        </w:rPr>
      </w:pPr>
      <w:bookmarkStart w:id="29" w:name="bookmark24"/>
      <w:bookmarkEnd w:id="29"/>
      <w:r>
        <w:rPr>
          <w:rFonts w:ascii="SimSun" w:eastAsia="SimSun" w:hAnsi="SimSun" w:cs="SimSun"/>
          <w:spacing w:val="10"/>
          <w:sz w:val="24"/>
          <w:szCs w:val="24"/>
        </w:rPr>
        <w:t>6.2</w:t>
      </w:r>
      <w:r>
        <w:rPr>
          <w:rFonts w:ascii="SimSun" w:eastAsia="SimSun" w:hAnsi="SimSun" w:cs="SimSun"/>
          <w:spacing w:val="34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10"/>
          <w:sz w:val="24"/>
          <w:szCs w:val="24"/>
        </w:rPr>
        <w:t>温度示值误差</w:t>
      </w:r>
    </w:p>
    <w:p>
      <w:pPr>
        <w:spacing w:before="103" w:line="345" w:lineRule="auto"/>
        <w:ind w:left="8" w:firstLine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将温度计和仪器温度探头放置恒温水槽中，在仪</w:t>
      </w:r>
      <w:r>
        <w:rPr>
          <w:rFonts w:ascii="SimSun" w:eastAsia="SimSun" w:hAnsi="SimSun" w:cs="SimSun"/>
          <w:spacing w:val="-1"/>
          <w:sz w:val="24"/>
          <w:szCs w:val="24"/>
        </w:rPr>
        <w:t>器正常使用的温度范围内选择三个温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度点（如</w:t>
      </w:r>
      <w:r>
        <w:rPr>
          <w:rFonts w:ascii="SimSun" w:eastAsia="SimSun" w:hAnsi="SimSun" w:cs="SimSun"/>
          <w:spacing w:val="-2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15℃、25℃、35℃) ,</w:t>
      </w:r>
      <w:r>
        <w:rPr>
          <w:rFonts w:ascii="SimSun" w:eastAsia="SimSun" w:hAnsi="SimSun" w:cs="SimSun"/>
          <w:spacing w:val="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待温度计监测的恒温水槽温度稳定后，记录仪器温度示值。</w:t>
      </w:r>
    </w:p>
    <w:p>
      <w:pPr>
        <w:spacing w:line="345" w:lineRule="auto"/>
        <w:rPr>
          <w:rFonts w:ascii="SimSun" w:eastAsia="SimSun" w:hAnsi="SimSun" w:cs="SimSun"/>
          <w:sz w:val="24"/>
          <w:szCs w:val="24"/>
        </w:rPr>
        <w:sectPr>
          <w:headerReference w:type="default" r:id="rId21"/>
          <w:footerReference w:type="default" r:id="rId22"/>
          <w:pgSz w:w="11906" w:h="16839"/>
          <w:pgMar w:top="1627" w:right="1053" w:bottom="1535" w:left="1418" w:header="1318" w:footer="1359" w:gutter="0"/>
          <w:pgNumType w:start="10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81" w:line="340" w:lineRule="auto"/>
        <w:ind w:left="12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重复测量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2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次，取平均值，按公式（1）计算温度示值误差</w:t>
      </w:r>
      <w:r>
        <w:rPr>
          <w:rFonts w:ascii="SimSun" w:eastAsia="SimSun" w:hAnsi="SimSun" w:cs="SimSun"/>
          <w:spacing w:val="-6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Δ</w:t>
      </w:r>
      <w:r>
        <w:rPr>
          <w:rFonts w:ascii="SimSun" w:eastAsia="SimSun" w:hAnsi="SimSun" w:cs="SimSun"/>
          <w:i/>
          <w:iCs/>
          <w:spacing w:val="-3"/>
          <w:sz w:val="25"/>
          <w:szCs w:val="25"/>
        </w:rPr>
        <w:t>t</w:t>
      </w:r>
      <w:r>
        <w:rPr>
          <w:rFonts w:ascii="SimSun" w:eastAsia="SimSun" w:hAnsi="SimSun" w:cs="SimSun"/>
          <w:spacing w:val="-3"/>
          <w:sz w:val="24"/>
          <w:szCs w:val="24"/>
        </w:rPr>
        <w:t>，选取绝对值最大者作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为此项目校准结果。</w:t>
      </w:r>
    </w:p>
    <w:p>
      <w:pPr>
        <w:spacing w:before="87" w:line="222" w:lineRule="auto"/>
        <w:ind w:left="1901"/>
        <w:rPr>
          <w:rFonts w:ascii="SimSun" w:eastAsia="SimSun" w:hAnsi="SimSun" w:cs="SimSun"/>
          <w:sz w:val="24"/>
          <w:szCs w:val="24"/>
        </w:rPr>
      </w:pPr>
      <w:r>
        <w:rPr>
          <w:rFonts w:ascii="Arial" w:eastAsia="Arial" w:hAnsi="Arial" w:cs="Arial"/>
          <w:spacing w:val="7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7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pacing w:val="19"/>
          <w:sz w:val="23"/>
          <w:szCs w:val="23"/>
        </w:rPr>
        <w:t xml:space="preserve"> </w:t>
      </w:r>
      <w:r>
        <w:rPr>
          <w:rFonts w:ascii="Arial" w:eastAsia="Arial" w:hAnsi="Arial" w:cs="Arial"/>
          <w:spacing w:val="7"/>
          <w:sz w:val="23"/>
          <w:szCs w:val="23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position w:val="-5"/>
          <w:sz w:val="13"/>
          <w:szCs w:val="13"/>
        </w:rPr>
        <w:t>t</w:t>
      </w:r>
      <w:r>
        <w:rPr>
          <w:rFonts w:ascii="Times New Roman" w:eastAsia="Times New Roman" w:hAnsi="Times New Roman" w:cs="Times New Roman"/>
          <w:i/>
          <w:iCs/>
          <w:spacing w:val="8"/>
          <w:position w:val="-5"/>
          <w:sz w:val="13"/>
          <w:szCs w:val="13"/>
        </w:rPr>
        <w:t xml:space="preserve">  </w:t>
      </w:r>
      <w:r>
        <w:rPr>
          <w:rFonts w:ascii="Arial" w:eastAsia="Arial" w:hAnsi="Arial" w:cs="Arial"/>
          <w:spacing w:val="7"/>
          <w:sz w:val="23"/>
          <w:szCs w:val="23"/>
        </w:rPr>
        <w:t>-</w:t>
      </w:r>
      <w:r>
        <w:rPr>
          <w:rFonts w:ascii="Arial" w:eastAsia="Arial" w:hAnsi="Arial" w:cs="Arial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position w:val="-5"/>
          <w:sz w:val="13"/>
          <w:szCs w:val="13"/>
        </w:rPr>
        <w:t>s</w:t>
      </w:r>
      <w:r>
        <w:rPr>
          <w:rFonts w:ascii="Times New Roman" w:eastAsia="Times New Roman" w:hAnsi="Times New Roman" w:cs="Times New Roman"/>
          <w:i/>
          <w:iCs/>
          <w:spacing w:val="1"/>
          <w:position w:val="-5"/>
          <w:sz w:val="13"/>
          <w:szCs w:val="13"/>
        </w:rPr>
        <w:t xml:space="preserve">                   </w:t>
      </w:r>
      <w:r>
        <w:rPr>
          <w:rFonts w:ascii="Times New Roman" w:eastAsia="Times New Roman" w:hAnsi="Times New Roman" w:cs="Times New Roman"/>
          <w:i/>
          <w:iCs/>
          <w:position w:val="-5"/>
          <w:sz w:val="13"/>
          <w:szCs w:val="13"/>
        </w:rPr>
        <w:t xml:space="preserve">                                                                                                        </w:t>
      </w:r>
      <w:r>
        <w:rPr>
          <w:rFonts w:ascii="SimSun" w:eastAsia="SimSun" w:hAnsi="SimSun" w:cs="SimSun"/>
          <w:spacing w:val="7"/>
          <w:sz w:val="24"/>
          <w:szCs w:val="24"/>
        </w:rPr>
        <w:t>（1）</w:t>
      </w:r>
    </w:p>
    <w:p>
      <w:pPr>
        <w:spacing w:before="273" w:line="221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式中：</w:t>
      </w:r>
    </w:p>
    <w:p>
      <w:pPr>
        <w:spacing w:before="233" w:line="442" w:lineRule="auto"/>
        <w:ind w:left="518" w:right="479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5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pacing w:val="-5"/>
          <w:position w:val="-6"/>
          <w:sz w:val="13"/>
          <w:szCs w:val="13"/>
        </w:rPr>
        <w:t>t</w:t>
      </w:r>
      <w:r>
        <w:rPr>
          <w:rFonts w:ascii="Times New Roman" w:eastAsia="Times New Roman" w:hAnsi="Times New Roman" w:cs="Times New Roman"/>
          <w:i/>
          <w:iCs/>
          <w:spacing w:val="18"/>
          <w:w w:val="102"/>
          <w:position w:val="-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——仪器测量温度示值的平均值，℃</w:t>
      </w:r>
      <w:r>
        <w:rPr>
          <w:rFonts w:ascii="SimSun" w:eastAsia="SimSun" w:hAnsi="SimSun" w:cs="SimSun"/>
          <w:spacing w:val="-9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;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pacing w:val="-1"/>
          <w:position w:val="-5"/>
          <w:sz w:val="13"/>
          <w:szCs w:val="13"/>
        </w:rPr>
        <w:t>s</w:t>
      </w:r>
      <w:r>
        <w:rPr>
          <w:rFonts w:ascii="Times New Roman" w:eastAsia="Times New Roman" w:hAnsi="Times New Roman" w:cs="Times New Roman"/>
          <w:i/>
          <w:iCs/>
          <w:spacing w:val="38"/>
          <w:position w:val="-5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——温度计监测温度示值，℃</w:t>
      </w:r>
      <w:r>
        <w:rPr>
          <w:rFonts w:ascii="SimSun" w:eastAsia="SimSun" w:hAnsi="SimSun" w:cs="SimSun"/>
          <w:spacing w:val="-9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;</w:t>
      </w:r>
    </w:p>
    <w:p>
      <w:pPr>
        <w:spacing w:before="97" w:line="216" w:lineRule="auto"/>
        <w:ind w:left="519"/>
        <w:rPr>
          <w:rFonts w:ascii="SimSun" w:eastAsia="SimSun" w:hAnsi="SimSun" w:cs="SimSun"/>
          <w:sz w:val="24"/>
          <w:szCs w:val="24"/>
        </w:rPr>
      </w:pPr>
      <w:r>
        <w:rPr>
          <w:rFonts w:ascii="Arial" w:eastAsia="Arial" w:hAnsi="Arial" w:cs="Arial"/>
          <w:spacing w:val="-1"/>
          <w:position w:val="5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position w:val="5"/>
          <w:sz w:val="23"/>
          <w:szCs w:val="23"/>
        </w:rPr>
        <w:t xml:space="preserve">t </w:t>
      </w:r>
      <w:r>
        <w:rPr>
          <w:rFonts w:ascii="SimSun" w:eastAsia="SimSun" w:hAnsi="SimSun" w:cs="SimSun"/>
          <w:spacing w:val="-1"/>
          <w:sz w:val="24"/>
          <w:szCs w:val="24"/>
        </w:rPr>
        <w:t>——温度示值误差，℃。</w:t>
      </w:r>
    </w:p>
    <w:p>
      <w:pPr>
        <w:spacing w:before="165" w:line="215" w:lineRule="auto"/>
        <w:ind w:left="11"/>
        <w:outlineLvl w:val="0"/>
        <w:rPr>
          <w:rFonts w:ascii="SimSun" w:eastAsia="SimSun" w:hAnsi="SimSun" w:cs="SimSun"/>
          <w:sz w:val="24"/>
          <w:szCs w:val="24"/>
        </w:rPr>
      </w:pPr>
      <w:bookmarkStart w:id="30" w:name="bookmark26"/>
      <w:bookmarkEnd w:id="30"/>
      <w:r>
        <w:rPr>
          <w:rFonts w:ascii="SimSun" w:eastAsia="SimSun" w:hAnsi="SimSun" w:cs="SimSun"/>
          <w:spacing w:val="10"/>
          <w:sz w:val="24"/>
          <w:szCs w:val="24"/>
        </w:rPr>
        <w:t>6.3</w:t>
      </w:r>
      <w:r>
        <w:rPr>
          <w:rFonts w:ascii="SimSun" w:eastAsia="SimSun" w:hAnsi="SimSun" w:cs="SimSun"/>
          <w:spacing w:val="3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10"/>
          <w:sz w:val="24"/>
          <w:szCs w:val="24"/>
        </w:rPr>
        <w:t>仪器</w:t>
      </w:r>
      <w:r>
        <w:rPr>
          <w:rFonts w:ascii="SimSun" w:eastAsia="SimSun" w:hAnsi="SimSun" w:cs="SimSun"/>
          <w:spacing w:val="-26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pH</w:t>
      </w:r>
      <w:r>
        <w:rPr>
          <w:rFonts w:ascii="SimSun" w:eastAsia="SimSun" w:hAnsi="SimSun" w:cs="SimSun"/>
          <w:spacing w:val="-3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示值误差及</w:t>
      </w:r>
      <w:r>
        <w:rPr>
          <w:rFonts w:ascii="SimSun" w:eastAsia="SimSun" w:hAnsi="SimSun" w:cs="SimSun"/>
          <w:spacing w:val="-27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pH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测量重复性</w:t>
      </w:r>
    </w:p>
    <w:p>
      <w:pPr>
        <w:spacing w:before="110" w:line="353" w:lineRule="auto"/>
        <w:ind w:left="8" w:right="4" w:firstLine="480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选择三种标准物质（pH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范围在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3～10）放置在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25℃恒温水槽中恒温。将仪器样品区温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度控制在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25℃。选用其中两种标准物质，按照仪器使用说明书的要求</w:t>
      </w:r>
      <w:r>
        <w:rPr>
          <w:rFonts w:ascii="SimSun" w:eastAsia="SimSun" w:hAnsi="SimSun" w:cs="SimSun"/>
          <w:spacing w:val="-3"/>
          <w:sz w:val="24"/>
          <w:szCs w:val="24"/>
        </w:rPr>
        <w:t>对仪器进行校准，之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后使用第三种标准物质进行测量，记录第三种标准物质的测量值。重复上述步骤，测量</w:t>
      </w:r>
      <w:r>
        <w:rPr>
          <w:rFonts w:ascii="SimSun" w:eastAsia="SimSun" w:hAnsi="SimSun" w:cs="SimSun"/>
          <w:spacing w:val="-3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6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次，按公式（2）计算示值误差，按公式(3)</w:t>
      </w:r>
      <w:r>
        <w:rPr>
          <w:rFonts w:ascii="SimSun" w:eastAsia="SimSun" w:hAnsi="SimSun" w:cs="SimSun"/>
          <w:spacing w:val="-1"/>
          <w:sz w:val="24"/>
          <w:szCs w:val="24"/>
        </w:rPr>
        <w:t>计算仪器示值重复性。</w:t>
      </w:r>
    </w:p>
    <w:p>
      <w:pPr>
        <w:spacing w:before="77" w:line="166" w:lineRule="auto"/>
        <w:ind w:left="3639"/>
        <w:rPr>
          <w:rFonts w:ascii="SimSun" w:eastAsia="SimSun" w:hAnsi="SimSun" w:cs="SimSun"/>
          <w:sz w:val="24"/>
          <w:szCs w:val="24"/>
        </w:rPr>
      </w:pPr>
      <w:r>
        <w:rPr>
          <w:rFonts w:ascii="Arial" w:eastAsia="Arial" w:hAnsi="Arial" w:cs="Arial"/>
          <w:spacing w:val="16"/>
          <w:position w:val="-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position w:val="-1"/>
          <w:sz w:val="23"/>
          <w:szCs w:val="23"/>
        </w:rPr>
        <w:t>pH</w:t>
      </w:r>
      <w:r>
        <w:rPr>
          <w:rFonts w:ascii="Times New Roman" w:eastAsia="Times New Roman" w:hAnsi="Times New Roman" w:cs="Times New Roman"/>
          <w:i/>
          <w:iCs/>
          <w:position w:val="-11"/>
          <w:sz w:val="13"/>
          <w:szCs w:val="13"/>
        </w:rPr>
        <w:t>y</w:t>
      </w:r>
      <w:r>
        <w:rPr>
          <w:rFonts w:ascii="Times New Roman" w:eastAsia="Times New Roman" w:hAnsi="Times New Roman" w:cs="Times New Roman"/>
          <w:i/>
          <w:iCs/>
          <w:spacing w:val="14"/>
          <w:w w:val="102"/>
          <w:position w:val="-11"/>
          <w:sz w:val="13"/>
          <w:szCs w:val="13"/>
        </w:rPr>
        <w:t xml:space="preserve">  </w:t>
      </w:r>
      <w:r>
        <w:rPr>
          <w:rFonts w:ascii="Arial" w:eastAsia="Arial" w:hAnsi="Arial" w:cs="Arial"/>
          <w:spacing w:val="16"/>
          <w:sz w:val="23"/>
          <w:szCs w:val="23"/>
        </w:rPr>
        <w:t>=</w:t>
      </w:r>
      <w:r>
        <w:rPr>
          <w:rFonts w:ascii="Arial" w:eastAsia="Arial" w:hAnsi="Arial" w:cs="Arial"/>
          <w:spacing w:val="-9"/>
          <w:sz w:val="23"/>
          <w:szCs w:val="23"/>
        </w:rPr>
        <w:t xml:space="preserve"> </w:t>
      </w:r>
      <w:r>
        <w:rPr>
          <w:position w:val="-15"/>
          <w:sz w:val="23"/>
          <w:szCs w:val="23"/>
        </w:rPr>
        <w:drawing>
          <wp:inline distT="0" distB="0" distL="0" distR="0">
            <wp:extent cx="259893" cy="20089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9893" cy="20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7"/>
          <w:sz w:val="23"/>
          <w:szCs w:val="23"/>
        </w:rPr>
        <w:t xml:space="preserve"> </w:t>
      </w:r>
      <w:r>
        <w:rPr>
          <w:rFonts w:ascii="Arial" w:eastAsia="Arial" w:hAnsi="Arial" w:cs="Arial"/>
          <w:spacing w:val="16"/>
          <w:sz w:val="23"/>
          <w:szCs w:val="23"/>
        </w:rPr>
        <w:t>-</w:t>
      </w:r>
      <w:r>
        <w:rPr>
          <w:rFonts w:ascii="Arial" w:eastAsia="Arial" w:hAnsi="Arial" w:cs="Arial"/>
          <w:spacing w:val="-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3"/>
          <w:szCs w:val="23"/>
        </w:rPr>
        <w:t>pH</w:t>
      </w:r>
      <w:r>
        <w:rPr>
          <w:rFonts w:ascii="Times New Roman" w:eastAsia="Times New Roman" w:hAnsi="Times New Roman" w:cs="Times New Roman"/>
          <w:i/>
          <w:iCs/>
          <w:position w:val="-9"/>
          <w:sz w:val="13"/>
          <w:szCs w:val="13"/>
        </w:rPr>
        <w:t>s</w:t>
      </w:r>
      <w:r>
        <w:rPr>
          <w:rFonts w:ascii="Times New Roman" w:eastAsia="Times New Roman" w:hAnsi="Times New Roman" w:cs="Times New Roman"/>
          <w:i/>
          <w:iCs/>
          <w:spacing w:val="1"/>
          <w:position w:val="-9"/>
          <w:sz w:val="13"/>
          <w:szCs w:val="13"/>
        </w:rPr>
        <w:t xml:space="preserve">                   </w:t>
      </w:r>
      <w:r>
        <w:rPr>
          <w:rFonts w:ascii="Times New Roman" w:eastAsia="Times New Roman" w:hAnsi="Times New Roman" w:cs="Times New Roman"/>
          <w:i/>
          <w:iCs/>
          <w:position w:val="-9"/>
          <w:sz w:val="13"/>
          <w:szCs w:val="13"/>
        </w:rPr>
        <w:t xml:space="preserve">                                                                          </w:t>
      </w:r>
      <w:r>
        <w:rPr>
          <w:rFonts w:ascii="SimSun" w:eastAsia="SimSun" w:hAnsi="SimSun" w:cs="SimSun"/>
          <w:spacing w:val="16"/>
          <w:position w:val="2"/>
          <w:sz w:val="24"/>
          <w:szCs w:val="24"/>
        </w:rPr>
        <w:t>（2）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79"/>
        <w:ind w:left="3398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3"/>
          <w:position w:val="-19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position w:val="-25"/>
          <w:sz w:val="15"/>
          <w:szCs w:val="15"/>
        </w:rPr>
        <w:t>pH</w:t>
      </w:r>
      <w:r>
        <w:rPr>
          <w:rFonts w:ascii="Times New Roman" w:eastAsia="Times New Roman" w:hAnsi="Times New Roman" w:cs="Times New Roman"/>
          <w:spacing w:val="9"/>
          <w:position w:val="-25"/>
          <w:sz w:val="15"/>
          <w:szCs w:val="15"/>
        </w:rPr>
        <w:t xml:space="preserve">  </w:t>
      </w:r>
      <w:r>
        <w:rPr>
          <w:rFonts w:ascii="Arial" w:eastAsia="Arial" w:hAnsi="Arial" w:cs="Arial"/>
          <w:spacing w:val="-3"/>
          <w:position w:val="-19"/>
          <w:sz w:val="23"/>
          <w:szCs w:val="23"/>
        </w:rPr>
        <w:t xml:space="preserve">= </w:t>
      </w:r>
      <w:r>
        <w:rPr>
          <w:position w:val="-39"/>
          <w:sz w:val="23"/>
          <w:szCs w:val="23"/>
        </w:rPr>
        <w:drawing>
          <wp:inline distT="0" distB="0" distL="0" distR="0">
            <wp:extent cx="1018806" cy="57997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018806" cy="5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1"/>
          <w:position w:val="-19"/>
          <w:sz w:val="23"/>
          <w:szCs w:val="23"/>
        </w:rPr>
        <w:t xml:space="preserve">                                             </w:t>
      </w:r>
      <w:r>
        <w:rPr>
          <w:rFonts w:ascii="SimSun" w:eastAsia="SimSun" w:hAnsi="SimSun" w:cs="SimSun"/>
          <w:spacing w:val="-3"/>
          <w:position w:val="-19"/>
          <w:sz w:val="24"/>
          <w:szCs w:val="24"/>
        </w:rPr>
        <w:t>（3）</w:t>
      </w:r>
    </w:p>
    <w:p>
      <w:pPr>
        <w:spacing w:before="278" w:line="221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式中：</w:t>
      </w:r>
    </w:p>
    <w:p>
      <w:pPr>
        <w:spacing w:before="224" w:line="215" w:lineRule="auto"/>
        <w:ind w:left="519"/>
        <w:rPr>
          <w:rFonts w:ascii="SimSun" w:eastAsia="SimSun" w:hAnsi="SimSun" w:cs="SimSun"/>
          <w:sz w:val="24"/>
          <w:szCs w:val="24"/>
        </w:rPr>
      </w:pPr>
      <w:r>
        <w:rPr>
          <w:rFonts w:ascii="Arial" w:eastAsia="Arial" w:hAnsi="Arial" w:cs="Arial"/>
          <w:spacing w:val="5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sz w:val="23"/>
          <w:szCs w:val="23"/>
        </w:rPr>
        <w:t>pH</w:t>
      </w:r>
      <w:r>
        <w:rPr>
          <w:rFonts w:ascii="Times New Roman" w:eastAsia="Times New Roman" w:hAnsi="Times New Roman" w:cs="Times New Roman"/>
          <w:spacing w:val="-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6"/>
          <w:sz w:val="13"/>
          <w:szCs w:val="13"/>
        </w:rPr>
        <w:t>y</w:t>
      </w:r>
      <w:r>
        <w:rPr>
          <w:rFonts w:ascii="Times New Roman" w:eastAsia="Times New Roman" w:hAnsi="Times New Roman" w:cs="Times New Roman"/>
          <w:i/>
          <w:iCs/>
          <w:spacing w:val="26"/>
          <w:w w:val="102"/>
          <w:position w:val="-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5"/>
          <w:sz w:val="24"/>
          <w:szCs w:val="24"/>
        </w:rPr>
        <w:t>──仪器</w:t>
      </w:r>
      <w:r>
        <w:rPr>
          <w:rFonts w:ascii="SimSun" w:eastAsia="SimSun" w:hAnsi="SimSun" w:cs="SimSun"/>
          <w:sz w:val="24"/>
          <w:szCs w:val="24"/>
        </w:rPr>
        <w:t>pH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5"/>
          <w:sz w:val="24"/>
          <w:szCs w:val="24"/>
        </w:rPr>
        <w:t>示值误差；</w:t>
      </w:r>
    </w:p>
    <w:p>
      <w:pPr>
        <w:tabs>
          <w:tab w:val="left" w:pos="929"/>
        </w:tabs>
        <w:spacing w:before="133" w:line="223" w:lineRule="auto"/>
        <w:ind w:left="514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before="3" w:line="407" w:lineRule="auto"/>
        <w:ind w:left="516" w:right="527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pH</w:t>
      </w:r>
      <w:r>
        <w:rPr>
          <w:rFonts w:ascii="Times New Roman" w:eastAsia="Times New Roman" w:hAnsi="Times New Roman" w:cs="Times New Roman"/>
          <w:i/>
          <w:iCs/>
          <w:position w:val="-6"/>
          <w:sz w:val="13"/>
          <w:szCs w:val="13"/>
        </w:rPr>
        <w:t>y</w:t>
      </w:r>
      <w:r>
        <w:rPr>
          <w:rFonts w:ascii="Times New Roman" w:eastAsia="Times New Roman" w:hAnsi="Times New Roman" w:cs="Times New Roman"/>
          <w:i/>
          <w:iCs/>
          <w:spacing w:val="1"/>
          <w:position w:val="-6"/>
          <w:sz w:val="13"/>
          <w:szCs w:val="13"/>
        </w:rPr>
        <w:t xml:space="preserve">  </w:t>
      </w:r>
      <w:r>
        <w:rPr>
          <w:rFonts w:ascii="SimSun" w:eastAsia="SimSun" w:hAnsi="SimSun" w:cs="SimSun"/>
          <w:spacing w:val="1"/>
          <w:sz w:val="24"/>
          <w:szCs w:val="24"/>
        </w:rPr>
        <w:t>──6</w:t>
      </w:r>
      <w:r>
        <w:rPr>
          <w:rFonts w:ascii="SimSun" w:eastAsia="SimSun" w:hAnsi="SimSun" w:cs="SimSun"/>
          <w:spacing w:val="-3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次测量</w:t>
      </w:r>
      <w:r>
        <w:rPr>
          <w:rFonts w:ascii="SimSun" w:eastAsia="SimSun" w:hAnsi="SimSun" w:cs="SimSun"/>
          <w:sz w:val="24"/>
          <w:szCs w:val="24"/>
        </w:rPr>
        <w:t>pH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示值平均值；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pH</w:t>
      </w:r>
      <w:r>
        <w:rPr>
          <w:rFonts w:ascii="Times New Roman" w:eastAsia="Times New Roman" w:hAnsi="Times New Roman" w:cs="Times New Roman"/>
          <w:spacing w:val="-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6"/>
          <w:sz w:val="13"/>
          <w:szCs w:val="13"/>
        </w:rPr>
        <w:t>s</w:t>
      </w:r>
      <w:r>
        <w:rPr>
          <w:rFonts w:ascii="Times New Roman" w:eastAsia="Times New Roman" w:hAnsi="Times New Roman" w:cs="Times New Roman"/>
          <w:i/>
          <w:iCs/>
          <w:spacing w:val="8"/>
          <w:position w:val="-6"/>
          <w:sz w:val="13"/>
          <w:szCs w:val="13"/>
        </w:rPr>
        <w:t xml:space="preserve">    </w:t>
      </w:r>
      <w:r>
        <w:rPr>
          <w:rFonts w:ascii="SimSun" w:eastAsia="SimSun" w:hAnsi="SimSun" w:cs="SimSun"/>
          <w:spacing w:val="6"/>
          <w:sz w:val="24"/>
          <w:szCs w:val="24"/>
        </w:rPr>
        <w:t>── 标准物质的</w:t>
      </w:r>
      <w:r>
        <w:rPr>
          <w:rFonts w:ascii="SimSun" w:eastAsia="SimSun" w:hAnsi="SimSun" w:cs="SimSun"/>
          <w:sz w:val="24"/>
          <w:szCs w:val="24"/>
        </w:rPr>
        <w:t>pH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  <w:sz w:val="24"/>
          <w:szCs w:val="24"/>
        </w:rPr>
        <w:t>值；</w:t>
      </w:r>
    </w:p>
    <w:p>
      <w:pPr>
        <w:spacing w:before="119" w:line="215" w:lineRule="auto"/>
        <w:ind w:left="51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pH</w:t>
      </w:r>
      <w:r>
        <w:rPr>
          <w:rFonts w:ascii="Times New Roman" w:eastAsia="Times New Roman" w:hAnsi="Times New Roman" w:cs="Times New Roman"/>
          <w:i/>
          <w:iCs/>
          <w:position w:val="-6"/>
          <w:sz w:val="13"/>
          <w:szCs w:val="13"/>
        </w:rPr>
        <w:t>yi</w:t>
      </w:r>
      <w:r>
        <w:rPr>
          <w:rFonts w:ascii="Times New Roman" w:eastAsia="Times New Roman" w:hAnsi="Times New Roman" w:cs="Times New Roman"/>
          <w:i/>
          <w:iCs/>
          <w:spacing w:val="15"/>
          <w:w w:val="101"/>
          <w:position w:val="-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──标准物质第</w:t>
      </w:r>
      <w:r>
        <w:rPr>
          <w:rFonts w:ascii="SimSun" w:eastAsia="SimSun" w:hAnsi="SimSun" w:cs="SimSun"/>
          <w:spacing w:val="-3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i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次测量的</w:t>
      </w:r>
      <w:r>
        <w:rPr>
          <w:rFonts w:ascii="SimSun" w:eastAsia="SimSun" w:hAnsi="SimSun" w:cs="SimSun"/>
          <w:sz w:val="24"/>
          <w:szCs w:val="24"/>
        </w:rPr>
        <w:t>pH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示值；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79" w:line="223" w:lineRule="auto"/>
        <w:ind w:left="518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position w:val="-5"/>
          <w:sz w:val="13"/>
          <w:szCs w:val="13"/>
        </w:rPr>
        <w:t>pH</w:t>
      </w:r>
      <w:r>
        <w:rPr>
          <w:rFonts w:ascii="Times New Roman" w:eastAsia="Times New Roman" w:hAnsi="Times New Roman" w:cs="Times New Roman"/>
          <w:spacing w:val="2"/>
          <w:position w:val="-5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──仪器重复性。</w:t>
      </w:r>
    </w:p>
    <w:p>
      <w:pPr>
        <w:spacing w:before="206" w:line="215" w:lineRule="auto"/>
        <w:ind w:left="11"/>
        <w:outlineLvl w:val="0"/>
        <w:rPr>
          <w:rFonts w:ascii="SimSun" w:eastAsia="SimSun" w:hAnsi="SimSun" w:cs="SimSun"/>
          <w:sz w:val="24"/>
          <w:szCs w:val="24"/>
        </w:rPr>
        <w:sectPr>
          <w:headerReference w:type="default" r:id="rId25"/>
          <w:footerReference w:type="default" r:id="rId26"/>
          <w:pgSz w:w="11906" w:h="16839"/>
          <w:pgMar w:top="1627" w:right="1130" w:bottom="1559" w:left="1418" w:header="1318" w:footer="1397" w:gutter="0"/>
          <w:pgNumType w:start="11"/>
          <w:cols w:space="708"/>
        </w:sectPr>
      </w:pPr>
      <w:bookmarkStart w:id="31" w:name="bookmark28"/>
      <w:bookmarkEnd w:id="31"/>
      <w:r>
        <w:rPr>
          <w:rFonts w:ascii="SimSun" w:eastAsia="SimSun" w:hAnsi="SimSun" w:cs="SimSun"/>
          <w:spacing w:val="9"/>
          <w:sz w:val="24"/>
          <w:szCs w:val="24"/>
        </w:rPr>
        <w:t>6.4</w:t>
      </w:r>
      <w:r>
        <w:rPr>
          <w:rFonts w:ascii="SimSun" w:eastAsia="SimSun" w:hAnsi="SimSun" w:cs="SimSun"/>
          <w:spacing w:val="30"/>
          <w:sz w:val="24"/>
          <w:szCs w:val="24"/>
        </w:rPr>
        <w:t xml:space="preserve">  </w:t>
      </w:r>
      <w:r>
        <w:rPr>
          <w:rFonts w:ascii="SimSun" w:eastAsia="SimSun" w:hAnsi="SimSun" w:cs="SimSun"/>
          <w:sz w:val="24"/>
          <w:szCs w:val="24"/>
        </w:rPr>
        <w:t>pH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9"/>
          <w:sz w:val="24"/>
          <w:szCs w:val="24"/>
        </w:rPr>
        <w:t>测量稳定性</w:t>
      </w:r>
    </w:p>
    <w:p>
      <w:pPr>
        <w:spacing w:before="109" w:line="347" w:lineRule="auto"/>
        <w:ind w:left="9" w:right="4" w:firstLine="4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按照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6.3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对仪器电极进行校准后，将测量第三种标准物质得到的结果作为仪器的</w:t>
      </w:r>
      <w:r>
        <w:rPr>
          <w:rFonts w:ascii="SimSun" w:eastAsia="SimSun" w:hAnsi="SimSun" w:cs="SimSun"/>
          <w:spacing w:val="-2"/>
          <w:sz w:val="24"/>
          <w:szCs w:val="24"/>
        </w:rPr>
        <w:t>初始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值。3h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后，更新第三种标准物质，保持仪器样品区温度不变，不调整</w:t>
      </w:r>
      <w:r>
        <w:rPr>
          <w:rFonts w:ascii="SimSun" w:eastAsia="SimSun" w:hAnsi="SimSun" w:cs="SimSun"/>
          <w:spacing w:val="-3"/>
          <w:sz w:val="24"/>
          <w:szCs w:val="24"/>
        </w:rPr>
        <w:t>仪器，也不对电极重</w:t>
      </w:r>
    </w:p>
    <w:p>
      <w:pPr>
        <w:spacing w:line="347" w:lineRule="auto"/>
        <w:rPr>
          <w:rFonts w:ascii="SimSun" w:eastAsia="SimSun" w:hAnsi="SimSun" w:cs="SimSun"/>
          <w:sz w:val="24"/>
          <w:szCs w:val="24"/>
        </w:rPr>
        <w:sectPr>
          <w:headerReference w:type="default" r:id="rId27"/>
          <w:footerReference w:type="default" r:id="rId28"/>
          <w:type w:val="nextPage"/>
          <w:pgSz w:w="11906" w:h="16839"/>
          <w:pgMar w:top="1627" w:right="1130" w:bottom="1559" w:left="1418" w:header="1318" w:footer="1397" w:gutter="0"/>
          <w:pgNumType w:start="12"/>
          <w:cols w:space="708"/>
          <w:titlePg w:val="0"/>
        </w:sectPr>
      </w:pPr>
    </w:p>
    <w:p>
      <w:pPr>
        <w:tabs>
          <w:tab w:val="left" w:pos="6275"/>
        </w:tabs>
        <w:spacing w:before="187" w:line="222" w:lineRule="auto"/>
        <w:ind w:left="5858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line="421" w:lineRule="auto"/>
        <w:ind w:left="14" w:right="1" w:hanging="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新校准。测量第三种标准物质，重复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6</w:t>
      </w:r>
      <w:r>
        <w:rPr>
          <w:rFonts w:ascii="SimSun" w:eastAsia="SimSun" w:hAnsi="SimSun" w:cs="SimSun"/>
          <w:spacing w:val="-3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次，计算平均值</w:t>
      </w:r>
      <w:r>
        <w:rPr>
          <w:rFonts w:ascii="Times New Roman" w:eastAsia="Times New Roman" w:hAnsi="Times New Roman" w:cs="Times New Roman"/>
          <w:sz w:val="23"/>
          <w:szCs w:val="23"/>
        </w:rPr>
        <w:t>pH</w:t>
      </w:r>
      <w:r>
        <w:rPr>
          <w:rFonts w:ascii="Times New Roman" w:eastAsia="Times New Roman" w:hAnsi="Times New Roman" w:cs="Times New Roman"/>
          <w:spacing w:val="-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6"/>
          <w:sz w:val="13"/>
          <w:szCs w:val="13"/>
        </w:rPr>
        <w:t>w</w:t>
      </w:r>
      <w:r>
        <w:rPr>
          <w:rFonts w:ascii="Times New Roman" w:eastAsia="Times New Roman" w:hAnsi="Times New Roman" w:cs="Times New Roman"/>
          <w:i/>
          <w:iCs/>
          <w:spacing w:val="15"/>
          <w:position w:val="-6"/>
          <w:sz w:val="13"/>
          <w:szCs w:val="13"/>
        </w:rPr>
        <w:t xml:space="preserve">  </w:t>
      </w:r>
      <w:r>
        <w:rPr>
          <w:rFonts w:ascii="SimSun" w:eastAsia="SimSun" w:hAnsi="SimSun" w:cs="SimSun"/>
          <w:spacing w:val="2"/>
          <w:sz w:val="24"/>
          <w:szCs w:val="24"/>
        </w:rPr>
        <w:t>，按式（</w:t>
      </w:r>
      <w:r>
        <w:rPr>
          <w:rFonts w:ascii="SimSun" w:eastAsia="SimSun" w:hAnsi="SimSun" w:cs="SimSun"/>
          <w:spacing w:val="1"/>
          <w:sz w:val="24"/>
          <w:szCs w:val="24"/>
        </w:rPr>
        <w:t>4）计算仪器示值稳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定性</w:t>
      </w:r>
      <w:r>
        <w:rPr>
          <w:rFonts w:ascii="SimSun" w:eastAsia="SimSun" w:hAnsi="SimSun" w:cs="SimSun"/>
          <w:spacing w:val="-80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pH</w:t>
      </w:r>
      <w:r>
        <w:rPr>
          <w:rFonts w:ascii="Times New Roman" w:eastAsia="Times New Roman" w:hAnsi="Times New Roman" w:cs="Times New Roman"/>
          <w:spacing w:val="-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-6"/>
          <w:sz w:val="13"/>
          <w:szCs w:val="13"/>
        </w:rPr>
        <w:t xml:space="preserve">w 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72" w:line="11" w:lineRule="exact"/>
        <w:ind w:left="4054"/>
      </w:pPr>
      <w:r>
        <w:drawing>
          <wp:inline distT="0" distB="0" distL="0" distR="0">
            <wp:extent cx="667245" cy="7492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7245" cy="7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" w:line="225" w:lineRule="auto"/>
        <w:ind w:right="1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Arial" w:eastAsia="Arial" w:hAnsi="Arial" w:cs="Arial"/>
          <w:spacing w:val="1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sz w:val="23"/>
          <w:szCs w:val="23"/>
        </w:rPr>
        <w:t>pH</w:t>
      </w:r>
      <w:r>
        <w:rPr>
          <w:rFonts w:ascii="Times New Roman" w:eastAsia="Times New Roman" w:hAnsi="Times New Roman" w:cs="Times New Roman"/>
          <w:spacing w:val="-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5"/>
          <w:sz w:val="13"/>
          <w:szCs w:val="13"/>
        </w:rPr>
        <w:t>w</w:t>
      </w:r>
      <w:r>
        <w:rPr>
          <w:rFonts w:ascii="Times New Roman" w:eastAsia="Times New Roman" w:hAnsi="Times New Roman" w:cs="Times New Roman"/>
          <w:i/>
          <w:iCs/>
          <w:spacing w:val="11"/>
          <w:position w:val="-5"/>
          <w:sz w:val="13"/>
          <w:szCs w:val="13"/>
        </w:rPr>
        <w:t xml:space="preserve">  </w:t>
      </w:r>
      <w:r>
        <w:rPr>
          <w:rFonts w:ascii="Arial" w:eastAsia="Arial" w:hAnsi="Arial" w:cs="Arial"/>
          <w:spacing w:val="11"/>
          <w:sz w:val="23"/>
          <w:szCs w:val="23"/>
        </w:rPr>
        <w:t xml:space="preserve">= </w:t>
      </w:r>
      <w:r>
        <w:rPr>
          <w:rFonts w:ascii="Times New Roman" w:eastAsia="Times New Roman" w:hAnsi="Times New Roman" w:cs="Times New Roman"/>
          <w:sz w:val="23"/>
          <w:szCs w:val="23"/>
        </w:rPr>
        <w:t>pH</w:t>
      </w:r>
      <w:r>
        <w:rPr>
          <w:rFonts w:ascii="Times New Roman" w:eastAsia="Times New Roman" w:hAnsi="Times New Roman" w:cs="Times New Roman"/>
          <w:i/>
          <w:iCs/>
          <w:position w:val="-5"/>
          <w:sz w:val="13"/>
          <w:szCs w:val="13"/>
        </w:rPr>
        <w:t>y</w:t>
      </w:r>
      <w:r>
        <w:rPr>
          <w:rFonts w:ascii="Times New Roman" w:eastAsia="Times New Roman" w:hAnsi="Times New Roman" w:cs="Times New Roman"/>
          <w:i/>
          <w:iCs/>
          <w:spacing w:val="11"/>
          <w:position w:val="-5"/>
          <w:sz w:val="13"/>
          <w:szCs w:val="13"/>
        </w:rPr>
        <w:t xml:space="preserve">  </w:t>
      </w:r>
      <w:r>
        <w:rPr>
          <w:rFonts w:ascii="Arial" w:eastAsia="Arial" w:hAnsi="Arial" w:cs="Arial"/>
          <w:spacing w:val="11"/>
          <w:sz w:val="23"/>
          <w:szCs w:val="23"/>
        </w:rPr>
        <w:t>-</w:t>
      </w:r>
      <w:r>
        <w:rPr>
          <w:rFonts w:ascii="Arial" w:eastAsia="Arial" w:hAnsi="Arial" w:cs="Arial"/>
          <w:spacing w:val="-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pH</w:t>
      </w:r>
      <w:r>
        <w:rPr>
          <w:rFonts w:ascii="Times New Roman" w:eastAsia="Times New Roman" w:hAnsi="Times New Roman" w:cs="Times New Roman"/>
          <w:spacing w:val="-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5"/>
          <w:sz w:val="13"/>
          <w:szCs w:val="13"/>
        </w:rPr>
        <w:t>w</w:t>
      </w:r>
      <w:r>
        <w:rPr>
          <w:rFonts w:ascii="Times New Roman" w:eastAsia="Times New Roman" w:hAnsi="Times New Roman" w:cs="Times New Roman"/>
          <w:i/>
          <w:iCs/>
          <w:spacing w:val="1"/>
          <w:position w:val="-5"/>
          <w:sz w:val="13"/>
          <w:szCs w:val="13"/>
        </w:rPr>
        <w:t xml:space="preserve">                            </w:t>
      </w:r>
      <w:r>
        <w:rPr>
          <w:rFonts w:ascii="Times New Roman" w:eastAsia="Times New Roman" w:hAnsi="Times New Roman" w:cs="Times New Roman"/>
          <w:i/>
          <w:iCs/>
          <w:position w:val="-5"/>
          <w:sz w:val="13"/>
          <w:szCs w:val="13"/>
        </w:rPr>
        <w:t xml:space="preserve">                                                                                    </w:t>
      </w:r>
      <w:r>
        <w:rPr>
          <w:rFonts w:ascii="SimSun" w:eastAsia="SimSun" w:hAnsi="SimSun" w:cs="SimSun"/>
          <w:spacing w:val="11"/>
          <w:sz w:val="24"/>
          <w:szCs w:val="24"/>
        </w:rPr>
        <w:t>（4）</w:t>
      </w:r>
    </w:p>
    <w:p>
      <w:pPr>
        <w:spacing w:before="266" w:line="221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式中：</w:t>
      </w:r>
    </w:p>
    <w:p>
      <w:pPr>
        <w:tabs>
          <w:tab w:val="left" w:pos="929"/>
        </w:tabs>
        <w:spacing w:before="31" w:line="223" w:lineRule="auto"/>
        <w:ind w:left="514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before="1" w:line="203" w:lineRule="auto"/>
        <w:ind w:left="516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pH</w:t>
      </w:r>
      <w:r>
        <w:rPr>
          <w:rFonts w:ascii="Times New Roman" w:eastAsia="Times New Roman" w:hAnsi="Times New Roman" w:cs="Times New Roman"/>
          <w:i/>
          <w:iCs/>
          <w:position w:val="-6"/>
          <w:sz w:val="13"/>
          <w:szCs w:val="13"/>
        </w:rPr>
        <w:t>y</w:t>
      </w:r>
      <w:r>
        <w:rPr>
          <w:rFonts w:ascii="Times New Roman" w:eastAsia="Times New Roman" w:hAnsi="Times New Roman" w:cs="Times New Roman"/>
          <w:i/>
          <w:iCs/>
          <w:spacing w:val="2"/>
          <w:position w:val="-6"/>
          <w:sz w:val="13"/>
          <w:szCs w:val="13"/>
        </w:rPr>
        <w:t xml:space="preserve">  </w:t>
      </w:r>
      <w:r>
        <w:rPr>
          <w:rFonts w:ascii="SimSun" w:eastAsia="SimSun" w:hAnsi="SimSun" w:cs="SimSun"/>
          <w:spacing w:val="2"/>
          <w:sz w:val="24"/>
          <w:szCs w:val="24"/>
        </w:rPr>
        <w:t>──校准后仪器示值的平均值，作为初始值；</w:t>
      </w:r>
    </w:p>
    <w:p>
      <w:pPr>
        <w:tabs>
          <w:tab w:val="left" w:pos="930"/>
        </w:tabs>
        <w:spacing w:before="128" w:line="222" w:lineRule="auto"/>
        <w:ind w:left="513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before="1" w:line="421" w:lineRule="auto"/>
        <w:ind w:left="519" w:right="5259" w:hanging="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pH</w:t>
      </w:r>
      <w:r>
        <w:rPr>
          <w:rFonts w:ascii="Times New Roman" w:eastAsia="Times New Roman" w:hAnsi="Times New Roman" w:cs="Times New Roman"/>
          <w:spacing w:val="-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-6"/>
          <w:sz w:val="13"/>
          <w:szCs w:val="13"/>
        </w:rPr>
        <w:t xml:space="preserve">w  </w:t>
      </w:r>
      <w:r>
        <w:rPr>
          <w:rFonts w:ascii="SimSun" w:eastAsia="SimSun" w:hAnsi="SimSun" w:cs="SimSun"/>
          <w:spacing w:val="-4"/>
          <w:sz w:val="24"/>
          <w:szCs w:val="24"/>
        </w:rPr>
        <w:t>──3h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后仪器示值的平均值；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sz w:val="23"/>
          <w:szCs w:val="23"/>
        </w:rPr>
        <w:t>pH</w:t>
      </w:r>
      <w:r>
        <w:rPr>
          <w:rFonts w:ascii="Times New Roman" w:eastAsia="Times New Roman" w:hAnsi="Times New Roman" w:cs="Times New Roman"/>
          <w:spacing w:val="-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6"/>
          <w:sz w:val="13"/>
          <w:szCs w:val="13"/>
        </w:rPr>
        <w:t xml:space="preserve">w </w:t>
      </w:r>
      <w:r>
        <w:rPr>
          <w:rFonts w:ascii="SimSun" w:eastAsia="SimSun" w:hAnsi="SimSun" w:cs="SimSun"/>
          <w:sz w:val="24"/>
          <w:szCs w:val="24"/>
        </w:rPr>
        <w:t>──仪器示值稳定性。</w:t>
      </w:r>
    </w:p>
    <w:p>
      <w:pPr>
        <w:pStyle w:val="BodyText"/>
        <w:spacing w:before="187" w:line="222" w:lineRule="auto"/>
        <w:ind w:left="10"/>
        <w:outlineLvl w:val="0"/>
        <w:rPr>
          <w:sz w:val="24"/>
          <w:szCs w:val="24"/>
        </w:rPr>
      </w:pPr>
      <w:bookmarkStart w:id="32" w:name="bookmark29"/>
      <w:bookmarkEnd w:id="32"/>
      <w:r>
        <w:rPr>
          <w:spacing w:val="-2"/>
          <w:sz w:val="24"/>
          <w:szCs w:val="24"/>
        </w:rPr>
        <w:t>7</w:t>
      </w:r>
      <w:r>
        <w:rPr>
          <w:spacing w:val="-2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校准结果表达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79" w:line="219" w:lineRule="auto"/>
        <w:ind w:left="43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校准结果应在校准证书上反映。校准证书应至少包括以下信息：</w:t>
      </w:r>
    </w:p>
    <w:p>
      <w:pPr>
        <w:spacing w:before="183" w:line="219" w:lineRule="auto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a）标题：“校准证书</w:t>
      </w:r>
      <w:r>
        <w:rPr>
          <w:rFonts w:ascii="SimSun" w:eastAsia="SimSun" w:hAnsi="SimSun" w:cs="SimSun"/>
          <w:spacing w:val="-7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”；</w:t>
      </w:r>
    </w:p>
    <w:p>
      <w:pPr>
        <w:spacing w:before="183" w:line="221" w:lineRule="auto"/>
        <w:ind w:left="48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b）实验室名称和地址；</w:t>
      </w:r>
    </w:p>
    <w:p>
      <w:pPr>
        <w:spacing w:before="180" w:line="221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c）进行校准的地点（如果与实验室的地址不同</w:t>
      </w:r>
      <w:r>
        <w:rPr>
          <w:rFonts w:ascii="SimSun" w:eastAsia="SimSun" w:hAnsi="SimSun" w:cs="SimSun"/>
          <w:spacing w:val="2"/>
          <w:sz w:val="24"/>
          <w:szCs w:val="24"/>
        </w:rPr>
        <w:t>）；</w:t>
      </w:r>
    </w:p>
    <w:p>
      <w:pPr>
        <w:spacing w:before="182" w:line="290" w:lineRule="auto"/>
        <w:ind w:left="494" w:right="28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d）证书的唯一性标识（如编号</w:t>
      </w:r>
      <w:r>
        <w:rPr>
          <w:rFonts w:ascii="SimSun" w:eastAsia="SimSun" w:hAnsi="SimSun" w:cs="SimSun"/>
          <w:spacing w:val="10"/>
          <w:sz w:val="24"/>
          <w:szCs w:val="24"/>
        </w:rPr>
        <w:t>），</w:t>
      </w:r>
      <w:r>
        <w:rPr>
          <w:rFonts w:ascii="SimSun" w:eastAsia="SimSun" w:hAnsi="SimSun" w:cs="SimSun"/>
          <w:spacing w:val="-4"/>
          <w:sz w:val="24"/>
          <w:szCs w:val="24"/>
        </w:rPr>
        <w:t>每页及总页数的标识；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e）客户的名称和地址；</w:t>
      </w:r>
    </w:p>
    <w:p>
      <w:pPr>
        <w:spacing w:before="181" w:line="220" w:lineRule="auto"/>
        <w:ind w:left="49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f）被校对象的描述和明确标识；</w:t>
      </w:r>
    </w:p>
    <w:p>
      <w:pPr>
        <w:spacing w:before="181" w:line="347" w:lineRule="auto"/>
        <w:ind w:left="18" w:right="1" w:firstLine="47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g）进行校准的日期，如果与校准结果的有效性和应用</w:t>
      </w:r>
      <w:r>
        <w:rPr>
          <w:rFonts w:ascii="SimSun" w:eastAsia="SimSun" w:hAnsi="SimSun" w:cs="SimSun"/>
          <w:spacing w:val="2"/>
          <w:sz w:val="24"/>
          <w:szCs w:val="24"/>
        </w:rPr>
        <w:t>有关时，应说明被校对象的接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收日期；</w:t>
      </w:r>
    </w:p>
    <w:p>
      <w:pPr>
        <w:spacing w:before="35" w:line="220" w:lineRule="auto"/>
        <w:ind w:left="48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h）如果与校准结果的有效性应用有关时，应对被校样品的抽</w:t>
      </w:r>
      <w:r>
        <w:rPr>
          <w:rFonts w:ascii="SimSun" w:eastAsia="SimSun" w:hAnsi="SimSun" w:cs="SimSun"/>
          <w:spacing w:val="-1"/>
          <w:sz w:val="24"/>
          <w:szCs w:val="24"/>
        </w:rPr>
        <w:t>样程序进行说明；</w:t>
      </w:r>
    </w:p>
    <w:p>
      <w:pPr>
        <w:spacing w:before="181" w:line="288" w:lineRule="auto"/>
        <w:ind w:left="499" w:right="3294" w:firstLine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i）校准所依据的技术规范的标识，包括名称及代号；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j）本次校准所用测量标准的溯源性及有效性说明；</w:t>
      </w:r>
    </w:p>
    <w:p>
      <w:pPr>
        <w:spacing w:before="188" w:line="221" w:lineRule="auto"/>
        <w:ind w:left="4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k）校准环境的描述；</w:t>
      </w:r>
    </w:p>
    <w:p>
      <w:pPr>
        <w:spacing w:before="181" w:line="220" w:lineRule="auto"/>
        <w:ind w:left="50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l）校准结果及其测量不确定度的说明；</w:t>
      </w:r>
    </w:p>
    <w:p>
      <w:pPr>
        <w:spacing w:before="182" w:line="220" w:lineRule="auto"/>
        <w:ind w:left="483"/>
        <w:rPr>
          <w:rFonts w:ascii="SimSun" w:eastAsia="SimSun" w:hAnsi="SimSun" w:cs="SimSun"/>
          <w:sz w:val="24"/>
          <w:szCs w:val="24"/>
        </w:rPr>
        <w:sectPr>
          <w:headerReference w:type="default" r:id="rId30"/>
          <w:footerReference w:type="default" r:id="rId31"/>
          <w:pgSz w:w="11906" w:h="16839"/>
          <w:pgMar w:top="1627" w:right="1133" w:bottom="1535" w:left="1418" w:header="1318" w:footer="1359" w:gutter="0"/>
          <w:pgNumType w:start="13"/>
          <w:cols w:space="708"/>
        </w:sectPr>
      </w:pPr>
      <w:r>
        <w:rPr>
          <w:rFonts w:ascii="SimSun" w:eastAsia="SimSun" w:hAnsi="SimSun" w:cs="SimSun"/>
          <w:spacing w:val="-1"/>
          <w:sz w:val="24"/>
          <w:szCs w:val="24"/>
        </w:rPr>
        <w:t>m）对校准规范的偏离的说明；</w:t>
      </w:r>
    </w:p>
    <w:p>
      <w:pPr>
        <w:spacing w:before="181" w:line="347" w:lineRule="auto"/>
        <w:ind w:left="490" w:right="2814" w:hanging="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n）校准证书或校准报告签发人的签名、职务或等效标识；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o）校准结果仅对被校对象有效的声明；</w:t>
      </w:r>
    </w:p>
    <w:p>
      <w:pPr>
        <w:spacing w:before="35" w:line="215" w:lineRule="auto"/>
        <w:ind w:left="48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p）未经实验室书面批准，不得部分复制证书的声明。</w:t>
      </w:r>
    </w:p>
    <w:p>
      <w:pPr>
        <w:spacing w:line="215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https://d.book118.com/976102030230010100</w:t>
        </w:r>
      </w:hyperlink>
    </w:p>
    <w:p>
      <w:pPr>
        <w:spacing w:line="215" w:lineRule="auto"/>
        <w:rPr>
          <w:rFonts w:ascii="SimSun" w:eastAsia="SimSun" w:hAnsi="SimSun" w:cs="SimSun"/>
          <w:sz w:val="24"/>
          <w:szCs w:val="24"/>
        </w:rPr>
      </w:pPr>
    </w:p>
    <w:sectPr>
      <w:headerReference w:type="default" r:id="rId33"/>
      <w:footerReference w:type="default" r:id="rId34"/>
      <w:type w:val="nextPage"/>
      <w:pgSz w:w="11906" w:h="16839"/>
      <w:pgMar w:top="1627" w:right="1133" w:bottom="1535" w:left="1418" w:header="1318" w:footer="1359" w:gutter="0"/>
      <w:pgNumType w:start="1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9069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8980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8"/>
        <w:sz w:val="18"/>
        <w:szCs w:val="18"/>
      </w:rPr>
      <w:t>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2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2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9272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8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8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6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jc w:val="right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6"/>
        <w:sz w:val="18"/>
        <w:szCs w:val="18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6" w:line="231" w:lineRule="auto"/>
      <w:ind w:left="3923"/>
      <w:rPr>
        <w:sz w:val="20"/>
        <w:szCs w:val="20"/>
      </w:rPr>
    </w:pPr>
    <w:r>
      <w:pict>
        <v:shape id="_x0000_s2049" style="width:467.75pt;height:0.75pt;margin-top:78.4pt;margin-left:70.9pt;mso-position-horizontal-relative:page;mso-position-vertical-relative:page;position:absolute;z-index:251658240" coordorigin="0,0" coordsize="9355,15" o:allowincell="f" path="m,l9354,l9354,14l,14l,xe" filled="t" fillcolor="black" stroked="f"/>
      </w:pict>
    </w:r>
    <w:r>
      <w:rPr>
        <w:sz w:val="20"/>
        <w:szCs w:val="20"/>
      </w:rPr>
      <w:t>JJF</w:t>
    </w:r>
    <w:r>
      <w:rPr>
        <w:spacing w:val="6"/>
        <w:sz w:val="20"/>
        <w:szCs w:val="20"/>
      </w:rPr>
      <w:t>（京）3018-2022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6" w:line="231" w:lineRule="auto"/>
      <w:ind w:left="3923"/>
      <w:rPr>
        <w:sz w:val="20"/>
        <w:szCs w:val="20"/>
      </w:rPr>
    </w:pPr>
    <w:r>
      <w:pict>
        <v:shape id="_x0000_s2050" style="width:467.75pt;height:0.75pt;margin-top:78.4pt;margin-left:70.9pt;mso-position-horizontal-relative:page;mso-position-vertical-relative:page;position:absolute;z-index:251659264" coordorigin="0,0" coordsize="9355,15" o:allowincell="f" path="m,l9354,l9354,14l,14l,xe" filled="t" fillcolor="black" stroked="f"/>
      </w:pict>
    </w:r>
    <w:r>
      <w:rPr>
        <w:sz w:val="20"/>
        <w:szCs w:val="20"/>
      </w:rPr>
      <w:t>JJF</w:t>
    </w:r>
    <w:r>
      <w:rPr>
        <w:spacing w:val="6"/>
        <w:sz w:val="20"/>
        <w:szCs w:val="20"/>
      </w:rPr>
      <w:t>（京）3018-2022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6" w:line="231" w:lineRule="auto"/>
      <w:ind w:left="3743"/>
      <w:rPr>
        <w:sz w:val="20"/>
        <w:szCs w:val="20"/>
      </w:rPr>
    </w:pPr>
    <w:r>
      <w:pict>
        <v:shape id="_x0000_s2051" style="width:467.75pt;height:0.75pt;margin-top:78.4pt;margin-left:70.9pt;mso-position-horizontal-relative:page;mso-position-vertical-relative:page;position:absolute;z-index:251660288" coordorigin="0,0" coordsize="9355,15" o:allowincell="f" path="m,l9354,l9354,14l,14l,xe" filled="t" fillcolor="black" stroked="f"/>
      </w:pict>
    </w:r>
    <w:r>
      <w:rPr>
        <w:sz w:val="20"/>
        <w:szCs w:val="20"/>
      </w:rPr>
      <w:t>JJF</w:t>
    </w:r>
    <w:r>
      <w:rPr>
        <w:spacing w:val="6"/>
        <w:sz w:val="20"/>
        <w:szCs w:val="20"/>
      </w:rPr>
      <w:t>（京）3018-2022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6" w:line="231" w:lineRule="auto"/>
      <w:ind w:left="3743"/>
      <w:rPr>
        <w:sz w:val="20"/>
        <w:szCs w:val="20"/>
      </w:rPr>
    </w:pPr>
    <w:r>
      <w:pict>
        <v:shape id="_x0000_s2052" style="width:467.75pt;height:0.75pt;margin-top:79.8pt;margin-left:70.9pt;mso-position-horizontal-relative:page;mso-position-vertical-relative:page;position:absolute;z-index:251661312" coordorigin="0,0" coordsize="9355,15" o:allowincell="f" path="m,l9354,l9354,14l,14l,xe" filled="t" fillcolor="black" stroked="f"/>
      </w:pict>
    </w:r>
    <w:r>
      <w:rPr>
        <w:sz w:val="20"/>
        <w:szCs w:val="20"/>
      </w:rPr>
      <w:t>JJF</w:t>
    </w:r>
    <w:r>
      <w:rPr>
        <w:spacing w:val="6"/>
        <w:sz w:val="20"/>
        <w:szCs w:val="20"/>
      </w:rPr>
      <w:t>（京）3018-2022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6" w:line="231" w:lineRule="auto"/>
      <w:ind w:left="3743"/>
      <w:rPr>
        <w:sz w:val="20"/>
        <w:szCs w:val="20"/>
      </w:rPr>
    </w:pPr>
    <w:r>
      <w:pict>
        <v:shape id="_x0000_s2053" style="width:467.75pt;height:0.75pt;margin-top:79.8pt;margin-left:70.9pt;mso-position-horizontal-relative:page;mso-position-vertical-relative:page;position:absolute;z-index:251662336" coordorigin="0,0" coordsize="9355,15" o:allowincell="f" path="m,l9354,l9354,14l,14l,xe" filled="t" fillcolor="black" stroked="f"/>
      </w:pict>
    </w:r>
    <w:r>
      <w:rPr>
        <w:sz w:val="20"/>
        <w:szCs w:val="20"/>
      </w:rPr>
      <w:t>JJF</w:t>
    </w:r>
    <w:r>
      <w:rPr>
        <w:spacing w:val="6"/>
        <w:sz w:val="20"/>
        <w:szCs w:val="20"/>
      </w:rPr>
      <w:t>（京）3018-2022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6" w:line="231" w:lineRule="auto"/>
      <w:ind w:left="3743"/>
      <w:rPr>
        <w:sz w:val="20"/>
        <w:szCs w:val="20"/>
      </w:rPr>
    </w:pPr>
    <w:r>
      <w:pict>
        <v:shape id="_x0000_s2054" style="width:467.75pt;height:0.75pt;margin-top:79.8pt;margin-left:70.9pt;mso-position-horizontal-relative:page;mso-position-vertical-relative:page;position:absolute;z-index:251663360" coordorigin="0,0" coordsize="9355,15" o:allowincell="f" path="m,l9354,l9354,14l,14l,xe" filled="t" fillcolor="black" stroked="f"/>
      </w:pict>
    </w:r>
    <w:r>
      <w:rPr>
        <w:sz w:val="20"/>
        <w:szCs w:val="20"/>
      </w:rPr>
      <w:t>JJF</w:t>
    </w:r>
    <w:r>
      <w:rPr>
        <w:spacing w:val="6"/>
        <w:sz w:val="20"/>
        <w:szCs w:val="20"/>
      </w:rPr>
      <w:t>（京）3018-2022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6" w:line="231" w:lineRule="auto"/>
      <w:ind w:left="3743"/>
      <w:rPr>
        <w:sz w:val="20"/>
        <w:szCs w:val="20"/>
      </w:rPr>
    </w:pPr>
    <w:r>
      <w:pict>
        <v:shape id="_x0000_s2055" style="width:467.75pt;height:0.75pt;margin-top:79.8pt;margin-left:70.9pt;mso-position-horizontal-relative:page;mso-position-vertical-relative:page;position:absolute;z-index:251664384" coordorigin="0,0" coordsize="9355,15" o:allowincell="f" path="m,l9354,l9354,14l,14l,xe" filled="t" fillcolor="black" stroked="f"/>
      </w:pict>
    </w:r>
    <w:r>
      <w:rPr>
        <w:sz w:val="20"/>
        <w:szCs w:val="20"/>
      </w:rPr>
      <w:t>JJF</w:t>
    </w:r>
    <w:r>
      <w:rPr>
        <w:spacing w:val="6"/>
        <w:sz w:val="20"/>
        <w:szCs w:val="20"/>
      </w:rPr>
      <w:t>（京）3018-2022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6" w:line="231" w:lineRule="auto"/>
      <w:ind w:left="3743"/>
      <w:rPr>
        <w:sz w:val="20"/>
        <w:szCs w:val="20"/>
      </w:rPr>
    </w:pPr>
    <w:r>
      <w:pict>
        <v:shape id="_x0000_s2056" style="width:467.75pt;height:0.75pt;margin-top:79.8pt;margin-left:70.9pt;mso-position-horizontal-relative:page;mso-position-vertical-relative:page;position:absolute;z-index:251665408" coordorigin="0,0" coordsize="9355,15" o:allowincell="f" path="m,l9354,l9354,14l,14l,xe" filled="t" fillcolor="black" stroked="f"/>
      </w:pict>
    </w:r>
    <w:r>
      <w:rPr>
        <w:sz w:val="20"/>
        <w:szCs w:val="20"/>
      </w:rPr>
      <w:t>JJF</w:t>
    </w:r>
    <w:r>
      <w:rPr>
        <w:spacing w:val="6"/>
        <w:sz w:val="20"/>
        <w:szCs w:val="20"/>
      </w:rPr>
      <w:t>（京）3018-2022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6" w:line="231" w:lineRule="auto"/>
      <w:ind w:left="3743"/>
      <w:rPr>
        <w:sz w:val="20"/>
        <w:szCs w:val="20"/>
      </w:rPr>
    </w:pPr>
    <w:r>
      <w:pict>
        <v:shape id="_x0000_s2057" style="width:467.75pt;height:0.75pt;margin-top:79.8pt;margin-left:70.9pt;mso-position-horizontal-relative:page;mso-position-vertical-relative:page;position:absolute;z-index:251666432" coordorigin="0,0" coordsize="9355,15" o:allowincell="f" path="m,l9354,l9354,14l,14l,xe" filled="t" fillcolor="black" stroked="f"/>
      </w:pict>
    </w:r>
    <w:r>
      <w:rPr>
        <w:sz w:val="20"/>
        <w:szCs w:val="20"/>
      </w:rPr>
      <w:t>JJF</w:t>
    </w:r>
    <w:r>
      <w:rPr>
        <w:spacing w:val="6"/>
        <w:sz w:val="20"/>
        <w:szCs w:val="20"/>
      </w:rPr>
      <w:t>（京）3018-2022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6" w:line="231" w:lineRule="auto"/>
      <w:ind w:left="3743"/>
      <w:rPr>
        <w:sz w:val="20"/>
        <w:szCs w:val="20"/>
      </w:rPr>
    </w:pPr>
    <w:r>
      <w:pict>
        <v:shape id="_x0000_s2058" style="width:467.75pt;height:0.75pt;margin-top:79.8pt;margin-left:70.9pt;mso-position-horizontal-relative:page;mso-position-vertical-relative:page;position:absolute;z-index:251667456" coordorigin="0,0" coordsize="9355,15" o:allowincell="f" path="m,l9354,l9354,14l,14l,xe" filled="t" fillcolor="black" stroked="f"/>
      </w:pict>
    </w:r>
    <w:r>
      <w:rPr>
        <w:sz w:val="20"/>
        <w:szCs w:val="20"/>
      </w:rPr>
      <w:t>JJF</w:t>
    </w:r>
    <w:r>
      <w:rPr>
        <w:spacing w:val="6"/>
        <w:sz w:val="20"/>
        <w:szCs w:val="20"/>
      </w:rPr>
      <w:t>（京）3018-2022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6" w:line="231" w:lineRule="auto"/>
      <w:ind w:left="3743"/>
      <w:rPr>
        <w:sz w:val="20"/>
        <w:szCs w:val="20"/>
      </w:rPr>
    </w:pPr>
    <w:r>
      <w:pict>
        <v:shape id="_x0000_s2059" style="width:467.75pt;height:0.75pt;margin-top:79.8pt;margin-left:70.9pt;mso-position-horizontal-relative:page;mso-position-vertical-relative:page;position:absolute;z-index:251668480" coordorigin="0,0" coordsize="9355,15" o:allowincell="f" path="m,l9354,l9354,14l,14l,xe" filled="t" fillcolor="black" stroked="f"/>
      </w:pict>
    </w:r>
    <w:r>
      <w:rPr>
        <w:sz w:val="20"/>
        <w:szCs w:val="20"/>
      </w:rPr>
      <w:t>JJF</w:t>
    </w:r>
    <w:r>
      <w:rPr>
        <w:spacing w:val="6"/>
        <w:sz w:val="20"/>
        <w:szCs w:val="20"/>
      </w:rPr>
      <w:t>（京）3018-2022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6" w:line="231" w:lineRule="auto"/>
      <w:ind w:left="3743"/>
      <w:rPr>
        <w:sz w:val="20"/>
        <w:szCs w:val="20"/>
      </w:rPr>
    </w:pPr>
    <w:r>
      <w:pict>
        <v:shape id="_x0000_s2060" style="width:467.75pt;height:0.75pt;margin-top:79.8pt;margin-left:70.9pt;mso-position-horizontal-relative:page;mso-position-vertical-relative:page;position:absolute;z-index:251669504" coordorigin="0,0" coordsize="9355,15" o:allowincell="f" path="m,l9354,l9354,14l,14l,xe" filled="t" fillcolor="black" stroked="f"/>
      </w:pict>
    </w:r>
    <w:r>
      <w:rPr>
        <w:sz w:val="20"/>
        <w:szCs w:val="20"/>
      </w:rPr>
      <w:t>JJF</w:t>
    </w:r>
    <w:r>
      <w:rPr>
        <w:spacing w:val="6"/>
        <w:sz w:val="20"/>
        <w:szCs w:val="20"/>
      </w:rPr>
      <w:t>（京）3018-2022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28"/>
      <w:szCs w:val="2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header" Target="header3.xml" /><Relationship Id="rId13" Type="http://schemas.openxmlformats.org/officeDocument/2006/relationships/header" Target="header4.xml" /><Relationship Id="rId14" Type="http://schemas.openxmlformats.org/officeDocument/2006/relationships/footer" Target="footer1.xml" /><Relationship Id="rId15" Type="http://schemas.openxmlformats.org/officeDocument/2006/relationships/header" Target="header5.xml" /><Relationship Id="rId16" Type="http://schemas.openxmlformats.org/officeDocument/2006/relationships/footer" Target="footer2.xml" /><Relationship Id="rId17" Type="http://schemas.openxmlformats.org/officeDocument/2006/relationships/header" Target="header6.xml" /><Relationship Id="rId18" Type="http://schemas.openxmlformats.org/officeDocument/2006/relationships/footer" Target="footer3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header" Target="header8.xml" /><Relationship Id="rId22" Type="http://schemas.openxmlformats.org/officeDocument/2006/relationships/footer" Target="footer5.xml" /><Relationship Id="rId23" Type="http://schemas.openxmlformats.org/officeDocument/2006/relationships/image" Target="media/image6.png" /><Relationship Id="rId24" Type="http://schemas.openxmlformats.org/officeDocument/2006/relationships/image" Target="media/image7.png" /><Relationship Id="rId25" Type="http://schemas.openxmlformats.org/officeDocument/2006/relationships/header" Target="header9.xml" /><Relationship Id="rId26" Type="http://schemas.openxmlformats.org/officeDocument/2006/relationships/footer" Target="footer6.xml" /><Relationship Id="rId27" Type="http://schemas.openxmlformats.org/officeDocument/2006/relationships/header" Target="header10.xml" /><Relationship Id="rId28" Type="http://schemas.openxmlformats.org/officeDocument/2006/relationships/footer" Target="footer7.xml" /><Relationship Id="rId29" Type="http://schemas.openxmlformats.org/officeDocument/2006/relationships/image" Target="media/image8.png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8.xml" /><Relationship Id="rId32" Type="http://schemas.openxmlformats.org/officeDocument/2006/relationships/hyperlink" Target="https://d.book118.com/976102030230010100" TargetMode="External" /><Relationship Id="rId33" Type="http://schemas.openxmlformats.org/officeDocument/2006/relationships/header" Target="header12.xml" /><Relationship Id="rId34" Type="http://schemas.openxmlformats.org/officeDocument/2006/relationships/footer" Target="footer9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://www.baidu.com/link?url=XHp7jndB-Qlrqu1JLi538p8Nk67_7fYvlODjqJwr2VnAeaxf2ePGBPCS8n83hYaG&amp;wd=&amp;eqid=c3b896e10007e394000000035e441b42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四轮定位仪检定规程</dc:title>
  <dc:creator>sv</dc:creator>
  <cp:revision>0</cp:revision>
  <dcterms:created xsi:type="dcterms:W3CDTF">2022-04-25T11:23:49Z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2024-03-12T10:45:57Z</vt:filetime>
  </property>
  <property fmtid="{D5CDD505-2E9C-101B-9397-08002B2CF9AE}" pid="3" name="CRO">
    <vt:lpwstr>wqlLaW5nc29mdCBQREYgdG8gV1BTIDEwMA</vt:lpwstr>
  </property>
</Properties>
</file>