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spacing w:line="300" w:lineRule="auto"/>
        <w:jc w:val="center"/>
        <w:rPr>
          <w:rFonts w:hint="eastAsia"/>
          <w:b/>
          <w:bCs/>
          <w:sz w:val="36"/>
          <w:u w:val="single"/>
        </w:rPr>
      </w:pPr>
      <w:r>
        <w:rPr>
          <w:rFonts w:hint="eastAsia"/>
          <w:b/>
          <w:bCs/>
          <w:sz w:val="30"/>
          <w:u w:val="single"/>
          <w:lang w:eastAsia="zh-CN"/>
        </w:rPr>
        <w:t>四方</w:t>
      </w:r>
      <w:r>
        <w:rPr>
          <w:rFonts w:hint="eastAsia"/>
          <w:b/>
          <w:bCs/>
          <w:sz w:val="30"/>
          <w:u w:val="single"/>
        </w:rPr>
        <w:t>药业公司应收账款管理</w:t>
      </w:r>
      <w:r>
        <w:rPr>
          <w:rFonts w:hint="eastAsia"/>
          <w:b/>
          <w:bCs/>
          <w:sz w:val="30"/>
          <w:u w:val="single"/>
          <w:lang w:eastAsia="zh-CN"/>
        </w:rPr>
        <w:t>问题及完善对策研究</w:t>
      </w:r>
    </w:p>
    <w:p>
      <w:pPr>
        <w:jc w:val="center"/>
        <w:rPr>
          <w:rFonts w:cs="Calibri" w:hint="eastAsia"/>
          <w:b w:val="0"/>
          <w:bCs w:val="0"/>
          <w:sz w:val="32"/>
          <w:szCs w:val="32"/>
        </w:rPr>
      </w:pPr>
      <w:r>
        <w:rPr>
          <w:rFonts w:ascii="宋体" w:eastAsia="宋体" w:hAnsi="宋体" w:cs="宋体" w:hint="eastAsia"/>
          <w:sz w:val="32"/>
          <w:szCs w:val="32"/>
        </w:rPr>
        <w:t xml:space="preserve">目 </w:t>
      </w:r>
      <w:r>
        <w:rPr>
          <w:rFonts w:ascii="Calibri" w:eastAsia="宋体" w:hAnsi="Calibri" w:cs="Calibri" w:hint="eastAsia"/>
          <w:b w:val="0"/>
          <w:bCs w:val="0"/>
          <w:kern w:val="2"/>
          <w:sz w:val="32"/>
          <w:szCs w:val="32"/>
          <w:lang w:val="en-US" w:eastAsia="zh-CN" w:bidi="ar-SA"/>
        </w:rPr>
        <w:t xml:space="preserve">录  </w:t>
      </w:r>
    </w:p>
    <w:p>
      <w:pPr>
        <w:pStyle w:val="TOC1"/>
        <w:keepNext w:val="0"/>
        <w:keepLines w:val="0"/>
        <w:pageBreakBefore w:val="0"/>
        <w:widowControl w:val="0"/>
        <w:tabs>
          <w:tab w:val="right" w:leader="dot" w:pos="9355"/>
        </w:tabs>
        <w:kinsoku/>
        <w:wordWrap/>
        <w:overflowPunct/>
        <w:topLinePunct w:val="0"/>
        <w:autoSpaceDE/>
        <w:autoSpaceDN/>
        <w:bidi w:val="0"/>
        <w:adjustRightInd/>
        <w:snapToGrid/>
        <w:spacing w:after="100"/>
        <w:textAlignment w:val="auto"/>
        <w:rPr>
          <w:rFonts w:ascii="宋体" w:eastAsia="宋体" w:hAnsi="宋体" w:cs="宋体" w:hint="eastAsia"/>
          <w:b/>
          <w:bCs/>
          <w:sz w:val="28"/>
          <w:szCs w:val="28"/>
        </w:rPr>
      </w:pPr>
      <w:r>
        <w:rPr>
          <w:rFonts w:ascii="宋体" w:eastAsia="宋体" w:hAnsi="宋体" w:cs="宋体" w:hint="eastAsia"/>
        </w:rPr>
        <w:fldChar w:fldCharType="begin"/>
      </w:r>
      <w:r>
        <w:rPr>
          <w:rFonts w:ascii="宋体" w:eastAsia="宋体" w:hAnsi="宋体" w:cs="宋体" w:hint="eastAsia"/>
        </w:rPr>
        <w:instrText xml:space="preserve">TOC \o "1-3" \h \u </w:instrText>
      </w:r>
      <w:r>
        <w:rPr>
          <w:rFonts w:ascii="宋体" w:eastAsia="宋体" w:hAnsi="宋体" w:cs="宋体" w:hint="eastAsia"/>
        </w:rPr>
        <w:fldChar w:fldCharType="separate"/>
      </w:r>
      <w:bookmarkStart w:id="0" w:name="_GoBack"/>
      <w:bookmarkEnd w:id="0"/>
      <w:hyperlink w:anchor="_Toc18672" w:history="1">
        <w:r>
          <w:rPr>
            <w:rFonts w:ascii="宋体" w:eastAsia="宋体" w:hAnsi="宋体" w:cs="宋体" w:hint="eastAsia"/>
            <w:b/>
            <w:bCs/>
            <w:sz w:val="28"/>
            <w:szCs w:val="28"/>
          </w:rPr>
          <w:t>第一章 应收账款管理概述</w:t>
        </w:r>
        <w:r>
          <w:rPr>
            <w:rFonts w:ascii="Calibri" w:eastAsia="宋体" w:hAnsi="Calibri" w:cs="Calibri" w:hint="eastAsia"/>
            <w:b w:val="0"/>
            <w:bCs w:val="0"/>
            <w:sz w:val="32"/>
            <w:szCs w:val="32"/>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_Toc18672 \h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5</w:t>
        </w:r>
        <w:r>
          <w:rPr>
            <w:rFonts w:ascii="宋体" w:eastAsia="宋体" w:hAnsi="宋体" w:cs="宋体" w:hint="eastAsia"/>
            <w:b w:val="0"/>
            <w:bCs w:val="0"/>
            <w:sz w:val="24"/>
            <w:szCs w:val="24"/>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after="100"/>
        <w:ind w:left="221" w:leftChars="0"/>
        <w:textAlignment w:val="auto"/>
        <w:rPr>
          <w:rFonts w:ascii="宋体" w:eastAsia="宋体" w:hAnsi="宋体" w:cs="宋体" w:hint="eastAsia"/>
        </w:rPr>
      </w:pPr>
      <w:hyperlink w:anchor="_Toc32491" w:history="1">
        <w:r>
          <w:rPr>
            <w:rFonts w:ascii="宋体" w:eastAsia="宋体" w:hAnsi="宋体" w:cs="宋体" w:hint="eastAsia"/>
          </w:rPr>
          <w:t>1.1应收账款</w:t>
        </w:r>
        <w:r>
          <w:rPr>
            <w:rFonts w:ascii="宋体" w:eastAsia="宋体" w:hAnsi="宋体" w:cs="宋体" w:hint="eastAsia"/>
            <w:lang w:val="en-US" w:eastAsia="zh-CN"/>
          </w:rPr>
          <w:t>相关</w:t>
        </w:r>
        <w:r>
          <w:rPr>
            <w:rFonts w:ascii="宋体" w:eastAsia="宋体" w:hAnsi="宋体" w:cs="宋体" w:hint="eastAsia"/>
          </w:rPr>
          <w:t>概</w:t>
        </w:r>
        <w:r>
          <w:rPr>
            <w:rFonts w:ascii="宋体" w:eastAsia="宋体" w:hAnsi="宋体" w:cs="宋体" w:hint="eastAsia"/>
            <w:lang w:val="en-US" w:eastAsia="zh-CN"/>
          </w:rPr>
          <w:t>述</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rPr>
          <w:fldChar w:fldCharType="begin"/>
        </w:r>
        <w:r>
          <w:rPr>
            <w:rFonts w:ascii="宋体" w:eastAsia="宋体" w:hAnsi="宋体" w:cs="宋体" w:hint="eastAsia"/>
          </w:rPr>
          <w:instrText xml:space="preserve"> PAGEREF _Toc32491 \h </w:instrText>
        </w:r>
        <w:r>
          <w:rPr>
            <w:rFonts w:ascii="宋体" w:eastAsia="宋体" w:hAnsi="宋体" w:cs="宋体" w:hint="eastAsia"/>
          </w:rPr>
          <w:fldChar w:fldCharType="separate"/>
        </w:r>
        <w:r>
          <w:rPr>
            <w:rFonts w:ascii="宋体" w:eastAsia="宋体" w:hAnsi="宋体" w:cs="宋体" w:hint="eastAsia"/>
          </w:rPr>
          <w:t>5</w:t>
        </w:r>
        <w:r>
          <w:rPr>
            <w:rFonts w:ascii="宋体" w:eastAsia="宋体" w:hAnsi="宋体" w:cs="宋体" w:hint="eastAsia"/>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after="100"/>
        <w:ind w:left="221" w:leftChars="0"/>
        <w:textAlignment w:val="auto"/>
        <w:rPr>
          <w:rFonts w:ascii="宋体" w:eastAsia="宋体" w:hAnsi="宋体" w:cs="宋体" w:hint="eastAsia"/>
        </w:rPr>
      </w:pPr>
      <w:hyperlink w:anchor="_Toc31930" w:history="1">
        <w:r>
          <w:rPr>
            <w:rFonts w:ascii="宋体" w:eastAsia="宋体" w:hAnsi="宋体" w:cs="宋体" w:hint="eastAsia"/>
            <w:lang w:val="en-US" w:eastAsia="zh-CN"/>
          </w:rPr>
          <w:t>1.2应收账款管理内容</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rPr>
          <w:fldChar w:fldCharType="begin"/>
        </w:r>
        <w:r>
          <w:rPr>
            <w:rFonts w:ascii="宋体" w:eastAsia="宋体" w:hAnsi="宋体" w:cs="宋体" w:hint="eastAsia"/>
          </w:rPr>
          <w:instrText xml:space="preserve"> PAGEREF _Toc31930 \h </w:instrText>
        </w:r>
        <w:r>
          <w:rPr>
            <w:rFonts w:ascii="宋体" w:eastAsia="宋体" w:hAnsi="宋体" w:cs="宋体" w:hint="eastAsia"/>
          </w:rPr>
          <w:fldChar w:fldCharType="separate"/>
        </w:r>
        <w:r>
          <w:rPr>
            <w:rFonts w:ascii="宋体" w:eastAsia="宋体" w:hAnsi="宋体" w:cs="宋体" w:hint="eastAsia"/>
          </w:rPr>
          <w:t>6</w:t>
        </w:r>
        <w:r>
          <w:rPr>
            <w:rFonts w:ascii="宋体" w:eastAsia="宋体" w:hAnsi="宋体" w:cs="宋体" w:hint="eastAsia"/>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after="100"/>
        <w:ind w:left="221" w:leftChars="0"/>
        <w:textAlignment w:val="auto"/>
        <w:rPr>
          <w:rFonts w:ascii="宋体" w:eastAsia="宋体" w:hAnsi="宋体" w:cs="宋体" w:hint="eastAsia"/>
        </w:rPr>
      </w:pPr>
      <w:hyperlink w:anchor="_Toc28607" w:history="1">
        <w:r>
          <w:rPr>
            <w:rFonts w:ascii="宋体" w:eastAsia="宋体" w:hAnsi="宋体" w:cs="宋体" w:hint="eastAsia"/>
          </w:rPr>
          <w:t>1.</w:t>
        </w:r>
        <w:r>
          <w:rPr>
            <w:rFonts w:ascii="宋体" w:eastAsia="宋体" w:hAnsi="宋体" w:cs="宋体" w:hint="eastAsia"/>
            <w:lang w:val="en-US" w:eastAsia="zh-CN"/>
          </w:rPr>
          <w:t>3应收账款管理的相关理论基础</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rPr>
          <w:fldChar w:fldCharType="begin"/>
        </w:r>
        <w:r>
          <w:rPr>
            <w:rFonts w:ascii="宋体" w:eastAsia="宋体" w:hAnsi="宋体" w:cs="宋体" w:hint="eastAsia"/>
          </w:rPr>
          <w:instrText xml:space="preserve"> PAGEREF _Toc28607 \h </w:instrText>
        </w:r>
        <w:r>
          <w:rPr>
            <w:rFonts w:ascii="宋体" w:eastAsia="宋体" w:hAnsi="宋体" w:cs="宋体" w:hint="eastAsia"/>
          </w:rPr>
          <w:fldChar w:fldCharType="separate"/>
        </w:r>
        <w:r>
          <w:rPr>
            <w:rFonts w:ascii="宋体" w:eastAsia="宋体" w:hAnsi="宋体" w:cs="宋体" w:hint="eastAsia"/>
          </w:rPr>
          <w:t>6</w:t>
        </w:r>
        <w:r>
          <w:rPr>
            <w:rFonts w:ascii="宋体" w:eastAsia="宋体" w:hAnsi="宋体" w:cs="宋体" w:hint="eastAsia"/>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after="100"/>
        <w:ind w:left="221" w:firstLine="240" w:leftChars="0" w:firstLineChars="100"/>
        <w:textAlignment w:val="auto"/>
        <w:rPr>
          <w:rFonts w:ascii="宋体" w:eastAsia="宋体" w:hAnsi="宋体" w:cs="宋体" w:hint="eastAsia"/>
        </w:rPr>
      </w:pPr>
      <w:hyperlink w:anchor="_Toc11848" w:history="1">
        <w:r>
          <w:rPr>
            <w:rFonts w:ascii="宋体" w:eastAsia="宋体" w:hAnsi="宋体" w:cs="宋体" w:hint="eastAsia"/>
            <w:lang w:val="en-US" w:eastAsia="zh-CN"/>
          </w:rPr>
          <w:t>1.3.1企业信用管理理论</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rPr>
          <w:fldChar w:fldCharType="begin"/>
        </w:r>
        <w:r>
          <w:rPr>
            <w:rFonts w:ascii="宋体" w:eastAsia="宋体" w:hAnsi="宋体" w:cs="宋体" w:hint="eastAsia"/>
          </w:rPr>
          <w:instrText xml:space="preserve"> PAGEREF _Toc11848 \h </w:instrText>
        </w:r>
        <w:r>
          <w:rPr>
            <w:rFonts w:ascii="宋体" w:eastAsia="宋体" w:hAnsi="宋体" w:cs="宋体" w:hint="eastAsia"/>
          </w:rPr>
          <w:fldChar w:fldCharType="separate"/>
        </w:r>
        <w:r>
          <w:rPr>
            <w:rFonts w:ascii="宋体" w:eastAsia="宋体" w:hAnsi="宋体" w:cs="宋体" w:hint="eastAsia"/>
          </w:rPr>
          <w:t>6</w:t>
        </w:r>
        <w:r>
          <w:rPr>
            <w:rFonts w:ascii="宋体" w:eastAsia="宋体" w:hAnsi="宋体" w:cs="宋体" w:hint="eastAsia"/>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after="100"/>
        <w:ind w:left="221" w:firstLine="240" w:leftChars="0" w:firstLineChars="100"/>
        <w:textAlignment w:val="auto"/>
      </w:pPr>
      <w:hyperlink w:anchor="_Toc21778" w:history="1">
        <w:r>
          <w:rPr>
            <w:rFonts w:ascii="宋体" w:eastAsia="宋体" w:hAnsi="宋体" w:cs="宋体" w:hint="eastAsia"/>
            <w:lang w:val="en-US" w:eastAsia="zh-CN"/>
          </w:rPr>
          <w:t>1.3.2风险管理理论</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rPr>
          <w:fldChar w:fldCharType="begin"/>
        </w:r>
        <w:r>
          <w:rPr>
            <w:rFonts w:ascii="宋体" w:eastAsia="宋体" w:hAnsi="宋体" w:cs="宋体" w:hint="eastAsia"/>
          </w:rPr>
          <w:instrText xml:space="preserve"> PAGEREF _Toc21778 \h </w:instrText>
        </w:r>
        <w:r>
          <w:rPr>
            <w:rFonts w:ascii="宋体" w:eastAsia="宋体" w:hAnsi="宋体" w:cs="宋体" w:hint="eastAsia"/>
          </w:rPr>
          <w:fldChar w:fldCharType="separate"/>
        </w:r>
        <w:r>
          <w:rPr>
            <w:rFonts w:ascii="宋体" w:eastAsia="宋体" w:hAnsi="宋体" w:cs="宋体" w:hint="eastAsia"/>
          </w:rPr>
          <w:t>7</w:t>
        </w:r>
        <w:r>
          <w:rPr>
            <w:rFonts w:ascii="宋体" w:eastAsia="宋体" w:hAnsi="宋体" w:cs="宋体" w:hint="eastAsia"/>
          </w:rPr>
          <w:fldChar w:fldCharType="end"/>
        </w:r>
      </w:hyperlink>
    </w:p>
    <w:p>
      <w:pPr>
        <w:pStyle w:val="TOC1"/>
        <w:keepNext w:val="0"/>
        <w:keepLines w:val="0"/>
        <w:pageBreakBefore w:val="0"/>
        <w:widowControl w:val="0"/>
        <w:tabs>
          <w:tab w:val="right" w:leader="dot" w:pos="9355"/>
        </w:tabs>
        <w:kinsoku/>
        <w:wordWrap/>
        <w:overflowPunct/>
        <w:topLinePunct w:val="0"/>
        <w:autoSpaceDE/>
        <w:autoSpaceDN/>
        <w:bidi w:val="0"/>
        <w:adjustRightInd/>
        <w:snapToGrid/>
        <w:spacing w:after="100"/>
        <w:ind w:left="0" w:leftChars="0"/>
        <w:textAlignment w:val="auto"/>
        <w:rPr>
          <w:rFonts w:ascii="宋体" w:eastAsia="宋体" w:hAnsi="宋体" w:cs="宋体" w:hint="eastAsia"/>
          <w:sz w:val="28"/>
          <w:szCs w:val="28"/>
        </w:rPr>
      </w:pPr>
      <w:hyperlink w:anchor="_Toc32240" w:history="1">
        <w:r>
          <w:rPr>
            <w:rFonts w:ascii="宋体" w:eastAsia="宋体" w:hAnsi="宋体" w:cs="宋体" w:hint="eastAsia"/>
            <w:b/>
            <w:bCs/>
            <w:sz w:val="28"/>
            <w:szCs w:val="28"/>
          </w:rPr>
          <w:t xml:space="preserve">第二章 </w:t>
        </w:r>
        <w:r>
          <w:rPr>
            <w:rFonts w:ascii="宋体" w:eastAsia="宋体" w:hAnsi="宋体" w:cs="宋体" w:hint="eastAsia"/>
            <w:b/>
            <w:bCs/>
            <w:sz w:val="28"/>
            <w:szCs w:val="28"/>
            <w:lang w:val="en-US" w:eastAsia="zh-CN"/>
          </w:rPr>
          <w:t>江西</w:t>
        </w:r>
        <w:r>
          <w:rPr>
            <w:rFonts w:ascii="宋体" w:hAnsi="宋体" w:cs="宋体" w:hint="eastAsia"/>
            <w:b/>
            <w:bCs/>
            <w:sz w:val="28"/>
            <w:szCs w:val="28"/>
            <w:lang w:eastAsia="zh-CN"/>
          </w:rPr>
          <w:t>四方</w:t>
        </w:r>
        <w:r>
          <w:rPr>
            <w:rFonts w:ascii="宋体" w:eastAsia="宋体" w:hAnsi="宋体" w:cs="宋体" w:hint="eastAsia"/>
            <w:b/>
            <w:bCs/>
            <w:sz w:val="28"/>
            <w:szCs w:val="28"/>
          </w:rPr>
          <w:t>药业有限公司应收账款</w:t>
        </w:r>
        <w:r>
          <w:rPr>
            <w:rFonts w:ascii="宋体" w:eastAsia="宋体" w:hAnsi="宋体" w:cs="宋体" w:hint="eastAsia"/>
            <w:b/>
            <w:bCs/>
            <w:sz w:val="28"/>
            <w:szCs w:val="28"/>
            <w:lang w:val="en-US" w:eastAsia="zh-CN"/>
          </w:rPr>
          <w:t>管理</w:t>
        </w:r>
        <w:r>
          <w:rPr>
            <w:rFonts w:ascii="宋体" w:eastAsia="宋体" w:hAnsi="宋体" w:cs="宋体" w:hint="eastAsia"/>
            <w:b/>
            <w:bCs/>
            <w:sz w:val="28"/>
            <w:szCs w:val="28"/>
          </w:rPr>
          <w:t>现状分析</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b/>
            <w:bCs/>
            <w:sz w:val="24"/>
            <w:szCs w:val="24"/>
          </w:rPr>
          <w:fldChar w:fldCharType="begin"/>
        </w:r>
        <w:r>
          <w:rPr>
            <w:rFonts w:ascii="宋体" w:eastAsia="宋体" w:hAnsi="宋体" w:cs="宋体" w:hint="eastAsia"/>
            <w:b/>
            <w:bCs/>
            <w:sz w:val="24"/>
            <w:szCs w:val="24"/>
          </w:rPr>
          <w:instrText xml:space="preserve"> PAGEREF _Toc32240 \h </w:instrText>
        </w:r>
        <w:r>
          <w:rPr>
            <w:rFonts w:ascii="宋体" w:eastAsia="宋体" w:hAnsi="宋体" w:cs="宋体" w:hint="eastAsia"/>
            <w:b/>
            <w:bCs/>
            <w:sz w:val="24"/>
            <w:szCs w:val="24"/>
          </w:rPr>
          <w:fldChar w:fldCharType="separate"/>
        </w:r>
        <w:r>
          <w:rPr>
            <w:rFonts w:ascii="宋体" w:eastAsia="宋体" w:hAnsi="宋体" w:cs="宋体" w:hint="eastAsia"/>
            <w:b/>
            <w:bCs/>
            <w:sz w:val="24"/>
            <w:szCs w:val="24"/>
          </w:rPr>
          <w:t>8</w:t>
        </w:r>
        <w:r>
          <w:rPr>
            <w:rFonts w:ascii="宋体" w:eastAsia="宋体" w:hAnsi="宋体" w:cs="宋体" w:hint="eastAsia"/>
            <w:b/>
            <w:bCs/>
            <w:sz w:val="24"/>
            <w:szCs w:val="24"/>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after="100"/>
        <w:ind w:left="221" w:leftChars="0"/>
        <w:textAlignment w:val="auto"/>
        <w:rPr>
          <w:rFonts w:ascii="宋体" w:eastAsia="宋体" w:hAnsi="宋体" w:cs="宋体" w:hint="eastAsia"/>
          <w:sz w:val="24"/>
          <w:szCs w:val="24"/>
        </w:rPr>
      </w:pPr>
      <w:hyperlink w:anchor="_Toc7761" w:history="1">
        <w:r>
          <w:rPr>
            <w:rFonts w:ascii="宋体" w:eastAsia="宋体" w:hAnsi="宋体" w:cs="宋体" w:hint="eastAsia"/>
            <w:sz w:val="24"/>
            <w:szCs w:val="24"/>
          </w:rPr>
          <w:t>2.1</w:t>
        </w:r>
        <w:r>
          <w:rPr>
            <w:rFonts w:ascii="宋体" w:eastAsia="宋体" w:hAnsi="宋体" w:cs="宋体" w:hint="eastAsia"/>
            <w:sz w:val="24"/>
            <w:szCs w:val="24"/>
            <w:lang w:val="en-US" w:eastAsia="zh-CN"/>
          </w:rPr>
          <w:t>企业简介</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_Toc7761 \h </w:instrText>
        </w:r>
        <w:r>
          <w:rPr>
            <w:rFonts w:ascii="宋体" w:eastAsia="宋体" w:hAnsi="宋体" w:cs="宋体" w:hint="eastAsia"/>
            <w:sz w:val="24"/>
            <w:szCs w:val="24"/>
          </w:rPr>
          <w:fldChar w:fldCharType="separate"/>
        </w:r>
        <w:r>
          <w:rPr>
            <w:rFonts w:ascii="宋体" w:eastAsia="宋体" w:hAnsi="宋体" w:cs="宋体" w:hint="eastAsia"/>
            <w:sz w:val="24"/>
            <w:szCs w:val="24"/>
          </w:rPr>
          <w:t>8</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after="100"/>
        <w:ind w:left="221" w:leftChars="0"/>
        <w:textAlignment w:val="auto"/>
        <w:rPr>
          <w:rFonts w:ascii="宋体" w:eastAsia="宋体" w:hAnsi="宋体" w:cs="宋体" w:hint="eastAsia"/>
          <w:sz w:val="24"/>
          <w:szCs w:val="24"/>
        </w:rPr>
      </w:pPr>
      <w:hyperlink w:anchor="_Toc21555" w:history="1">
        <w:r>
          <w:rPr>
            <w:rFonts w:ascii="宋体" w:eastAsia="宋体" w:hAnsi="宋体" w:cs="宋体" w:hint="eastAsia"/>
            <w:sz w:val="24"/>
            <w:szCs w:val="24"/>
          </w:rPr>
          <w:t>2.2</w:t>
        </w:r>
        <w:r>
          <w:rPr>
            <w:rFonts w:ascii="宋体" w:eastAsia="宋体" w:hAnsi="宋体" w:cs="宋体" w:hint="eastAsia"/>
            <w:sz w:val="24"/>
            <w:szCs w:val="24"/>
            <w:lang w:val="en-US" w:eastAsia="zh-CN"/>
          </w:rPr>
          <w:t>江西</w:t>
        </w:r>
        <w:r>
          <w:rPr>
            <w:rFonts w:ascii="宋体" w:hAnsi="宋体" w:cs="宋体" w:hint="eastAsia"/>
            <w:sz w:val="24"/>
            <w:szCs w:val="24"/>
            <w:lang w:eastAsia="zh-CN"/>
          </w:rPr>
          <w:t>四方</w:t>
        </w:r>
        <w:r>
          <w:rPr>
            <w:rFonts w:ascii="宋体" w:eastAsia="宋体" w:hAnsi="宋体" w:cs="宋体" w:hint="eastAsia"/>
            <w:sz w:val="24"/>
            <w:szCs w:val="24"/>
          </w:rPr>
          <w:t>药业有限公司应收账款管理</w:t>
        </w:r>
        <w:r>
          <w:rPr>
            <w:rFonts w:ascii="宋体" w:eastAsia="宋体" w:hAnsi="宋体" w:cs="宋体" w:hint="eastAsia"/>
            <w:sz w:val="24"/>
            <w:szCs w:val="24"/>
            <w:lang w:val="en-US" w:eastAsia="zh-CN"/>
          </w:rPr>
          <w:t>现状</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_Toc21555 \h </w:instrText>
        </w:r>
        <w:r>
          <w:rPr>
            <w:rFonts w:ascii="宋体" w:eastAsia="宋体" w:hAnsi="宋体" w:cs="宋体" w:hint="eastAsia"/>
            <w:sz w:val="24"/>
            <w:szCs w:val="24"/>
          </w:rPr>
          <w:fldChar w:fldCharType="separate"/>
        </w:r>
        <w:r>
          <w:rPr>
            <w:rFonts w:ascii="宋体" w:eastAsia="宋体" w:hAnsi="宋体" w:cs="宋体" w:hint="eastAsia"/>
            <w:sz w:val="24"/>
            <w:szCs w:val="24"/>
          </w:rPr>
          <w:t>9</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after="100"/>
        <w:ind w:left="0" w:firstLine="480" w:leftChars="0" w:firstLineChars="200"/>
        <w:textAlignment w:val="auto"/>
        <w:rPr>
          <w:rFonts w:ascii="宋体" w:eastAsia="宋体" w:hAnsi="宋体" w:cs="宋体" w:hint="eastAsia"/>
          <w:sz w:val="24"/>
          <w:szCs w:val="24"/>
        </w:rPr>
      </w:pPr>
      <w:hyperlink w:anchor="_Toc30126" w:history="1">
        <w:r>
          <w:rPr>
            <w:rFonts w:ascii="宋体" w:eastAsia="宋体" w:hAnsi="宋体" w:cs="宋体" w:hint="eastAsia"/>
            <w:sz w:val="24"/>
            <w:szCs w:val="24"/>
            <w:lang w:val="en-US" w:eastAsia="zh-CN"/>
          </w:rPr>
          <w:t>2.2.1应收账款坏账率逐年递增</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_Toc30126 \h </w:instrText>
        </w:r>
        <w:r>
          <w:rPr>
            <w:rFonts w:ascii="宋体" w:eastAsia="宋体" w:hAnsi="宋体" w:cs="宋体" w:hint="eastAsia"/>
            <w:sz w:val="24"/>
            <w:szCs w:val="24"/>
          </w:rPr>
          <w:fldChar w:fldCharType="separate"/>
        </w:r>
        <w:r>
          <w:rPr>
            <w:rFonts w:ascii="宋体" w:eastAsia="宋体" w:hAnsi="宋体" w:cs="宋体" w:hint="eastAsia"/>
            <w:sz w:val="24"/>
            <w:szCs w:val="24"/>
          </w:rPr>
          <w:t>9</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after="100"/>
        <w:ind w:left="221" w:firstLine="240" w:leftChars="0" w:firstLineChars="100"/>
        <w:textAlignment w:val="auto"/>
        <w:rPr>
          <w:rFonts w:ascii="宋体" w:eastAsia="宋体" w:hAnsi="宋体" w:cs="宋体" w:hint="eastAsia"/>
          <w:sz w:val="24"/>
          <w:szCs w:val="24"/>
        </w:rPr>
      </w:pPr>
      <w:hyperlink w:anchor="_Toc28485" w:history="1">
        <w:r>
          <w:rPr>
            <w:rFonts w:ascii="宋体" w:eastAsia="宋体" w:hAnsi="宋体" w:cs="宋体" w:hint="eastAsia"/>
            <w:sz w:val="24"/>
            <w:szCs w:val="24"/>
          </w:rPr>
          <w:t>2.2.</w:t>
        </w:r>
        <w:r>
          <w:rPr>
            <w:rFonts w:ascii="宋体" w:eastAsia="宋体" w:hAnsi="宋体" w:cs="宋体" w:hint="eastAsia"/>
            <w:sz w:val="24"/>
            <w:szCs w:val="24"/>
            <w:lang w:val="en-US" w:eastAsia="zh-CN"/>
          </w:rPr>
          <w:t>2</w:t>
        </w:r>
        <w:r>
          <w:rPr>
            <w:rFonts w:ascii="宋体" w:eastAsia="宋体" w:hAnsi="宋体" w:cs="宋体" w:hint="eastAsia"/>
            <w:sz w:val="24"/>
            <w:szCs w:val="24"/>
          </w:rPr>
          <w:t>应收账款占营业收入比例及增长率</w:t>
        </w:r>
        <w:r>
          <w:rPr>
            <w:rFonts w:ascii="宋体" w:eastAsia="宋体" w:hAnsi="宋体" w:cs="宋体" w:hint="eastAsia"/>
            <w:sz w:val="24"/>
            <w:szCs w:val="24"/>
            <w:lang w:val="en-US" w:eastAsia="zh-CN"/>
          </w:rPr>
          <w:t>过大</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_Toc28485 \h </w:instrText>
        </w:r>
        <w:r>
          <w:rPr>
            <w:rFonts w:ascii="宋体" w:eastAsia="宋体" w:hAnsi="宋体" w:cs="宋体" w:hint="eastAsia"/>
            <w:sz w:val="24"/>
            <w:szCs w:val="24"/>
          </w:rPr>
          <w:fldChar w:fldCharType="separate"/>
        </w:r>
        <w:r>
          <w:rPr>
            <w:rFonts w:ascii="宋体" w:eastAsia="宋体" w:hAnsi="宋体" w:cs="宋体" w:hint="eastAsia"/>
            <w:sz w:val="24"/>
            <w:szCs w:val="24"/>
          </w:rPr>
          <w:t>10</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after="100"/>
        <w:ind w:left="221" w:firstLine="240" w:leftChars="0" w:firstLineChars="100"/>
        <w:textAlignment w:val="auto"/>
        <w:rPr>
          <w:rFonts w:ascii="宋体" w:eastAsia="宋体" w:hAnsi="宋体" w:cs="宋体" w:hint="eastAsia"/>
          <w:sz w:val="28"/>
          <w:szCs w:val="28"/>
        </w:rPr>
      </w:pPr>
      <w:hyperlink w:anchor="_Toc12828" w:history="1">
        <w:r>
          <w:rPr>
            <w:rFonts w:ascii="宋体" w:eastAsia="宋体" w:hAnsi="宋体" w:cs="宋体" w:hint="eastAsia"/>
            <w:sz w:val="24"/>
            <w:szCs w:val="24"/>
            <w:lang w:val="en-US" w:eastAsia="zh-CN"/>
          </w:rPr>
          <w:t>2.2.3应收账款周转速度过低</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_Toc12828 \h </w:instrText>
        </w:r>
        <w:r>
          <w:rPr>
            <w:rFonts w:ascii="宋体" w:eastAsia="宋体" w:hAnsi="宋体" w:cs="宋体" w:hint="eastAsia"/>
            <w:sz w:val="24"/>
            <w:szCs w:val="24"/>
          </w:rPr>
          <w:fldChar w:fldCharType="separate"/>
        </w:r>
        <w:r>
          <w:rPr>
            <w:rFonts w:ascii="宋体" w:eastAsia="宋体" w:hAnsi="宋体" w:cs="宋体" w:hint="eastAsia"/>
            <w:sz w:val="24"/>
            <w:szCs w:val="24"/>
          </w:rPr>
          <w:t>11</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5"/>
        </w:tabs>
        <w:kinsoku/>
        <w:wordWrap/>
        <w:overflowPunct/>
        <w:topLinePunct w:val="0"/>
        <w:autoSpaceDE/>
        <w:autoSpaceDN/>
        <w:bidi w:val="0"/>
        <w:adjustRightInd/>
        <w:snapToGrid/>
        <w:spacing w:after="100"/>
        <w:ind w:left="0" w:leftChars="0"/>
        <w:textAlignment w:val="auto"/>
        <w:rPr>
          <w:rFonts w:ascii="宋体" w:eastAsia="宋体" w:hAnsi="宋体" w:cs="宋体" w:hint="eastAsia"/>
          <w:b/>
          <w:bCs/>
          <w:sz w:val="28"/>
          <w:szCs w:val="28"/>
        </w:rPr>
      </w:pPr>
      <w:hyperlink w:anchor="_Toc15794" w:history="1">
        <w:r>
          <w:rPr>
            <w:rFonts w:ascii="宋体" w:eastAsia="宋体" w:hAnsi="宋体" w:cs="宋体" w:hint="eastAsia"/>
            <w:b/>
            <w:bCs/>
            <w:kern w:val="44"/>
            <w:sz w:val="28"/>
            <w:szCs w:val="28"/>
            <w:lang w:val="en-US" w:eastAsia="zh-CN" w:bidi="ar-SA"/>
          </w:rPr>
          <w:t>第三章 江西</w:t>
        </w:r>
        <w:r>
          <w:rPr>
            <w:rFonts w:ascii="宋体" w:hAnsi="宋体" w:cs="宋体" w:hint="eastAsia"/>
            <w:b/>
            <w:bCs/>
            <w:kern w:val="44"/>
            <w:sz w:val="28"/>
            <w:szCs w:val="28"/>
            <w:lang w:val="en-US" w:eastAsia="zh-CN" w:bidi="ar-SA"/>
          </w:rPr>
          <w:t>四方</w:t>
        </w:r>
        <w:r>
          <w:rPr>
            <w:rFonts w:ascii="宋体" w:eastAsia="宋体" w:hAnsi="宋体" w:cs="宋体" w:hint="eastAsia"/>
            <w:b/>
            <w:bCs/>
            <w:kern w:val="44"/>
            <w:sz w:val="28"/>
            <w:szCs w:val="28"/>
            <w:lang w:val="en-US" w:eastAsia="zh-CN" w:bidi="ar-SA"/>
          </w:rPr>
          <w:t>药业有限公司应收账款存在问题的原因分析</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_Toc15794 \h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14</w:t>
        </w:r>
        <w:r>
          <w:rPr>
            <w:rFonts w:ascii="宋体" w:eastAsia="宋体" w:hAnsi="宋体" w:cs="宋体" w:hint="eastAsia"/>
            <w:b w:val="0"/>
            <w:bCs w:val="0"/>
            <w:sz w:val="24"/>
            <w:szCs w:val="24"/>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after="100"/>
        <w:ind w:left="221" w:leftChars="0"/>
        <w:textAlignment w:val="auto"/>
        <w:rPr>
          <w:rFonts w:ascii="宋体" w:eastAsia="宋体" w:hAnsi="宋体" w:cs="宋体" w:hint="eastAsia"/>
          <w:sz w:val="24"/>
          <w:szCs w:val="24"/>
        </w:rPr>
      </w:pPr>
      <w:hyperlink w:anchor="_Toc13772" w:history="1">
        <w:r>
          <w:rPr>
            <w:rFonts w:ascii="宋体" w:eastAsia="宋体" w:hAnsi="宋体" w:cs="宋体" w:hint="eastAsia"/>
            <w:kern w:val="2"/>
            <w:sz w:val="24"/>
            <w:szCs w:val="24"/>
            <w:lang w:val="en-US" w:eastAsia="zh-CN" w:bidi="ar-SA"/>
          </w:rPr>
          <w:t>3.1企</w:t>
        </w:r>
        <w:r>
          <w:rPr>
            <w:rFonts w:ascii="宋体" w:eastAsia="宋体" w:hAnsi="宋体" w:cs="宋体" w:hint="eastAsia"/>
            <w:bCs/>
            <w:kern w:val="2"/>
            <w:sz w:val="24"/>
            <w:szCs w:val="24"/>
            <w:lang w:val="en-US" w:eastAsia="zh-CN" w:bidi="ar-SA"/>
          </w:rPr>
          <w:t>业</w:t>
        </w:r>
        <w:r>
          <w:rPr>
            <w:rFonts w:ascii="宋体" w:eastAsia="宋体" w:hAnsi="宋体" w:cs="宋体" w:hint="eastAsia"/>
            <w:kern w:val="2"/>
            <w:sz w:val="24"/>
            <w:szCs w:val="24"/>
            <w:lang w:val="en-US" w:eastAsia="zh-CN" w:bidi="ar-SA"/>
          </w:rPr>
          <w:t>应收账款日常监管松懈</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_Toc13772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after="100"/>
        <w:ind w:left="221" w:firstLine="240" w:leftChars="0" w:firstLineChars="100"/>
        <w:textAlignment w:val="auto"/>
        <w:rPr>
          <w:rFonts w:ascii="宋体" w:eastAsia="宋体" w:hAnsi="宋体" w:cs="宋体" w:hint="eastAsia"/>
          <w:sz w:val="24"/>
          <w:szCs w:val="24"/>
        </w:rPr>
      </w:pPr>
      <w:hyperlink w:anchor="_Toc30554" w:history="1">
        <w:r>
          <w:rPr>
            <w:rFonts w:ascii="宋体" w:eastAsia="宋体" w:hAnsi="宋体" w:cs="宋体" w:hint="eastAsia"/>
            <w:sz w:val="24"/>
            <w:szCs w:val="24"/>
            <w:lang w:val="en-US" w:eastAsia="zh-CN"/>
          </w:rPr>
          <w:t>3.1.1对待未收回款项</w:t>
        </w:r>
        <w:r>
          <w:rPr>
            <w:rFonts w:ascii="宋体" w:eastAsia="宋体" w:hAnsi="宋体" w:cs="宋体" w:hint="eastAsia"/>
            <w:sz w:val="24"/>
            <w:szCs w:val="24"/>
          </w:rPr>
          <w:t>缺乏实时的动态跟踪</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_Toc30554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after="100"/>
        <w:ind w:left="221" w:firstLine="240" w:leftChars="0" w:firstLineChars="100"/>
        <w:textAlignment w:val="auto"/>
        <w:rPr>
          <w:rFonts w:ascii="宋体" w:eastAsia="宋体" w:hAnsi="宋体" w:cs="宋体" w:hint="eastAsia"/>
          <w:sz w:val="24"/>
          <w:szCs w:val="24"/>
        </w:rPr>
      </w:pPr>
      <w:hyperlink w:anchor="_Toc1483" w:history="1">
        <w:r>
          <w:rPr>
            <w:rFonts w:ascii="宋体" w:eastAsia="宋体" w:hAnsi="宋体" w:cs="宋体" w:hint="eastAsia"/>
            <w:sz w:val="24"/>
            <w:szCs w:val="24"/>
            <w:lang w:val="en-US" w:eastAsia="zh-CN"/>
          </w:rPr>
          <w:t>3.1.2赊销制度松懈</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_Toc1483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after="100"/>
        <w:ind w:left="221" w:firstLine="240" w:leftChars="0" w:firstLineChars="100"/>
        <w:textAlignment w:val="auto"/>
        <w:rPr>
          <w:rFonts w:ascii="宋体" w:eastAsia="宋体" w:hAnsi="宋体" w:cs="宋体" w:hint="eastAsia"/>
          <w:sz w:val="24"/>
          <w:szCs w:val="24"/>
        </w:rPr>
      </w:pPr>
      <w:hyperlink w:anchor="_Toc12058" w:history="1">
        <w:r>
          <w:rPr>
            <w:rFonts w:ascii="宋体" w:eastAsia="宋体" w:hAnsi="宋体" w:cs="宋体" w:hint="eastAsia"/>
            <w:kern w:val="2"/>
            <w:sz w:val="24"/>
            <w:szCs w:val="24"/>
            <w:lang w:val="en-US" w:eastAsia="zh-CN" w:bidi="ar-SA"/>
          </w:rPr>
          <w:t>3.1.3缺乏辅助核算</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_Toc12058 \h </w:instrText>
        </w:r>
        <w:r>
          <w:rPr>
            <w:rFonts w:ascii="宋体" w:eastAsia="宋体" w:hAnsi="宋体" w:cs="宋体" w:hint="eastAsia"/>
            <w:sz w:val="24"/>
            <w:szCs w:val="24"/>
          </w:rPr>
          <w:fldChar w:fldCharType="separate"/>
        </w:r>
        <w:r>
          <w:rPr>
            <w:rFonts w:ascii="宋体" w:eastAsia="宋体" w:hAnsi="宋体" w:cs="宋体" w:hint="eastAsia"/>
            <w:sz w:val="24"/>
            <w:szCs w:val="24"/>
          </w:rPr>
          <w:t>15</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after="100"/>
        <w:ind w:left="221" w:leftChars="0"/>
        <w:textAlignment w:val="auto"/>
        <w:rPr>
          <w:rFonts w:ascii="宋体" w:eastAsia="宋体" w:hAnsi="宋体" w:cs="宋体" w:hint="eastAsia"/>
          <w:sz w:val="24"/>
          <w:szCs w:val="24"/>
        </w:rPr>
      </w:pPr>
      <w:hyperlink w:anchor="_Toc2941" w:history="1">
        <w:r>
          <w:rPr>
            <w:rFonts w:ascii="宋体" w:eastAsia="宋体" w:hAnsi="宋体" w:cs="宋体" w:hint="eastAsia"/>
            <w:bCs/>
            <w:kern w:val="2"/>
            <w:sz w:val="24"/>
            <w:szCs w:val="24"/>
            <w:lang w:val="en-US" w:eastAsia="zh-CN" w:bidi="ar-SA"/>
          </w:rPr>
          <w:t>3.2企业信用管理体系不完整</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_Toc2941 \h </w:instrText>
        </w:r>
        <w:r>
          <w:rPr>
            <w:rFonts w:ascii="宋体" w:eastAsia="宋体" w:hAnsi="宋体" w:cs="宋体" w:hint="eastAsia"/>
            <w:sz w:val="24"/>
            <w:szCs w:val="24"/>
          </w:rPr>
          <w:fldChar w:fldCharType="separate"/>
        </w:r>
        <w:r>
          <w:rPr>
            <w:rFonts w:ascii="宋体" w:eastAsia="宋体" w:hAnsi="宋体" w:cs="宋体" w:hint="eastAsia"/>
            <w:sz w:val="24"/>
            <w:szCs w:val="24"/>
          </w:rPr>
          <w:t>15</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after="100"/>
        <w:ind w:left="221" w:firstLine="240" w:leftChars="0" w:firstLineChars="100"/>
        <w:textAlignment w:val="auto"/>
        <w:rPr>
          <w:rFonts w:ascii="宋体" w:eastAsia="宋体" w:hAnsi="宋体" w:cs="宋体" w:hint="eastAsia"/>
          <w:sz w:val="24"/>
          <w:szCs w:val="24"/>
        </w:rPr>
      </w:pPr>
      <w:hyperlink w:anchor="_Toc10962" w:history="1">
        <w:r>
          <w:rPr>
            <w:rFonts w:ascii="宋体" w:eastAsia="宋体" w:hAnsi="宋体" w:cs="宋体" w:hint="eastAsia"/>
            <w:kern w:val="2"/>
            <w:sz w:val="24"/>
            <w:szCs w:val="24"/>
            <w:lang w:val="en-US" w:eastAsia="zh-CN" w:bidi="ar-SA"/>
          </w:rPr>
          <w:t>3.2.1缺乏信用管理部门</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_Toc10962 \h </w:instrText>
        </w:r>
        <w:r>
          <w:rPr>
            <w:rFonts w:ascii="宋体" w:eastAsia="宋体" w:hAnsi="宋体" w:cs="宋体" w:hint="eastAsia"/>
            <w:sz w:val="24"/>
            <w:szCs w:val="24"/>
          </w:rPr>
          <w:fldChar w:fldCharType="separate"/>
        </w:r>
        <w:r>
          <w:rPr>
            <w:rFonts w:ascii="宋体" w:eastAsia="宋体" w:hAnsi="宋体" w:cs="宋体" w:hint="eastAsia"/>
            <w:sz w:val="24"/>
            <w:szCs w:val="24"/>
          </w:rPr>
          <w:t>15</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after="100"/>
        <w:ind w:left="221" w:firstLine="240" w:leftChars="0" w:firstLineChars="100"/>
        <w:textAlignment w:val="auto"/>
        <w:rPr>
          <w:rFonts w:ascii="宋体" w:eastAsia="宋体" w:hAnsi="宋体" w:cs="宋体" w:hint="eastAsia"/>
          <w:sz w:val="24"/>
          <w:szCs w:val="24"/>
        </w:rPr>
      </w:pPr>
      <w:hyperlink w:anchor="_Toc14087" w:history="1">
        <w:r>
          <w:rPr>
            <w:rFonts w:ascii="宋体" w:eastAsia="宋体" w:hAnsi="宋体" w:cs="宋体" w:hint="eastAsia"/>
            <w:sz w:val="24"/>
            <w:szCs w:val="24"/>
          </w:rPr>
          <w:t>3.</w:t>
        </w:r>
        <w:r>
          <w:rPr>
            <w:rFonts w:ascii="宋体" w:eastAsia="宋体" w:hAnsi="宋体" w:cs="宋体" w:hint="eastAsia"/>
            <w:sz w:val="24"/>
            <w:szCs w:val="24"/>
            <w:lang w:val="en-US" w:eastAsia="zh-CN"/>
          </w:rPr>
          <w:t>2.2客户信用管理不全面</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_Toc14087 \h </w:instrText>
        </w:r>
        <w:r>
          <w:rPr>
            <w:rFonts w:ascii="宋体" w:eastAsia="宋体" w:hAnsi="宋体" w:cs="宋体" w:hint="eastAsia"/>
            <w:sz w:val="24"/>
            <w:szCs w:val="24"/>
          </w:rPr>
          <w:fldChar w:fldCharType="separate"/>
        </w:r>
        <w:r>
          <w:rPr>
            <w:rFonts w:ascii="宋体" w:eastAsia="宋体" w:hAnsi="宋体" w:cs="宋体" w:hint="eastAsia"/>
            <w:sz w:val="24"/>
            <w:szCs w:val="24"/>
          </w:rPr>
          <w:t>16</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after="100"/>
        <w:ind w:left="0" w:firstLine="240" w:leftChars="0" w:firstLineChars="100"/>
        <w:textAlignment w:val="auto"/>
        <w:rPr>
          <w:rFonts w:ascii="宋体" w:eastAsia="宋体" w:hAnsi="宋体" w:cs="宋体" w:hint="eastAsia"/>
          <w:sz w:val="24"/>
          <w:szCs w:val="24"/>
        </w:rPr>
      </w:pPr>
      <w:hyperlink w:anchor="_Toc31929" w:history="1">
        <w:r>
          <w:rPr>
            <w:rFonts w:ascii="宋体" w:eastAsia="宋体" w:hAnsi="宋体" w:cs="宋体" w:hint="eastAsia"/>
            <w:bCs w:val="0"/>
            <w:kern w:val="2"/>
            <w:sz w:val="24"/>
            <w:szCs w:val="24"/>
            <w:lang w:val="en-US" w:eastAsia="zh-CN" w:bidi="ar-SA"/>
          </w:rPr>
          <w:t>3.3企业风险防范意识薄弱</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_Toc31929 \h </w:instrText>
        </w:r>
        <w:r>
          <w:rPr>
            <w:rFonts w:ascii="宋体" w:eastAsia="宋体" w:hAnsi="宋体" w:cs="宋体" w:hint="eastAsia"/>
            <w:sz w:val="24"/>
            <w:szCs w:val="24"/>
          </w:rPr>
          <w:fldChar w:fldCharType="separate"/>
        </w:r>
        <w:r>
          <w:rPr>
            <w:rFonts w:ascii="宋体" w:eastAsia="宋体" w:hAnsi="宋体" w:cs="宋体" w:hint="eastAsia"/>
            <w:sz w:val="24"/>
            <w:szCs w:val="24"/>
          </w:rPr>
          <w:t>17</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after="100"/>
        <w:ind w:left="0" w:firstLine="240" w:leftChars="0" w:firstLineChars="100"/>
        <w:textAlignment w:val="auto"/>
        <w:rPr>
          <w:rFonts w:ascii="宋体" w:eastAsia="宋体" w:hAnsi="宋体" w:cs="宋体" w:hint="eastAsia"/>
          <w:sz w:val="28"/>
          <w:szCs w:val="28"/>
        </w:rPr>
        <w:sectPr>
          <w:headerReference w:type="even" r:id="rId5"/>
          <w:headerReference w:type="default" r:id="rId6"/>
          <w:footerReference w:type="even" r:id="rId7"/>
          <w:footerReference w:type="default" r:id="rId8"/>
          <w:pgSz w:w="11906" w:h="16838"/>
          <w:pgMar w:top="1417" w:right="1134" w:bottom="1134" w:left="1417" w:header="851" w:footer="992" w:gutter="0"/>
          <w:pgNumType w:fmt="upperRoman"/>
          <w:cols w:num="1" w:space="425"/>
          <w:docGrid w:type="lines" w:linePitch="312" w:charSpace="0"/>
        </w:sectPr>
      </w:pPr>
      <w:hyperlink w:anchor="_Toc12771" w:history="1">
        <w:r>
          <w:rPr>
            <w:rFonts w:ascii="宋体" w:eastAsia="宋体" w:hAnsi="宋体" w:cs="宋体" w:hint="eastAsia"/>
            <w:bCs/>
            <w:sz w:val="24"/>
            <w:szCs w:val="24"/>
          </w:rPr>
          <w:t>3.</w:t>
        </w:r>
        <w:r>
          <w:rPr>
            <w:rFonts w:ascii="宋体" w:eastAsia="宋体" w:hAnsi="宋体" w:cs="宋体" w:hint="eastAsia"/>
            <w:bCs/>
            <w:sz w:val="24"/>
            <w:szCs w:val="24"/>
            <w:lang w:val="en-US" w:eastAsia="zh-CN"/>
          </w:rPr>
          <w:t>4</w:t>
        </w:r>
        <w:r>
          <w:rPr>
            <w:rFonts w:ascii="宋体" w:eastAsia="宋体" w:hAnsi="宋体" w:cs="宋体" w:hint="eastAsia"/>
            <w:bCs/>
            <w:sz w:val="24"/>
            <w:szCs w:val="24"/>
          </w:rPr>
          <w:t>企业对于应收账款市场维护不到位</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_Toc12771 \h </w:instrText>
        </w:r>
        <w:r>
          <w:rPr>
            <w:rFonts w:ascii="宋体" w:eastAsia="宋体" w:hAnsi="宋体" w:cs="宋体" w:hint="eastAsia"/>
            <w:sz w:val="24"/>
            <w:szCs w:val="24"/>
          </w:rPr>
          <w:fldChar w:fldCharType="separate"/>
        </w:r>
        <w:r>
          <w:rPr>
            <w:rFonts w:ascii="宋体" w:eastAsia="宋体" w:hAnsi="宋体" w:cs="宋体" w:hint="eastAsia"/>
            <w:sz w:val="24"/>
            <w:szCs w:val="24"/>
          </w:rPr>
          <w:t>17</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5"/>
        </w:tabs>
        <w:kinsoku/>
        <w:wordWrap/>
        <w:overflowPunct/>
        <w:topLinePunct w:val="0"/>
        <w:autoSpaceDE/>
        <w:autoSpaceDN/>
        <w:bidi w:val="0"/>
        <w:adjustRightInd/>
        <w:snapToGrid/>
        <w:spacing w:after="100"/>
        <w:ind w:left="0" w:leftChars="0"/>
        <w:textAlignment w:val="auto"/>
        <w:rPr>
          <w:rFonts w:ascii="宋体" w:eastAsia="宋体" w:hAnsi="宋体" w:cs="宋体" w:hint="eastAsia"/>
          <w:b/>
          <w:bCs/>
          <w:sz w:val="28"/>
          <w:szCs w:val="28"/>
        </w:rPr>
      </w:pPr>
      <w:hyperlink w:anchor="_Toc28690" w:history="1">
        <w:r>
          <w:rPr>
            <w:rFonts w:ascii="宋体" w:eastAsia="宋体" w:hAnsi="宋体" w:cs="宋体" w:hint="eastAsia"/>
            <w:b/>
            <w:bCs/>
            <w:sz w:val="28"/>
            <w:szCs w:val="28"/>
            <w:lang w:val="en-US" w:eastAsia="zh-CN"/>
          </w:rPr>
          <w:t>第四章 加强江西</w:t>
        </w:r>
        <w:r>
          <w:rPr>
            <w:rFonts w:ascii="宋体" w:hAnsi="宋体" w:cs="宋体" w:hint="eastAsia"/>
            <w:b/>
            <w:bCs/>
            <w:sz w:val="28"/>
            <w:szCs w:val="28"/>
            <w:lang w:eastAsia="zh-CN"/>
          </w:rPr>
          <w:t>四方</w:t>
        </w:r>
        <w:r>
          <w:rPr>
            <w:rFonts w:ascii="宋体" w:eastAsia="宋体" w:hAnsi="宋体" w:cs="宋体" w:hint="eastAsia"/>
            <w:b/>
            <w:bCs/>
            <w:sz w:val="28"/>
            <w:szCs w:val="28"/>
          </w:rPr>
          <w:t>药业有限公司应收账款管理</w:t>
        </w:r>
        <w:r>
          <w:rPr>
            <w:rFonts w:ascii="宋体" w:eastAsia="宋体" w:hAnsi="宋体" w:cs="宋体" w:hint="eastAsia"/>
            <w:b/>
            <w:bCs/>
            <w:sz w:val="28"/>
            <w:szCs w:val="28"/>
            <w:lang w:val="en-US" w:eastAsia="zh-CN"/>
          </w:rPr>
          <w:t>的</w:t>
        </w:r>
        <w:r>
          <w:rPr>
            <w:rFonts w:ascii="宋体" w:eastAsia="宋体" w:hAnsi="宋体" w:cs="宋体" w:hint="eastAsia"/>
            <w:b/>
            <w:bCs/>
            <w:sz w:val="28"/>
            <w:szCs w:val="28"/>
          </w:rPr>
          <w:t>措施</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_Toc28690 \h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19</w:t>
        </w:r>
        <w:r>
          <w:rPr>
            <w:rFonts w:ascii="宋体" w:eastAsia="宋体" w:hAnsi="宋体" w:cs="宋体" w:hint="eastAsia"/>
            <w:b w:val="0"/>
            <w:bCs w:val="0"/>
            <w:sz w:val="24"/>
            <w:szCs w:val="24"/>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after="100"/>
        <w:ind w:left="0" w:firstLine="240" w:leftChars="0" w:firstLineChars="100"/>
        <w:textAlignment w:val="auto"/>
        <w:rPr>
          <w:rFonts w:ascii="宋体" w:eastAsia="宋体" w:hAnsi="宋体" w:cs="宋体" w:hint="eastAsia"/>
          <w:sz w:val="24"/>
          <w:szCs w:val="24"/>
        </w:rPr>
      </w:pPr>
      <w:hyperlink w:anchor="_Toc2866" w:history="1">
        <w:r>
          <w:rPr>
            <w:rFonts w:ascii="宋体" w:eastAsia="宋体" w:hAnsi="宋体" w:cs="宋体" w:hint="eastAsia"/>
            <w:bCs/>
            <w:sz w:val="24"/>
            <w:szCs w:val="24"/>
          </w:rPr>
          <w:t>4.</w:t>
        </w:r>
        <w:r>
          <w:rPr>
            <w:rFonts w:ascii="宋体" w:eastAsia="宋体" w:hAnsi="宋体" w:cs="宋体" w:hint="eastAsia"/>
            <w:bCs/>
            <w:sz w:val="24"/>
            <w:szCs w:val="24"/>
            <w:lang w:val="en-US" w:eastAsia="zh-CN"/>
          </w:rPr>
          <w:t>1加强</w:t>
        </w:r>
        <w:r>
          <w:rPr>
            <w:rFonts w:ascii="宋体" w:eastAsia="宋体" w:hAnsi="宋体" w:cs="宋体" w:hint="eastAsia"/>
            <w:bCs/>
            <w:sz w:val="24"/>
            <w:szCs w:val="24"/>
          </w:rPr>
          <w:t>应收账款</w:t>
        </w:r>
        <w:r>
          <w:rPr>
            <w:rFonts w:ascii="宋体" w:eastAsia="宋体" w:hAnsi="宋体" w:cs="宋体" w:hint="eastAsia"/>
            <w:bCs/>
            <w:sz w:val="24"/>
            <w:szCs w:val="24"/>
            <w:lang w:val="en-US" w:eastAsia="zh-CN"/>
          </w:rPr>
          <w:t>日常监督</w:t>
        </w:r>
        <w:r>
          <w:rPr>
            <w:rFonts w:ascii="宋体" w:eastAsia="宋体" w:hAnsi="宋体" w:cs="宋体" w:hint="eastAsia"/>
            <w:bCs/>
            <w:sz w:val="24"/>
            <w:szCs w:val="24"/>
          </w:rPr>
          <w:t>管</w:t>
        </w:r>
        <w:r>
          <w:rPr>
            <w:rFonts w:ascii="宋体" w:eastAsia="宋体" w:hAnsi="宋体" w:cs="宋体" w:hint="eastAsia"/>
            <w:bCs/>
            <w:sz w:val="24"/>
            <w:szCs w:val="24"/>
            <w:lang w:val="en-US" w:eastAsia="zh-CN"/>
          </w:rPr>
          <w:t>理</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_Toc2866 \h </w:instrText>
        </w:r>
        <w:r>
          <w:rPr>
            <w:rFonts w:ascii="宋体" w:eastAsia="宋体" w:hAnsi="宋体" w:cs="宋体" w:hint="eastAsia"/>
            <w:sz w:val="24"/>
            <w:szCs w:val="24"/>
          </w:rPr>
          <w:fldChar w:fldCharType="separate"/>
        </w:r>
        <w:r>
          <w:rPr>
            <w:rFonts w:ascii="宋体" w:eastAsia="宋体" w:hAnsi="宋体" w:cs="宋体" w:hint="eastAsia"/>
            <w:sz w:val="24"/>
            <w:szCs w:val="24"/>
          </w:rPr>
          <w:t>19</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after="100"/>
        <w:ind w:left="0" w:firstLine="480" w:leftChars="0" w:firstLineChars="200"/>
        <w:textAlignment w:val="auto"/>
        <w:rPr>
          <w:rFonts w:ascii="宋体" w:eastAsia="宋体" w:hAnsi="宋体" w:cs="宋体" w:hint="eastAsia"/>
          <w:sz w:val="24"/>
          <w:szCs w:val="24"/>
        </w:rPr>
      </w:pPr>
      <w:hyperlink w:anchor="_Toc11452" w:history="1">
        <w:r>
          <w:rPr>
            <w:rFonts w:ascii="宋体" w:eastAsia="宋体" w:hAnsi="宋体" w:cs="宋体" w:hint="eastAsia"/>
            <w:sz w:val="24"/>
            <w:szCs w:val="24"/>
            <w:lang w:val="en-US" w:eastAsia="zh-CN"/>
          </w:rPr>
          <w:t>4.1.1加强对未收回款项的跟进</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_Toc11452 \h </w:instrText>
        </w:r>
        <w:r>
          <w:rPr>
            <w:rFonts w:ascii="宋体" w:eastAsia="宋体" w:hAnsi="宋体" w:cs="宋体" w:hint="eastAsia"/>
            <w:sz w:val="24"/>
            <w:szCs w:val="24"/>
          </w:rPr>
          <w:fldChar w:fldCharType="separate"/>
        </w:r>
        <w:r>
          <w:rPr>
            <w:rFonts w:ascii="宋体" w:eastAsia="宋体" w:hAnsi="宋体" w:cs="宋体" w:hint="eastAsia"/>
            <w:sz w:val="24"/>
            <w:szCs w:val="24"/>
          </w:rPr>
          <w:t>19</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after="100"/>
        <w:ind w:left="221" w:firstLine="240" w:leftChars="0" w:firstLineChars="100"/>
        <w:textAlignment w:val="auto"/>
        <w:rPr>
          <w:rFonts w:ascii="宋体" w:eastAsia="宋体" w:hAnsi="宋体" w:cs="宋体" w:hint="eastAsia"/>
          <w:sz w:val="24"/>
          <w:szCs w:val="24"/>
        </w:rPr>
      </w:pPr>
      <w:hyperlink w:anchor="_Toc21387" w:history="1">
        <w:r>
          <w:rPr>
            <w:rFonts w:ascii="宋体" w:eastAsia="宋体" w:hAnsi="宋体" w:cs="宋体" w:hint="eastAsia"/>
            <w:sz w:val="24"/>
            <w:szCs w:val="24"/>
            <w:lang w:val="en-US" w:eastAsia="zh-CN"/>
          </w:rPr>
          <w:t>4.1.2鼓励公司所有部门参与监督工作</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_Toc21387 \h </w:instrText>
        </w:r>
        <w:r>
          <w:rPr>
            <w:rFonts w:ascii="宋体" w:eastAsia="宋体" w:hAnsi="宋体" w:cs="宋体" w:hint="eastAsia"/>
            <w:sz w:val="24"/>
            <w:szCs w:val="24"/>
          </w:rPr>
          <w:fldChar w:fldCharType="separate"/>
        </w:r>
        <w:r>
          <w:rPr>
            <w:rFonts w:ascii="宋体" w:eastAsia="宋体" w:hAnsi="宋体" w:cs="宋体" w:hint="eastAsia"/>
            <w:sz w:val="24"/>
            <w:szCs w:val="24"/>
          </w:rPr>
          <w:t>19</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after="100"/>
        <w:ind w:left="221" w:firstLine="240" w:leftChars="0" w:firstLineChars="100"/>
        <w:textAlignment w:val="auto"/>
        <w:rPr>
          <w:rFonts w:ascii="宋体" w:eastAsia="宋体" w:hAnsi="宋体" w:cs="宋体" w:hint="eastAsia"/>
          <w:sz w:val="24"/>
          <w:szCs w:val="24"/>
        </w:rPr>
      </w:pPr>
      <w:hyperlink w:anchor="_Toc20548" w:history="1">
        <w:r>
          <w:rPr>
            <w:rFonts w:ascii="宋体" w:eastAsia="宋体" w:hAnsi="宋体" w:cs="宋体" w:hint="eastAsia"/>
            <w:sz w:val="24"/>
            <w:szCs w:val="24"/>
            <w:lang w:val="en-US" w:eastAsia="zh-CN"/>
          </w:rPr>
          <w:t>4.1.3完善赊销制度</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_Toc20548 \h </w:instrText>
        </w:r>
        <w:r>
          <w:rPr>
            <w:rFonts w:ascii="宋体" w:eastAsia="宋体" w:hAnsi="宋体" w:cs="宋体" w:hint="eastAsia"/>
            <w:sz w:val="24"/>
            <w:szCs w:val="24"/>
          </w:rPr>
          <w:fldChar w:fldCharType="separate"/>
        </w:r>
        <w:r>
          <w:rPr>
            <w:rFonts w:ascii="宋体" w:eastAsia="宋体" w:hAnsi="宋体" w:cs="宋体" w:hint="eastAsia"/>
            <w:sz w:val="24"/>
            <w:szCs w:val="24"/>
          </w:rPr>
          <w:t>20</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after="100"/>
        <w:ind w:left="221" w:firstLine="240" w:leftChars="0" w:firstLineChars="100"/>
        <w:textAlignment w:val="auto"/>
        <w:rPr>
          <w:rFonts w:ascii="宋体" w:eastAsia="宋体" w:hAnsi="宋体" w:cs="宋体" w:hint="eastAsia"/>
          <w:sz w:val="24"/>
          <w:szCs w:val="24"/>
        </w:rPr>
      </w:pPr>
      <w:hyperlink w:anchor="_Toc3160" w:history="1">
        <w:r>
          <w:rPr>
            <w:rFonts w:ascii="宋体" w:eastAsia="宋体" w:hAnsi="宋体" w:cs="宋体" w:hint="eastAsia"/>
            <w:bCs/>
            <w:sz w:val="24"/>
            <w:szCs w:val="24"/>
            <w:lang w:val="en-US" w:eastAsia="zh-CN"/>
          </w:rPr>
          <w:t>4.1.4</w:t>
        </w:r>
        <w:r>
          <w:rPr>
            <w:rFonts w:ascii="宋体" w:eastAsia="宋体" w:hAnsi="宋体" w:cs="宋体" w:hint="eastAsia"/>
            <w:bCs/>
            <w:sz w:val="24"/>
            <w:szCs w:val="24"/>
          </w:rPr>
          <w:t>建立完备的坏账准备机制</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_Toc3160 \h </w:instrText>
        </w:r>
        <w:r>
          <w:rPr>
            <w:rFonts w:ascii="宋体" w:eastAsia="宋体" w:hAnsi="宋体" w:cs="宋体" w:hint="eastAsia"/>
            <w:sz w:val="24"/>
            <w:szCs w:val="24"/>
          </w:rPr>
          <w:fldChar w:fldCharType="separate"/>
        </w:r>
        <w:r>
          <w:rPr>
            <w:rFonts w:ascii="宋体" w:eastAsia="宋体" w:hAnsi="宋体" w:cs="宋体" w:hint="eastAsia"/>
            <w:sz w:val="24"/>
            <w:szCs w:val="24"/>
          </w:rPr>
          <w:t>20</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after="100"/>
        <w:ind w:left="221" w:leftChars="0"/>
        <w:textAlignment w:val="auto"/>
        <w:rPr>
          <w:rFonts w:ascii="宋体" w:eastAsia="宋体" w:hAnsi="宋体" w:cs="宋体" w:hint="eastAsia"/>
          <w:sz w:val="24"/>
          <w:szCs w:val="24"/>
        </w:rPr>
      </w:pPr>
      <w:hyperlink w:anchor="_Toc28752" w:history="1">
        <w:r>
          <w:rPr>
            <w:rFonts w:ascii="宋体" w:eastAsia="宋体" w:hAnsi="宋体" w:cs="宋体" w:hint="eastAsia"/>
            <w:sz w:val="24"/>
            <w:szCs w:val="24"/>
          </w:rPr>
          <w:t>4.</w:t>
        </w:r>
        <w:r>
          <w:rPr>
            <w:rFonts w:ascii="宋体" w:eastAsia="宋体" w:hAnsi="宋体" w:cs="宋体" w:hint="eastAsia"/>
            <w:sz w:val="24"/>
            <w:szCs w:val="24"/>
            <w:lang w:val="en-US" w:eastAsia="zh-CN"/>
          </w:rPr>
          <w:t>2</w:t>
        </w:r>
        <w:r>
          <w:rPr>
            <w:rFonts w:ascii="宋体" w:eastAsia="宋体" w:hAnsi="宋体" w:cs="宋体" w:hint="eastAsia"/>
            <w:sz w:val="24"/>
            <w:szCs w:val="24"/>
          </w:rPr>
          <w:t>建立</w:t>
        </w:r>
        <w:r>
          <w:rPr>
            <w:rFonts w:ascii="宋体" w:eastAsia="宋体" w:hAnsi="宋体" w:cs="宋体" w:hint="eastAsia"/>
            <w:sz w:val="24"/>
            <w:szCs w:val="24"/>
            <w:lang w:val="en-US" w:eastAsia="zh-CN"/>
          </w:rPr>
          <w:t>完整的信用</w:t>
        </w:r>
        <w:r>
          <w:rPr>
            <w:rFonts w:ascii="宋体" w:eastAsia="宋体" w:hAnsi="宋体" w:cs="宋体" w:hint="eastAsia"/>
            <w:sz w:val="24"/>
            <w:szCs w:val="24"/>
          </w:rPr>
          <w:t>管理</w:t>
        </w:r>
        <w:r>
          <w:rPr>
            <w:rFonts w:ascii="宋体" w:eastAsia="宋体" w:hAnsi="宋体" w:cs="宋体" w:hint="eastAsia"/>
            <w:sz w:val="24"/>
            <w:szCs w:val="24"/>
            <w:lang w:val="en-US" w:eastAsia="zh-CN"/>
          </w:rPr>
          <w:t>体系</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_Toc28752 \h </w:instrText>
        </w:r>
        <w:r>
          <w:rPr>
            <w:rFonts w:ascii="宋体" w:eastAsia="宋体" w:hAnsi="宋体" w:cs="宋体" w:hint="eastAsia"/>
            <w:sz w:val="24"/>
            <w:szCs w:val="24"/>
          </w:rPr>
          <w:fldChar w:fldCharType="separate"/>
        </w:r>
        <w:r>
          <w:rPr>
            <w:rFonts w:ascii="宋体" w:eastAsia="宋体" w:hAnsi="宋体" w:cs="宋体" w:hint="eastAsia"/>
            <w:sz w:val="24"/>
            <w:szCs w:val="24"/>
          </w:rPr>
          <w:t>20</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after="100"/>
        <w:ind w:left="221" w:firstLine="240" w:leftChars="0" w:firstLineChars="100"/>
        <w:textAlignment w:val="auto"/>
        <w:rPr>
          <w:rFonts w:ascii="宋体" w:eastAsia="宋体" w:hAnsi="宋体" w:cs="宋体" w:hint="eastAsia"/>
          <w:sz w:val="24"/>
          <w:szCs w:val="24"/>
        </w:rPr>
      </w:pPr>
      <w:hyperlink w:anchor="_Toc12029" w:history="1">
        <w:r>
          <w:rPr>
            <w:rFonts w:ascii="宋体" w:eastAsia="宋体" w:hAnsi="宋体" w:cs="宋体" w:hint="eastAsia"/>
            <w:sz w:val="24"/>
            <w:szCs w:val="24"/>
            <w:lang w:val="en-US" w:eastAsia="zh-CN"/>
          </w:rPr>
          <w:t>4.2.1增设独立信用管理部门</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_Toc12029 \h </w:instrText>
        </w:r>
        <w:r>
          <w:rPr>
            <w:rFonts w:ascii="宋体" w:eastAsia="宋体" w:hAnsi="宋体" w:cs="宋体" w:hint="eastAsia"/>
            <w:sz w:val="24"/>
            <w:szCs w:val="24"/>
          </w:rPr>
          <w:fldChar w:fldCharType="separate"/>
        </w:r>
        <w:r>
          <w:rPr>
            <w:rFonts w:ascii="宋体" w:eastAsia="宋体" w:hAnsi="宋体" w:cs="宋体" w:hint="eastAsia"/>
            <w:sz w:val="24"/>
            <w:szCs w:val="24"/>
          </w:rPr>
          <w:t>20</w:t>
        </w:r>
        <w:r>
          <w:rPr>
            <w:rFonts w:ascii="宋体" w:eastAsia="宋体" w:hAnsi="宋体" w:cs="宋体" w:hint="eastAsia"/>
            <w:sz w:val="24"/>
            <w:szCs w:val="24"/>
          </w:rPr>
          <w:fldChar w:fldCharType="end"/>
        </w:r>
      </w:hyperlink>
    </w:p>
    <w:p>
      <w:pPr>
        <w:pStyle w:val="TOC3"/>
        <w:keepNext w:val="0"/>
        <w:keepLines w:val="0"/>
        <w:pageBreakBefore w:val="0"/>
        <w:widowControl w:val="0"/>
        <w:tabs>
          <w:tab w:val="right" w:leader="dot" w:pos="9355"/>
        </w:tabs>
        <w:kinsoku/>
        <w:wordWrap/>
        <w:overflowPunct/>
        <w:topLinePunct w:val="0"/>
        <w:autoSpaceDE/>
        <w:autoSpaceDN/>
        <w:bidi w:val="0"/>
        <w:adjustRightInd/>
        <w:snapToGrid/>
        <w:spacing w:after="100"/>
        <w:ind w:left="221" w:firstLine="240" w:leftChars="0" w:firstLineChars="100"/>
        <w:textAlignment w:val="auto"/>
        <w:rPr>
          <w:rFonts w:ascii="宋体" w:eastAsia="宋体" w:hAnsi="宋体" w:cs="宋体" w:hint="eastAsia"/>
          <w:sz w:val="24"/>
          <w:szCs w:val="24"/>
        </w:rPr>
      </w:pPr>
      <w:hyperlink w:anchor="_Toc22946" w:history="1">
        <w:r>
          <w:rPr>
            <w:rFonts w:ascii="宋体" w:eastAsia="宋体" w:hAnsi="宋体" w:cs="宋体" w:hint="eastAsia"/>
            <w:sz w:val="24"/>
            <w:szCs w:val="24"/>
            <w:lang w:val="en-US" w:eastAsia="zh-CN"/>
          </w:rPr>
          <w:t>4.2.2设立信用专员管理客户信用档案</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_Toc22946 \h </w:instrText>
        </w:r>
        <w:r>
          <w:rPr>
            <w:rFonts w:ascii="宋体" w:eastAsia="宋体" w:hAnsi="宋体" w:cs="宋体" w:hint="eastAsia"/>
            <w:sz w:val="24"/>
            <w:szCs w:val="24"/>
          </w:rPr>
          <w:fldChar w:fldCharType="separate"/>
        </w:r>
        <w:r>
          <w:rPr>
            <w:rFonts w:ascii="宋体" w:eastAsia="宋体" w:hAnsi="宋体" w:cs="宋体" w:hint="eastAsia"/>
            <w:sz w:val="24"/>
            <w:szCs w:val="24"/>
          </w:rPr>
          <w:t>21</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after="100"/>
        <w:ind w:left="221" w:leftChars="0"/>
        <w:textAlignment w:val="auto"/>
        <w:rPr>
          <w:rFonts w:ascii="宋体" w:eastAsia="宋体" w:hAnsi="宋体" w:cs="宋体" w:hint="eastAsia"/>
          <w:sz w:val="24"/>
          <w:szCs w:val="24"/>
        </w:rPr>
      </w:pPr>
      <w:hyperlink w:anchor="_Toc29282" w:history="1">
        <w:r>
          <w:rPr>
            <w:rFonts w:ascii="宋体" w:eastAsia="宋体" w:hAnsi="宋体" w:cs="宋体" w:hint="eastAsia"/>
            <w:sz w:val="24"/>
            <w:szCs w:val="24"/>
          </w:rPr>
          <w:t>4.</w:t>
        </w:r>
        <w:r>
          <w:rPr>
            <w:rFonts w:ascii="宋体" w:eastAsia="宋体" w:hAnsi="宋体" w:cs="宋体" w:hint="eastAsia"/>
            <w:sz w:val="24"/>
            <w:szCs w:val="24"/>
            <w:lang w:val="en-US" w:eastAsia="zh-CN"/>
          </w:rPr>
          <w:t>3</w:t>
        </w:r>
        <w:r>
          <w:rPr>
            <w:rFonts w:ascii="宋体" w:eastAsia="宋体" w:hAnsi="宋体" w:cs="宋体" w:hint="eastAsia"/>
            <w:sz w:val="24"/>
            <w:szCs w:val="24"/>
          </w:rPr>
          <w:t>加强应</w:t>
        </w:r>
        <w:r>
          <w:rPr>
            <w:rFonts w:ascii="宋体" w:eastAsia="宋体" w:hAnsi="宋体" w:cs="宋体" w:hint="eastAsia"/>
            <w:sz w:val="24"/>
            <w:szCs w:val="24"/>
            <w:lang w:val="en-US" w:eastAsia="zh-CN"/>
          </w:rPr>
          <w:t>企业</w:t>
        </w:r>
        <w:r>
          <w:rPr>
            <w:rFonts w:ascii="宋体" w:eastAsia="宋体" w:hAnsi="宋体" w:cs="宋体" w:hint="eastAsia"/>
            <w:sz w:val="24"/>
            <w:szCs w:val="24"/>
          </w:rPr>
          <w:t>风险防范意识</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_Toc29282 \h </w:instrText>
        </w:r>
        <w:r>
          <w:rPr>
            <w:rFonts w:ascii="宋体" w:eastAsia="宋体" w:hAnsi="宋体" w:cs="宋体" w:hint="eastAsia"/>
            <w:sz w:val="24"/>
            <w:szCs w:val="24"/>
          </w:rPr>
          <w:fldChar w:fldCharType="separate"/>
        </w:r>
        <w:r>
          <w:rPr>
            <w:rFonts w:ascii="宋体" w:eastAsia="宋体" w:hAnsi="宋体" w:cs="宋体" w:hint="eastAsia"/>
            <w:sz w:val="24"/>
            <w:szCs w:val="24"/>
          </w:rPr>
          <w:t>21</w:t>
        </w:r>
        <w:r>
          <w:rPr>
            <w:rFonts w:ascii="宋体" w:eastAsia="宋体" w:hAnsi="宋体" w:cs="宋体" w:hint="eastAsia"/>
            <w:sz w:val="24"/>
            <w:szCs w:val="24"/>
          </w:rPr>
          <w:fldChar w:fldCharType="end"/>
        </w:r>
      </w:hyperlink>
    </w:p>
    <w:p>
      <w:pPr>
        <w:pStyle w:val="TOC2"/>
        <w:keepNext w:val="0"/>
        <w:keepLines w:val="0"/>
        <w:pageBreakBefore w:val="0"/>
        <w:widowControl w:val="0"/>
        <w:tabs>
          <w:tab w:val="right" w:leader="dot" w:pos="9355"/>
        </w:tabs>
        <w:kinsoku/>
        <w:wordWrap/>
        <w:overflowPunct/>
        <w:topLinePunct w:val="0"/>
        <w:autoSpaceDE/>
        <w:autoSpaceDN/>
        <w:bidi w:val="0"/>
        <w:adjustRightInd/>
        <w:snapToGrid/>
        <w:spacing w:after="100"/>
        <w:ind w:left="221" w:leftChars="0"/>
        <w:textAlignment w:val="auto"/>
        <w:rPr>
          <w:rFonts w:ascii="宋体" w:eastAsia="宋体" w:hAnsi="宋体" w:cs="宋体" w:hint="eastAsia"/>
          <w:sz w:val="28"/>
          <w:szCs w:val="28"/>
        </w:rPr>
      </w:pPr>
      <w:hyperlink w:anchor="_Toc14344" w:history="1">
        <w:r>
          <w:rPr>
            <w:rFonts w:ascii="宋体" w:eastAsia="宋体" w:hAnsi="宋体" w:cs="宋体" w:hint="eastAsia"/>
            <w:bCs/>
            <w:sz w:val="24"/>
            <w:szCs w:val="24"/>
            <w:lang w:val="en-US" w:eastAsia="zh-CN"/>
          </w:rPr>
          <w:t>4.4积极维护客户关系及市场</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_Toc14344 \h </w:instrText>
        </w:r>
        <w:r>
          <w:rPr>
            <w:rFonts w:ascii="宋体" w:eastAsia="宋体" w:hAnsi="宋体" w:cs="宋体" w:hint="eastAsia"/>
            <w:sz w:val="24"/>
            <w:szCs w:val="24"/>
          </w:rPr>
          <w:fldChar w:fldCharType="separate"/>
        </w:r>
        <w:r>
          <w:rPr>
            <w:rFonts w:ascii="宋体" w:eastAsia="宋体" w:hAnsi="宋体" w:cs="宋体" w:hint="eastAsia"/>
            <w:sz w:val="24"/>
            <w:szCs w:val="24"/>
          </w:rPr>
          <w:t>22</w:t>
        </w:r>
        <w:r>
          <w:rPr>
            <w:rFonts w:ascii="宋体" w:eastAsia="宋体" w:hAnsi="宋体" w:cs="宋体" w:hint="eastAsia"/>
            <w:sz w:val="24"/>
            <w:szCs w:val="24"/>
          </w:rPr>
          <w:fldChar w:fldCharType="end"/>
        </w:r>
      </w:hyperlink>
    </w:p>
    <w:p>
      <w:pPr>
        <w:pStyle w:val="TOC1"/>
        <w:keepNext w:val="0"/>
        <w:keepLines w:val="0"/>
        <w:pageBreakBefore w:val="0"/>
        <w:widowControl w:val="0"/>
        <w:tabs>
          <w:tab w:val="right" w:leader="dot" w:pos="9355"/>
        </w:tabs>
        <w:kinsoku/>
        <w:wordWrap/>
        <w:overflowPunct/>
        <w:topLinePunct w:val="0"/>
        <w:autoSpaceDE/>
        <w:autoSpaceDN/>
        <w:bidi w:val="0"/>
        <w:adjustRightInd/>
        <w:snapToGrid/>
        <w:spacing w:after="100"/>
        <w:ind w:left="0" w:leftChars="0"/>
        <w:textAlignment w:val="auto"/>
        <w:rPr>
          <w:rFonts w:ascii="宋体" w:eastAsia="宋体" w:hAnsi="宋体" w:cs="宋体" w:hint="eastAsia"/>
          <w:b/>
          <w:bCs/>
          <w:sz w:val="28"/>
          <w:szCs w:val="28"/>
        </w:rPr>
      </w:pPr>
      <w:hyperlink w:anchor="_Toc27026" w:history="1">
        <w:r>
          <w:rPr>
            <w:rFonts w:ascii="宋体" w:eastAsia="宋体" w:hAnsi="宋体" w:cs="宋体" w:hint="eastAsia"/>
            <w:b/>
            <w:bCs/>
            <w:sz w:val="28"/>
            <w:szCs w:val="28"/>
          </w:rPr>
          <w:t>参考文献</w:t>
        </w:r>
        <w:r>
          <w:rPr>
            <w:rFonts w:ascii="Calibri" w:eastAsia="宋体" w:hAnsi="Calibri" w:cs="Calibri" w:hint="eastAsia"/>
            <w:b w:val="0"/>
            <w:bCs w:val="0"/>
            <w:kern w:val="2"/>
            <w:sz w:val="32"/>
            <w:szCs w:val="32"/>
            <w:lang w:val="en-US" w:eastAsia="zh-CN" w:bidi="ar-SA"/>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_Toc27026 \h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24</w:t>
        </w:r>
        <w:r>
          <w:rPr>
            <w:rFonts w:ascii="宋体" w:eastAsia="宋体" w:hAnsi="宋体" w:cs="宋体" w:hint="eastAsia"/>
            <w:b w:val="0"/>
            <w:bCs w:val="0"/>
            <w:sz w:val="24"/>
            <w:szCs w:val="24"/>
          </w:rPr>
          <w:fldChar w:fldCharType="end"/>
        </w:r>
      </w:hyperlink>
    </w:p>
    <w:p>
      <w:pPr>
        <w:autoSpaceDE w:val="0"/>
        <w:autoSpaceDN w:val="0"/>
        <w:jc w:val="center"/>
        <w:outlineLvl w:val="0"/>
        <w:rPr>
          <w:rStyle w:val="1"/>
          <w:rFonts w:hint="eastAsia"/>
        </w:rPr>
        <w:sectPr>
          <w:headerReference w:type="even" r:id="rId9"/>
          <w:headerReference w:type="default" r:id="rId10"/>
          <w:footerReference w:type="even" r:id="rId11"/>
          <w:footerReference w:type="default" r:id="rId12"/>
          <w:type w:val="nextPage"/>
          <w:pgSz w:w="11906" w:h="16838"/>
          <w:pgMar w:top="1417" w:right="1134" w:bottom="1134" w:left="1417" w:header="851" w:footer="992" w:gutter="0"/>
          <w:pgNumType w:fmt="upperRoman" w:start="2"/>
          <w:cols w:num="1" w:space="425"/>
          <w:titlePg w:val="0"/>
          <w:docGrid w:type="lines" w:linePitch="312" w:charSpace="0"/>
        </w:sectPr>
      </w:pPr>
      <w:r>
        <w:rPr>
          <w:rFonts w:ascii="宋体" w:eastAsia="宋体" w:hAnsi="宋体" w:cs="宋体" w:hint="eastAsia"/>
        </w:rPr>
        <w:fldChar w:fldCharType="end"/>
      </w:r>
    </w:p>
    <w:p>
      <w:pPr>
        <w:autoSpaceDE w:val="0"/>
        <w:autoSpaceDN w:val="0"/>
        <w:jc w:val="center"/>
        <w:outlineLvl w:val="0"/>
        <w:rPr>
          <w:rFonts w:ascii="宋体" w:hAnsi="宋体"/>
          <w:color w:val="FF0000"/>
        </w:rPr>
      </w:pPr>
      <w:bookmarkStart w:id="1" w:name="_Toc13963"/>
      <w:bookmarkStart w:id="2" w:name="_Toc18672"/>
      <w:r>
        <w:rPr>
          <w:rStyle w:val="1"/>
          <w:rFonts w:hint="eastAsia"/>
        </w:rPr>
        <w:t>第一章 应收账款管理概述</w:t>
      </w:r>
      <w:bookmarkEnd w:id="1"/>
      <w:bookmarkEnd w:id="2"/>
    </w:p>
    <w:p>
      <w:pPr>
        <w:pStyle w:val="Heading2"/>
        <w:pageBreakBefore w:val="0"/>
        <w:widowControl w:val="0"/>
        <w:kinsoku/>
        <w:wordWrap/>
        <w:overflowPunct/>
        <w:topLinePunct w:val="0"/>
        <w:autoSpaceDE/>
        <w:autoSpaceDN/>
        <w:bidi w:val="0"/>
        <w:adjustRightInd/>
        <w:snapToGrid/>
        <w:spacing w:before="0" w:after="0" w:line="360" w:lineRule="auto"/>
        <w:textAlignment w:val="auto"/>
        <w:rPr>
          <w:rFonts w:eastAsia="宋体" w:hint="eastAsia"/>
          <w:lang w:val="en-US" w:eastAsia="zh-CN"/>
        </w:rPr>
      </w:pPr>
      <w:bookmarkStart w:id="3" w:name="_Toc32491"/>
      <w:bookmarkStart w:id="4" w:name="_Toc23482"/>
      <w:r>
        <w:rPr>
          <w:rFonts w:ascii="宋体" w:eastAsia="宋体" w:hAnsi="宋体" w:cs="宋体" w:hint="eastAsia"/>
        </w:rPr>
        <w:t>1</w:t>
      </w:r>
      <w:r>
        <w:rPr>
          <w:rFonts w:hint="eastAsia"/>
        </w:rPr>
        <w:t>.</w:t>
      </w:r>
      <w:r>
        <w:rPr>
          <w:rFonts w:ascii="宋体" w:eastAsia="宋体" w:hAnsi="宋体" w:cs="宋体" w:hint="eastAsia"/>
        </w:rPr>
        <w:t>1</w:t>
      </w:r>
      <w:r>
        <w:rPr>
          <w:rFonts w:hint="eastAsia"/>
        </w:rPr>
        <w:t>应收账款</w:t>
      </w:r>
      <w:r>
        <w:rPr>
          <w:rFonts w:hint="eastAsia"/>
          <w:lang w:val="en-US" w:eastAsia="zh-CN"/>
        </w:rPr>
        <w:t>相关</w:t>
      </w:r>
      <w:r>
        <w:rPr>
          <w:rFonts w:hint="eastAsia"/>
        </w:rPr>
        <w:t>概</w:t>
      </w:r>
      <w:r>
        <w:rPr>
          <w:rFonts w:hint="eastAsia"/>
          <w:lang w:val="en-US" w:eastAsia="zh-CN"/>
        </w:rPr>
        <w:t>述</w:t>
      </w:r>
      <w:bookmarkEnd w:id="3"/>
      <w:bookmarkEnd w:id="4"/>
    </w:p>
    <w:p>
      <w:pPr>
        <w:pageBreakBefore w:val="0"/>
        <w:widowControl w:val="0"/>
        <w:kinsoku/>
        <w:wordWrap/>
        <w:overflowPunct/>
        <w:topLinePunct w:val="0"/>
        <w:autoSpaceDE/>
        <w:autoSpaceDN/>
        <w:bidi w:val="0"/>
        <w:adjustRightInd/>
        <w:snapToGrid/>
        <w:spacing w:before="0" w:after="0" w:line="360" w:lineRule="auto"/>
        <w:textAlignment w:val="auto"/>
        <w:outlineLvl w:val="9"/>
        <w:rPr>
          <w:rFonts w:hint="default"/>
        </w:rPr>
      </w:pPr>
      <w:bookmarkStart w:id="5" w:name="_Toc19382"/>
      <w:bookmarkStart w:id="6" w:name="_Toc9996"/>
      <w:bookmarkStart w:id="7" w:name="_Toc32247"/>
      <w:r>
        <w:rPr>
          <w:rFonts w:ascii="宋体" w:eastAsia="宋体" w:hAnsi="宋体" w:cs="宋体" w:hint="eastAsia"/>
        </w:rPr>
        <w:t>1</w:t>
      </w:r>
      <w:r>
        <w:rPr>
          <w:rFonts w:hint="eastAsia"/>
        </w:rPr>
        <w:t>.</w:t>
      </w:r>
      <w:r>
        <w:rPr>
          <w:rFonts w:ascii="宋体" w:eastAsia="宋体" w:hAnsi="宋体" w:cs="宋体" w:hint="eastAsia"/>
        </w:rPr>
        <w:t>1</w:t>
      </w:r>
      <w:r>
        <w:rPr>
          <w:rFonts w:hint="eastAsia"/>
        </w:rPr>
        <w:t>.</w:t>
      </w:r>
      <w:r>
        <w:rPr>
          <w:rFonts w:ascii="宋体" w:eastAsia="宋体" w:hAnsi="宋体" w:cs="宋体" w:hint="eastAsia"/>
        </w:rPr>
        <w:t>1</w:t>
      </w:r>
      <w:r>
        <w:rPr>
          <w:rFonts w:hint="eastAsia"/>
        </w:rPr>
        <w:t>应收账款</w:t>
      </w:r>
      <w:bookmarkEnd w:id="5"/>
      <w:r>
        <w:rPr>
          <w:rFonts w:hint="eastAsia"/>
          <w:lang w:val="en-US" w:eastAsia="zh-CN"/>
        </w:rPr>
        <w:t>的概念</w:t>
      </w:r>
      <w:bookmarkEnd w:id="6"/>
      <w:bookmarkEnd w:id="7"/>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rPr>
      </w:pPr>
      <w:r>
        <w:rPr>
          <w:rFonts w:hint="eastAsia"/>
        </w:rPr>
        <w:t>应收账款是企业以商业信用为基础，应向商品或服务的买方收取但未及时收回的买方占用的金额。</w:t>
      </w:r>
      <w:bookmarkStart w:id="8" w:name="_Toc23313"/>
      <w:bookmarkStart w:id="9" w:name="_Toc5319"/>
      <w:bookmarkStart w:id="10" w:name="_Toc6568"/>
      <w:r>
        <w:rPr>
          <w:rFonts w:hint="default"/>
          <w:lang w:val="en-US"/>
        </w:rPr>
        <w:t>对于企业来说，应收账款的倚靠是商业信用，在此基础上形成债权。应收账款除了本身的商品劳务价值，也包括买方需承担的税金，代垫的杂运费和现金折扣</w:t>
      </w:r>
      <w:r>
        <w:rPr>
          <w:rFonts w:hint="eastAsia"/>
          <w:lang w:val="en-US" w:eastAsia="zh-CN"/>
        </w:rPr>
        <w:t>。</w:t>
      </w:r>
    </w:p>
    <w:p>
      <w:r>
        <w:rPr>
          <w:rFonts w:ascii="宋体" w:eastAsia="宋体" w:hAnsi="宋体" w:cs="宋体" w:hint="eastAsia"/>
        </w:rPr>
        <w:t>1</w:t>
      </w:r>
      <w:r>
        <w:rPr>
          <w:rFonts w:hint="eastAsia"/>
        </w:rPr>
        <w:t>.</w:t>
      </w:r>
      <w:r>
        <w:rPr>
          <w:rFonts w:ascii="宋体" w:eastAsia="宋体" w:hAnsi="宋体" w:cs="宋体" w:hint="eastAsia"/>
        </w:rPr>
        <w:t>1</w:t>
      </w:r>
      <w:r>
        <w:rPr>
          <w:rFonts w:hint="eastAsia"/>
        </w:rPr>
        <w:t>.</w:t>
      </w:r>
      <w:r>
        <w:rPr>
          <w:rFonts w:ascii="宋体" w:eastAsia="宋体" w:hAnsi="宋体" w:cs="宋体" w:hint="eastAsia"/>
        </w:rPr>
        <w:t>2</w:t>
      </w:r>
      <w:bookmarkEnd w:id="8"/>
      <w:r>
        <w:rPr>
          <w:rFonts w:hint="eastAsia"/>
          <w:lang w:val="en-US" w:eastAsia="zh-CN"/>
        </w:rPr>
        <w:t>应收账款的影响</w:t>
      </w:r>
      <w:bookmarkEnd w:id="9"/>
      <w:bookmarkEnd w:id="10"/>
      <w:r>
        <w:rPr>
          <w:rFonts w:hint="eastAsia"/>
          <w:color w:val="FF0000"/>
        </w:rPr>
        <w:t xml:space="preserve"> </w:t>
      </w:r>
      <w:r>
        <w:rPr>
          <w:color w:val="FF0000"/>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rPr>
      </w:pPr>
      <w:r>
        <w:rPr>
          <w:rFonts w:hint="eastAsia"/>
          <w:lang w:val="en-US" w:eastAsia="zh-CN"/>
        </w:rPr>
        <w:t>对于企业来讲，应收账款有着积极和消极两方面影响。一方面，在竞争激烈的市场上，有客源才是王道，尤其是医药行业。通过赊销可以大大占用市场份额，吸引</w:t>
      </w:r>
      <w:r>
        <w:rPr>
          <w:rFonts w:hint="eastAsia"/>
          <w:color w:val="auto"/>
          <w:lang w:val="en-US" w:eastAsia="zh-CN"/>
        </w:rPr>
        <w:t>客户，增加销量。另一方面，应收账款也有着</w:t>
      </w:r>
      <w:r>
        <w:rPr>
          <w:rFonts w:hint="eastAsia"/>
          <w:color w:val="auto"/>
        </w:rPr>
        <w:t>较高的风险性。</w:t>
      </w:r>
    </w:p>
    <w:p>
      <w:pPr>
        <w:ind w:firstLine="480" w:firstLineChars="200"/>
        <w:rPr>
          <w:rFonts w:ascii="宋体" w:hAnsi="宋体"/>
          <w:color w:val="auto"/>
        </w:rPr>
      </w:pPr>
      <w:r>
        <w:rPr>
          <w:rFonts w:ascii="宋体" w:eastAsia="宋体" w:hAnsi="宋体" w:cs="宋体" w:hint="eastAsia"/>
          <w:i w:val="0"/>
          <w:iCs w:val="0"/>
          <w:color w:val="auto"/>
        </w:rPr>
        <w:t>首先,</w:t>
      </w:r>
      <w:r>
        <w:rPr>
          <w:rFonts w:ascii="宋体" w:hAnsi="宋体" w:hint="eastAsia"/>
          <w:color w:val="auto"/>
        </w:rPr>
        <w:t>信用销售模式最看重买家的信誉程度、买方企业资金流通情况以及买方企业经营情况是否良好，在信用销售过程中卖方资金流通情况取决于买家在收到货后，是否按照合同规定在付款期限内进行及时付款。如买方因银行信誉出现问题，致使买方企业资金链断裂或出现债务问题，那么债务人可能无法及时偿还债务,债权人的还款积极性将大大降低,同时买方拖延付款则会造成卖方资金流通不畅。即使卖方启动应急收款项目方案，买方也会存在因资金不足无法及时付款的现象发生，且卖方企业会面临贷款无法及时回收、企业资金流通不畅等问题。</w:t>
      </w:r>
    </w:p>
    <w:p>
      <w:pPr>
        <w:ind w:firstLine="480" w:firstLineChars="200"/>
        <w:rPr>
          <w:rFonts w:ascii="宋体" w:hAnsi="宋体"/>
          <w:color w:val="auto"/>
        </w:rPr>
      </w:pPr>
      <w:r>
        <w:rPr>
          <w:rFonts w:hint="eastAsia"/>
          <w:color w:val="auto"/>
        </w:rPr>
        <w:t>其次，回收成本上升。对于不能及时收回的款项，企业将选择由专业人员和法律手段收回。</w:t>
      </w:r>
      <w:r>
        <w:rPr>
          <w:rFonts w:ascii="宋体" w:hAnsi="宋体" w:hint="eastAsia"/>
          <w:color w:val="auto"/>
        </w:rPr>
        <w:t>在这个过程中,会不断消耗大量的公共组织人力物力资源以及社会价值资源，会降低中小企业员工的收入，增加中小型企业劳动成本并为企业员工带来经济压力。</w:t>
      </w:r>
    </w:p>
    <w:p>
      <w:pPr>
        <w:ind w:firstLine="480" w:firstLineChars="200"/>
        <w:rPr>
          <w:color w:val="FF0000"/>
        </w:rPr>
      </w:pPr>
      <w:r>
        <w:rPr>
          <w:rFonts w:hint="eastAsia"/>
          <w:color w:val="auto"/>
        </w:rPr>
        <w:t>最后，看似良好的赊销模式对卖家来说收回资金的时间过长。在交易时买卖双方会签订赊销合同，在合同中卖方会提出还款日期和还款数量，如资金较大时卖方会延长收款日期，但此做法对卖家来说存在较大风险，当应收回账款在总账款的占据比例较大时，会使买方还款日期延长，且不利于卖方收回整体应收款项。</w:t>
      </w:r>
    </w:p>
    <w:p>
      <w:pPr>
        <w:keepNext w:val="0"/>
        <w:keepLines w:val="0"/>
        <w:pageBreakBefore w:val="0"/>
        <w:widowControl w:val="0"/>
        <w:kinsoku/>
        <w:wordWrap/>
        <w:overflowPunct/>
        <w:topLinePunct w:val="0"/>
        <w:autoSpaceDE/>
        <w:autoSpaceDN/>
        <w:bidi w:val="0"/>
        <w:adjustRightInd/>
        <w:snapToGrid/>
        <w:textAlignment w:val="auto"/>
        <w:rPr>
          <w:rFonts w:hint="eastAsia"/>
        </w:rPr>
      </w:pPr>
      <w:bookmarkStart w:id="11" w:name="_Toc22991"/>
      <w:r>
        <w:rPr>
          <w:rFonts w:ascii="宋体" w:eastAsia="宋体" w:hAnsi="宋体" w:cs="宋体" w:hint="eastAsia"/>
          <w:lang w:val="en-US" w:eastAsia="zh-CN"/>
        </w:rPr>
        <w:t>1</w:t>
      </w:r>
      <w:r>
        <w:rPr>
          <w:rFonts w:hint="eastAsia"/>
          <w:lang w:val="en-US" w:eastAsia="zh-CN"/>
        </w:rPr>
        <w:t>.</w:t>
      </w:r>
      <w:r>
        <w:rPr>
          <w:rFonts w:ascii="宋体" w:eastAsia="宋体" w:hAnsi="宋体" w:cs="宋体" w:hint="eastAsia"/>
          <w:lang w:val="en-US" w:eastAsia="zh-CN"/>
        </w:rPr>
        <w:t>1</w:t>
      </w:r>
      <w:r>
        <w:rPr>
          <w:rFonts w:hint="eastAsia"/>
          <w:lang w:val="en-US" w:eastAsia="zh-CN"/>
        </w:rPr>
        <w:t>.</w:t>
      </w:r>
      <w:r>
        <w:rPr>
          <w:rFonts w:ascii="宋体" w:eastAsia="宋体" w:hAnsi="宋体" w:cs="宋体" w:hint="eastAsia"/>
          <w:lang w:val="en-US" w:eastAsia="zh-CN"/>
        </w:rPr>
        <w:t>3</w:t>
      </w:r>
      <w:r>
        <w:rPr>
          <w:rFonts w:hint="eastAsia"/>
        </w:rPr>
        <w:t>应收账款形成的原因</w:t>
      </w:r>
      <w:bookmarkEnd w:id="11"/>
    </w:p>
    <w:p>
      <w:pPr>
        <w:ind w:firstLine="480" w:firstLineChars="200"/>
        <w:sectPr>
          <w:headerReference w:type="even" r:id="rId13"/>
          <w:headerReference w:type="default" r:id="rId14"/>
          <w:footerReference w:type="even" r:id="rId15"/>
          <w:footerReference w:type="default" r:id="rId16"/>
          <w:pgSz w:w="11906" w:h="16838"/>
          <w:pgMar w:top="1417" w:right="1134" w:bottom="1134" w:left="1417" w:header="851" w:footer="992" w:gutter="0"/>
          <w:pgNumType w:fmt="decimal" w:start="3"/>
          <w:cols w:num="1" w:space="425"/>
          <w:docGrid w:type="lines" w:linePitch="312" w:charSpace="0"/>
        </w:sectPr>
      </w:pPr>
      <w:r>
        <w:rPr>
          <w:rFonts w:hint="eastAsia"/>
          <w:lang w:eastAsia="zh-CN"/>
        </w:rPr>
        <w:t>（</w:t>
      </w:r>
      <w:r>
        <w:rPr>
          <w:rFonts w:hint="eastAsia"/>
          <w:lang w:val="en-US" w:eastAsia="zh-CN"/>
        </w:rPr>
        <w:t>1</w:t>
      </w:r>
      <w:r>
        <w:rPr>
          <w:rFonts w:hint="eastAsia"/>
          <w:lang w:eastAsia="zh-CN"/>
        </w:rPr>
        <w:t>）</w:t>
      </w:r>
      <w:r>
        <w:rPr>
          <w:rFonts w:hint="eastAsia"/>
        </w:rPr>
        <w:t>外部原因</w:t>
      </w:r>
      <w:r>
        <w:rPr>
          <w:rFonts w:hint="eastAsia"/>
          <w:lang w:eastAsia="zh-CN"/>
        </w:rPr>
        <w:t>。近些年市场经济发展飞速，越来越激烈的竞争出现在各个行业。为了应对竞争，尤其是企业处于买方市场的角度时，为了得到更多客户的青睐，快速扩大市场份额，选择铤而走险的赊销方式。赊销是一种建立在商业信用之上的销售方式，</w:t>
      </w:r>
    </w:p>
    <w:p>
      <w:pPr>
        <w:ind w:firstLine="480" w:firstLineChars="200"/>
      </w:pPr>
      <w:r>
        <w:rPr>
          <w:rFonts w:hint="eastAsia"/>
        </w:rPr>
        <w:t>商品所有权的让渡和商品价值的实现产生了分离，销售方的资金在销售过程中被占用，由于大多数行业都是买方市场，</w:t>
      </w:r>
      <w:r>
        <w:rPr>
          <w:rFonts w:hint="eastAsia"/>
          <w:lang w:eastAsia="zh-CN"/>
        </w:rPr>
        <w:t>且同类竞争者非常多，在竞争商品的各方面因素差别不大的情况下选择赊销方式为客户提供资金时间差的企业，更容易被客户认可。由于在我国目前没有明确信用管理制度和体系，这种方式带来的风险是非常之高的。</w:t>
      </w:r>
    </w:p>
    <w:p>
      <w:pPr>
        <w:numPr>
          <w:ilvl w:val="0"/>
          <w:numId w:val="0"/>
        </w:numPr>
        <w:ind w:firstLine="480" w:firstLineChars="200"/>
        <w:rPr>
          <w:rFonts w:ascii="宋体" w:hAnsi="宋体" w:hint="eastAsia"/>
        </w:rPr>
      </w:pPr>
      <w:r>
        <w:rPr>
          <w:rFonts w:ascii="宋体" w:hAnsi="宋体" w:cs="宋体" w:hint="eastAsia"/>
          <w:lang w:val="en-US" w:eastAsia="zh-CN"/>
        </w:rPr>
        <w:t>（2）</w:t>
      </w:r>
      <w:r>
        <w:rPr>
          <w:rFonts w:hint="eastAsia"/>
        </w:rPr>
        <w:t>内部原因</w:t>
      </w:r>
      <w:r>
        <w:rPr>
          <w:rFonts w:hint="eastAsia"/>
          <w:lang w:eastAsia="zh-CN"/>
        </w:rPr>
        <w:t>。</w:t>
      </w:r>
      <w:bookmarkStart w:id="12" w:name="_Toc29840"/>
      <w:r>
        <w:rPr>
          <w:rFonts w:hint="eastAsia"/>
          <w:lang w:eastAsia="zh-CN"/>
        </w:rPr>
        <w:t>企业管理者的决策方向完全取决于利益是否能最大化，更注重如何扩大市场，扩大销售，完成任务等。对于应收账款会带来什么副作用缺乏认知，在如何科学合理的利用应收账款上也有所欠缺。一般企业在应收账款管理上会有相应的制度，但面对销售时，仍然会把管理制度放置在一遍，不走流程，以业务为主。这样就会使应收账款管理制度变成摆设，起不到防控作用。甚至还有一部分企业并未针对应收账款制定相应的管理体系。</w:t>
      </w:r>
    </w:p>
    <w:p>
      <w:pPr>
        <w:pStyle w:val="Heading2"/>
        <w:pageBreakBefore w:val="0"/>
        <w:widowControl w:val="0"/>
        <w:kinsoku/>
        <w:wordWrap/>
        <w:overflowPunct/>
        <w:topLinePunct w:val="0"/>
        <w:autoSpaceDE/>
        <w:autoSpaceDN/>
        <w:bidi w:val="0"/>
        <w:adjustRightInd/>
        <w:snapToGrid/>
        <w:spacing w:before="0" w:after="0" w:line="360" w:lineRule="auto"/>
        <w:textAlignment w:val="auto"/>
        <w:rPr>
          <w:rFonts w:ascii="宋体" w:eastAsia="宋体" w:hAnsi="宋体" w:cs="宋体" w:hint="eastAsia"/>
          <w:lang w:val="en-US" w:eastAsia="zh-CN"/>
        </w:rPr>
      </w:pPr>
      <w:bookmarkStart w:id="13" w:name="_Toc31930"/>
    </w:p>
    <w:p>
      <w:pPr>
        <w:pStyle w:val="Heading2"/>
        <w:pageBreakBefore w:val="0"/>
        <w:widowControl w:val="0"/>
        <w:kinsoku/>
        <w:wordWrap/>
        <w:overflowPunct/>
        <w:topLinePunct w:val="0"/>
        <w:autoSpaceDE/>
        <w:autoSpaceDN/>
        <w:bidi w:val="0"/>
        <w:adjustRightInd/>
        <w:snapToGrid/>
        <w:spacing w:before="0" w:after="0" w:line="360" w:lineRule="auto"/>
        <w:textAlignment w:val="auto"/>
        <w:rPr>
          <w:rFonts w:hint="default"/>
          <w:lang w:val="en-US" w:eastAsia="zh-CN"/>
        </w:rPr>
      </w:pPr>
      <w:r>
        <w:rPr>
          <w:rFonts w:ascii="宋体" w:eastAsia="宋体" w:hAnsi="宋体" w:cs="宋体" w:hint="eastAsia"/>
          <w:lang w:val="en-US" w:eastAsia="zh-CN"/>
        </w:rPr>
        <w:t>1</w:t>
      </w:r>
      <w:r>
        <w:rPr>
          <w:rFonts w:hint="eastAsia"/>
          <w:lang w:val="en-US" w:eastAsia="zh-CN"/>
        </w:rPr>
        <w:t>.</w:t>
      </w:r>
      <w:r>
        <w:rPr>
          <w:rFonts w:ascii="宋体" w:eastAsia="宋体" w:hAnsi="宋体" w:cs="宋体" w:hint="eastAsia"/>
          <w:lang w:val="en-US" w:eastAsia="zh-CN"/>
        </w:rPr>
        <w:t>2</w:t>
      </w:r>
      <w:r>
        <w:rPr>
          <w:rFonts w:hint="eastAsia"/>
          <w:lang w:val="en-US" w:eastAsia="zh-CN"/>
        </w:rPr>
        <w:t>应收账款管理</w:t>
      </w:r>
      <w:bookmarkEnd w:id="12"/>
      <w:r>
        <w:rPr>
          <w:rFonts w:hint="eastAsia"/>
          <w:lang w:val="en-US" w:eastAsia="zh-CN"/>
        </w:rPr>
        <w:t>内容</w:t>
      </w:r>
      <w:bookmarkEnd w:id="13"/>
    </w:p>
    <w:p>
      <w:pPr>
        <w:pageBreakBefore w:val="0"/>
        <w:widowControl w:val="0"/>
        <w:kinsoku/>
        <w:wordWrap/>
        <w:overflowPunct/>
        <w:topLinePunct w:val="0"/>
        <w:autoSpaceDE/>
        <w:autoSpaceDN/>
        <w:bidi w:val="0"/>
        <w:adjustRightInd/>
        <w:snapToGrid/>
        <w:spacing w:line="360" w:lineRule="auto"/>
        <w:textAlignment w:val="auto"/>
        <w:rPr>
          <w:rFonts w:hint="default"/>
        </w:rPr>
      </w:pPr>
      <w:r>
        <w:rPr>
          <w:rFonts w:hint="eastAsia"/>
          <w:lang w:val="en-US" w:eastAsia="zh-CN"/>
        </w:rPr>
        <w:t xml:space="preserve">    </w:t>
      </w:r>
      <w:r>
        <w:rPr>
          <w:rFonts w:hint="eastAsia"/>
        </w:rPr>
        <w:t>应收账款管理是指在</w:t>
      </w:r>
      <w:hyperlink r:id="rId17" w:tgtFrame="https://baike.baidu.com/item/%E5%BA%94%E6%94%B6%E8%B4%A6%E6%AC%BE%E7%AE%A1%E7%90%86/_blank" w:history="1">
        <w:r>
          <w:rPr>
            <w:rFonts w:hint="default"/>
          </w:rPr>
          <w:t>赊销</w:t>
        </w:r>
      </w:hyperlink>
      <w:r>
        <w:rPr>
          <w:rFonts w:hint="default"/>
        </w:rPr>
        <w:t>业务中，</w:t>
      </w:r>
      <w:r>
        <w:rPr>
          <w:rFonts w:hint="eastAsia"/>
          <w:lang w:val="en-US" w:eastAsia="zh-CN"/>
        </w:rPr>
        <w:t>企业采用系统的手段和方法，</w:t>
      </w:r>
      <w:r>
        <w:rPr>
          <w:rFonts w:hint="default"/>
        </w:rPr>
        <w:t>从销售商将货物或服务提供给购买商</w:t>
      </w:r>
      <w:r>
        <w:rPr>
          <w:rFonts w:hint="eastAsia"/>
          <w:lang w:eastAsia="zh-CN"/>
        </w:rPr>
        <w:t>，</w:t>
      </w:r>
      <w:r>
        <w:rPr>
          <w:rFonts w:hint="eastAsia"/>
          <w:lang w:val="en-US" w:eastAsia="zh-CN"/>
        </w:rPr>
        <w:t>双方</w:t>
      </w:r>
      <w:r>
        <w:rPr>
          <w:rFonts w:hint="default"/>
        </w:rPr>
        <w:t>债权</w:t>
      </w:r>
      <w:r>
        <w:rPr>
          <w:rFonts w:hint="eastAsia"/>
          <w:lang w:val="en-US" w:eastAsia="zh-CN"/>
        </w:rPr>
        <w:t>关系达成</w:t>
      </w:r>
      <w:r>
        <w:rPr>
          <w:rFonts w:hint="default"/>
        </w:rPr>
        <w:t>开始，到</w:t>
      </w:r>
      <w:r>
        <w:rPr>
          <w:rFonts w:hint="eastAsia"/>
          <w:lang w:val="en-US" w:eastAsia="zh-CN"/>
        </w:rPr>
        <w:t>实际收回款项</w:t>
      </w:r>
      <w:r>
        <w:rPr>
          <w:rFonts w:hint="default"/>
        </w:rPr>
        <w:t>结束</w:t>
      </w:r>
      <w:r>
        <w:rPr>
          <w:rFonts w:hint="eastAsia"/>
          <w:lang w:eastAsia="zh-CN"/>
        </w:rPr>
        <w:t>。</w:t>
      </w:r>
      <w:r>
        <w:rPr>
          <w:rFonts w:hint="eastAsia"/>
          <w:lang w:val="en-US" w:eastAsia="zh-CN"/>
        </w:rPr>
        <w:t>是企业和客户之间款项</w:t>
      </w:r>
      <w:r>
        <w:rPr>
          <w:rFonts w:hint="default"/>
        </w:rPr>
        <w:t>回收全过程所进行的管理。</w:t>
      </w:r>
    </w:p>
    <w:p>
      <w:pPr>
        <w:ind w:firstLine="480"/>
        <w:rPr>
          <w:rFonts w:hint="eastAsia"/>
        </w:rPr>
      </w:pPr>
      <w:r>
        <w:rPr>
          <w:rFonts w:hint="eastAsia"/>
          <w:lang w:val="en-US" w:eastAsia="zh-CN"/>
        </w:rPr>
        <w:t>应收账款管理分为三个阶段，分别是：事前、事中、事后管理。事前管理的主要工作方向是制定适用企业且合理的信用政策，这是应收账款管理里的重要一环。事中管理是在发生应收账款期间对款项的及时追回，有效的追回机制能大大降低坏账发生的可能，这是最为重要的一环。事后管理是款项的催收环节，有效的催收可以降低企业的坏账，是减少企业损失的最后保障。</w:t>
      </w:r>
    </w:p>
    <w:p>
      <w:pPr>
        <w:pStyle w:val="Heading2"/>
        <w:pageBreakBefore w:val="0"/>
        <w:widowControl w:val="0"/>
        <w:kinsoku/>
        <w:wordWrap/>
        <w:overflowPunct/>
        <w:topLinePunct w:val="0"/>
        <w:autoSpaceDE/>
        <w:autoSpaceDN/>
        <w:bidi w:val="0"/>
        <w:adjustRightInd/>
        <w:snapToGrid/>
        <w:spacing w:before="0" w:after="0" w:line="360" w:lineRule="auto"/>
        <w:textAlignment w:val="auto"/>
        <w:rPr>
          <w:rFonts w:ascii="宋体" w:eastAsia="宋体" w:hAnsi="宋体" w:cs="宋体" w:hint="eastAsia"/>
        </w:rPr>
      </w:pPr>
      <w:bookmarkStart w:id="14" w:name="_Toc20000"/>
      <w:bookmarkStart w:id="15" w:name="_Toc31315"/>
    </w:p>
    <w:p>
      <w:pPr>
        <w:pStyle w:val="Heading2"/>
        <w:pageBreakBefore w:val="0"/>
        <w:widowControl w:val="0"/>
        <w:kinsoku/>
        <w:wordWrap/>
        <w:overflowPunct/>
        <w:topLinePunct w:val="0"/>
        <w:autoSpaceDE/>
        <w:autoSpaceDN/>
        <w:bidi w:val="0"/>
        <w:adjustRightInd/>
        <w:snapToGrid/>
        <w:spacing w:before="0" w:after="0" w:line="360" w:lineRule="auto"/>
        <w:textAlignment w:val="auto"/>
        <w:rPr>
          <w:rFonts w:hint="default"/>
          <w:lang w:val="en-US"/>
        </w:rPr>
      </w:pPr>
      <w:bookmarkStart w:id="16" w:name="_Toc28607"/>
      <w:r>
        <w:rPr>
          <w:rFonts w:ascii="宋体" w:eastAsia="宋体" w:hAnsi="宋体" w:cs="宋体" w:hint="eastAsia"/>
        </w:rPr>
        <w:t>1</w:t>
      </w:r>
      <w:r>
        <w:rPr>
          <w:rFonts w:hint="eastAsia"/>
        </w:rPr>
        <w:t>.</w:t>
      </w:r>
      <w:bookmarkEnd w:id="14"/>
      <w:r>
        <w:rPr>
          <w:rFonts w:ascii="宋体" w:eastAsia="宋体" w:hAnsi="宋体" w:cs="宋体" w:hint="eastAsia"/>
          <w:lang w:val="en-US" w:eastAsia="zh-CN"/>
        </w:rPr>
        <w:t>3</w:t>
      </w:r>
      <w:r>
        <w:rPr>
          <w:rFonts w:hint="eastAsia"/>
          <w:lang w:val="en-US" w:eastAsia="zh-CN"/>
        </w:rPr>
        <w:t>应收账款管理的相关理论基础</w:t>
      </w:r>
      <w:bookmarkEnd w:id="15"/>
      <w:bookmarkEnd w:id="16"/>
    </w:p>
    <w:p>
      <w:pPr>
        <w:pageBreakBefore w:val="0"/>
        <w:widowControl w:val="0"/>
        <w:kinsoku/>
        <w:wordWrap/>
        <w:overflowPunct/>
        <w:topLinePunct w:val="0"/>
        <w:autoSpaceDE/>
        <w:autoSpaceDN/>
        <w:bidi w:val="0"/>
        <w:adjustRightInd/>
        <w:snapToGrid/>
        <w:spacing w:line="360" w:lineRule="auto"/>
        <w:textAlignment w:val="auto"/>
        <w:outlineLvl w:val="2"/>
        <w:rPr>
          <w:rFonts w:hint="default"/>
        </w:rPr>
      </w:pPr>
      <w:bookmarkStart w:id="17" w:name="_Toc11848"/>
      <w:r>
        <w:rPr>
          <w:rFonts w:ascii="宋体" w:eastAsia="宋体" w:hAnsi="宋体" w:cs="宋体" w:hint="eastAsia"/>
          <w:lang w:val="en-US" w:eastAsia="zh-CN"/>
        </w:rPr>
        <w:t>1</w:t>
      </w:r>
      <w:r>
        <w:rPr>
          <w:rFonts w:hint="eastAsia"/>
          <w:lang w:val="en-US" w:eastAsia="zh-CN"/>
        </w:rPr>
        <w:t>.</w:t>
      </w:r>
      <w:r>
        <w:rPr>
          <w:rFonts w:ascii="宋体" w:eastAsia="宋体" w:hAnsi="宋体" w:cs="宋体" w:hint="eastAsia"/>
          <w:lang w:val="en-US" w:eastAsia="zh-CN"/>
        </w:rPr>
        <w:t>3</w:t>
      </w:r>
      <w:r>
        <w:rPr>
          <w:rFonts w:hint="eastAsia"/>
          <w:lang w:val="en-US" w:eastAsia="zh-CN"/>
        </w:rPr>
        <w:t>.</w:t>
      </w:r>
      <w:r>
        <w:rPr>
          <w:rFonts w:ascii="宋体" w:eastAsia="宋体" w:hAnsi="宋体" w:cs="宋体" w:hint="eastAsia"/>
          <w:lang w:val="en-US" w:eastAsia="zh-CN"/>
        </w:rPr>
        <w:t>1</w:t>
      </w:r>
      <w:r>
        <w:rPr>
          <w:rFonts w:hint="eastAsia"/>
          <w:lang w:val="en-US" w:eastAsia="zh-CN"/>
        </w:rPr>
        <w:t>企业信用管理理论</w:t>
      </w:r>
      <w:bookmarkEnd w:id="17"/>
    </w:p>
    <w:p>
      <w:pPr>
        <w:pageBreakBefore w:val="0"/>
        <w:widowControl w:val="0"/>
        <w:kinsoku/>
        <w:wordWrap/>
        <w:overflowPunct/>
        <w:topLinePunct w:val="0"/>
        <w:autoSpaceDE/>
        <w:autoSpaceDN/>
        <w:bidi w:val="0"/>
        <w:adjustRightInd/>
        <w:snapToGrid/>
        <w:spacing w:line="360" w:lineRule="auto"/>
        <w:ind w:firstLine="480" w:firstLineChars="200"/>
        <w:textAlignment w:val="auto"/>
        <w:sectPr>
          <w:headerReference w:type="even" r:id="rId18"/>
          <w:headerReference w:type="default" r:id="rId19"/>
          <w:footerReference w:type="even" r:id="rId20"/>
          <w:footerReference w:type="default" r:id="rId21"/>
          <w:type w:val="nextPage"/>
          <w:pgSz w:w="11906" w:h="16838"/>
          <w:pgMar w:top="1417" w:right="1134" w:bottom="1134" w:left="1417" w:header="851" w:footer="992" w:gutter="0"/>
          <w:pgNumType w:fmt="decimal" w:start="4"/>
          <w:cols w:num="1" w:space="425"/>
          <w:titlePg w:val="0"/>
          <w:docGrid w:type="lines" w:linePitch="312" w:charSpace="0"/>
        </w:sectPr>
      </w:pPr>
      <w:r>
        <w:rPr>
          <w:rFonts w:hint="eastAsia"/>
        </w:rPr>
        <w:t>企业信用管理理论诞生于</w:t>
      </w:r>
      <w:r>
        <w:rPr>
          <w:rFonts w:ascii="宋体" w:eastAsia="宋体" w:hAnsi="宋体" w:cs="宋体" w:hint="eastAsia"/>
        </w:rPr>
        <w:t>20</w:t>
      </w:r>
      <w:r>
        <w:rPr>
          <w:rFonts w:hint="eastAsia"/>
        </w:rPr>
        <w:t>世纪初期，</w:t>
      </w:r>
      <w:r>
        <w:rPr>
          <w:rFonts w:ascii="宋体" w:eastAsia="宋体" w:hAnsi="宋体" w:cs="宋体" w:hint="eastAsia"/>
          <w:i w:val="0"/>
          <w:iCs w:val="0"/>
          <w:color w:val="auto"/>
        </w:rPr>
        <w:t>它主要是在不断归纳和分析总结现代企业信用管理风险评估控制理论方法和实际操作的理论基础上发展形成的,在百年中已先后产生过两代新的理论。如今我国企业信用体系管理基本理论已经不断更新第二到第三代</w:t>
      </w:r>
      <w:r>
        <w:rPr>
          <w:rFonts w:hint="eastAsia"/>
          <w:color w:val="auto"/>
        </w:rPr>
        <w:t>。</w:t>
      </w:r>
      <w:r>
        <w:rPr>
          <w:rFonts w:hint="eastAsia"/>
          <w:color w:val="auto"/>
          <w:lang w:val="en-US" w:eastAsia="zh-CN"/>
        </w:rPr>
        <w:t>最新的理论内容是</w:t>
      </w:r>
      <w:r>
        <w:rPr>
          <w:rFonts w:hint="eastAsia"/>
        </w:rPr>
        <w:t>从保障制度、主要措施和执行流程三方面展开，在事前、事中和事后三个阶段对企业的应收账款进行全面控制，多维度的管理控制能保障企业全程信用管理模式畅通有效地运行。 当前，产生新一代企业信用管理理论和方法的条件已经成熟。</w:t>
      </w:r>
    </w:p>
    <w:p>
      <w:pPr>
        <w:ind w:firstLine="480"/>
        <w:rPr>
          <w:rFonts w:hint="eastAsia"/>
          <w:color w:val="auto"/>
        </w:rPr>
      </w:pPr>
      <w:r>
        <w:rPr>
          <w:rFonts w:ascii="宋体" w:eastAsia="宋体" w:hAnsi="宋体" w:cs="宋体" w:hint="eastAsia"/>
          <w:i w:val="0"/>
          <w:iCs w:val="0"/>
          <w:color w:val="auto"/>
        </w:rPr>
        <w:t>信用产品管理体系正式建立后,企业将其有效应用到日常经营业务流程中,以便于确保已经给予客户信用产品销售额度优惠的客户企业今后几年能够顺利实现还款。</w:t>
      </w:r>
      <w:r>
        <w:rPr>
          <w:rFonts w:ascii="宋体" w:hAnsi="宋体" w:hint="eastAsia"/>
          <w:color w:val="auto"/>
        </w:rPr>
        <w:t>采取严格的信用贷款政策会保证企业的资金回收率，降低企业坏账存在率，但严格的信贷政策不利于中小型企业的发展，对信贷公司来说也会阻挡一部分客户来源。对大型公司施行的信贷政策并不适用于中小型企业，所以信贷公司在建立信贷政策时要将企业发展现状与我国信贷市场经济状况相结合，同时根据公司具体情况确定。审核客户公司信用时要秉承谨慎的态度，提高信贷公司对客户公司的管理效率，确保信贷公司能及时收回对应款项。</w:t>
      </w:r>
    </w:p>
    <w:p>
      <w:pPr>
        <w:outlineLvl w:val="2"/>
        <w:rPr>
          <w:rFonts w:hint="eastAsia"/>
        </w:rPr>
      </w:pPr>
      <w:bookmarkStart w:id="18" w:name="_Toc21778"/>
      <w:r>
        <w:rPr>
          <w:rFonts w:ascii="宋体" w:eastAsia="宋体" w:hAnsi="宋体" w:cs="宋体" w:hint="eastAsia"/>
          <w:color w:val="auto"/>
          <w:lang w:val="en-US" w:eastAsia="zh-CN"/>
        </w:rPr>
        <w:t>1</w:t>
      </w:r>
      <w:r>
        <w:rPr>
          <w:rFonts w:hint="eastAsia"/>
          <w:color w:val="auto"/>
          <w:lang w:val="en-US" w:eastAsia="zh-CN"/>
        </w:rPr>
        <w:t>.</w:t>
      </w:r>
      <w:r>
        <w:rPr>
          <w:rFonts w:ascii="宋体" w:eastAsia="宋体" w:hAnsi="宋体" w:cs="宋体" w:hint="eastAsia"/>
          <w:color w:val="auto"/>
          <w:lang w:val="en-US" w:eastAsia="zh-CN"/>
        </w:rPr>
        <w:t>3</w:t>
      </w:r>
      <w:r>
        <w:rPr>
          <w:rFonts w:hint="eastAsia"/>
          <w:color w:val="auto"/>
          <w:lang w:val="en-US" w:eastAsia="zh-CN"/>
        </w:rPr>
        <w:t>.</w:t>
      </w:r>
      <w:r>
        <w:rPr>
          <w:rFonts w:ascii="宋体" w:eastAsia="宋体" w:hAnsi="宋体" w:cs="宋体" w:hint="eastAsia"/>
          <w:color w:val="auto"/>
          <w:lang w:val="en-US" w:eastAsia="zh-CN"/>
        </w:rPr>
        <w:t>2</w:t>
      </w:r>
      <w:r>
        <w:rPr>
          <w:rFonts w:hint="eastAsia"/>
          <w:color w:val="auto"/>
          <w:lang w:val="en-US" w:eastAsia="zh-CN"/>
        </w:rPr>
        <w:t>风险管理理论</w:t>
      </w:r>
      <w:bookmarkEnd w:id="18"/>
    </w:p>
    <w:p>
      <w:pPr>
        <w:numPr>
          <w:ilvl w:val="0"/>
          <w:numId w:val="0"/>
        </w:numPr>
        <w:ind w:left="120" w:firstLine="480" w:leftChars="0" w:firstLineChars="200"/>
        <w:rPr>
          <w:rFonts w:hint="default"/>
          <w:color w:val="auto"/>
        </w:rPr>
      </w:pPr>
      <w:r>
        <w:rPr>
          <w:rFonts w:hint="eastAsia"/>
          <w:lang w:val="en-US" w:eastAsia="zh-CN"/>
        </w:rPr>
        <w:t>风险管理理论在</w:t>
      </w:r>
      <w:r>
        <w:rPr>
          <w:rFonts w:ascii="宋体" w:eastAsia="宋体" w:hAnsi="宋体" w:cs="宋体"/>
          <w:sz w:val="24"/>
          <w:szCs w:val="24"/>
        </w:rPr>
        <w:t>20 世纪 80 年代开始才慢慢</w:t>
      </w:r>
      <w:r>
        <w:rPr>
          <w:rFonts w:ascii="宋体" w:hAnsi="宋体" w:cs="宋体" w:hint="eastAsia"/>
          <w:sz w:val="24"/>
          <w:szCs w:val="24"/>
          <w:lang w:val="en-US" w:eastAsia="zh-CN"/>
        </w:rPr>
        <w:t>形成，</w:t>
      </w:r>
      <w:r>
        <w:rPr>
          <w:rFonts w:hint="eastAsia"/>
          <w:color w:val="auto"/>
        </w:rPr>
        <w:t>我国企业家、经济学家针对公司在未来会出现的风险问题提出风险管理理论，“风险”一词引进于国外，我国经济学家和企业家对西方企业研究分析并吸收国外先进经济管理理念后才正式提出。二十世纪80年代我国最著名的两本有关风险理论的书籍是《风险管理》和《风险管理论文集》，分别由宋明哲、段开龄所著。针对风险管理，经济学家们将其分为风险识别、风险估测、风险评价、风险决策以及风险管理效果评价五个板块。</w:t>
      </w:r>
    </w:p>
    <w:p>
      <w:pPr>
        <w:ind w:firstLine="720" w:firstLineChars="300"/>
        <w:rPr>
          <w:rFonts w:ascii="宋体" w:hAnsi="宋体" w:hint="eastAsia"/>
          <w:i w:val="0"/>
          <w:iCs w:val="0"/>
          <w:color w:val="auto"/>
        </w:rPr>
      </w:pPr>
      <w:r>
        <w:rPr>
          <w:rFonts w:ascii="宋体" w:eastAsia="宋体" w:hAnsi="宋体" w:cs="宋体" w:hint="eastAsia"/>
          <w:i w:val="0"/>
          <w:iCs w:val="0"/>
          <w:color w:val="auto"/>
        </w:rPr>
        <w:t>企业进行赊销活动时,伴随利益而来的还有风险,风险的大小直接关乎着企业能否稳定的进行可持续发展,如何制定合理的策略使得风险变低也是企业需要重点关注的地方。而风险管理就是对风险进行测定后以此制定合适的管理策略来有效的规避和控制风险。因为客户付款有不确定性,企业会面临承受风险的境地。因此,企业在通过想各种办法继续增加赊销市场份额而不是扩大进行赊账营销时,应根据相应对赊销风险的综合承受能力情况进行准确预测,合理配置规避赊销风险,</w:t>
      </w:r>
      <w:r>
        <w:rPr>
          <w:rFonts w:ascii="宋体" w:hAnsi="宋体" w:hint="eastAsia"/>
          <w:color w:val="auto"/>
        </w:rPr>
        <w:t>降低企业收回账款时的风险，减少公司亏损</w:t>
      </w:r>
      <w:r>
        <w:rPr>
          <w:rFonts w:ascii="宋体" w:eastAsia="宋体" w:hAnsi="宋体" w:cs="宋体" w:hint="eastAsia"/>
          <w:i w:val="0"/>
          <w:iCs w:val="0"/>
          <w:color w:val="auto"/>
        </w:rPr>
        <w:t>。张波(2008)保险企业在以实现利润经营为业务中心,增加企业应急预收账外贷款时,应牢固树立企业风险意识,加强其企业风险管理,这样,企业才能在市场经济中更好的生存和发展</w:t>
      </w:r>
      <w:r>
        <w:rPr>
          <w:rFonts w:ascii="宋体" w:hAnsi="宋体" w:cs="宋体" w:hint="eastAsia"/>
          <w:i w:val="0"/>
          <w:iCs w:val="0"/>
          <w:color w:val="auto"/>
          <w:lang w:eastAsia="zh-CN"/>
        </w:rPr>
        <w:t>。</w:t>
      </w:r>
      <w:bookmarkStart w:id="19" w:name="_Toc22919"/>
      <w:bookmarkStart w:id="20" w:name="_Toc32240"/>
    </w:p>
    <w:p>
      <w:pPr>
        <w:ind w:firstLine="720" w:firstLineChars="300"/>
        <w:rPr>
          <w:rFonts w:ascii="宋体" w:hAnsi="宋体" w:hint="eastAsia"/>
          <w:i w:val="0"/>
          <w:iCs w:val="0"/>
          <w:color w:val="auto"/>
        </w:rPr>
      </w:pPr>
    </w:p>
    <w:p>
      <w:pPr>
        <w:ind w:firstLine="720" w:firstLineChars="300"/>
        <w:rPr>
          <w:rFonts w:ascii="宋体" w:hAnsi="宋体" w:hint="eastAsia"/>
          <w:i w:val="0"/>
          <w:iCs w:val="0"/>
          <w:color w:val="auto"/>
        </w:rPr>
      </w:pPr>
    </w:p>
    <w:p>
      <w:pPr>
        <w:pStyle w:val="Heading1"/>
        <w:jc w:val="center"/>
      </w:pPr>
      <w:r>
        <w:rPr>
          <w:rFonts w:hint="eastAsia"/>
        </w:rPr>
        <w:t xml:space="preserve">第二章 </w:t>
      </w:r>
      <w:r>
        <w:rPr>
          <w:rFonts w:hint="eastAsia"/>
          <w:lang w:val="en-US" w:eastAsia="zh-CN"/>
        </w:rPr>
        <w:t>江西</w:t>
      </w:r>
      <w:r>
        <w:rPr>
          <w:rFonts w:hint="eastAsia"/>
          <w:lang w:eastAsia="zh-CN"/>
        </w:rPr>
        <w:t>四方</w:t>
      </w:r>
      <w:r>
        <w:rPr>
          <w:rFonts w:hint="eastAsia"/>
        </w:rPr>
        <w:t>药业有限公司应收账款</w:t>
      </w:r>
      <w:r>
        <w:rPr>
          <w:rFonts w:hint="eastAsia"/>
          <w:lang w:val="en-US" w:eastAsia="zh-CN"/>
        </w:rPr>
        <w:t>管理</w:t>
      </w:r>
      <w:r>
        <w:rPr>
          <w:rFonts w:hint="eastAsia"/>
        </w:rPr>
        <w:t>现状分析</w:t>
      </w:r>
      <w:bookmarkEnd w:id="19"/>
      <w:bookmarkEnd w:id="20"/>
    </w:p>
    <w:p>
      <w:pPr>
        <w:pStyle w:val="Heading2"/>
        <w:pageBreakBefore w:val="0"/>
        <w:widowControl w:val="0"/>
        <w:kinsoku/>
        <w:wordWrap/>
        <w:overflowPunct/>
        <w:topLinePunct w:val="0"/>
        <w:autoSpaceDE/>
        <w:autoSpaceDN/>
        <w:bidi w:val="0"/>
        <w:adjustRightInd/>
        <w:snapToGrid/>
        <w:spacing w:before="0" w:after="0" w:line="360" w:lineRule="auto"/>
        <w:textAlignment w:val="auto"/>
        <w:rPr>
          <w:rFonts w:hint="eastAsia"/>
          <w:lang w:val="en-US" w:eastAsia="zh-CN"/>
        </w:rPr>
      </w:pPr>
      <w:bookmarkStart w:id="21" w:name="_Toc3753"/>
      <w:bookmarkStart w:id="22" w:name="_Toc7761"/>
      <w:r>
        <w:rPr>
          <w:rFonts w:ascii="宋体" w:eastAsia="宋体" w:hAnsi="宋体" w:cs="宋体" w:hint="eastAsia"/>
        </w:rPr>
        <w:t>2</w:t>
      </w:r>
      <w:r>
        <w:rPr>
          <w:rFonts w:hint="eastAsia"/>
        </w:rPr>
        <w:t>.</w:t>
      </w:r>
      <w:r>
        <w:rPr>
          <w:rFonts w:ascii="宋体" w:eastAsia="宋体" w:hAnsi="宋体" w:cs="宋体" w:hint="eastAsia"/>
        </w:rPr>
        <w:t>1</w:t>
      </w:r>
      <w:r>
        <w:rPr>
          <w:rFonts w:hint="eastAsia"/>
          <w:lang w:val="en-US" w:eastAsia="zh-CN"/>
        </w:rPr>
        <w:t>企业简介</w:t>
      </w:r>
      <w:bookmarkEnd w:id="21"/>
      <w:bookmarkEnd w:id="22"/>
    </w:p>
    <w:p>
      <w:pPr>
        <w:pageBreakBefore w:val="0"/>
        <w:widowControl w:val="0"/>
        <w:kinsoku/>
        <w:wordWrap/>
        <w:overflowPunct/>
        <w:topLinePunct w:val="0"/>
        <w:autoSpaceDE/>
        <w:autoSpaceDN/>
        <w:bidi w:val="0"/>
        <w:adjustRightInd/>
        <w:snapToGrid/>
        <w:spacing w:line="360" w:lineRule="auto"/>
        <w:textAlignment w:val="auto"/>
        <w:outlineLvl w:val="9"/>
        <w:rPr>
          <w:rFonts w:hint="default"/>
        </w:rPr>
      </w:pPr>
      <w:bookmarkStart w:id="23" w:name="_Toc6511"/>
      <w:r>
        <w:rPr>
          <w:rFonts w:ascii="宋体" w:eastAsia="宋体" w:hAnsi="宋体" w:cs="宋体" w:hint="eastAsia"/>
        </w:rPr>
        <w:t>2</w:t>
      </w:r>
      <w:r>
        <w:rPr>
          <w:rFonts w:hint="eastAsia"/>
        </w:rPr>
        <w:t>.</w:t>
      </w:r>
      <w:r>
        <w:rPr>
          <w:rFonts w:ascii="宋体" w:eastAsia="宋体" w:hAnsi="宋体" w:cs="宋体" w:hint="eastAsia"/>
        </w:rPr>
        <w:t>1</w:t>
      </w:r>
      <w:r>
        <w:rPr>
          <w:rFonts w:hint="eastAsia"/>
        </w:rPr>
        <w:t>.</w:t>
      </w:r>
      <w:r>
        <w:rPr>
          <w:rFonts w:ascii="宋体" w:eastAsia="宋体" w:hAnsi="宋体" w:cs="宋体" w:hint="eastAsia"/>
        </w:rPr>
        <w:t>1</w:t>
      </w:r>
      <w:r>
        <w:rPr>
          <w:rFonts w:hint="eastAsia"/>
          <w:lang w:val="en-US" w:eastAsia="zh-CN"/>
        </w:rPr>
        <w:t>发展概况</w:t>
      </w:r>
      <w:bookmarkEnd w:id="23"/>
    </w:p>
    <w:p>
      <w:pPr>
        <w:ind w:firstLine="480" w:firstLineChars="200"/>
        <w:rPr>
          <w:color w:val="auto"/>
        </w:rPr>
      </w:pPr>
      <w:r>
        <w:t>江西</w:t>
      </w:r>
      <w:r>
        <w:rPr>
          <w:rFonts w:hint="eastAsia"/>
          <w:lang w:eastAsia="zh-CN"/>
        </w:rPr>
        <w:t>四方</w:t>
      </w:r>
      <w:r>
        <w:t>药业有限公司成立</w:t>
      </w:r>
      <w:r>
        <w:rPr>
          <w:rFonts w:ascii="宋体" w:eastAsia="宋体" w:hAnsi="宋体" w:cs="宋体" w:hint="eastAsia"/>
        </w:rPr>
        <w:t>2004</w:t>
      </w:r>
      <w:r>
        <w:t>年</w:t>
      </w:r>
      <w:r>
        <w:rPr>
          <w:rFonts w:ascii="宋体" w:eastAsia="宋体" w:hAnsi="宋体" w:cs="宋体" w:hint="eastAsia"/>
        </w:rPr>
        <w:t>10</w:t>
      </w:r>
      <w:r>
        <w:t>月，公司总占地约</w:t>
      </w:r>
      <w:r>
        <w:rPr>
          <w:rFonts w:ascii="宋体" w:eastAsia="宋体" w:hAnsi="宋体" w:cs="宋体" w:hint="eastAsia"/>
        </w:rPr>
        <w:t>420</w:t>
      </w:r>
      <w:r>
        <w:t>亩，</w:t>
      </w:r>
      <w:r>
        <w:rPr>
          <w:color w:val="auto"/>
        </w:rPr>
        <w:br/>
      </w:r>
      <w:r>
        <w:rPr>
          <w:color w:val="auto"/>
        </w:rP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https://d.book118.com/976140042134010051</w:t>
        </w:r>
      </w:hyperlink>
    </w:p>
    <w:p>
      <w:pPr>
        <w:ind w:firstLine="480" w:firstLineChars="200"/>
        <w:rPr>
          <w:color w:val="auto"/>
        </w:rPr>
      </w:pPr>
    </w:p>
    <w:sectPr>
      <w:headerReference w:type="even" r:id="rId23"/>
      <w:headerReference w:type="default" r:id="rId24"/>
      <w:footerReference w:type="even" r:id="rId25"/>
      <w:footerReference w:type="default" r:id="rId26"/>
      <w:type w:val="nextPage"/>
      <w:pgSz w:w="11906" w:h="16838"/>
      <w:pgMar w:top="1417" w:right="1134" w:bottom="1134" w:left="1417" w:header="851" w:footer="992" w:gutter="0"/>
      <w:pgNumType w:fmt="decimal"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Gulim">
    <w:panose1 w:val="020B0600000101010101"/>
    <w:charset w:val="81"/>
    <w:family w:val="swiss"/>
    <w:pitch w:val="default"/>
    <w:sig w:usb0="B00002AF" w:usb1="69D77CFB" w:usb2="00000030" w:usb3="00000000" w:csb0="4008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9" name="文本框 37"/>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pPr>
                          <w:r>
                            <w:fldChar w:fldCharType="begin"/>
                          </w:r>
                          <w:r>
                            <w:instrText xml:space="preserve"> PAGE  \* MERGEFORMAT </w:instrText>
                          </w:r>
                          <w:r>
                            <w:fldChar w:fldCharType="separate"/>
                          </w:r>
                          <w:r>
                            <w:t>II</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37" o:spid="_x0000_s2050" type="#_x0000_t202" style="width:2in;height:2in;margin-top:0;margin-left:0;mso-position-horizontal:center;mso-position-horizontal-relative:margin;mso-wrap-distance-bottom:0;mso-wrap-distance-left:0;mso-wrap-distance-right:0;mso-wrap-distance-top:0;mso-wrap-style:none;position:absolute;v-text-anchor:top;z-index:251660288" fillcolor="this" stroked="f">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01" name="文本框 3"/>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49" type="#_x0000_t202" style="width:2in;height:2in;margin-top:0;margin-left:0;mso-position-horizontal:center;mso-position-horizontal-relative:margin;mso-wrap-distance-bottom:0;mso-wrap-distance-left:0;mso-wrap-distance-right:0;mso-wrap-distance-top:0;mso-wrap-style:none;position:absolute;v-text-anchor:top;z-index:251658240" fillcolor="this" stroked="f">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0" distR="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40263355" name="文本框 37"/>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pPr>
                          <w:r>
                            <w:fldChar w:fldCharType="begin"/>
                          </w:r>
                          <w:r>
                            <w:instrText xml:space="preserve"> PAGE  \* MERGEFORMAT </w:instrText>
                          </w:r>
                          <w:r>
                            <w:fldChar w:fldCharType="separate"/>
                          </w:r>
                          <w:r>
                            <w:t>II</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37" o:spid="_x0000_s2052" type="#_x0000_t202" style="width:2in;height:2in;margin-top:0;margin-left:0;mso-position-horizontal:center;mso-position-horizontal-relative:margin;mso-wrap-distance-bottom:0;mso-wrap-distance-left:0;mso-wrap-distance-right:0;mso-wrap-distance-top:0;mso-wrap-style:none;position:absolute;v-text-anchor:top;z-index:251664384" fillcolor="this" stroked="f">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84212637" name="文本框 3"/>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1" type="#_x0000_t202" style="width:2in;height:2in;margin-top:0;margin-left:0;mso-position-horizontal:center;mso-position-horizontal-relative:margin;mso-wrap-distance-bottom:0;mso-wrap-distance-left:0;mso-wrap-distance-right:0;mso-wrap-distance-top:0;mso-wrap-style:none;position:absolute;v-text-anchor:top;z-index:251662336" fillcolor="this" stroked="f">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0" distR="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02" name="文本框 38"/>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pPr>
                          <w:r>
                            <w:fldChar w:fldCharType="begin"/>
                          </w:r>
                          <w:r>
                            <w:instrText xml:space="preserve"> PAGE  \* MERGEFORMAT </w:instrText>
                          </w:r>
                          <w:r>
                            <w:fldChar w:fldCharType="separate"/>
                          </w:r>
                          <w:r>
                            <w:t>8</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38" o:spid="_x0000_s2054" type="#_x0000_t202" style="width:2in;height:2in;margin-top:0;margin-left:0;mso-position-horizontal:center;mso-position-horizontal-relative:margin;mso-wrap-distance-bottom:0;mso-wrap-distance-left:0;mso-wrap-distance-right:0;mso-wrap-distance-top:0;mso-wrap-style:none;position:absolute;v-text-anchor:top;z-index:251668480" fillcolor="this" stroked="f">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4103" name="文本框 3"/>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pPr>
                          <w:r>
                            <w:fldChar w:fldCharType="begin"/>
                          </w:r>
                          <w:r>
                            <w:instrText xml:space="preserve"> PAGE  \* MERGEFORMAT </w:instrText>
                          </w:r>
                          <w:r>
                            <w:fldChar w:fldCharType="separate"/>
                          </w:r>
                          <w:r>
                            <w:t>3</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3" type="#_x0000_t202" style="width:2in;height:2in;margin-top:0;margin-left:0;mso-position-horizontal:center;mso-position-horizontal-relative:margin;mso-wrap-distance-bottom:0;mso-wrap-distance-left:0;mso-wrap-distance-right:0;mso-wrap-distance-top:0;mso-wrap-style:none;position:absolute;v-text-anchor:top;z-index:251666432" fillcolor="this" stroked="f">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0" distR="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50143733" name="文本框 38"/>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pPr>
                          <w:r>
                            <w:fldChar w:fldCharType="begin"/>
                          </w:r>
                          <w:r>
                            <w:instrText xml:space="preserve"> PAGE  \* MERGEFORMAT </w:instrText>
                          </w:r>
                          <w:r>
                            <w:fldChar w:fldCharType="separate"/>
                          </w:r>
                          <w:r>
                            <w:t>4</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38" o:spid="_x0000_s2056" type="#_x0000_t202" style="width:2in;height:2in;margin-top:0;margin-left:0;mso-position-horizontal:center;mso-position-horizontal-relative:margin;mso-wrap-distance-bottom:0;mso-wrap-distance-left:0;mso-wrap-distance-right:0;mso-wrap-distance-top:0;mso-wrap-style:none;position:absolute;v-text-anchor:top;z-index:251672576" fillcolor="this" stroked="f">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721831" name="文本框 3"/>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pPr>
                          <w:r>
                            <w:fldChar w:fldCharType="begin"/>
                          </w:r>
                          <w:r>
                            <w:instrText xml:space="preserve"> PAGE  \* MERGEFORMAT </w:instrText>
                          </w:r>
                          <w:r>
                            <w:fldChar w:fldCharType="separate"/>
                          </w:r>
                          <w:r>
                            <w:t>5</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5" type="#_x0000_t202" style="width:2in;height:2in;margin-top:0;margin-left:0;mso-position-horizontal:center;mso-position-horizontal-relative:margin;mso-wrap-distance-bottom:0;mso-wrap-distance-left:0;mso-wrap-distance-right:0;mso-wrap-distance-top:0;mso-wrap-style:none;position:absolute;v-text-anchor:top;z-index:251670528" fillcolor="this" stroked="f">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0" distR="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7706065" name="文本框 38"/>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pPr>
                          <w:r>
                            <w:fldChar w:fldCharType="begin"/>
                          </w:r>
                          <w:r>
                            <w:instrText xml:space="preserve"> PAGE  \* MERGEFORMAT </w:instrText>
                          </w:r>
                          <w:r>
                            <w:fldChar w:fldCharType="separate"/>
                          </w:r>
                          <w:r>
                            <w:t>8</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38" o:spid="_x0000_s2058" type="#_x0000_t202" style="width:2in;height:2in;margin-top:0;margin-left:0;mso-position-horizontal:center;mso-position-horizontal-relative:margin;mso-wrap-distance-bottom:0;mso-wrap-distance-left:0;mso-wrap-distance-right:0;mso-wrap-distance-top:0;mso-wrap-style:none;position:absolute;v-text-anchor:top;z-index:251676672" fillcolor="this" stroked="f">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0" distR="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51017964" name="文本框 3"/>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pPr>
                          <w:r>
                            <w:fldChar w:fldCharType="begin"/>
                          </w:r>
                          <w:r>
                            <w:instrText xml:space="preserve"> PAGE  \* MERGEFORMAT </w:instrText>
                          </w:r>
                          <w:r>
                            <w:fldChar w:fldCharType="separate"/>
                          </w:r>
                          <w:r>
                            <w:t>5</w:t>
                          </w:r>
                          <w: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7" type="#_x0000_t202" style="width:2in;height:2in;margin-top:0;margin-left:0;mso-position-horizontal:center;mso-position-horizontal-relative:margin;mso-wrap-distance-bottom:0;mso-wrap-distance-left:0;mso-wrap-distance-right:0;mso-wrap-distance-top:0;mso-wrap-style:none;position:absolute;v-text-anchor:top;z-index:251674624" fillcolor="this" stroked="f">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eastAsia="宋体" w:hint="default"/>
        <w:lang w:val="en-US" w:eastAsia="zh-CN"/>
      </w:rPr>
    </w:pPr>
    <w:r>
      <w:rPr>
        <w:rFonts w:hint="eastAsia"/>
        <w:lang w:val="en-US" w:eastAsia="zh-CN"/>
      </w:rPr>
      <w:t>目录</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eastAsia="宋体" w:hint="default"/>
        <w:lang w:val="en-US"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eastAsia="宋体" w:hint="default"/>
        <w:lang w:val="en-US" w:eastAsia="zh-CN"/>
      </w:rPr>
    </w:pPr>
    <w:r>
      <w:rPr>
        <w:rFonts w:hint="eastAsia"/>
        <w:lang w:val="en-US" w:eastAsia="zh-CN"/>
      </w:rPr>
      <w:t>目录</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eastAsia="宋体" w:hint="default"/>
        <w:lang w:val="en-US"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eastAsia="宋体" w:hint="default"/>
        <w:lang w:val="en-US"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eastAsia="宋体" w:hint="default"/>
        <w:lang w:val="en-US"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eastAsia="宋体" w:hint="default"/>
        <w:lang w:val="en-US"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eastAsia="宋体" w:hint="default"/>
        <w:lang w:val="en-US"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eastAsia="宋体" w:hint="default"/>
        <w:lang w:val="en-US"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eastAsia="宋体" w:hint="default"/>
        <w:lang w:val="en-US"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1E977B9"/>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qFormat="1"/>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unhideWhenUsed="0"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qFormat="1"/>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jc w:val="both"/>
    </w:pPr>
    <w:rPr>
      <w:rFonts w:ascii="Calibri" w:eastAsia="宋体" w:hAnsi="Calibri" w:cs="宋体"/>
      <w:kern w:val="2"/>
      <w:sz w:val="24"/>
      <w:szCs w:val="24"/>
      <w:lang w:val="en-US" w:eastAsia="zh-CN" w:bidi="ar-SA"/>
    </w:rPr>
  </w:style>
  <w:style w:type="paragraph" w:styleId="Heading1">
    <w:name w:val="heading 1"/>
    <w:basedOn w:val="Normal"/>
    <w:next w:val="Normal"/>
    <w:link w:val="1"/>
    <w:qFormat/>
    <w:pPr>
      <w:keepNext/>
      <w:keepLines/>
      <w:spacing w:before="340" w:after="330" w:line="240" w:lineRule="auto"/>
      <w:jc w:val="center"/>
      <w:outlineLvl w:val="0"/>
    </w:pPr>
    <w:rPr>
      <w:kern w:val="44"/>
      <w:sz w:val="32"/>
    </w:rPr>
  </w:style>
  <w:style w:type="paragraph" w:styleId="Heading2">
    <w:name w:val="heading 2"/>
    <w:basedOn w:val="Normal"/>
    <w:next w:val="Normal"/>
    <w:qFormat/>
    <w:pPr>
      <w:keepNext/>
      <w:keepLines/>
      <w:spacing w:before="260" w:after="260" w:line="240" w:lineRule="auto"/>
      <w:outlineLvl w:val="1"/>
    </w:pPr>
    <w:rPr>
      <w:rFonts w:ascii="Arial" w:hAnsi="Arial"/>
      <w:b/>
      <w:sz w:val="28"/>
    </w:rPr>
  </w:style>
  <w:style w:type="paragraph" w:styleId="Heading3">
    <w:name w:val="heading 3"/>
    <w:basedOn w:val="Normal"/>
    <w:next w:val="Normal"/>
    <w:autoRedefine/>
    <w:qFormat/>
    <w:pPr>
      <w:keepNext/>
      <w:keepLines/>
      <w:spacing w:before="260" w:after="260" w:line="240" w:lineRule="auto"/>
      <w:outlineLvl w:val="2"/>
    </w:pPr>
  </w:style>
  <w:style w:type="character" w:default="1" w:styleId="DefaultParagraphFont">
    <w:name w:val="Default Paragraph Font"/>
    <w:autoRedefine/>
    <w:uiPriority w:val="1"/>
    <w:qFormat/>
  </w:style>
  <w:style w:type="table" w:default="1" w:styleId="TableNormal">
    <w:name w:val="Normal Table"/>
    <w:autoRedefine/>
    <w:uiPriority w:val="99"/>
    <w:qFormat/>
    <w:tblPr>
      <w:tblCellMar>
        <w:top w:w="0" w:type="dxa"/>
        <w:left w:w="108" w:type="dxa"/>
        <w:bottom w:w="0" w:type="dxa"/>
        <w:right w:w="108" w:type="dxa"/>
      </w:tblCellMar>
    </w:tblPr>
  </w:style>
  <w:style w:type="paragraph" w:styleId="BlockText">
    <w:name w:val="Block Text"/>
    <w:basedOn w:val="Normal"/>
    <w:autoRedefine/>
    <w:qFormat/>
    <w:pPr>
      <w:ind w:left="-359" w:right="-433" w:firstLine="420" w:leftChars="-171" w:rightChars="-206" w:firstLineChars="150"/>
    </w:pPr>
    <w:rPr>
      <w:rFonts w:ascii="Times New Roman" w:hAnsi="Times New Roman" w:cs="Times New Roman"/>
      <w:sz w:val="28"/>
    </w:rPr>
  </w:style>
  <w:style w:type="paragraph" w:styleId="TOC3">
    <w:name w:val="toc 3"/>
    <w:basedOn w:val="Normal"/>
    <w:next w:val="Normal"/>
    <w:qFormat/>
    <w:pPr>
      <w:ind w:left="840" w:leftChars="400"/>
    </w:p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TOC1">
    <w:name w:val="toc 1"/>
    <w:basedOn w:val="Normal"/>
    <w:next w:val="Normal"/>
    <w:autoRedefine/>
    <w:qFormat/>
  </w:style>
  <w:style w:type="paragraph" w:styleId="TOC2">
    <w:name w:val="toc 2"/>
    <w:basedOn w:val="Normal"/>
    <w:next w:val="Normal"/>
    <w:qFormat/>
    <w:pPr>
      <w:ind w:left="420" w:leftChars="2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autoRedefine/>
    <w:qFormat/>
    <w:rPr>
      <w:color w:val="0000FF"/>
      <w:u w:val="single"/>
    </w:rPr>
  </w:style>
  <w:style w:type="character" w:customStyle="1" w:styleId="1">
    <w:name w:val="标题 1 字符"/>
    <w:link w:val="Heading1"/>
    <w:qFormat/>
    <w:rPr>
      <w:rFonts w:eastAsia="宋体"/>
      <w:kern w:val="44"/>
      <w:sz w:val="32"/>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hyperlink" Target="https://baike.baidu.com/item/%E8%B5%8A%E9%94%80/7340064" TargetMode="Externa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yperlink" Target="https://d.book118.com/976140042134010051" TargetMode="External" /><Relationship Id="rId23" Type="http://schemas.openxmlformats.org/officeDocument/2006/relationships/header" Target="header9.xml" /><Relationship Id="rId24" Type="http://schemas.openxmlformats.org/officeDocument/2006/relationships/header" Target="header10.xml" /><Relationship Id="rId25" Type="http://schemas.openxmlformats.org/officeDocument/2006/relationships/footer" Target="footer9.xml" /><Relationship Id="rId26" Type="http://schemas.openxmlformats.org/officeDocument/2006/relationships/footer" Target="footer10.xm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12380</Words>
  <Characters>15411</Characters>
  <Application>Microsoft Office Word</Application>
  <DocSecurity>0</DocSecurity>
  <Lines>0</Lines>
  <Paragraphs>568</Paragraphs>
  <ScaleCrop>false</ScaleCrop>
  <Company/>
  <LinksUpToDate>false</LinksUpToDate>
  <CharactersWithSpaces>16098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ABEEL</cp:lastModifiedBy>
  <cp:revision>17</cp:revision>
  <dcterms:created xsi:type="dcterms:W3CDTF">2021-03-17T03:32:00Z</dcterms:created>
  <dcterms:modified xsi:type="dcterms:W3CDTF">2024-02-21T01:58:53Z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49A54D97F59E42CC962B8381D5857D03_13</vt:lpwstr>
  </property>
  <property fmtid="{D5CDD505-2E9C-101B-9397-08002B2CF9AE}" pid="3" name="KSOProductBuildVer">
    <vt:lpwstr>2052-12.1.0.16388</vt:lpwstr>
  </property>
</Properties>
</file>