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银行柜员考试：建行柜员合规考试必看题库知识点一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网点负责人每（）检查现金柜员尾箱重要单证不少于两次。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个人活期存款按季结息，每季末月的（）为结息日。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A.10日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由于资产和负债结构（如期限结构、利率结构、币种结构等）的不完全匹配，当利率、汇率等发生变动时，银行收益产生损失的风险被称为（）。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B.非交易性市场风险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E.组合风险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根据会议保密的规定，与会人员对带回的密件、密品，应及时交（）登记、保管。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A.本人所在部门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B.保卫部门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D.机要部门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根据最新的《对公客户评级主标尺优化方案》，建设银行对公客户评级主标尺划分为（）个级别。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贷款审批决策前需要按规定进行项目评估的贷款种类包括（）。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A.利用建设银行信贷资金发放的本外币固定资产贷款项目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B.境外筹资转贷款项目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C.建设银行作为债权人的项目融资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D.利用建设银行开出的融资类保函等所兴建的项目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E.房地产开发贷款项目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7、多选 根据其付款方式的不同，托收方式可以分为（）。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A.跟单托收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B.光票托收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C.付款交单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D.承兑交单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电子银行安全体系基本原则是（）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A.目标实现原则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B.共同承担原则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C.有限信任原则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D.风险匹配原则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关于信贷资产风险分类，说法正确的是（）。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A.信贷资产按照风险程度将其划分为十二个级别。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B.信贷资产风险分类的范围主要包括各类本外币贷款、表外授信中的信用证、保证、信贷证明、银行承兑汇票、保理担保付款、贷款承诺。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C.信贷资产分类方法分为直接分类法和非直接分类法。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D.只有可疑和损失类信贷资产为不良信贷资产。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E.符合损失级特征的信贷资产直接分类为损失级。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客户信用评级管理实行（）的原则。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B.平行作业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C.分级评价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D.权限审定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整点间实行（）管理，进入整点区，所有工作人员一律着无袋工作服，佩戴证件。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A.开放式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B.封闭式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C.军事化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D.标准化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客户成功完成订单支付、自主支付或约定支付后，个贷系统将根据（）和约定利率开始计算利息。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A.额度金额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B.贷款余额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C.支用金额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金库（）属银行秘密，不得泄露。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C.调拨路线及时间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D.设计方案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我行贵金属双向交易的时间为周一早上（）至周六凌晨（）。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小企业的资产负债率应控制在适当的水平，其中批发零售业在（）%以内，其他企业在（）%以内。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B.70，60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柜面监测系统三级监测信息反馈时限为发布后（）小时内。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以下业务凭证组合中，（）组合可进行批量扫描。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A.一借多贷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B.一贷多借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C.多借多贷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D.一借一贷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18、单选 营业性系统中同一系统同一业务的（）和复核岗（授权）为不兼容岗位。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A.经办岗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E.审定岗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柜面业务集中处理时，COS_T系统的预警处理人员为（）。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商业银行网点销售保险产品的人员必须取得（）。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A.银行从业人员资格证书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B.保险代理从业人员资格证书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C.证券从业人员资格证书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D.保险兼业代理业务许可证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私人银行机场贵宾服务包括（）。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A.机场接送机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B.专属的贵宾停车场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C.贵宾休息室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D.专人协助办理一站式的值机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E.专用安检通道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银行承兑汇票的背书转让金额以（）为准。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A.出票金额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B.实际结算金额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C.实际交易金额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D.转让金额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邮件备份方法（）。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A.邮箱数据库本地归档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B.拷贝邮箱数据库到本地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对贸易融资业务一般来说首先应审核的内容是（）。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A.申请人资信情况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B.贸易背景真实性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C.业务担保人的担保实力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D.是否有保证金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以下公司类信贷资产分类流程顺序正确的是（）。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A.分类准备、初分、分类认定、分类审批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B.分类认定、分类准备、分类审批、初分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C.分类认定、分类审批、分类准备、初分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D.分类准备、分类认定、分类审批、初分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E.分类准备、分类认定、初分、分类审批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对客户个人的信息，（）.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A.员工可以向外泄漏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B.员工可以向无关人员提供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C.员工可以为了个人目的，利用客户的信息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D.员工应该保守客户秘密，维护客户的合法权益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信贷准入根据客户管理部门及产品种类的不同，由二级分行分别报省分行相关部门受理审核，下列哪个部门不受理该项业务。（）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A.公司业务部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B.机构业务部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C.国际业务部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D.授信审批部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E.授信审批部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撤销结算帐户需提供的手续包括（）。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A.撤销银行结算帐户申请书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B.法定代表人或单位负责人的身份证件，授权他人办理的，还应提供法定代表人或单位负责人的授权书，被授权人的身份证件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C.印鉴卡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D.核准类帐户开户许可证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E.银行对帐单、未使用的重要空白凭证，遗失重要空白凭证责任自担声明等。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个人客户通过柜面签约短信银行业务，提交本人活期账户介质，输入（），进行客户身份验证。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A.电话银行密码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B.网银盾密码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C.网银密码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D.账户密码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30、多选 企业网上银行的产品特点（）。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A.实时动态掌握账务信息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B.资金划转足不出户，任意调度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C.强大的资金管理和企业理财功能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D.便捷、体贴的功能设计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目前企业可在我行办理跨境人民币结算项下的四大类产品包括（）。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B.融资类产品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C.资金交易类产品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我行能够办理常年财务顾问业务的客户包括（）。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A.具有独立法人资格的企业单位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B.具有独立法人资格的事业单位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C.政府部门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D.经独立法人授权的分支机构、部门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33、多选 建设银行财务管理体制中“统一管理”包括（）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A.统一制定全行财务政策、制度和规章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B.统一配置全行财务资源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C.统一对外披露财务信息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D.统一对分行和部门下达综合经营计划和财务预算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以下（）可开立附属卡。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A.VISA龙卡通和MasterCard龙卡通、理财卡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C.银联龙卡通、理财卡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D.银联龙卡通、信用卡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项目评估报告由（）牵头撰写完成，经报告审核人审核后提交客户经理。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B.评估组长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C.经营主责任人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E.公司部经理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营业主管应不定期抽查普通柜员印章及重要物品，每（）对普通柜员印章及重要物品的检查要达到100％。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信用方式个人消费贷款主要贷款对象（）。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A.资信良好的个人客户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B.优质个人客户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C.公务员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D.自由职业者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员工不得代客保管的重要物品，包括（）。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A.代客保管身份证明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B.代客保管银行卡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C.代客保管印章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D.代客保管结算凭证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百易安业务交易资金监管领域具体可以包括（）。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A.二手房交易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B.移民留学中介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C.家居装修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D.股权、土地使用权交易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建设银行个人黄金质押贷款的金额根据借款人还款能力、贷款用途、押品价值等因素合理确定，最高不超过所质押品牌金评估价值的（）（含）。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41、多选 在以下几种情况下（）柜员必须提醒并配合客户测评（重新评估）风险承受能力。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A.客户尚未做过风险评估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B.产品风险等级超出客户风险承受能力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C.客户风险评估结果已经失效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D.客户风险承受能力与产品风险等级不匹配，客户要求重新评估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下列哪一项不是激活开卡的正确途径？（）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A.本人预留手机拨打客服专线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B.本人预留固话拨打客服专线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C.网上银行开卡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D.手机银行开卡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E.网点柜面开卡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某网点对公产品覆盖度4，对公有效客户100个，存款余额1万元以上客户300个，存款客户330个，贷款客户30个，基本结算户200个，符合标准的客户一共使用了我行多少个产品？（）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扫描录入时，前台柜员应根据受理的业务情况录入相应的栏位信息。以下信息中，必须由前台柜员录入（或选择）的是（）。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A.业务编码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C.付款人名称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D.付款人账号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养颐四方可以（）形式向客户提供涵盖福利计划咨询、账户管理、资产托管和一对一专户理财在内的一揽子服务。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A.资产管理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B.专户理财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C.投资分配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D.会计核算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E.资金清算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目前，（）等发卡组织发行的信用卡支持动态货币转换交易功能。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B.Visa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C.JCB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D.美国运通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E.Mastercard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借记卡ATM每日累计取现金额不能超过（）元（含）人民币，ATM转账金额不能超过（）元（含）人民币。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A.2万、10万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B.2万、5万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C.0.5万、2万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D.0.5万、10万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重要空白凭证可以选择以下方式（）之一保管，不得与非重要物品混放。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B.专门库房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C.保险柜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个人客户签约短信银行需要向我行提供哪些资料？（）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A.拥有建设银行龙卡或存折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B.在申领龙卡或存折时使用的有效身份证件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C.能正常接收短信的手机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D.存款证明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在组合风险管理中，衡量组合有效性的主要指标是（）。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C.收益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D.不良率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E.信贷余额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同一借记卡账户连续（）次输入交易密码（含网点、ATM、POS、电话银行、网上银行等各类渠道）不正确，发卡行将立即对该卡进行锁定，禁止所有持卡交易。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在PLC各阶段中，市场细分程度最高的时期是（）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A.引入期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B.成长期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C.成熟期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D.衰退期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以下哪个方案专注服务于文化产业全领域？（）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A.教育慧民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B.医疗健民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C.环保益民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D.文化悦民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小企业业务按照参加审批人员数量及审批形式，授信业务审批方式分为（）、双人审批、会签审批和会议审批。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C.会签审批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55、多选 私人银行香港投资移民的特色服务包括（）。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A.政策解读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B.第三国身份取得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C.香港投资移民申请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D.见证开户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E.资产配置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集团公司能够利用企业网银实现对下级单位账户的资金进行（）等方式自动归集。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A.定时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B.定额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C.零余额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D.循环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商业银行网点开办代理保险业务必须取得保险监督管理部门印发的（）。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A.保险兼业代理业务许可证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B.营业执照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 xml:space="preserve">C.组织机构代码证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D.金融许可证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代理信托计划业务，代收信托资金应通过（）操作。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A.手工转账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C.理财系统“理财产品”功能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D.理财系统“代理第三方信托产品”功能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违约风险暴露包括（）。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A.现有未偿还本金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B.全部本金及利息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C.应付未付利息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D.逾期利息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E.未提取余额/或有资产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个人金融资产（AUM）是指客户可投资金融资产中，在我行以及通过我行投资购买的金融资产合计，AUM以（）计算。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A.当月日均值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B.当年日均值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C.当季日均值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D.当日日均值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我行造价咨询业务具有的品牌优势有（）。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A.公正客观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B.值得信赖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C.合法合规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D.全国联网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历史RAROC是根据客户历史实际利润贡献和资本占用等数据计算出来的，主要应用于（）。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A.风险定价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B.绩效考核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D.管理评价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E.授信方案设计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员工直系亲属或其配偶的父母去世，给予丧假（）。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B.3天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指纹系统中机构管理包括对（）的管理，相关信息由一级分行营运管理部门统一进行维护。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A.业务机构和行政机构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D.行政机构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压卡机是将信用卡正面的凸印卡号等内容压印在交易凭证上的机具，一般是在POS机具出现通讯线路等故障或持卡人的信用卡磁条损坏的情况下通过（）受理方式进行交易时使用。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A.手动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客户信用评级可以在以下方面发挥重要作用（）。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A.客户营销与准入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D.信贷授权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E.产品定价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如何开通私人银行网上银行开通及签约（）。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A.后台开通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B.与普通个人网银一致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C.柜面设置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柜员临时离柜时要将（）等重要物品收妥，退（锁）操作界面。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B.重要空白凭证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D.身份证鉴别仪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我行汽车卡服务车辆为核定载客人数在（）人座（含）以下的非营运机动车辆.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E.20人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下列不属于对公贷款发放与支用阶段内容的是（）。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A.签订合同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B.信贷调查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C.落实用款条件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下列属于谨慎和限制发展的分期商户（）：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A.小型（下属直营门店数量低于5家）手机专卖、黄金珠宝、工艺品、名牌服饰专卖、机票代售点等商户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B.尚未开展银行卡受理业务的商户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C.个体工商户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D.主营批发销售业务的商户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E.小型（下属直营门店数量低于5家）预付款类商户，如旅行社、健身俱乐部、美容中心等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对持卡人来说，特约商户是指（）。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A.在购买商品或服务时只受理现金的商户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B.在购买商品或服务时可以银行卡支付的商户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C.可在ATM自助终端进行取款交易的商户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D.通过专用POS完成财务转账交易，实现费用报销和财务记账电子化的企事业单位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员工应充分尊重客户在购买金融产品或选择服务时的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A.支配权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B.独立权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C.自主选择权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D.主动选择权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我行乾元私享定制化产品的投资起点金额是（）万元。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以下哪些消费不可申请账单分期（）。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A.取现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B.房产类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C.证券交易类等交易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D.信用卡年费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E.取现交易手续费、滞纳金、超限费等信用卡收费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建设银行接受的押品不包括（）。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A.金融质押品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B.应收账款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C.商用房地产和居住用房地产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D.流动资产、机器设备、交通运输设备等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E.已提交破产预案或已进入破产程序的法人、其他组织提供的财产担保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华山路合规文化管理体系被河南省分行评为“流程创新特等奖”，（）专门发文在全省银行业全面推广。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A.省银行业协会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B.河南省银监局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D.省金融办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E.审计署河南办事处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登录悦生活的方式有（）。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A.登录我行网站（www.ccB.com），选择热点频道中的“悦生活”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B.浏览器地址栏输入我行悦生活网址（lifE.ccB.com）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C.mall.ccB.com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个人商业用房贷款是中国建设银行用信贷资金向在中国境内城镇购买各类型商业用房的（）发放的贷款。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B.中国居民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C.中国公民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D.企业主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我行龙卡IC信用卡电子现金最高限额为人民币（）元。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关于风险选择，错误的是（）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A.在风险管理中必须了解自己所承担的风险，必须选择那些自己能够识别的风险。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B.风险选择虽然要考虑自己的承受能力，但是眼前利润非常可观、最终无法承担风险的业务也可以适当做一些。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C.风险选择应该以可以获利为最终目标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D.风险选择应该以擅长管理为必要条件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E.风险选择应该充分考虑市场容量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各级行（）是本行主管宣传部门。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A.企业文化部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D.人力资源部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83、多选 网点在上报调账申请时，如涉及客户账，应列明客户账的相关要素包括（）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A.客户账户名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B.涉及金额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C.客户账账号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D.发生异常的准确日期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E.客户的相关要求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开立进口信用证的目标客户是（）。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A.出口贸易客户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B.外商投资企业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C.拥有进出口经营权、在建设银行开立外币存款账户的客户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D.拥有进出口经营权、在建设银行开立人民币存款账户的客户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营运稽核系统发布的二级稽核信息的核查结果须在信息下发后（）个工作日内反馈。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工伤保险是员工因工作原因遭遇意外事故（），在暂时或永久丧失劳动能力的情况下由社会给予其本人或遗属必要的物质帮助的一项社会保险制度。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A.致伤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B.致残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C.疾病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D.致死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E.患职业病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私人银行为客户提供法律事务顾问服务，关于该服务，以下说法错误的是（）。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A.私人银行携手国内权威专业律师事务所为客户提供服务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B.该服务永久免费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C.可以为客户提供一对一的个性化法律咨询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D.咨询方式灵活，咨询范围广泛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非持卡人在柜面办理以下哪种交易的时候无需验证身份（）。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A.结算卡存现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B.修改初始密码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C.关联账户维护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D.交易对手维护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工程造价咨询业务是指运用（）的专业技能，为工程计价和工程造价管理提供的有偿服务。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D.造价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90、多选 金库双人管库，金库作业必须执行（）的“五同”规定。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A.同开库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B.同出库</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https://d.book118.com/976223225233010050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49A"/>
    <w:rsid w:val="002B1D86"/>
    <w:rsid w:val="00F3649A"/>
    <w:rsid w:val="06BE5561"/>
    <w:rsid w:val="4E9B77B8"/>
    <w:rsid w:val="7AFF2338"/>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6223225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2873</Words>
  <Characters>16379</Characters>
  <Application>Microsoft Office Word</Application>
  <DocSecurity>0</DocSecurity>
  <Lines>136</Lines>
  <Paragraphs>38</Paragraphs>
  <ScaleCrop>false</ScaleCrop>
  <Company/>
  <LinksUpToDate>false</LinksUpToDate>
  <CharactersWithSpaces>19214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11124609AFDB453E960154AFE39CB00A_13</vt:lpwstr>
  </property>
  <property fmtid="{D5CDD505-2E9C-101B-9397-08002B2CF9AE}" pid="3" name="KSOProductBuildVer">
    <vt:lpwstr>2052-12.1.0.16250</vt:lpwstr>
  </property>
</Properties>
</file>