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embeddings/Microsoft_Excel_Worksheet1.xlsx" ContentType="application/vnd.openxmlformats-officedocument.spreadsheetml.sheet"/>
  <Override PartName="/word/embeddings/Microsoft_Excel_Worksheet2.xlsx" ContentType="application/vnd.openxmlformats-officedocument.spreadsheetml.shee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312" w:afterLines="100"/>
        <w:jc w:val="center"/>
        <w:outlineLvl w:val="0"/>
        <w:rPr>
          <w:rFonts w:ascii="Times New Roman" w:eastAsia="黑体" w:hAnsi="Times New Roman" w:hint="eastAsia"/>
          <w:sz w:val="32"/>
        </w:rPr>
      </w:pPr>
      <w:bookmarkStart w:id="0" w:name="_GoBack"/>
      <w:bookmarkStart w:id="1" w:name="_Toc8626"/>
      <w:bookmarkStart w:id="2" w:name="_Toc70440605"/>
      <w:r>
        <w:rPr>
          <w:rFonts w:ascii="Times New Roman" w:eastAsia="黑体" w:hAnsi="Times New Roman" w:hint="eastAsia"/>
          <w:sz w:val="32"/>
          <w:lang w:val="en-US" w:eastAsia="zh-CN"/>
        </w:rPr>
        <w:t>我国</w:t>
      </w:r>
      <w:r>
        <w:rPr>
          <w:rFonts w:ascii="Times New Roman" w:eastAsia="黑体" w:hAnsi="Times New Roman" w:hint="eastAsia"/>
          <w:sz w:val="32"/>
        </w:rPr>
        <w:t>农产品出口贸易发展状况</w:t>
      </w:r>
      <w:r>
        <w:rPr>
          <w:rFonts w:ascii="Times New Roman" w:eastAsia="黑体" w:hAnsi="Times New Roman" w:hint="eastAsia"/>
          <w:sz w:val="32"/>
          <w:lang w:eastAsia="zh-CN"/>
        </w:rPr>
        <w:t>的</w:t>
      </w:r>
      <w:r>
        <w:rPr>
          <w:rFonts w:ascii="Times New Roman" w:eastAsia="黑体" w:hAnsi="Times New Roman" w:hint="eastAsia"/>
          <w:sz w:val="32"/>
          <w:lang w:val="en-US" w:eastAsia="zh-CN"/>
        </w:rPr>
        <w:t>省份</w:t>
      </w:r>
      <w:r>
        <w:rPr>
          <w:rFonts w:ascii="Times New Roman" w:eastAsia="黑体" w:hAnsi="Times New Roman" w:hint="eastAsia"/>
          <w:sz w:val="32"/>
        </w:rPr>
        <w:t>比较分析</w:t>
      </w:r>
      <w:bookmarkEnd w:id="1"/>
    </w:p>
    <w:bookmarkEnd w:id="0"/>
    <w:sdt>
      <w:sdtPr>
        <w:rPr>
          <w:rFonts w:ascii="宋体" w:eastAsia="宋体" w:hAnsi="宋体" w:cstheme="minorBidi"/>
          <w:kern w:val="2"/>
          <w:sz w:val="21"/>
          <w:szCs w:val="22"/>
          <w:lang w:val="en-US" w:eastAsia="zh-CN" w:bidi="ar-SA"/>
        </w:rPr>
        <w:id w:val="147467050"/>
        <w:docPartObj>
          <w:docPartGallery w:val="Table of Contents"/>
          <w:docPartUnique/>
        </w:docPartObj>
        <w15:color w:val="DBDBDB"/>
      </w:sdtPr>
      <w:sdtEndPr>
        <w:rPr>
          <w:rFonts w:ascii="Times New Roman" w:eastAsia="黑体" w:hAnsi="Times New Roman" w:cstheme="minorBidi" w:hint="eastAsia"/>
          <w:b/>
          <w:kern w:val="2"/>
          <w:sz w:val="21"/>
          <w:szCs w:val="22"/>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WPSOffice1"/>
            <w:tabs>
              <w:tab w:val="right" w:leader="dot" w:pos="9354"/>
            </w:tabs>
            <w:rPr>
              <w:b/>
            </w:rPr>
          </w:pPr>
          <w:r>
            <w:rPr>
              <w:rFonts w:ascii="Times New Roman" w:eastAsia="黑体" w:hAnsi="Times New Roman" w:hint="eastAsia"/>
              <w:sz w:val="32"/>
            </w:rPr>
            <w:fldChar w:fldCharType="begin"/>
          </w:r>
          <w:r>
            <w:rPr>
              <w:rFonts w:ascii="Times New Roman" w:eastAsia="黑体" w:hAnsi="Times New Roman" w:hint="eastAsia"/>
              <w:sz w:val="32"/>
            </w:rPr>
            <w:instrText xml:space="preserve">TOC \o "1-2" \h \u </w:instrText>
          </w:r>
          <w:r>
            <w:rPr>
              <w:rFonts w:ascii="Times New Roman" w:eastAsia="黑体" w:hAnsi="Times New Roman" w:hint="eastAsia"/>
              <w:sz w:val="32"/>
            </w:rPr>
            <w:fldChar w:fldCharType="separate"/>
          </w:r>
          <w:hyperlink w:anchor="_Toc4606" w:history="1">
            <w:r>
              <w:rPr>
                <w:rFonts w:hint="eastAsia"/>
                <w:b/>
              </w:rPr>
              <w:t>第1章 绪论</w:t>
            </w:r>
            <w:r>
              <w:rPr>
                <w:b/>
              </w:rPr>
              <w:tab/>
            </w:r>
            <w:r>
              <w:rPr>
                <w:b/>
              </w:rPr>
              <w:fldChar w:fldCharType="begin"/>
            </w:r>
            <w:r>
              <w:rPr>
                <w:b/>
              </w:rPr>
              <w:instrText xml:space="preserve"> PAGEREF _Toc4606 \h </w:instrText>
            </w:r>
            <w:r>
              <w:rPr>
                <w:b/>
              </w:rPr>
              <w:fldChar w:fldCharType="separate"/>
            </w:r>
            <w:r>
              <w:rPr>
                <w:b/>
              </w:rPr>
              <w:t>1</w:t>
            </w:r>
            <w:r>
              <w:rPr>
                <w:b/>
              </w:rPr>
              <w:fldChar w:fldCharType="end"/>
            </w:r>
          </w:hyperlink>
        </w:p>
        <w:p>
          <w:pPr>
            <w:pStyle w:val="WPSOffice2"/>
            <w:tabs>
              <w:tab w:val="right" w:leader="dot" w:pos="9354"/>
            </w:tabs>
          </w:pPr>
          <w:hyperlink w:anchor="_Toc7986" w:history="1">
            <w:r>
              <w:rPr>
                <w:rFonts w:eastAsia="黑体"/>
              </w:rPr>
              <w:t>1.1</w:t>
            </w:r>
            <w:r>
              <w:rPr>
                <w:rFonts w:ascii="黑体" w:eastAsia="黑体" w:hAnsi="黑体" w:hint="eastAsia"/>
              </w:rPr>
              <w:t>研究背景及意义</w:t>
            </w:r>
            <w:r>
              <w:tab/>
            </w:r>
            <w:r>
              <w:fldChar w:fldCharType="begin"/>
            </w:r>
            <w:r>
              <w:instrText xml:space="preserve"> PAGEREF _Toc7986 \h </w:instrText>
            </w:r>
            <w:r>
              <w:fldChar w:fldCharType="separate"/>
            </w:r>
            <w:r>
              <w:t>1</w:t>
            </w:r>
            <w:r>
              <w:fldChar w:fldCharType="end"/>
            </w:r>
          </w:hyperlink>
        </w:p>
        <w:p>
          <w:pPr>
            <w:pStyle w:val="WPSOffice2"/>
            <w:tabs>
              <w:tab w:val="right" w:leader="dot" w:pos="9354"/>
            </w:tabs>
          </w:pPr>
          <w:hyperlink w:anchor="_Toc23040" w:history="1">
            <w:r>
              <w:rPr>
                <w:rFonts w:ascii="Times New Roman" w:eastAsia="黑体" w:hAnsi="Times New Roman" w:cs="Times New Roman"/>
              </w:rPr>
              <w:t xml:space="preserve">1.2 </w:t>
            </w:r>
            <w:r>
              <w:rPr>
                <w:rFonts w:ascii="黑体" w:eastAsia="黑体" w:hAnsi="黑体" w:hint="eastAsia"/>
              </w:rPr>
              <w:t>国内外研究现状</w:t>
            </w:r>
            <w:r>
              <w:tab/>
            </w:r>
            <w:r>
              <w:fldChar w:fldCharType="begin"/>
            </w:r>
            <w:r>
              <w:instrText xml:space="preserve"> PAGEREF _Toc23040 \h </w:instrText>
            </w:r>
            <w:r>
              <w:fldChar w:fldCharType="separate"/>
            </w:r>
            <w:r>
              <w:t>2</w:t>
            </w:r>
            <w:r>
              <w:fldChar w:fldCharType="end"/>
            </w:r>
          </w:hyperlink>
        </w:p>
        <w:p>
          <w:pPr>
            <w:pStyle w:val="WPSOffice2"/>
            <w:tabs>
              <w:tab w:val="right" w:leader="dot" w:pos="9354"/>
            </w:tabs>
          </w:pPr>
          <w:hyperlink w:anchor="_Toc19527" w:history="1">
            <w:r>
              <w:rPr>
                <w:rFonts w:ascii="Times New Roman" w:eastAsia="黑体" w:hAnsi="Times New Roman" w:cs="Times New Roman"/>
              </w:rPr>
              <w:t>1.3</w:t>
            </w:r>
            <w:r>
              <w:rPr>
                <w:rFonts w:ascii="黑体" w:eastAsia="黑体" w:hAnsi="黑体" w:hint="eastAsia"/>
              </w:rPr>
              <w:t>研究思路与研究内容</w:t>
            </w:r>
            <w:r>
              <w:tab/>
            </w:r>
            <w:r>
              <w:fldChar w:fldCharType="begin"/>
            </w:r>
            <w:r>
              <w:instrText xml:space="preserve"> PAGEREF _Toc19527 \h </w:instrText>
            </w:r>
            <w:r>
              <w:fldChar w:fldCharType="separate"/>
            </w:r>
            <w:r>
              <w:t>4</w:t>
            </w:r>
            <w:r>
              <w:fldChar w:fldCharType="end"/>
            </w:r>
          </w:hyperlink>
        </w:p>
        <w:p>
          <w:pPr>
            <w:pStyle w:val="WPSOffice2"/>
            <w:tabs>
              <w:tab w:val="right" w:leader="dot" w:pos="9354"/>
            </w:tabs>
          </w:pPr>
          <w:hyperlink w:anchor="_Toc28554" w:history="1">
            <w:r>
              <w:rPr>
                <w:rFonts w:ascii="Times New Roman" w:eastAsia="黑体" w:hAnsi="Times New Roman" w:cs="Times New Roman" w:hint="eastAsia"/>
              </w:rPr>
              <w:t>1</w:t>
            </w:r>
            <w:r>
              <w:rPr>
                <w:rFonts w:ascii="Times New Roman" w:eastAsia="黑体" w:hAnsi="Times New Roman" w:cs="Times New Roman"/>
              </w:rPr>
              <w:t>.4</w:t>
            </w:r>
            <w:r>
              <w:rPr>
                <w:szCs w:val="32"/>
              </w:rPr>
              <w:t xml:space="preserve"> </w:t>
            </w:r>
            <w:r>
              <w:rPr>
                <w:rFonts w:ascii="黑体" w:eastAsia="黑体" w:hAnsi="黑体" w:hint="eastAsia"/>
              </w:rPr>
              <w:t>研究方法</w:t>
            </w:r>
            <w:r>
              <w:tab/>
            </w:r>
            <w:r>
              <w:fldChar w:fldCharType="begin"/>
            </w:r>
            <w:r>
              <w:instrText xml:space="preserve"> PAGEREF _Toc28554 \h </w:instrText>
            </w:r>
            <w:r>
              <w:fldChar w:fldCharType="separate"/>
            </w:r>
            <w:r>
              <w:t>4</w:t>
            </w:r>
            <w:r>
              <w:fldChar w:fldCharType="end"/>
            </w:r>
          </w:hyperlink>
        </w:p>
        <w:p>
          <w:pPr>
            <w:pStyle w:val="WPSOffice1"/>
            <w:tabs>
              <w:tab w:val="right" w:leader="dot" w:pos="9354"/>
            </w:tabs>
            <w:rPr>
              <w:b/>
            </w:rPr>
          </w:pPr>
          <w:hyperlink w:anchor="_Toc12523" w:history="1">
            <w:r>
              <w:rPr>
                <w:rFonts w:hint="eastAsia"/>
                <w:b/>
              </w:rPr>
              <w:t>第</w:t>
            </w:r>
            <w:r>
              <w:rPr>
                <w:b/>
              </w:rPr>
              <w:t>2</w:t>
            </w:r>
            <w:r>
              <w:rPr>
                <w:rFonts w:hint="eastAsia"/>
                <w:b/>
              </w:rPr>
              <w:t>章 山东省农产品出口概况</w:t>
            </w:r>
            <w:r>
              <w:rPr>
                <w:b/>
              </w:rPr>
              <w:tab/>
            </w:r>
            <w:r>
              <w:rPr>
                <w:b/>
              </w:rPr>
              <w:fldChar w:fldCharType="begin"/>
            </w:r>
            <w:r>
              <w:rPr>
                <w:b/>
              </w:rPr>
              <w:instrText xml:space="preserve"> PAGEREF _Toc12523 \h </w:instrText>
            </w:r>
            <w:r>
              <w:rPr>
                <w:b/>
              </w:rPr>
              <w:fldChar w:fldCharType="separate"/>
            </w:r>
            <w:r>
              <w:rPr>
                <w:b/>
              </w:rPr>
              <w:t>5</w:t>
            </w:r>
            <w:r>
              <w:rPr>
                <w:b/>
              </w:rPr>
              <w:fldChar w:fldCharType="end"/>
            </w:r>
          </w:hyperlink>
        </w:p>
        <w:p>
          <w:pPr>
            <w:pStyle w:val="WPSOffice2"/>
            <w:tabs>
              <w:tab w:val="right" w:leader="dot" w:pos="9354"/>
            </w:tabs>
          </w:pPr>
          <w:hyperlink w:anchor="_Toc24315" w:history="1">
            <w:r>
              <w:rPr>
                <w:rFonts w:ascii="Times New Roman" w:hAnsi="Times New Roman"/>
                <w:szCs w:val="24"/>
              </w:rPr>
              <w:t>2.1</w:t>
            </w:r>
            <w:r>
              <w:rPr>
                <w:rFonts w:ascii="Times New Roman" w:hAnsi="Times New Roman" w:hint="eastAsia"/>
                <w:szCs w:val="24"/>
              </w:rPr>
              <w:t xml:space="preserve"> 山东省农业发展现状</w:t>
            </w:r>
            <w:r>
              <w:tab/>
            </w:r>
            <w:r>
              <w:fldChar w:fldCharType="begin"/>
            </w:r>
            <w:r>
              <w:instrText xml:space="preserve"> PAGEREF _Toc24315 \h </w:instrText>
            </w:r>
            <w:r>
              <w:fldChar w:fldCharType="separate"/>
            </w:r>
            <w:r>
              <w:t>5</w:t>
            </w:r>
            <w:r>
              <w:fldChar w:fldCharType="end"/>
            </w:r>
          </w:hyperlink>
        </w:p>
        <w:p>
          <w:pPr>
            <w:pStyle w:val="WPSOffice2"/>
            <w:tabs>
              <w:tab w:val="right" w:leader="dot" w:pos="9354"/>
            </w:tabs>
          </w:pPr>
          <w:hyperlink w:anchor="_Toc25375" w:history="1">
            <w:r>
              <w:rPr>
                <w:rFonts w:ascii="Times New Roman" w:eastAsia="黑体" w:hAnsi="Times New Roman" w:cs="Times New Roman"/>
              </w:rPr>
              <w:t xml:space="preserve">2.2 </w:t>
            </w:r>
            <w:r>
              <w:rPr>
                <w:rFonts w:ascii="黑体" w:eastAsia="黑体" w:hAnsi="黑体" w:hint="eastAsia"/>
              </w:rPr>
              <w:t>山东省农产品出口现状</w:t>
            </w:r>
            <w:r>
              <w:tab/>
            </w:r>
            <w:r>
              <w:fldChar w:fldCharType="begin"/>
            </w:r>
            <w:r>
              <w:instrText xml:space="preserve"> PAGEREF _Toc25375 \h </w:instrText>
            </w:r>
            <w:r>
              <w:fldChar w:fldCharType="separate"/>
            </w:r>
            <w:r>
              <w:t>6</w:t>
            </w:r>
            <w:r>
              <w:fldChar w:fldCharType="end"/>
            </w:r>
          </w:hyperlink>
        </w:p>
        <w:p>
          <w:pPr>
            <w:pStyle w:val="WPSOffice1"/>
            <w:tabs>
              <w:tab w:val="right" w:leader="dot" w:pos="9354"/>
            </w:tabs>
            <w:rPr>
              <w:b/>
            </w:rPr>
          </w:pPr>
          <w:hyperlink w:anchor="_Toc15595" w:history="1">
            <w:r>
              <w:rPr>
                <w:rFonts w:ascii="Times New Roman" w:hAnsi="Times New Roman" w:hint="eastAsia"/>
                <w:b/>
                <w:szCs w:val="20"/>
              </w:rPr>
              <w:t>数据来源：山东省统计年鉴、济南海关总署</w:t>
            </w:r>
            <w:r>
              <w:rPr>
                <w:b/>
              </w:rPr>
              <w:tab/>
            </w:r>
            <w:r>
              <w:rPr>
                <w:b/>
              </w:rPr>
              <w:fldChar w:fldCharType="begin"/>
            </w:r>
            <w:r>
              <w:rPr>
                <w:b/>
              </w:rPr>
              <w:instrText xml:space="preserve"> PAGEREF _Toc15595 \h </w:instrText>
            </w:r>
            <w:r>
              <w:rPr>
                <w:b/>
              </w:rPr>
              <w:fldChar w:fldCharType="separate"/>
            </w:r>
            <w:r>
              <w:rPr>
                <w:b/>
              </w:rPr>
              <w:t>10</w:t>
            </w:r>
            <w:r>
              <w:rPr>
                <w:b/>
              </w:rPr>
              <w:fldChar w:fldCharType="end"/>
            </w:r>
          </w:hyperlink>
        </w:p>
        <w:p>
          <w:pPr>
            <w:pStyle w:val="WPSOffice1"/>
            <w:tabs>
              <w:tab w:val="right" w:leader="dot" w:pos="9354"/>
            </w:tabs>
            <w:rPr>
              <w:b/>
            </w:rPr>
          </w:pPr>
          <w:hyperlink w:anchor="_Toc2382" w:history="1">
            <w:r>
              <w:rPr>
                <w:rFonts w:hint="eastAsia"/>
                <w:b/>
              </w:rPr>
              <w:t>第</w:t>
            </w:r>
            <w:r>
              <w:rPr>
                <w:b/>
              </w:rPr>
              <w:t>3</w:t>
            </w:r>
            <w:r>
              <w:rPr>
                <w:rFonts w:hint="eastAsia"/>
                <w:b/>
              </w:rPr>
              <w:t>章 河南省农产品出口概况</w:t>
            </w:r>
            <w:r>
              <w:rPr>
                <w:b/>
              </w:rPr>
              <w:tab/>
            </w:r>
            <w:r>
              <w:rPr>
                <w:b/>
              </w:rPr>
              <w:fldChar w:fldCharType="begin"/>
            </w:r>
            <w:r>
              <w:rPr>
                <w:b/>
              </w:rPr>
              <w:instrText xml:space="preserve"> PAGEREF _Toc2382 \h </w:instrText>
            </w:r>
            <w:r>
              <w:rPr>
                <w:b/>
              </w:rPr>
              <w:fldChar w:fldCharType="separate"/>
            </w:r>
            <w:r>
              <w:rPr>
                <w:b/>
              </w:rPr>
              <w:t>11</w:t>
            </w:r>
            <w:r>
              <w:rPr>
                <w:b/>
              </w:rPr>
              <w:fldChar w:fldCharType="end"/>
            </w:r>
          </w:hyperlink>
        </w:p>
        <w:p>
          <w:pPr>
            <w:pStyle w:val="WPSOffice2"/>
            <w:tabs>
              <w:tab w:val="right" w:leader="dot" w:pos="9354"/>
            </w:tabs>
          </w:pPr>
          <w:hyperlink w:anchor="_Toc12673" w:history="1">
            <w:r>
              <w:rPr>
                <w:rFonts w:ascii="Times New Roman" w:hAnsi="Times New Roman"/>
                <w:szCs w:val="28"/>
              </w:rPr>
              <w:t>3.1</w:t>
            </w:r>
            <w:r>
              <w:rPr>
                <w:rFonts w:ascii="黑体" w:hAnsi="黑体" w:hint="eastAsia"/>
                <w:szCs w:val="28"/>
              </w:rPr>
              <w:t xml:space="preserve"> 河南省农业发展现状</w:t>
            </w:r>
            <w:r>
              <w:tab/>
            </w:r>
            <w:r>
              <w:fldChar w:fldCharType="begin"/>
            </w:r>
            <w:r>
              <w:instrText xml:space="preserve"> PAGEREF _Toc12673 \h </w:instrText>
            </w:r>
            <w:r>
              <w:fldChar w:fldCharType="separate"/>
            </w:r>
            <w:r>
              <w:t>11</w:t>
            </w:r>
            <w:r>
              <w:fldChar w:fldCharType="end"/>
            </w:r>
          </w:hyperlink>
        </w:p>
        <w:p>
          <w:pPr>
            <w:pStyle w:val="WPSOffice2"/>
            <w:tabs>
              <w:tab w:val="right" w:leader="dot" w:pos="9354"/>
            </w:tabs>
          </w:pPr>
          <w:hyperlink w:anchor="_Toc198" w:history="1">
            <w:r>
              <w:rPr>
                <w:rFonts w:ascii="Times New Roman" w:hAnsi="Times New Roman"/>
                <w:szCs w:val="24"/>
              </w:rPr>
              <w:t xml:space="preserve">3.2 </w:t>
            </w:r>
            <w:r>
              <w:rPr>
                <w:rFonts w:ascii="黑体" w:eastAsia="黑体" w:hAnsi="黑体" w:hint="eastAsia"/>
                <w:szCs w:val="24"/>
              </w:rPr>
              <w:t>河南省农产品出口现状</w:t>
            </w:r>
            <w:r>
              <w:tab/>
            </w:r>
            <w:r>
              <w:fldChar w:fldCharType="begin"/>
            </w:r>
            <w:r>
              <w:instrText xml:space="preserve"> PAGEREF _Toc198 \h </w:instrText>
            </w:r>
            <w:r>
              <w:fldChar w:fldCharType="separate"/>
            </w:r>
            <w:r>
              <w:t>12</w:t>
            </w:r>
            <w:r>
              <w:fldChar w:fldCharType="end"/>
            </w:r>
          </w:hyperlink>
        </w:p>
        <w:p>
          <w:pPr>
            <w:pStyle w:val="WPSOffice1"/>
            <w:tabs>
              <w:tab w:val="right" w:leader="dot" w:pos="9354"/>
            </w:tabs>
            <w:rPr>
              <w:b/>
            </w:rPr>
          </w:pPr>
          <w:hyperlink w:anchor="_Toc11147" w:history="1">
            <w:r>
              <w:rPr>
                <w:rFonts w:ascii="黑体" w:eastAsia="黑体" w:hAnsi="黑体" w:hint="eastAsia"/>
                <w:b/>
                <w:szCs w:val="30"/>
              </w:rPr>
              <w:t>第</w:t>
            </w:r>
            <w:r>
              <w:rPr>
                <w:rFonts w:ascii="Times New Roman" w:eastAsia="黑体" w:hAnsi="Times New Roman" w:cs="Times New Roman"/>
                <w:b/>
                <w:szCs w:val="30"/>
              </w:rPr>
              <w:t>4</w:t>
            </w:r>
            <w:r>
              <w:rPr>
                <w:rFonts w:ascii="黑体" w:eastAsia="黑体" w:hAnsi="黑体" w:hint="eastAsia"/>
                <w:b/>
                <w:szCs w:val="30"/>
              </w:rPr>
              <w:t>章 山东省与河南省农产品出口贸易比较分析</w:t>
            </w:r>
            <w:r>
              <w:rPr>
                <w:b/>
              </w:rPr>
              <w:tab/>
            </w:r>
            <w:r>
              <w:rPr>
                <w:b/>
              </w:rPr>
              <w:fldChar w:fldCharType="begin"/>
            </w:r>
            <w:r>
              <w:rPr>
                <w:b/>
              </w:rPr>
              <w:instrText xml:space="preserve"> PAGEREF _Toc11147 \h </w:instrText>
            </w:r>
            <w:r>
              <w:rPr>
                <w:b/>
              </w:rPr>
              <w:fldChar w:fldCharType="separate"/>
            </w:r>
            <w:r>
              <w:rPr>
                <w:b/>
              </w:rPr>
              <w:t>17</w:t>
            </w:r>
            <w:r>
              <w:rPr>
                <w:b/>
              </w:rPr>
              <w:fldChar w:fldCharType="end"/>
            </w:r>
          </w:hyperlink>
        </w:p>
        <w:p>
          <w:pPr>
            <w:pStyle w:val="WPSOffice2"/>
            <w:tabs>
              <w:tab w:val="right" w:leader="dot" w:pos="9354"/>
            </w:tabs>
          </w:pPr>
          <w:hyperlink w:anchor="_Toc20718" w:history="1">
            <w:r>
              <w:rPr>
                <w:rFonts w:ascii="Times New Roman" w:eastAsia="黑体" w:hAnsi="Times New Roman" w:cs="Times New Roman"/>
                <w:bCs/>
              </w:rPr>
              <w:t xml:space="preserve">4.1 </w:t>
            </w:r>
            <w:r>
              <w:rPr>
                <w:rFonts w:ascii="黑体" w:eastAsia="黑体" w:hAnsi="黑体" w:hint="eastAsia"/>
                <w:bCs/>
              </w:rPr>
              <w:t>山东、河南农产品出口规模比较</w:t>
            </w:r>
            <w:r>
              <w:tab/>
            </w:r>
            <w:r>
              <w:fldChar w:fldCharType="begin"/>
            </w:r>
            <w:r>
              <w:instrText xml:space="preserve"> PAGEREF _Toc20718 \h </w:instrText>
            </w:r>
            <w:r>
              <w:fldChar w:fldCharType="separate"/>
            </w:r>
            <w:r>
              <w:t>17</w:t>
            </w:r>
            <w:r>
              <w:fldChar w:fldCharType="end"/>
            </w:r>
          </w:hyperlink>
        </w:p>
        <w:p>
          <w:pPr>
            <w:pStyle w:val="WPSOffice2"/>
            <w:tabs>
              <w:tab w:val="right" w:leader="dot" w:pos="9354"/>
            </w:tabs>
          </w:pPr>
          <w:hyperlink w:anchor="_Toc24930" w:history="1">
            <w:r>
              <w:rPr>
                <w:rFonts w:ascii="Times New Roman" w:eastAsia="黑体" w:hAnsi="Times New Roman" w:cs="Times New Roman"/>
                <w:bCs/>
              </w:rPr>
              <w:t>4.2</w:t>
            </w:r>
            <w:r>
              <w:rPr>
                <w:rFonts w:ascii="黑体" w:eastAsia="黑体" w:hAnsi="黑体"/>
                <w:bCs/>
              </w:rPr>
              <w:t xml:space="preserve"> </w:t>
            </w:r>
            <w:r>
              <w:rPr>
                <w:rFonts w:ascii="黑体" w:eastAsia="黑体" w:hAnsi="黑体" w:hint="eastAsia"/>
                <w:bCs/>
              </w:rPr>
              <w:t>山东、河南农产品出口结构比较</w:t>
            </w:r>
            <w:r>
              <w:tab/>
            </w:r>
            <w:r>
              <w:fldChar w:fldCharType="begin"/>
            </w:r>
            <w:r>
              <w:instrText xml:space="preserve"> PAGEREF _Toc24930 \h </w:instrText>
            </w:r>
            <w:r>
              <w:fldChar w:fldCharType="separate"/>
            </w:r>
            <w:r>
              <w:t>17</w:t>
            </w:r>
            <w:r>
              <w:fldChar w:fldCharType="end"/>
            </w:r>
          </w:hyperlink>
        </w:p>
        <w:p>
          <w:pPr>
            <w:pStyle w:val="WPSOffice2"/>
            <w:tabs>
              <w:tab w:val="right" w:leader="dot" w:pos="9354"/>
            </w:tabs>
          </w:pPr>
          <w:hyperlink w:anchor="_Toc6427" w:history="1">
            <w:r>
              <w:rPr>
                <w:rFonts w:ascii="Times New Roman" w:eastAsia="黑体" w:hAnsi="Times New Roman" w:cs="Times New Roman"/>
                <w:bCs/>
              </w:rPr>
              <w:t>4.3</w:t>
            </w:r>
            <w:r>
              <w:rPr>
                <w:rFonts w:ascii="黑体" w:eastAsia="黑体" w:hAnsi="黑体"/>
                <w:bCs/>
              </w:rPr>
              <w:t xml:space="preserve"> </w:t>
            </w:r>
            <w:r>
              <w:rPr>
                <w:rFonts w:ascii="黑体" w:eastAsia="黑体" w:hAnsi="黑体" w:hint="eastAsia"/>
                <w:bCs/>
              </w:rPr>
              <w:t>山东、河南农产品国际竞争力分析</w:t>
            </w:r>
            <w:r>
              <w:tab/>
            </w:r>
            <w:r>
              <w:fldChar w:fldCharType="begin"/>
            </w:r>
            <w:r>
              <w:instrText xml:space="preserve"> PAGEREF _Toc6427 \h </w:instrText>
            </w:r>
            <w:r>
              <w:fldChar w:fldCharType="separate"/>
            </w:r>
            <w:r>
              <w:t>18</w:t>
            </w:r>
            <w:r>
              <w:fldChar w:fldCharType="end"/>
            </w:r>
          </w:hyperlink>
        </w:p>
        <w:p>
          <w:pPr>
            <w:pStyle w:val="WPSOffice1"/>
            <w:tabs>
              <w:tab w:val="right" w:leader="dot" w:pos="9354"/>
            </w:tabs>
            <w:rPr>
              <w:b/>
            </w:rPr>
          </w:pPr>
          <w:hyperlink w:anchor="_Toc13790" w:history="1">
            <m:oMath>
              <m:r>
                <m:rPr>
                  <m:sty m:val="b"/>
                </m:rPr>
                <w:rPr>
                  <w:rFonts w:ascii="Cambria Math" w:eastAsia="Cambria Math" w:hAnsi="Cambria Math" w:cs="Times New Roman"/>
                </w:rPr>
                <m:t>IMS=</m:t>
              </m:r>
              <m:f>
                <m:fPr>
                  <m:ctrlPr>
                    <w:rPr>
                      <w:rFonts w:ascii="Cambria Math" w:eastAsia="Cambria Math" w:hAnsi="Cambria Math" w:cs="Times New Roman"/>
                      <w:b/>
                      <w:bCs/>
                    </w:rPr>
                  </m:ctrlPr>
                </m:fPr>
                <m:num>
                  <m:ctrlPr>
                    <w:rPr>
                      <w:rFonts w:ascii="Cambria Math" w:eastAsia="Cambria Math" w:hAnsi="Cambria Math" w:cs="Times New Roman"/>
                      <w:b/>
                      <w:bCs/>
                    </w:rPr>
                  </m:ctrlPr>
                  <m:r>
                    <m:rPr>
                      <m:sty m:val="b"/>
                    </m:rPr>
                    <w:rPr>
                      <w:rFonts w:ascii="Cambria Math" w:eastAsia="宋体" w:hAnsi="Cambria Math" w:cs="Times New Roman" w:hint="eastAsia"/>
                    </w:rPr>
                    <m:t>一国或一地区某产品的出口总额</m:t>
                  </m:r>
                </m:num>
                <m:den>
                  <m:ctrlPr>
                    <w:rPr>
                      <w:rFonts w:ascii="Cambria Math" w:eastAsia="Cambria Math" w:hAnsi="Cambria Math" w:cs="Times New Roman"/>
                      <w:b/>
                      <w:bCs/>
                    </w:rPr>
                  </m:ctrlPr>
                  <m:r>
                    <m:rPr>
                      <m:sty m:val="b"/>
                    </m:rPr>
                    <w:rPr>
                      <w:rFonts w:ascii="Cambria Math" w:eastAsia="宋体" w:hAnsi="Cambria Math" w:cs="Times New Roman" w:hint="eastAsia"/>
                    </w:rPr>
                    <m:t>世界该产品的出口总额</m:t>
                  </m:r>
                </m:den>
              </m:f>
            </m:oMath>
            <w:r>
              <w:rPr>
                <w:b/>
              </w:rPr>
              <w:tab/>
            </w:r>
            <w:r>
              <w:rPr>
                <w:b/>
              </w:rPr>
              <w:fldChar w:fldCharType="begin"/>
            </w:r>
            <w:r>
              <w:rPr>
                <w:b/>
              </w:rPr>
              <w:instrText xml:space="preserve"> PAGEREF _Toc13790 \h </w:instrText>
            </w:r>
            <w:r>
              <w:rPr>
                <w:b/>
              </w:rPr>
              <w:fldChar w:fldCharType="separate"/>
            </w:r>
            <w:r>
              <w:rPr>
                <w:b/>
              </w:rPr>
              <w:t>19</w:t>
            </w:r>
            <w:r>
              <w:rPr>
                <w:b/>
              </w:rPr>
              <w:fldChar w:fldCharType="end"/>
            </w:r>
          </w:hyperlink>
        </w:p>
        <w:p>
          <w:pPr>
            <w:pStyle w:val="WPSOffice1"/>
            <w:tabs>
              <w:tab w:val="right" w:leader="dot" w:pos="9354"/>
            </w:tabs>
            <w:rPr>
              <w:b/>
            </w:rPr>
          </w:pPr>
          <w:hyperlink w:anchor="_Toc22076" w:history="1">
            <w:r>
              <w:rPr>
                <w:rFonts w:ascii="黑体" w:eastAsia="黑体" w:hAnsi="黑体" w:hint="eastAsia"/>
                <w:b/>
                <w:szCs w:val="30"/>
              </w:rPr>
              <w:t>第</w:t>
            </w:r>
            <w:r>
              <w:rPr>
                <w:rFonts w:ascii="Times New Roman" w:eastAsia="黑体" w:hAnsi="Times New Roman" w:cs="Times New Roman"/>
                <w:b/>
                <w:szCs w:val="30"/>
              </w:rPr>
              <w:t>5</w:t>
            </w:r>
            <w:r>
              <w:rPr>
                <w:rFonts w:ascii="黑体" w:eastAsia="黑体" w:hAnsi="黑体" w:hint="eastAsia"/>
                <w:b/>
                <w:szCs w:val="30"/>
              </w:rPr>
              <w:t>章 促进山东省农产品出口贸易发展的建议</w:t>
            </w:r>
            <w:r>
              <w:rPr>
                <w:b/>
              </w:rPr>
              <w:tab/>
            </w:r>
            <w:r>
              <w:rPr>
                <w:b/>
              </w:rPr>
              <w:fldChar w:fldCharType="begin"/>
            </w:r>
            <w:r>
              <w:rPr>
                <w:b/>
              </w:rPr>
              <w:instrText xml:space="preserve"> PAGEREF _Toc22076 \h </w:instrText>
            </w:r>
            <w:r>
              <w:rPr>
                <w:b/>
              </w:rPr>
              <w:fldChar w:fldCharType="separate"/>
            </w:r>
            <w:r>
              <w:rPr>
                <w:b/>
              </w:rPr>
              <w:t>22</w:t>
            </w:r>
            <w:r>
              <w:rPr>
                <w:b/>
              </w:rPr>
              <w:fldChar w:fldCharType="end"/>
            </w:r>
          </w:hyperlink>
        </w:p>
        <w:p>
          <w:pPr>
            <w:pStyle w:val="WPSOffice2"/>
            <w:tabs>
              <w:tab w:val="right" w:leader="dot" w:pos="9354"/>
            </w:tabs>
          </w:pPr>
          <w:hyperlink w:anchor="_Toc2526" w:history="1">
            <w:r>
              <w:rPr>
                <w:rFonts w:ascii="Times New Roman" w:eastAsia="黑体" w:hAnsi="Times New Roman" w:cs="Times New Roman"/>
                <w:bCs/>
              </w:rPr>
              <w:t>5.1</w:t>
            </w:r>
            <w:r>
              <w:rPr>
                <w:rFonts w:ascii="黑体" w:eastAsia="黑体" w:hAnsi="黑体"/>
                <w:bCs/>
              </w:rPr>
              <w:t xml:space="preserve"> </w:t>
            </w:r>
            <w:r>
              <w:rPr>
                <w:rFonts w:ascii="黑体" w:eastAsia="黑体" w:hAnsi="黑体" w:hint="eastAsia"/>
                <w:bCs/>
              </w:rPr>
              <w:t>大力发展农产品种植和生产，促进农产品出口贸易发展</w:t>
            </w:r>
            <w:r>
              <w:tab/>
            </w:r>
            <w:r>
              <w:fldChar w:fldCharType="begin"/>
            </w:r>
            <w:r>
              <w:instrText xml:space="preserve"> PAGEREF _Toc2526 \h </w:instrText>
            </w:r>
            <w:r>
              <w:fldChar w:fldCharType="separate"/>
            </w:r>
            <w:r>
              <w:t>22</w:t>
            </w:r>
            <w:r>
              <w:fldChar w:fldCharType="end"/>
            </w:r>
          </w:hyperlink>
        </w:p>
        <w:p>
          <w:pPr>
            <w:pStyle w:val="WPSOffice2"/>
            <w:tabs>
              <w:tab w:val="right" w:leader="dot" w:pos="9354"/>
            </w:tabs>
          </w:pPr>
          <w:hyperlink w:anchor="_Toc1714" w:history="1">
            <w:r>
              <w:rPr>
                <w:rFonts w:ascii="Times New Roman" w:eastAsia="黑体" w:hAnsi="Times New Roman" w:cs="Times New Roman" w:hint="eastAsia"/>
                <w:bCs/>
              </w:rPr>
              <w:t>5</w:t>
            </w:r>
            <w:r>
              <w:rPr>
                <w:rFonts w:ascii="Times New Roman" w:eastAsia="黑体" w:hAnsi="Times New Roman" w:cs="Times New Roman"/>
                <w:bCs/>
              </w:rPr>
              <w:t>.2</w:t>
            </w:r>
            <w:r>
              <w:rPr>
                <w:rFonts w:ascii="黑体" w:eastAsia="黑体" w:hAnsi="黑体"/>
                <w:bCs/>
              </w:rPr>
              <w:t xml:space="preserve"> </w:t>
            </w:r>
            <w:r>
              <w:rPr>
                <w:rFonts w:ascii="黑体" w:eastAsia="黑体" w:hAnsi="黑体" w:hint="eastAsia"/>
                <w:bCs/>
              </w:rPr>
              <w:t>调整优化农产品出口结构，提升出口质量</w:t>
            </w:r>
            <w:r>
              <w:tab/>
            </w:r>
            <w:r>
              <w:fldChar w:fldCharType="begin"/>
            </w:r>
            <w:r>
              <w:instrText xml:space="preserve"> PAGEREF _Toc1714 \h </w:instrText>
            </w:r>
            <w:r>
              <w:fldChar w:fldCharType="separate"/>
            </w:r>
            <w:r>
              <w:t>22</w:t>
            </w:r>
            <w:r>
              <w:fldChar w:fldCharType="end"/>
            </w:r>
          </w:hyperlink>
        </w:p>
        <w:p>
          <w:pPr>
            <w:pStyle w:val="WPSOffice2"/>
            <w:tabs>
              <w:tab w:val="right" w:leader="dot" w:pos="9354"/>
            </w:tabs>
          </w:pPr>
          <w:hyperlink w:anchor="_Toc1851" w:history="1">
            <w:r>
              <w:rPr>
                <w:rFonts w:ascii="Times New Roman" w:eastAsia="黑体" w:hAnsi="Times New Roman" w:cs="Times New Roman" w:hint="eastAsia"/>
                <w:bCs/>
              </w:rPr>
              <w:t>5</w:t>
            </w:r>
            <w:r>
              <w:rPr>
                <w:rFonts w:ascii="Times New Roman" w:eastAsia="黑体" w:hAnsi="Times New Roman" w:cs="Times New Roman"/>
                <w:bCs/>
              </w:rPr>
              <w:t xml:space="preserve">.3 </w:t>
            </w:r>
            <w:r>
              <w:rPr>
                <w:rFonts w:ascii="Times New Roman" w:eastAsia="黑体" w:hAnsi="Times New Roman" w:cs="Times New Roman" w:hint="eastAsia"/>
                <w:bCs/>
              </w:rPr>
              <w:t>提升农产品科技含量，增加出口效益</w:t>
            </w:r>
            <w:r>
              <w:tab/>
            </w:r>
            <w:r>
              <w:fldChar w:fldCharType="begin"/>
            </w:r>
            <w:r>
              <w:instrText xml:space="preserve"> PAGEREF _Toc1851 \h </w:instrText>
            </w:r>
            <w:r>
              <w:fldChar w:fldCharType="separate"/>
            </w:r>
            <w:r>
              <w:t>23</w:t>
            </w:r>
            <w:r>
              <w:fldChar w:fldCharType="end"/>
            </w:r>
          </w:hyperlink>
        </w:p>
        <w:p>
          <w:pPr>
            <w:pStyle w:val="WPSOffice2"/>
            <w:tabs>
              <w:tab w:val="right" w:leader="dot" w:pos="9354"/>
            </w:tabs>
          </w:pPr>
          <w:hyperlink w:anchor="_Toc9736" w:history="1">
            <w:r>
              <w:rPr>
                <w:rFonts w:ascii="Times New Roman" w:eastAsia="黑体" w:hAnsi="Times New Roman" w:cs="Times New Roman" w:hint="eastAsia"/>
                <w:bCs/>
              </w:rPr>
              <w:t>5</w:t>
            </w:r>
            <w:r>
              <w:rPr>
                <w:rFonts w:ascii="Times New Roman" w:eastAsia="黑体" w:hAnsi="Times New Roman" w:cs="Times New Roman"/>
                <w:bCs/>
              </w:rPr>
              <w:t xml:space="preserve">.4 </w:t>
            </w:r>
            <w:r>
              <w:rPr>
                <w:rFonts w:ascii="黑体" w:eastAsia="黑体" w:hAnsi="黑体" w:hint="eastAsia"/>
                <w:bCs/>
              </w:rPr>
              <w:t>发展壮大特色农业和产业，建立品牌，提高农产品出口竞争力</w:t>
            </w:r>
            <w:r>
              <w:tab/>
            </w:r>
            <w:r>
              <w:fldChar w:fldCharType="begin"/>
            </w:r>
            <w:r>
              <w:instrText xml:space="preserve"> PAGEREF _Toc9736 \h </w:instrText>
            </w:r>
            <w:r>
              <w:fldChar w:fldCharType="separate"/>
            </w:r>
            <w:r>
              <w:t>23</w:t>
            </w:r>
            <w:r>
              <w:fldChar w:fldCharType="end"/>
            </w:r>
          </w:hyperlink>
        </w:p>
        <w:p>
          <w:pPr>
            <w:pStyle w:val="WPSOffice1"/>
            <w:tabs>
              <w:tab w:val="right" w:leader="dot" w:pos="9354"/>
            </w:tabs>
            <w:rPr>
              <w:b/>
            </w:rPr>
          </w:pPr>
          <w:hyperlink w:anchor="_Toc6166" w:history="1">
            <w:r>
              <w:rPr>
                <w:rFonts w:hint="eastAsia"/>
                <w:b/>
              </w:rPr>
              <w:t>结 语</w:t>
            </w:r>
            <w:r>
              <w:rPr>
                <w:b/>
              </w:rPr>
              <w:tab/>
            </w:r>
            <w:r>
              <w:rPr>
                <w:b/>
              </w:rPr>
              <w:fldChar w:fldCharType="begin"/>
            </w:r>
            <w:r>
              <w:rPr>
                <w:b/>
              </w:rPr>
              <w:instrText xml:space="preserve"> PAGEREF _Toc6166 \h </w:instrText>
            </w:r>
            <w:r>
              <w:rPr>
                <w:b/>
              </w:rPr>
              <w:fldChar w:fldCharType="separate"/>
            </w:r>
            <w:r>
              <w:rPr>
                <w:b/>
              </w:rPr>
              <w:t>24</w:t>
            </w:r>
            <w:r>
              <w:rPr>
                <w:b/>
              </w:rPr>
              <w:fldChar w:fldCharType="end"/>
            </w:r>
          </w:hyperlink>
        </w:p>
        <w:p>
          <w:pPr>
            <w:spacing w:after="312" w:afterLines="100"/>
            <w:jc w:val="center"/>
            <w:rPr>
              <w:rFonts w:ascii="Times New Roman" w:eastAsia="黑体" w:hAnsi="Times New Roman" w:hint="eastAsia"/>
              <w:sz w:val="32"/>
            </w:rPr>
          </w:pPr>
          <w:r>
            <w:rPr>
              <w:rFonts w:ascii="Times New Roman" w:eastAsia="黑体" w:hAnsi="Times New Roman" w:hint="eastAsia"/>
              <w:b/>
            </w:rPr>
            <w:fldChar w:fldCharType="end"/>
          </w:r>
        </w:p>
      </w:sdtContent>
    </w:sdt>
    <w:bookmarkEnd w:id="2"/>
    <w:p>
      <w:pPr>
        <w:pStyle w:val="Heading1"/>
        <w:spacing w:after="312" w:afterLines="100"/>
      </w:pPr>
      <w:bookmarkStart w:id="3" w:name="_Toc527100065"/>
      <w:bookmarkStart w:id="4" w:name="_Toc70440607"/>
      <w:bookmarkStart w:id="5" w:name="_Toc67595404"/>
      <w:bookmarkStart w:id="6" w:name="_Toc4606"/>
      <w:r>
        <w:rPr>
          <w:rFonts w:hint="eastAsia"/>
        </w:rPr>
        <w:t>第1章 绪论</w:t>
      </w:r>
      <w:bookmarkEnd w:id="3"/>
      <w:bookmarkEnd w:id="4"/>
      <w:bookmarkEnd w:id="5"/>
      <w:bookmarkEnd w:id="6"/>
    </w:p>
    <w:p>
      <w:pPr>
        <w:pStyle w:val="ListParagraph"/>
        <w:spacing w:before="156" w:beforeLines="50" w:after="156" w:afterLines="50" w:line="360" w:lineRule="auto"/>
        <w:ind w:firstLine="0" w:firstLineChars="0"/>
        <w:outlineLvl w:val="1"/>
        <w:rPr>
          <w:rFonts w:ascii="黑体" w:eastAsia="黑体" w:hAnsi="黑体"/>
          <w:sz w:val="24"/>
        </w:rPr>
      </w:pPr>
      <w:bookmarkStart w:id="7" w:name="_Toc70440608"/>
      <w:bookmarkStart w:id="8" w:name="_Toc67595405"/>
      <w:bookmarkStart w:id="9" w:name="_Toc7986"/>
      <w:r>
        <w:rPr>
          <w:rFonts w:eastAsia="黑体"/>
          <w:sz w:val="24"/>
        </w:rPr>
        <w:t>1.1</w:t>
      </w:r>
      <w:r>
        <w:rPr>
          <w:rFonts w:ascii="黑体" w:eastAsia="黑体" w:hAnsi="黑体" w:hint="eastAsia"/>
          <w:sz w:val="24"/>
        </w:rPr>
        <w:t>研究背景及意义</w:t>
      </w:r>
      <w:bookmarkEnd w:id="7"/>
      <w:bookmarkEnd w:id="8"/>
      <w:bookmarkEnd w:id="9"/>
    </w:p>
    <w:p>
      <w:pPr>
        <w:spacing w:line="360" w:lineRule="auto"/>
        <w:ind w:firstLine="480" w:firstLineChars="200"/>
        <w:outlineLvl w:val="2"/>
        <w:rPr>
          <w:rFonts w:ascii="黑体" w:eastAsia="黑体" w:hAnsi="黑体"/>
          <w:sz w:val="24"/>
        </w:rPr>
      </w:pPr>
      <w:bookmarkStart w:id="10" w:name="_Toc70440609"/>
      <w:r>
        <w:rPr>
          <w:rFonts w:ascii="Times New Roman" w:eastAsia="黑体" w:hAnsi="Times New Roman" w:cs="Times New Roman"/>
          <w:sz w:val="24"/>
        </w:rPr>
        <w:t>1.1.1</w:t>
      </w:r>
      <w:r>
        <w:rPr>
          <w:rFonts w:ascii="黑体" w:eastAsia="黑体" w:hAnsi="黑体"/>
          <w:sz w:val="24"/>
        </w:rPr>
        <w:t xml:space="preserve"> </w:t>
      </w:r>
      <w:r>
        <w:rPr>
          <w:rFonts w:asciiTheme="majorEastAsia" w:eastAsiaTheme="majorEastAsia" w:hAnsiTheme="majorEastAsia" w:hint="eastAsia"/>
          <w:sz w:val="24"/>
        </w:rPr>
        <w:t>研究背景</w:t>
      </w:r>
      <w:bookmarkEnd w:id="10"/>
    </w:p>
    <w:p>
      <w:pPr>
        <w:spacing w:line="360" w:lineRule="auto"/>
        <w:ind w:firstLine="480" w:firstLineChars="200"/>
        <w:rPr>
          <w:rFonts w:ascii="Times New Roman" w:hAnsi="Times New Roman"/>
          <w:sz w:val="24"/>
        </w:rPr>
        <w:sectPr>
          <w:footerReference w:type="default" r:id="rId5"/>
          <w:pgSz w:w="11906" w:h="16838"/>
          <w:pgMar w:top="1134" w:right="1134" w:bottom="1134" w:left="1418" w:header="851" w:footer="851" w:gutter="0"/>
          <w:pgNumType w:start="1"/>
          <w:cols w:num="1" w:space="425"/>
          <w:docGrid w:type="lines" w:linePitch="312" w:charSpace="0"/>
        </w:sectPr>
      </w:pPr>
    </w:p>
    <w:p>
      <w:pPr>
        <w:spacing w:line="360" w:lineRule="auto"/>
        <w:ind w:firstLine="480" w:firstLineChars="200"/>
        <w:rPr>
          <w:rFonts w:ascii="Times New Roman" w:hAnsi="Times New Roman"/>
          <w:sz w:val="24"/>
        </w:rPr>
      </w:pPr>
      <w:r>
        <w:rPr>
          <w:rFonts w:ascii="Times New Roman" w:hAnsi="Times New Roman" w:hint="eastAsia"/>
          <w:sz w:val="24"/>
        </w:rPr>
        <w:t>农业是国民经济的基础产业，是一切生产的首要条件。山东省和河南省凭借着优越的自然条件和社会条件大力发展农业，是我国名副其实的农业大省，两省一直以来在我国农业领域都占据着重要位置，特别是山东省在改革开放后积极发展进出口贸易，其农产品出口额连续多年位居我国各省市第一，对我国农产品进出口贸易产生了很重要的影响。2020年，山东省农产品出口总额达到1257.4亿元，占全国农产品出口总值的23.9%，接近四分之一。山东省政府响应中央号召，大力促进本省农业的发展，2</w:t>
      </w:r>
      <w:r>
        <w:rPr>
          <w:rFonts w:ascii="Times New Roman" w:hAnsi="Times New Roman"/>
          <w:sz w:val="24"/>
        </w:rPr>
        <w:t>021</w:t>
      </w:r>
      <w:r>
        <w:rPr>
          <w:rFonts w:ascii="Times New Roman" w:hAnsi="Times New Roman" w:hint="eastAsia"/>
          <w:sz w:val="24"/>
        </w:rPr>
        <w:t>年山东省农业农村厅第四次厅长办公会议更是强调，要大力发扬孺子牛、拓荒牛、老黄牛精神，推动全省农业农村工作有新的突破。河南省地处中原地区，是我国的大粮仓，其农业和粮食产量在我国有着举足轻重的地位。经国家统计局核准，2</w:t>
      </w:r>
      <w:r>
        <w:rPr>
          <w:rFonts w:ascii="Times New Roman" w:hAnsi="Times New Roman"/>
          <w:sz w:val="24"/>
        </w:rPr>
        <w:t>020</w:t>
      </w:r>
      <w:r>
        <w:rPr>
          <w:rFonts w:ascii="Times New Roman" w:hAnsi="Times New Roman" w:hint="eastAsia"/>
          <w:sz w:val="24"/>
        </w:rPr>
        <w:t>年河南省粮食总产量为6825.8万吨，居全国第一，同时河南省的特色农业和创意农业发展速度也较快。</w:t>
      </w:r>
    </w:p>
    <w:p>
      <w:pPr>
        <w:spacing w:line="360" w:lineRule="auto"/>
        <w:ind w:firstLine="480" w:firstLineChars="200"/>
        <w:rPr>
          <w:rFonts w:ascii="Calibri" w:hAnsi="Calibri"/>
          <w:sz w:val="24"/>
        </w:rPr>
      </w:pPr>
      <w:r>
        <w:rPr>
          <w:rFonts w:ascii="Times New Roman" w:hAnsi="Times New Roman" w:hint="eastAsia"/>
          <w:sz w:val="24"/>
        </w:rPr>
        <w:t>但在发展的同时，山东省农产品出口在结构、国际竞争力等方面仍然有待优化提高。目前在</w:t>
      </w:r>
      <w:r>
        <w:rPr>
          <w:rFonts w:asciiTheme="minorEastAsia" w:hAnsiTheme="minorEastAsia" w:hint="eastAsia"/>
          <w:color w:val="333333"/>
          <w:sz w:val="24"/>
          <w:shd w:val="clear" w:color="auto" w:fill="FFFFFF"/>
        </w:rPr>
        <w:t>山东省和河南省农产品出口贸易的研究上，学者在农产品出口的影响因素、出口的问题、出口竞争力、出口贸易摩擦情况、出口结构及质量、出口贸易发展路径等方面进行了较多的研究，并提出了相应的对策建议，对两省的农业发展起到了促进作用。而本文主要着眼于山东省和河南省</w:t>
      </w:r>
      <w:r>
        <w:rPr>
          <w:rFonts w:ascii="Calibri" w:hAnsi="Calibri" w:hint="eastAsia"/>
          <w:sz w:val="24"/>
        </w:rPr>
        <w:t>在农产品出口贸易上存在的差异，通过对两省</w:t>
      </w:r>
      <w:bookmarkStart w:id="11" w:name="_Hlk67408345"/>
      <w:r>
        <w:rPr>
          <w:rFonts w:ascii="Calibri" w:hAnsi="Calibri" w:hint="eastAsia"/>
          <w:sz w:val="24"/>
        </w:rPr>
        <w:t>农业发展现状和农产品出口贸易发展状况的比较</w:t>
      </w:r>
      <w:bookmarkEnd w:id="11"/>
      <w:r>
        <w:rPr>
          <w:rFonts w:ascii="Calibri" w:hAnsi="Calibri" w:hint="eastAsia"/>
          <w:sz w:val="24"/>
        </w:rPr>
        <w:t>，来分析两省农产品出口的优劣势，探究两省农产品出口状况异同的原因及存在的问题，以此为促进山东省农产品出口贸易进一步发展提出相关建议。</w:t>
      </w:r>
    </w:p>
    <w:p>
      <w:pPr>
        <w:spacing w:line="360" w:lineRule="auto"/>
        <w:ind w:firstLine="480" w:firstLineChars="200"/>
        <w:outlineLvl w:val="2"/>
        <w:rPr>
          <w:rFonts w:ascii="Calibri" w:hAnsi="Calibri"/>
          <w:sz w:val="24"/>
        </w:rPr>
      </w:pPr>
      <w:bookmarkStart w:id="12" w:name="_Toc70440610"/>
      <w:r>
        <w:rPr>
          <w:rFonts w:ascii="Times New Roman" w:hAnsi="Times New Roman" w:cs="Times New Roman"/>
          <w:sz w:val="24"/>
        </w:rPr>
        <w:t>1.1.2</w:t>
      </w:r>
      <w:r>
        <w:rPr>
          <w:rFonts w:ascii="Calibri" w:hAnsi="Calibri"/>
          <w:sz w:val="24"/>
        </w:rPr>
        <w:t xml:space="preserve"> </w:t>
      </w:r>
      <w:r>
        <w:rPr>
          <w:rFonts w:ascii="Calibri" w:hAnsi="Calibri" w:hint="eastAsia"/>
          <w:sz w:val="24"/>
        </w:rPr>
        <w:t>研究意义</w:t>
      </w:r>
      <w:bookmarkEnd w:id="12"/>
    </w:p>
    <w:p>
      <w:pPr>
        <w:spacing w:line="360" w:lineRule="auto"/>
        <w:ind w:firstLine="480" w:firstLineChars="200"/>
        <w:rPr>
          <w:rFonts w:asciiTheme="minorEastAsia" w:hAnsiTheme="minorEastAsia"/>
          <w:b/>
          <w:color w:val="FF0000"/>
          <w:sz w:val="24"/>
        </w:rPr>
      </w:pPr>
      <w:r>
        <w:rPr>
          <w:rFonts w:asciiTheme="minorEastAsia" w:hAnsiTheme="minorEastAsia" w:hint="eastAsia"/>
          <w:color w:val="333333"/>
          <w:sz w:val="24"/>
          <w:shd w:val="clear" w:color="auto" w:fill="FFFFFF"/>
        </w:rPr>
        <w:t>理论上，</w:t>
      </w:r>
      <w:r>
        <w:rPr>
          <w:rFonts w:ascii="Calibri" w:hAnsi="Calibri" w:hint="eastAsia"/>
          <w:sz w:val="24"/>
        </w:rPr>
        <w:t>目前国内单独对其中一省农产品出口发展的研究较多，但将两省放在一起进行比较分析的文献很少，本文将山东省和河南省的农产品出口贸易情况拿来对比分析，可以更清楚地了解山东省和河南省农产品出口贸易的现实情况和异同，一定程度上丰富关于两省农产品出口贸易的相关研究。在实践意义上，比较两省农产品的出口状况，一方面通过对比可以发现山东省农产品出口贸易的优势和不足，然后提出相应的建议；另一方面可以同时了解山东省和河南省的农产品出口现状，</w:t>
      </w:r>
      <w:r>
        <w:rPr>
          <w:rFonts w:ascii="Calibri" w:hAnsi="Calibri"/>
          <w:sz w:val="24"/>
        </w:rPr>
        <w:t xml:space="preserve"> </w:t>
      </w:r>
      <w:r>
        <w:rPr>
          <w:rFonts w:ascii="Calibri" w:hAnsi="Calibri" w:hint="eastAsia"/>
          <w:sz w:val="24"/>
        </w:rPr>
        <w:t>两省也可以各自取长补短，共同促进农业和农产品贸易的发展。</w:t>
      </w:r>
    </w:p>
    <w:p>
      <w:pPr>
        <w:widowControl/>
        <w:spacing w:before="156" w:beforeLines="50" w:after="156" w:afterLines="50" w:line="360" w:lineRule="auto"/>
        <w:outlineLvl w:val="1"/>
        <w:rPr>
          <w:rFonts w:ascii="黑体" w:eastAsia="黑体" w:hAnsi="黑体"/>
          <w:sz w:val="24"/>
        </w:rPr>
      </w:pPr>
      <w:bookmarkStart w:id="13" w:name="_Toc67595406"/>
      <w:bookmarkStart w:id="14" w:name="_Toc70440611"/>
      <w:bookmarkStart w:id="15" w:name="_Toc23040"/>
      <w:r>
        <w:rPr>
          <w:rFonts w:ascii="Times New Roman" w:eastAsia="黑体" w:hAnsi="Times New Roman" w:cs="Times New Roman"/>
          <w:sz w:val="24"/>
        </w:rPr>
        <w:t xml:space="preserve">1.2 </w:t>
      </w:r>
      <w:r>
        <w:rPr>
          <w:rFonts w:ascii="黑体" w:eastAsia="黑体" w:hAnsi="黑体" w:hint="eastAsia"/>
          <w:sz w:val="24"/>
        </w:rPr>
        <w:t>国内外研究现状</w:t>
      </w:r>
      <w:bookmarkEnd w:id="13"/>
      <w:bookmarkEnd w:id="14"/>
      <w:bookmarkEnd w:id="15"/>
    </w:p>
    <w:p>
      <w:pPr>
        <w:widowControl/>
        <w:spacing w:line="360" w:lineRule="auto"/>
        <w:ind w:firstLine="480" w:firstLineChars="200"/>
        <w:outlineLvl w:val="2"/>
        <w:rPr>
          <w:rFonts w:asciiTheme="majorEastAsia" w:eastAsiaTheme="majorEastAsia" w:hAnsiTheme="majorEastAsia"/>
          <w:sz w:val="24"/>
        </w:rPr>
      </w:pPr>
      <w:bookmarkStart w:id="16" w:name="_Toc70440612"/>
      <w:bookmarkStart w:id="17" w:name="_Toc67595407"/>
      <w:r>
        <w:rPr>
          <w:rFonts w:ascii="Times New Roman" w:hAnsi="Times New Roman" w:eastAsiaTheme="majorEastAsia" w:cs="Times New Roman"/>
          <w:sz w:val="24"/>
        </w:rPr>
        <w:t xml:space="preserve">1.2.1 </w:t>
      </w:r>
      <w:r>
        <w:rPr>
          <w:rFonts w:asciiTheme="minorEastAsia" w:hAnsiTheme="minorEastAsia" w:hint="eastAsia"/>
          <w:sz w:val="24"/>
        </w:rPr>
        <w:t>国外研究现状</w:t>
      </w:r>
      <w:bookmarkEnd w:id="16"/>
      <w:bookmarkEnd w:id="17"/>
    </w:p>
    <w:p>
      <w:pPr>
        <w:pStyle w:val="HTMLPreformatted"/>
        <w:spacing w:line="360" w:lineRule="auto"/>
        <w:ind w:firstLine="480" w:firstLineChars="200"/>
        <w:jc w:val="both"/>
        <w:rPr>
          <w:rFonts w:cstheme="minorEastAsia"/>
          <w:color w:val="000000" w:themeColor="text1"/>
          <w14:textFill>
            <w14:solidFill>
              <w14:schemeClr w14:val="tx1"/>
            </w14:solidFill>
          </w14:textFill>
        </w:rPr>
        <w:sectPr>
          <w:footerReference w:type="default" r:id="rId6"/>
          <w:type w:val="nextPage"/>
          <w:pgSz w:w="11906" w:h="16838"/>
          <w:pgMar w:top="1134" w:right="1134" w:bottom="1134" w:left="1418" w:header="851" w:footer="851" w:gutter="0"/>
          <w:pgNumType w:start="2"/>
          <w:cols w:num="1" w:space="425"/>
          <w:titlePg w:val="0"/>
          <w:docGrid w:type="lines" w:linePitch="312" w:charSpace="0"/>
        </w:sectPr>
      </w:pPr>
      <w:r>
        <w:rPr>
          <w:rFonts w:cstheme="minorEastAsia" w:hint="eastAsia"/>
          <w:color w:val="000000" w:themeColor="text1"/>
          <w14:textFill>
            <w14:solidFill>
              <w14:schemeClr w14:val="tx1"/>
            </w14:solidFill>
          </w14:textFill>
        </w:rPr>
        <w:t>国外在关于农产品出口贸易的研究上，农产品出口贸易的影响因素是研究较多的一个角度。</w:t>
      </w:r>
      <w:r>
        <w:rPr>
          <w:rFonts w:ascii="Times New Roman" w:hAnsi="Times New Roman" w:cs="Times New Roman"/>
          <w:color w:val="000000" w:themeColor="text1"/>
          <w14:textFill>
            <w14:solidFill>
              <w14:schemeClr w14:val="tx1"/>
            </w14:solidFill>
          </w14:textFill>
        </w:rPr>
        <w:t>Liu Tao</w:t>
      </w:r>
      <w:r>
        <w:rPr>
          <w:rFonts w:ascii="Times New Roman" w:hAnsi="Times New Roman" w:cs="Times New Roman" w:hint="eastAsia"/>
          <w:color w:val="000000" w:themeColor="text1"/>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016</w:t>
      </w:r>
      <w:r>
        <w:rPr>
          <w:rFonts w:ascii="Times New Roman" w:hAnsi="Times New Roman" w:cs="Times New Roman" w:hint="eastAsia"/>
          <w:color w:val="000000" w:themeColor="text1"/>
          <w14:textFill>
            <w14:solidFill>
              <w14:schemeClr w14:val="tx1"/>
            </w14:solidFill>
          </w14:textFill>
        </w:rPr>
        <w:t>）分析了中国农产品遭遇绿色壁垒的原因，认为要使中国农产品受到绿色壁垒的影响小一些，需要提高农产品质量、完善质量检测体系和建立行业信息机制与预警机制</w:t>
      </w:r>
      <w:r>
        <w:rPr>
          <w:rFonts w:ascii="Times New Roman" w:hAnsi="Times New Roman" w:cs="Times New Roman" w:hint="eastAsia"/>
          <w:color w:val="000000" w:themeColor="text1"/>
          <w:vertAlign w:val="superscript"/>
          <w14:textFill>
            <w14:solidFill>
              <w14:schemeClr w14:val="tx1"/>
            </w14:solidFill>
          </w14:textFill>
        </w:rPr>
        <w:t>[</w:t>
      </w:r>
      <w:r>
        <w:rPr>
          <w:rFonts w:ascii="Times New Roman" w:hAnsi="Times New Roman" w:cs="Times New Roman"/>
          <w:color w:val="000000" w:themeColor="text1"/>
          <w:vertAlign w:val="superscript"/>
          <w14:textFill>
            <w14:solidFill>
              <w14:schemeClr w14:val="tx1"/>
            </w14:solidFill>
          </w14:textFill>
        </w:rPr>
        <w:t>1]</w:t>
      </w:r>
      <w:r>
        <w:rPr>
          <w:rFonts w:ascii="Times New Roman" w:hAnsi="Times New Roman" w:cs="Times New Roman" w:hint="eastAsia"/>
          <w:color w:val="000000" w:themeColor="text1"/>
          <w14:textFill>
            <w14:solidFill>
              <w14:schemeClr w14:val="tx1"/>
            </w14:solidFill>
          </w14:textFill>
        </w:rPr>
        <w:t>；</w:t>
      </w:r>
      <w:r>
        <w:rPr>
          <w:rFonts w:ascii="Times New Roman" w:hAnsi="Times New Roman" w:cs="Times New Roman"/>
        </w:rPr>
        <w:t>Kim Nayung</w:t>
      </w:r>
      <w:r>
        <w:rPr>
          <w:rFonts w:ascii="Times New Roman" w:hAnsi="Times New Roman" w:cs="Times New Roman" w:hint="eastAsia"/>
        </w:rPr>
        <w:t>（2</w:t>
      </w:r>
      <w:r>
        <w:rPr>
          <w:rFonts w:ascii="Times New Roman" w:hAnsi="Times New Roman" w:cs="Times New Roman"/>
        </w:rPr>
        <w:t>020</w:t>
      </w:r>
      <w:r>
        <w:rPr>
          <w:rFonts w:ascii="Times New Roman" w:hAnsi="Times New Roman" w:cs="Times New Roman" w:hint="eastAsia"/>
        </w:rPr>
        <w:t>）对I</w:t>
      </w:r>
      <w:r>
        <w:rPr>
          <w:rFonts w:ascii="Times New Roman" w:hAnsi="Times New Roman" w:cs="Times New Roman"/>
        </w:rPr>
        <w:t>SO22000</w:t>
      </w:r>
      <w:r>
        <w:rPr>
          <w:rFonts w:ascii="Times New Roman" w:hAnsi="Times New Roman" w:cs="Times New Roman" w:hint="eastAsia"/>
        </w:rPr>
        <w:t>对农产品出口的影响进行了总体分析，得出会该标准会对农产品出口产生负面效应的结果</w:t>
      </w:r>
      <w:r>
        <w:rPr>
          <w:rFonts w:ascii="Times New Roman" w:hAnsi="Times New Roman" w:cs="Times New Roman" w:hint="eastAsia"/>
          <w:vertAlign w:val="superscript"/>
        </w:rPr>
        <w:t>[</w:t>
      </w:r>
      <w:r>
        <w:rPr>
          <w:rFonts w:ascii="Times New Roman" w:hAnsi="Times New Roman" w:cs="Times New Roman"/>
          <w:vertAlign w:val="superscript"/>
        </w:rPr>
        <w:t>2]</w:t>
      </w:r>
      <w:r>
        <w:rPr>
          <w:rFonts w:ascii="Times New Roman" w:hAnsi="Times New Roman" w:cs="Times New Roman" w:hint="eastAsia"/>
        </w:rPr>
        <w:t>；</w:t>
      </w:r>
      <w:r>
        <w:rPr>
          <w:rFonts w:ascii="Times New Roman" w:hAnsi="Times New Roman" w:cs="Times New Roman"/>
          <w:color w:val="000000" w:themeColor="text1"/>
          <w14:textFill>
            <w14:solidFill>
              <w14:schemeClr w14:val="tx1"/>
            </w14:solidFill>
          </w14:textFill>
        </w:rPr>
        <w:t xml:space="preserve"> Ki-Sik Hwang, Lu JIA </w:t>
      </w:r>
      <w:r>
        <w:rPr>
          <w:rFonts w:hint="eastAsia"/>
        </w:rPr>
        <w:t>（</w:t>
      </w:r>
      <w:r>
        <w:rPr>
          <w:rFonts w:ascii="Times New Roman" w:hAnsi="Times New Roman" w:cs="Times New Roman" w:hint="eastAsia"/>
          <w:color w:val="000000" w:themeColor="text1"/>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020</w:t>
      </w:r>
      <w:r>
        <w:rPr>
          <w:rFonts w:hint="eastAsia"/>
        </w:rPr>
        <w:t>）讨论了贸易壁垒对农产品出口的影响，提出要应对贸易壁垒，可以建立完善的农产品标准体系和质量体系，发展生态农业</w:t>
      </w:r>
      <w:r>
        <w:rPr>
          <w:rFonts w:ascii="Times New Roman" w:hAnsi="Times New Roman" w:cs="Times New Roman"/>
          <w:vertAlign w:val="superscript"/>
        </w:rPr>
        <w:t>[3]</w:t>
      </w:r>
      <w:r>
        <w:rPr>
          <w:rFonts w:hint="eastAsia"/>
        </w:rPr>
        <w:t>；</w:t>
      </w:r>
      <w:r>
        <w:rPr>
          <w:rFonts w:ascii="Times New Roman" w:hAnsi="Times New Roman" w:cs="Times New Roman"/>
          <w:color w:val="000000" w:themeColor="text1"/>
          <w14:textFill>
            <w14:solidFill>
              <w14:schemeClr w14:val="tx1"/>
            </w14:solidFill>
          </w14:textFill>
        </w:rPr>
        <w:t>LIN Ben-xi, Yu Yvette ZHANG</w:t>
      </w:r>
      <w:r>
        <w:rPr>
          <w:rFonts w:hint="eastAsia"/>
        </w:rPr>
        <w:t>（</w:t>
      </w:r>
      <w:r>
        <w:rPr>
          <w:rFonts w:ascii="Times New Roman" w:hAnsi="Times New Roman" w:cs="Times New Roman" w:hint="eastAsia"/>
          <w:color w:val="000000" w:themeColor="text1"/>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020</w:t>
      </w:r>
    </w:p>
    <w:p>
      <w:pPr>
        <w:pStyle w:val="HTMLPreformatted"/>
        <w:spacing w:line="360" w:lineRule="auto"/>
        <w:ind w:firstLine="480" w:firstLineChars="200"/>
        <w:jc w:val="both"/>
        <w:rPr>
          <w:rFonts w:cstheme="minorEastAsia"/>
          <w:color w:val="000000" w:themeColor="text1"/>
          <w14:textFill>
            <w14:solidFill>
              <w14:schemeClr w14:val="tx1"/>
            </w14:solidFill>
          </w14:textFill>
        </w:rPr>
      </w:pPr>
      <w:r>
        <w:rPr>
          <w:rFonts w:hint="eastAsia"/>
        </w:rPr>
        <w:t>）研究了新冠肺炎疫情对农产品出口的影响，总的来说疫情期间农产品平均出口下降，且疫情对农产品出口小企业的负面影响大于大企业</w:t>
      </w:r>
      <w:r>
        <w:rPr>
          <w:rFonts w:ascii="Times New Roman" w:hAnsi="Times New Roman" w:cs="Times New Roman"/>
          <w:vertAlign w:val="superscript"/>
        </w:rPr>
        <w:t>[4]</w:t>
      </w:r>
      <w:r>
        <w:rPr>
          <w:rFonts w:hint="eastAsia"/>
        </w:rPr>
        <w:t>；</w:t>
      </w:r>
      <w:r>
        <w:rPr>
          <w:rFonts w:ascii="Times New Roman" w:hAnsi="Times New Roman" w:cs="Times New Roman"/>
          <w:color w:val="000000" w:themeColor="text1"/>
          <w14:textFill>
            <w14:solidFill>
              <w14:schemeClr w14:val="tx1"/>
            </w14:solidFill>
          </w14:textFill>
        </w:rPr>
        <w:t>Lei Pang</w:t>
      </w:r>
      <w:r>
        <w:rPr>
          <w:rFonts w:ascii="Times New Roman" w:hAnsi="Times New Roman" w:cs="Times New Roman" w:hint="eastAsia"/>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 xml:space="preserve">Qiying Wang </w:t>
      </w:r>
      <w:r>
        <w:rPr>
          <w:rFonts w:hint="eastAsia"/>
        </w:rPr>
        <w:t>（</w:t>
      </w:r>
      <w:r>
        <w:rPr>
          <w:rFonts w:ascii="Times New Roman" w:hAnsi="Times New Roman" w:cs="Times New Roman" w:hint="eastAsia"/>
          <w:color w:val="000000" w:themeColor="text1"/>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019</w:t>
      </w:r>
      <w:r>
        <w:rPr>
          <w:rFonts w:hint="eastAsia"/>
        </w:rPr>
        <w:t>）探讨了环境规制在农产品出口贸易方面的作用，如今环境与贸易联系愈发紧密，在环境规制约束下可以提高农产品的出口竞争力</w:t>
      </w:r>
      <w:r>
        <w:rPr>
          <w:rFonts w:ascii="Times New Roman" w:hAnsi="Times New Roman" w:cs="Times New Roman"/>
          <w:vertAlign w:val="superscript"/>
        </w:rPr>
        <w:t>[5]</w:t>
      </w:r>
      <w:r>
        <w:rPr>
          <w:rFonts w:hint="eastAsia"/>
        </w:rPr>
        <w:t>；</w:t>
      </w:r>
      <w:r>
        <w:rPr>
          <w:rFonts w:ascii="Times New Roman" w:hAnsi="Times New Roman" w:cs="Times New Roman"/>
          <w:color w:val="000000" w:themeColor="text1"/>
          <w14:textFill>
            <w14:solidFill>
              <w14:schemeClr w14:val="tx1"/>
            </w14:solidFill>
          </w14:textFill>
        </w:rPr>
        <w:t>Fan Chenxin</w:t>
      </w:r>
      <w:r>
        <w:rPr>
          <w:rFonts w:hint="eastAsia"/>
        </w:rPr>
        <w:t>（</w:t>
      </w:r>
      <w:r>
        <w:rPr>
          <w:rFonts w:ascii="Times New Roman" w:hAnsi="Times New Roman" w:cs="Times New Roman" w:hint="eastAsia"/>
          <w:color w:val="000000" w:themeColor="text1"/>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018</w:t>
      </w:r>
      <w:r>
        <w:rPr>
          <w:rFonts w:hint="eastAsia"/>
        </w:rPr>
        <w:t>）用计量回归模型实证分析了</w:t>
      </w:r>
      <w:r>
        <w:rPr>
          <w:rFonts w:cstheme="minorEastAsia"/>
          <w:color w:val="000000" w:themeColor="text1"/>
          <w14:textFill>
            <w14:solidFill>
              <w14:schemeClr w14:val="tx1"/>
            </w14:solidFill>
          </w14:textFill>
        </w:rPr>
        <w:t>劳动力素质、产品加工、人民币汇率变动</w:t>
      </w:r>
      <w:r>
        <w:rPr>
          <w:rFonts w:cstheme="minorEastAsia" w:hint="eastAsia"/>
          <w:color w:val="000000" w:themeColor="text1"/>
          <w14:textFill>
            <w14:solidFill>
              <w14:schemeClr w14:val="tx1"/>
            </w14:solidFill>
          </w14:textFill>
        </w:rPr>
        <w:t>等对中国农产品出口竞争力的影响，得出中</w:t>
      </w:r>
      <w:r>
        <w:rPr>
          <w:rFonts w:cstheme="minorEastAsia"/>
          <w:color w:val="000000" w:themeColor="text1"/>
          <w14:textFill>
            <w14:solidFill>
              <w14:schemeClr w14:val="tx1"/>
            </w14:solidFill>
          </w14:textFill>
        </w:rPr>
        <w:t>国农产品出口竞争力相对稳定，但总体趋势有所减弱</w:t>
      </w:r>
      <w:r>
        <w:rPr>
          <w:rFonts w:cstheme="minorEastAsia" w:hint="eastAsia"/>
          <w:color w:val="000000" w:themeColor="text1"/>
          <w14:textFill>
            <w14:solidFill>
              <w14:schemeClr w14:val="tx1"/>
            </w14:solidFill>
          </w14:textFill>
        </w:rPr>
        <w:t>的结论</w:t>
      </w:r>
      <w:r>
        <w:rPr>
          <w:rFonts w:ascii="Times New Roman" w:hAnsi="Times New Roman" w:cs="Times New Roman"/>
          <w:color w:val="000000" w:themeColor="text1"/>
          <w:vertAlign w:val="superscript"/>
          <w14:textFill>
            <w14:solidFill>
              <w14:schemeClr w14:val="tx1"/>
            </w14:solidFill>
          </w14:textFill>
        </w:rPr>
        <w:t>[6]</w:t>
      </w:r>
      <w:r>
        <w:rPr>
          <w:rFonts w:cstheme="minorEastAsia" w:hint="eastAsia"/>
          <w:color w:val="000000" w:themeColor="text1"/>
          <w14:textFill>
            <w14:solidFill>
              <w14:schemeClr w14:val="tx1"/>
            </w14:solidFill>
          </w14:textFill>
        </w:rPr>
        <w:t>。</w:t>
      </w:r>
    </w:p>
    <w:p>
      <w:pPr>
        <w:pStyle w:val="HTMLPreformatted"/>
        <w:spacing w:line="360" w:lineRule="auto"/>
        <w:ind w:firstLine="480" w:firstLineChars="200"/>
        <w:jc w:val="both"/>
        <w:rPr>
          <w:rFonts w:ascii="Times New Roman" w:hAnsi="Times New Roman" w:cs="Times New Roman"/>
        </w:rPr>
      </w:pPr>
      <w:r>
        <w:rPr>
          <w:rFonts w:ascii="Times New Roman" w:hAnsi="Times New Roman" w:cs="Times New Roman" w:hint="eastAsia"/>
        </w:rPr>
        <w:t>其他的研究有</w:t>
      </w:r>
      <w:r>
        <w:rPr>
          <w:rFonts w:ascii="Times New Roman" w:hAnsi="Times New Roman" w:cs="Times New Roman"/>
        </w:rPr>
        <w:t>CAO Shoufeng, YAN Lu, ZHANG Jiao</w:t>
      </w:r>
      <w:r>
        <w:rPr>
          <w:rFonts w:ascii="Times New Roman" w:hAnsi="Times New Roman" w:cs="Times New Roman" w:hint="eastAsia"/>
        </w:rPr>
        <w:t>（2</w:t>
      </w:r>
      <w:r>
        <w:rPr>
          <w:rFonts w:ascii="Times New Roman" w:hAnsi="Times New Roman" w:cs="Times New Roman"/>
        </w:rPr>
        <w:t>013</w:t>
      </w:r>
      <w:r>
        <w:rPr>
          <w:rFonts w:ascii="Times New Roman" w:hAnsi="Times New Roman" w:cs="Times New Roman" w:hint="eastAsia"/>
        </w:rPr>
        <w:t>）得出中国农产品对上海合作组织成员国出口的增长因素在一定程度上呈现不同的类型，中国与中亚四国农产品的贸易规模不是很大，但发展潜力较强</w:t>
      </w:r>
      <w:r>
        <w:rPr>
          <w:rFonts w:ascii="Times New Roman" w:hAnsi="Times New Roman" w:cs="Times New Roman" w:hint="eastAsia"/>
          <w:vertAlign w:val="superscript"/>
        </w:rPr>
        <w:t>[</w:t>
      </w:r>
      <w:r>
        <w:rPr>
          <w:rFonts w:ascii="Times New Roman" w:hAnsi="Times New Roman" w:cs="Times New Roman"/>
          <w:vertAlign w:val="superscript"/>
        </w:rPr>
        <w:t>7]</w:t>
      </w:r>
      <w:r>
        <w:rPr>
          <w:rFonts w:ascii="Times New Roman" w:hAnsi="Times New Roman" w:cs="Times New Roman" w:hint="eastAsia"/>
        </w:rPr>
        <w:t>。</w:t>
      </w:r>
    </w:p>
    <w:p>
      <w:pPr>
        <w:widowControl/>
        <w:spacing w:line="360" w:lineRule="auto"/>
        <w:ind w:firstLine="480" w:firstLineChars="200"/>
        <w:outlineLvl w:val="2"/>
        <w:rPr>
          <w:rFonts w:asciiTheme="majorEastAsia" w:eastAsiaTheme="majorEastAsia" w:hAnsiTheme="majorEastAsia"/>
          <w:sz w:val="24"/>
        </w:rPr>
      </w:pPr>
      <w:bookmarkStart w:id="18" w:name="_Toc67595408"/>
      <w:bookmarkStart w:id="19" w:name="_Toc70440613"/>
      <w:r>
        <w:rPr>
          <w:rFonts w:ascii="Times New Roman" w:hAnsi="Times New Roman" w:eastAsiaTheme="majorEastAsia" w:cs="Times New Roman"/>
          <w:sz w:val="24"/>
        </w:rPr>
        <w:t xml:space="preserve">1.2.2 </w:t>
      </w:r>
      <w:r>
        <w:rPr>
          <w:rFonts w:asciiTheme="minorEastAsia" w:hAnsiTheme="minorEastAsia" w:hint="eastAsia"/>
          <w:sz w:val="24"/>
        </w:rPr>
        <w:t>国内研究现状</w:t>
      </w:r>
      <w:bookmarkEnd w:id="18"/>
      <w:bookmarkEnd w:id="19"/>
    </w:p>
    <w:p>
      <w:pPr>
        <w:spacing w:line="360" w:lineRule="auto"/>
        <w:ind w:firstLine="480" w:firstLineChars="200"/>
        <w:rPr>
          <w:rFonts w:cstheme="minorEastAsia"/>
          <w:color w:val="000000" w:themeColor="text1"/>
          <w:sz w:val="24"/>
          <w14:textFill>
            <w14:solidFill>
              <w14:schemeClr w14:val="tx1"/>
            </w14:solidFill>
          </w14:textFill>
        </w:rPr>
      </w:pPr>
      <w:r>
        <w:rPr>
          <w:rFonts w:cstheme="minorEastAsia" w:hint="eastAsia"/>
          <w:color w:val="000000" w:themeColor="text1"/>
          <w:sz w:val="24"/>
          <w14:textFill>
            <w14:solidFill>
              <w14:schemeClr w14:val="tx1"/>
            </w14:solidFill>
          </w14:textFill>
        </w:rPr>
        <w:t>国内对山东省农产品出口贸易的研究上，王小曼（</w:t>
      </w:r>
      <w:r>
        <w:rPr>
          <w:rFonts w:ascii="Times New Roman" w:hAnsi="Times New Roman" w:cs="Times New Roman"/>
          <w:color w:val="000000" w:themeColor="text1"/>
          <w:sz w:val="24"/>
          <w14:textFill>
            <w14:solidFill>
              <w14:schemeClr w14:val="tx1"/>
            </w14:solidFill>
          </w14:textFill>
        </w:rPr>
        <w:t>2019</w:t>
      </w:r>
      <w:r>
        <w:rPr>
          <w:rFonts w:cstheme="minorEastAsia" w:hint="eastAsia"/>
          <w:color w:val="000000" w:themeColor="text1"/>
          <w:sz w:val="24"/>
          <w14:textFill>
            <w14:solidFill>
              <w14:schemeClr w14:val="tx1"/>
            </w14:solidFill>
          </w14:textFill>
        </w:rPr>
        <w:t>）基于对山东省农产品出口现状的分析，发现山东省农产品在技术含量、企业规模、品牌建设等存在不足，并分析了相关原因</w:t>
      </w:r>
      <w:r>
        <w:rPr>
          <w:rFonts w:ascii="Times New Roman" w:hAnsi="Times New Roman" w:cs="Times New Roman"/>
          <w:color w:val="000000" w:themeColor="text1"/>
          <w:sz w:val="24"/>
          <w:vertAlign w:val="superscript"/>
          <w14:textFill>
            <w14:solidFill>
              <w14:schemeClr w14:val="tx1"/>
            </w14:solidFill>
          </w14:textFill>
        </w:rPr>
        <w:t>[8]</w:t>
      </w:r>
      <w:r>
        <w:rPr>
          <w:rFonts w:cstheme="minorEastAsia" w:hint="eastAsia"/>
          <w:color w:val="000000" w:themeColor="text1"/>
          <w:sz w:val="24"/>
          <w14:textFill>
            <w14:solidFill>
              <w14:schemeClr w14:val="tx1"/>
            </w14:solidFill>
          </w14:textFill>
        </w:rPr>
        <w:t>；周振鹏、邹冰璐（</w:t>
      </w:r>
      <w:r>
        <w:rPr>
          <w:rFonts w:ascii="Times New Roman" w:hAnsi="Times New Roman" w:cs="Times New Roman" w:hint="eastAsia"/>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020</w:t>
      </w:r>
      <w:r>
        <w:rPr>
          <w:rFonts w:cstheme="minorEastAsia" w:hint="eastAsia"/>
          <w:color w:val="000000" w:themeColor="text1"/>
          <w:sz w:val="24"/>
          <w14:textFill>
            <w14:solidFill>
              <w14:schemeClr w14:val="tx1"/>
            </w14:solidFill>
          </w14:textFill>
        </w:rPr>
        <w:t>）提出山东省农产品出口贸易可以通过推进跨境电商贸易、提高产品附加值等促进发展</w:t>
      </w:r>
      <w:r>
        <w:rPr>
          <w:rFonts w:ascii="Times New Roman" w:hAnsi="Times New Roman" w:cs="Times New Roman"/>
          <w:color w:val="000000" w:themeColor="text1"/>
          <w:sz w:val="24"/>
          <w:vertAlign w:val="superscript"/>
          <w14:textFill>
            <w14:solidFill>
              <w14:schemeClr w14:val="tx1"/>
            </w14:solidFill>
          </w14:textFill>
        </w:rPr>
        <w:t>[9]</w:t>
      </w:r>
      <w:r>
        <w:rPr>
          <w:rFonts w:cstheme="minorEastAsia" w:hint="eastAsia"/>
          <w:color w:val="000000" w:themeColor="text1"/>
          <w:sz w:val="24"/>
          <w14:textFill>
            <w14:solidFill>
              <w14:schemeClr w14:val="tx1"/>
            </w14:solidFill>
          </w14:textFill>
        </w:rPr>
        <w:t>；乔礼先（</w:t>
      </w:r>
      <w:r>
        <w:rPr>
          <w:rFonts w:ascii="Times New Roman" w:hAnsi="Times New Roman" w:cs="Times New Roman"/>
          <w:color w:val="000000" w:themeColor="text1"/>
          <w:sz w:val="24"/>
          <w14:textFill>
            <w14:solidFill>
              <w14:schemeClr w14:val="tx1"/>
            </w14:solidFill>
          </w14:textFill>
        </w:rPr>
        <w:t>2019</w:t>
      </w:r>
      <w:r>
        <w:rPr>
          <w:rFonts w:cstheme="minorEastAsia" w:hint="eastAsia"/>
          <w:color w:val="000000" w:themeColor="text1"/>
          <w:sz w:val="24"/>
          <w14:textFill>
            <w14:solidFill>
              <w14:schemeClr w14:val="tx1"/>
            </w14:solidFill>
          </w14:textFill>
        </w:rPr>
        <w:t>）以实证证明了经济发展水平</w:t>
      </w:r>
      <w:r>
        <w:rPr>
          <w:rFonts w:ascii="Times New Roman" w:hAnsi="Times New Roman" w:cs="Times New Roman"/>
          <w:color w:val="000000" w:themeColor="text1"/>
          <w:sz w:val="24"/>
          <w14:textFill>
            <w14:solidFill>
              <w14:schemeClr w14:val="tx1"/>
            </w14:solidFill>
          </w14:textFill>
        </w:rPr>
        <w:t>、FDI</w:t>
      </w:r>
      <w:r>
        <w:rPr>
          <w:rFonts w:cstheme="minorEastAsia" w:hint="eastAsia"/>
          <w:color w:val="000000" w:themeColor="text1"/>
          <w:sz w:val="24"/>
          <w14:textFill>
            <w14:solidFill>
              <w14:schemeClr w14:val="tx1"/>
            </w14:solidFill>
          </w14:textFill>
        </w:rPr>
        <w:t>、制度因素、科研教育水平等对农产品出口的影响，它们的优化有利于提高山东省农产品的质量</w:t>
      </w:r>
      <w:r>
        <w:rPr>
          <w:rFonts w:ascii="Times New Roman" w:hAnsi="Times New Roman" w:cs="Times New Roman"/>
          <w:color w:val="000000" w:themeColor="text1"/>
          <w:sz w:val="24"/>
          <w:vertAlign w:val="superscript"/>
          <w14:textFill>
            <w14:solidFill>
              <w14:schemeClr w14:val="tx1"/>
            </w14:solidFill>
          </w14:textFill>
        </w:rPr>
        <w:t>[10]</w:t>
      </w:r>
      <w:r>
        <w:rPr>
          <w:rFonts w:cstheme="minorEastAsia" w:hint="eastAsia"/>
          <w:color w:val="000000" w:themeColor="text1"/>
          <w:sz w:val="24"/>
          <w14:textFill>
            <w14:solidFill>
              <w14:schemeClr w14:val="tx1"/>
            </w14:solidFill>
          </w14:textFill>
        </w:rPr>
        <w:t>；梁沛沛（</w:t>
      </w:r>
      <w:r>
        <w:rPr>
          <w:rFonts w:ascii="Times New Roman" w:hAnsi="Times New Roman" w:cs="Times New Roman" w:hint="eastAsia"/>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019</w:t>
      </w:r>
      <w:r>
        <w:rPr>
          <w:rFonts w:cstheme="minorEastAsia" w:hint="eastAsia"/>
          <w:color w:val="000000" w:themeColor="text1"/>
          <w:sz w:val="24"/>
          <w14:textFill>
            <w14:solidFill>
              <w14:schemeClr w14:val="tx1"/>
            </w14:solidFill>
          </w14:textFill>
        </w:rPr>
        <w:t>）采用</w:t>
      </w:r>
      <w:r>
        <w:rPr>
          <w:rFonts w:ascii="Times New Roman" w:hAnsi="Times New Roman" w:cs="Times New Roman" w:hint="eastAsia"/>
          <w:color w:val="000000" w:themeColor="text1"/>
          <w:sz w:val="24"/>
          <w14:textFill>
            <w14:solidFill>
              <w14:schemeClr w14:val="tx1"/>
            </w14:solidFill>
          </w14:textFill>
        </w:rPr>
        <w:t>S</w:t>
      </w:r>
      <w:r>
        <w:rPr>
          <w:rFonts w:ascii="Times New Roman" w:hAnsi="Times New Roman" w:cs="Times New Roman"/>
          <w:color w:val="000000" w:themeColor="text1"/>
          <w:sz w:val="24"/>
          <w14:textFill>
            <w14:solidFill>
              <w14:schemeClr w14:val="tx1"/>
            </w14:solidFill>
          </w14:textFill>
        </w:rPr>
        <w:t>WOT</w:t>
      </w:r>
      <w:r>
        <w:rPr>
          <w:rFonts w:cstheme="minorEastAsia" w:hint="eastAsia"/>
          <w:color w:val="000000" w:themeColor="text1"/>
          <w:sz w:val="24"/>
          <w14:textFill>
            <w14:solidFill>
              <w14:schemeClr w14:val="tx1"/>
            </w14:solidFill>
          </w14:textFill>
        </w:rPr>
        <w:t>分析法，提出提高山东省农产品国际竞争力的路径有建立外贸预警机制、出口多元化等</w:t>
      </w:r>
      <w:r>
        <w:rPr>
          <w:rFonts w:ascii="Times New Roman" w:hAnsi="Times New Roman" w:cs="Times New Roman"/>
          <w:color w:val="000000" w:themeColor="text1"/>
          <w:sz w:val="24"/>
          <w:vertAlign w:val="superscript"/>
          <w14:textFill>
            <w14:solidFill>
              <w14:schemeClr w14:val="tx1"/>
            </w14:solidFill>
          </w14:textFill>
        </w:rPr>
        <w:t>[11]</w:t>
      </w:r>
      <w:r>
        <w:rPr>
          <w:rFonts w:cstheme="minorEastAsia" w:hint="eastAsia"/>
          <w:color w:val="000000" w:themeColor="text1"/>
          <w:sz w:val="24"/>
          <w14:textFill>
            <w14:solidFill>
              <w14:schemeClr w14:val="tx1"/>
            </w14:solidFill>
          </w14:textFill>
        </w:rPr>
        <w:t>。马文（</w:t>
      </w:r>
      <w:r>
        <w:rPr>
          <w:rFonts w:ascii="Times New Roman" w:hAnsi="Times New Roman" w:cs="Times New Roman" w:hint="eastAsia"/>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017</w:t>
      </w:r>
      <w:r>
        <w:rPr>
          <w:rFonts w:cstheme="minorEastAsia" w:hint="eastAsia"/>
          <w:color w:val="000000" w:themeColor="text1"/>
          <w:sz w:val="24"/>
          <w14:textFill>
            <w14:solidFill>
              <w14:schemeClr w14:val="tx1"/>
            </w14:solidFill>
          </w14:textFill>
        </w:rPr>
        <w:t>）根据波特的竞争优势理论和比较优势理论，运用定量研究法来探讨山东省农产品的国际竞争力，得出了山东省农业的一些优势条件</w:t>
      </w:r>
      <w:r>
        <w:rPr>
          <w:rFonts w:ascii="Times New Roman" w:hAnsi="Times New Roman" w:cs="Times New Roman"/>
          <w:color w:val="000000" w:themeColor="text1"/>
          <w:sz w:val="24"/>
          <w:vertAlign w:val="superscript"/>
          <w14:textFill>
            <w14:solidFill>
              <w14:schemeClr w14:val="tx1"/>
            </w14:solidFill>
          </w14:textFill>
        </w:rPr>
        <w:t>[12]</w:t>
      </w:r>
      <w:r>
        <w:rPr>
          <w:rFonts w:cstheme="minorEastAsia" w:hint="eastAsia"/>
          <w:color w:val="000000" w:themeColor="text1"/>
          <w:sz w:val="24"/>
          <w14:textFill>
            <w14:solidFill>
              <w14:schemeClr w14:val="tx1"/>
            </w14:solidFill>
          </w14:textFill>
        </w:rPr>
        <w:t>。</w:t>
      </w:r>
      <w:r>
        <w:rPr>
          <w:rFonts w:cstheme="minorEastAsia"/>
          <w:color w:val="000000" w:themeColor="text1"/>
          <w:sz w:val="24"/>
          <w14:textFill>
            <w14:solidFill>
              <w14:schemeClr w14:val="tx1"/>
            </w14:solidFill>
          </w14:textFill>
        </w:rPr>
        <w:t xml:space="preserve"> </w:t>
      </w:r>
    </w:p>
    <w:p>
      <w:pPr>
        <w:spacing w:line="360" w:lineRule="auto"/>
        <w:ind w:firstLine="480" w:firstLineChars="200"/>
        <w:rPr>
          <w:rFonts w:cstheme="minorEastAsia"/>
          <w:color w:val="000000" w:themeColor="text1"/>
          <w:sz w:val="24"/>
          <w14:textFill>
            <w14:solidFill>
              <w14:schemeClr w14:val="tx1"/>
            </w14:solidFill>
          </w14:textFill>
        </w:rPr>
        <w:sectPr>
          <w:footerReference w:type="default" r:id="rId7"/>
          <w:type w:val="nextPage"/>
          <w:pgSz w:w="11906" w:h="16838"/>
          <w:pgMar w:top="1134" w:right="1134" w:bottom="1134" w:left="1418" w:header="851" w:footer="851" w:gutter="0"/>
          <w:pgNumType w:start="3"/>
          <w:cols w:num="1" w:space="425"/>
          <w:titlePg w:val="0"/>
          <w:docGrid w:type="lines" w:linePitch="312" w:charSpace="0"/>
        </w:sectPr>
      </w:pPr>
      <w:r>
        <w:rPr>
          <w:rFonts w:cstheme="minorEastAsia" w:hint="eastAsia"/>
          <w:color w:val="000000" w:themeColor="text1"/>
          <w:sz w:val="24"/>
          <w14:textFill>
            <w14:solidFill>
              <w14:schemeClr w14:val="tx1"/>
            </w14:solidFill>
          </w14:textFill>
        </w:rPr>
        <w:t>在对河南省农产品出口贸易的研究上，也主要包括现状问题、影响因素、国际竞争力几个方面。朱光远、杨傲（</w:t>
      </w:r>
      <w:r>
        <w:rPr>
          <w:rFonts w:ascii="Times New Roman" w:hAnsi="Times New Roman" w:cs="Times New Roman" w:hint="eastAsia"/>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018</w:t>
      </w:r>
      <w:r>
        <w:rPr>
          <w:rFonts w:cstheme="minorEastAsia" w:hint="eastAsia"/>
          <w:color w:val="000000" w:themeColor="text1"/>
          <w:sz w:val="24"/>
          <w14:textFill>
            <w14:solidFill>
              <w14:schemeClr w14:val="tx1"/>
            </w14:solidFill>
          </w14:textFill>
        </w:rPr>
        <w:t>）通过对河南省农产品出口贸易现状的阐述，认为其主要存在农产品结构不合理、出口市场较为集中、贸易构成方式较为简单的问题，并提出了相应策略</w:t>
      </w:r>
      <w:r>
        <w:rPr>
          <w:rFonts w:ascii="Times New Roman" w:hAnsi="Times New Roman" w:cs="Times New Roman"/>
          <w:color w:val="000000" w:themeColor="text1"/>
          <w:sz w:val="24"/>
          <w:vertAlign w:val="superscript"/>
          <w14:textFill>
            <w14:solidFill>
              <w14:schemeClr w14:val="tx1"/>
            </w14:solidFill>
          </w14:textFill>
        </w:rPr>
        <w:t>[13]</w:t>
      </w:r>
      <w:r>
        <w:rPr>
          <w:rFonts w:cstheme="minorEastAsia" w:hint="eastAsia"/>
          <w:color w:val="000000" w:themeColor="text1"/>
          <w:sz w:val="24"/>
          <w14:textFill>
            <w14:solidFill>
              <w14:schemeClr w14:val="tx1"/>
            </w14:solidFill>
          </w14:textFill>
        </w:rPr>
        <w:t>；朱坤林、殷昊然（</w:t>
      </w:r>
      <w:r>
        <w:rPr>
          <w:rFonts w:ascii="Times New Roman" w:hAnsi="Times New Roman" w:cs="Times New Roman"/>
          <w:color w:val="000000" w:themeColor="text1"/>
          <w:sz w:val="24"/>
          <w14:textFill>
            <w14:solidFill>
              <w14:schemeClr w14:val="tx1"/>
            </w14:solidFill>
          </w14:textFill>
        </w:rPr>
        <w:t>2019</w:t>
      </w:r>
      <w:r>
        <w:rPr>
          <w:rFonts w:cstheme="minorEastAsia" w:hint="eastAsia"/>
          <w:color w:val="000000" w:themeColor="text1"/>
          <w:sz w:val="24"/>
          <w14:textFill>
            <w14:solidFill>
              <w14:schemeClr w14:val="tx1"/>
            </w14:solidFill>
          </w14:textFill>
        </w:rPr>
        <w:t>）也研究了河南省农产品出口的发展，认为政府、农产品行业协会、农产品企业要共同合作努力以促进农产品出口的提高</w:t>
      </w:r>
      <w:r>
        <w:rPr>
          <w:rFonts w:ascii="Times New Roman" w:hAnsi="Times New Roman" w:cs="Times New Roman"/>
          <w:color w:val="000000" w:themeColor="text1"/>
          <w:sz w:val="24"/>
          <w:vertAlign w:val="superscript"/>
          <w14:textFill>
            <w14:solidFill>
              <w14:schemeClr w14:val="tx1"/>
            </w14:solidFill>
          </w14:textFill>
        </w:rPr>
        <w:t>[14]</w:t>
      </w:r>
      <w:r>
        <w:rPr>
          <w:rFonts w:cstheme="minorEastAsia" w:hint="eastAsia"/>
          <w:color w:val="000000" w:themeColor="text1"/>
          <w:sz w:val="24"/>
          <w14:textFill>
            <w14:solidFill>
              <w14:schemeClr w14:val="tx1"/>
            </w14:solidFill>
          </w14:textFill>
        </w:rPr>
        <w:t>；王雯（</w:t>
      </w:r>
      <w:r>
        <w:rPr>
          <w:rFonts w:ascii="Times New Roman" w:hAnsi="Times New Roman" w:cs="Times New Roman" w:hint="eastAsia"/>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019</w:t>
      </w:r>
      <w:r>
        <w:rPr>
          <w:rFonts w:cstheme="minorEastAsia" w:hint="eastAsia"/>
          <w:color w:val="000000" w:themeColor="text1"/>
          <w:sz w:val="24"/>
          <w14:textFill>
            <w14:solidFill>
              <w14:schemeClr w14:val="tx1"/>
            </w14:solidFill>
          </w14:textFill>
        </w:rPr>
        <w:t>）通过实证研究得出农业增加值对河南省农产品出口有明显影响，国际市场占有率与农产品出口额之间存在正相关关系，关税与农产品的出口限制紧密相关</w:t>
      </w:r>
      <w:r>
        <w:rPr>
          <w:rFonts w:ascii="Times New Roman" w:hAnsi="Times New Roman" w:cs="Times New Roman"/>
          <w:color w:val="000000" w:themeColor="text1"/>
          <w:sz w:val="24"/>
          <w:vertAlign w:val="superscript"/>
          <w14:textFill>
            <w14:solidFill>
              <w14:schemeClr w14:val="tx1"/>
            </w14:solidFill>
          </w14:textFill>
        </w:rPr>
        <w:t>[15]</w:t>
      </w:r>
      <w:r>
        <w:rPr>
          <w:rFonts w:cstheme="minorEastAsia" w:hint="eastAsia"/>
          <w:color w:val="000000" w:themeColor="text1"/>
          <w:sz w:val="24"/>
          <w14:textFill>
            <w14:solidFill>
              <w14:schemeClr w14:val="tx1"/>
            </w14:solidFill>
          </w14:textFill>
        </w:rPr>
        <w:t>；刘誉（</w:t>
      </w:r>
      <w:r>
        <w:rPr>
          <w:rFonts w:ascii="Times New Roman" w:hAnsi="Times New Roman" w:cs="Times New Roman" w:hint="eastAsia"/>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018</w:t>
      </w:r>
      <w:r>
        <w:rPr>
          <w:rFonts w:cstheme="minorEastAsia" w:hint="eastAsia"/>
          <w:color w:val="000000" w:themeColor="text1"/>
          <w:sz w:val="24"/>
          <w14:textFill>
            <w14:solidFill>
              <w14:schemeClr w14:val="tx1"/>
            </w14:solidFill>
          </w14:textFill>
        </w:rPr>
        <w:t>）分析了绿色贸易壁垒与河南省农产品出口之间的关系，提出绿色壁垒在短期内会对农产品出口产生消极影响，但在中长期内有一定的积极作用的结论</w:t>
      </w:r>
      <w:r>
        <w:rPr>
          <w:rFonts w:ascii="Times New Roman" w:hAnsi="Times New Roman" w:cs="Times New Roman"/>
          <w:color w:val="000000" w:themeColor="text1"/>
          <w:sz w:val="24"/>
          <w:vertAlign w:val="superscript"/>
          <w14:textFill>
            <w14:solidFill>
              <w14:schemeClr w14:val="tx1"/>
            </w14:solidFill>
          </w14:textFill>
        </w:rPr>
        <w:t>[16]</w:t>
      </w:r>
      <w:r>
        <w:rPr>
          <w:rFonts w:cstheme="minorEastAsia" w:hint="eastAsia"/>
          <w:color w:val="000000" w:themeColor="text1"/>
          <w:sz w:val="24"/>
          <w14:textFill>
            <w14:solidFill>
              <w14:schemeClr w14:val="tx1"/>
            </w14:solidFill>
          </w14:textFill>
        </w:rPr>
        <w:t>；陈文浩（</w:t>
      </w:r>
      <w:r>
        <w:rPr>
          <w:rFonts w:ascii="Times New Roman" w:hAnsi="Times New Roman" w:cs="Times New Roman"/>
          <w:color w:val="000000" w:themeColor="text1"/>
          <w:sz w:val="24"/>
          <w14:textFill>
            <w14:solidFill>
              <w14:schemeClr w14:val="tx1"/>
            </w14:solidFill>
          </w14:textFill>
        </w:rPr>
        <w:t>2020）</w:t>
      </w:r>
      <w:r>
        <w:rPr>
          <w:rFonts w:ascii="Times New Roman" w:hAnsi="Times New Roman" w:cs="Times New Roman" w:hint="eastAsia"/>
          <w:color w:val="000000" w:themeColor="text1"/>
          <w:sz w:val="24"/>
          <w14:textFill>
            <w14:solidFill>
              <w14:schemeClr w14:val="tx1"/>
            </w14:solidFill>
          </w14:textFill>
        </w:rPr>
        <w:t>研究认为河南省土地等自然资源丰富、农产品产量和种类也有优势，本应有较强的竞争力，但实际上河南省农产品的竞争力在全国只处于中游，进行了竞争力的悖论分析</w:t>
      </w:r>
      <w:r>
        <w:rPr>
          <w:rFonts w:ascii="Times New Roman" w:hAnsi="Times New Roman" w:cs="Times New Roman"/>
          <w:color w:val="000000" w:themeColor="text1"/>
          <w:sz w:val="24"/>
          <w:vertAlign w:val="superscript"/>
          <w14:textFill>
            <w14:solidFill>
              <w14:schemeClr w14:val="tx1"/>
            </w14:solidFill>
          </w14:textFill>
        </w:rPr>
        <w:t>[17]</w:t>
      </w:r>
      <w:r>
        <w:rPr>
          <w:rFonts w:ascii="Times New Roman" w:hAnsi="Times New Roman" w:cs="Times New Roman" w:hint="eastAsia"/>
          <w:color w:val="000000" w:themeColor="text1"/>
          <w:sz w:val="24"/>
          <w14:textFill>
            <w14:solidFill>
              <w14:schemeClr w14:val="tx1"/>
            </w14:solidFill>
          </w14:textFill>
        </w:rPr>
        <w:t>；梁思羽（2</w:t>
      </w:r>
      <w:r>
        <w:rPr>
          <w:rFonts w:ascii="Times New Roman" w:hAnsi="Times New Roman" w:cs="Times New Roman"/>
          <w:color w:val="000000" w:themeColor="text1"/>
          <w:sz w:val="24"/>
          <w14:textFill>
            <w14:solidFill>
              <w14:schemeClr w14:val="tx1"/>
            </w14:solidFill>
          </w14:textFill>
        </w:rPr>
        <w:t>020</w:t>
      </w:r>
      <w:r>
        <w:rPr>
          <w:rFonts w:ascii="Times New Roman" w:hAnsi="Times New Roman" w:cs="Times New Roman" w:hint="eastAsia"/>
          <w:color w:val="000000" w:themeColor="text1"/>
          <w:sz w:val="24"/>
          <w14:textFill>
            <w14:solidFill>
              <w14:schemeClr w14:val="tx1"/>
            </w14:solidFill>
          </w14:textFill>
        </w:rPr>
        <w:t>）研究了河南省农产品的竞争力，认为在农业生产、农业经营和农产品出口上都存在一定的问题</w:t>
      </w:r>
      <w:r>
        <w:rPr>
          <w:rFonts w:ascii="Times New Roman" w:hAnsi="Times New Roman" w:cs="Times New Roman" w:hint="eastAsia"/>
          <w:color w:val="000000" w:themeColor="text1"/>
          <w:sz w:val="24"/>
          <w:vertAlign w:val="superscript"/>
          <w14:textFill>
            <w14:solidFill>
              <w14:schemeClr w14:val="tx1"/>
            </w14:solidFill>
          </w14:textFill>
        </w:rPr>
        <w:t>[</w:t>
      </w:r>
      <w:r>
        <w:rPr>
          <w:rFonts w:ascii="Times New Roman" w:hAnsi="Times New Roman" w:cs="Times New Roman"/>
          <w:color w:val="000000" w:themeColor="text1"/>
          <w:sz w:val="24"/>
          <w:vertAlign w:val="superscript"/>
          <w14:textFill>
            <w14:solidFill>
              <w14:schemeClr w14:val="tx1"/>
            </w14:solidFill>
          </w14:textFill>
        </w:rPr>
        <w:t>18]</w:t>
      </w:r>
      <w:r>
        <w:rPr>
          <w:rFonts w:ascii="Times New Roman" w:hAnsi="Times New Roman" w:cs="Times New Roman" w:hint="eastAsia"/>
          <w:color w:val="000000" w:themeColor="text1"/>
          <w:sz w:val="24"/>
          <w14:textFill>
            <w14:solidFill>
              <w14:schemeClr w14:val="tx1"/>
            </w14:solidFill>
          </w14:textFill>
        </w:rPr>
        <w:t>。</w:t>
      </w:r>
    </w:p>
    <w:p>
      <w:pPr>
        <w:spacing w:line="360" w:lineRule="auto"/>
        <w:ind w:firstLine="480" w:firstLineChars="200"/>
        <w:rPr>
          <w:rFonts w:cstheme="minorEastAsia"/>
          <w:color w:val="000000" w:themeColor="text1"/>
          <w:sz w:val="24"/>
          <w14:textFill>
            <w14:solidFill>
              <w14:schemeClr w14:val="tx1"/>
            </w14:solidFill>
          </w14:textFill>
        </w:rPr>
      </w:pPr>
      <w:r>
        <w:rPr>
          <w:rFonts w:cstheme="minorEastAsia" w:hint="eastAsia"/>
          <w:color w:val="000000" w:themeColor="text1"/>
          <w:sz w:val="24"/>
          <w14:textFill>
            <w14:solidFill>
              <w14:schemeClr w14:val="tx1"/>
            </w14:solidFill>
          </w14:textFill>
        </w:rPr>
        <w:t>在对山东省和河南省农产品出口贸易的比较上，王鑫（</w:t>
      </w:r>
      <w:r>
        <w:rPr>
          <w:rFonts w:ascii="Times New Roman" w:hAnsi="Times New Roman" w:cs="Times New Roman" w:hint="eastAsia"/>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014</w:t>
      </w:r>
      <w:r>
        <w:rPr>
          <w:rFonts w:cstheme="minorEastAsia" w:hint="eastAsia"/>
          <w:color w:val="000000" w:themeColor="text1"/>
          <w:sz w:val="24"/>
          <w14:textFill>
            <w14:solidFill>
              <w14:schemeClr w14:val="tx1"/>
            </w14:solidFill>
          </w14:textFill>
        </w:rPr>
        <w:t>）利用“钻石模型”以及贸易竞争力指数比较分析了河南省和山东省的农产品贸易状况，然后根据结果为河南省农产品出口贸易提出了一些建议</w:t>
      </w:r>
      <w:r>
        <w:rPr>
          <w:rFonts w:ascii="Times New Roman" w:hAnsi="Times New Roman" w:cs="Times New Roman"/>
          <w:color w:val="000000" w:themeColor="text1"/>
          <w:sz w:val="24"/>
          <w:vertAlign w:val="superscript"/>
          <w14:textFill>
            <w14:solidFill>
              <w14:schemeClr w14:val="tx1"/>
            </w14:solidFill>
          </w14:textFill>
        </w:rPr>
        <w:t>[19]</w:t>
      </w:r>
      <w:r>
        <w:rPr>
          <w:rFonts w:cstheme="minorEastAsia" w:hint="eastAsia"/>
          <w:color w:val="000000" w:themeColor="text1"/>
          <w:sz w:val="24"/>
          <w14:textFill>
            <w14:solidFill>
              <w14:schemeClr w14:val="tx1"/>
            </w14:solidFill>
          </w14:textFill>
        </w:rPr>
        <w:t>。</w:t>
      </w:r>
    </w:p>
    <w:p>
      <w:pPr>
        <w:spacing w:line="360" w:lineRule="auto"/>
        <w:ind w:firstLine="480" w:firstLineChars="200"/>
        <w:rPr>
          <w:rFonts w:cstheme="minorEastAsia"/>
          <w:color w:val="000000" w:themeColor="text1"/>
          <w:sz w:val="24"/>
          <w14:textFill>
            <w14:solidFill>
              <w14:schemeClr w14:val="tx1"/>
            </w14:solidFill>
          </w14:textFill>
        </w:rPr>
      </w:pPr>
      <w:r>
        <w:rPr>
          <w:rFonts w:cstheme="minorEastAsia" w:hint="eastAsia"/>
          <w:color w:val="000000" w:themeColor="text1"/>
          <w:sz w:val="24"/>
          <w14:textFill>
            <w14:solidFill>
              <w14:schemeClr w14:val="tx1"/>
            </w14:solidFill>
          </w14:textFill>
        </w:rPr>
        <w:t>总结国内外对农产品出口贸易的研究，发现国外大多是讨论农产品出口贸易的影响因素，有利于我们提前做出对策或寻找农产品出口贸易出现问题的原因，但大部分都是从宏观角度来进行研究，缺少对微观个体具体情况的研究。国内多集中于研究某单独一省农产品出口贸易的现状及存在的问题和建议，较少有将两省的农产品出口贸易进行比较的。本文将山东省和河南省的农产品出口贸易发展状况放在一起比较分析，找出各自的优劣势，希望能对山东省农产品出口贸易的发展有所裨益。</w:t>
      </w:r>
    </w:p>
    <w:p>
      <w:pPr>
        <w:widowControl/>
        <w:spacing w:before="156" w:beforeLines="50" w:after="156" w:afterLines="50" w:line="360" w:lineRule="auto"/>
        <w:outlineLvl w:val="1"/>
        <w:rPr>
          <w:rFonts w:ascii="黑体" w:eastAsia="黑体" w:hAnsi="黑体"/>
          <w:sz w:val="24"/>
        </w:rPr>
      </w:pPr>
      <w:bookmarkStart w:id="20" w:name="_Toc67595409"/>
      <w:bookmarkStart w:id="21" w:name="_Toc70440614"/>
      <w:bookmarkStart w:id="22" w:name="_Toc19527"/>
      <w:r>
        <w:rPr>
          <w:rFonts w:ascii="Times New Roman" w:eastAsia="黑体" w:hAnsi="Times New Roman" w:cs="Times New Roman"/>
          <w:sz w:val="24"/>
        </w:rPr>
        <w:t>1.3</w:t>
      </w:r>
      <w:r>
        <w:rPr>
          <w:rFonts w:ascii="黑体" w:eastAsia="黑体" w:hAnsi="黑体" w:hint="eastAsia"/>
          <w:sz w:val="24"/>
        </w:rPr>
        <w:t>研究</w:t>
      </w:r>
      <w:bookmarkEnd w:id="20"/>
      <w:r>
        <w:rPr>
          <w:rFonts w:ascii="黑体" w:eastAsia="黑体" w:hAnsi="黑体" w:hint="eastAsia"/>
          <w:sz w:val="24"/>
        </w:rPr>
        <w:t>思路与研究内容</w:t>
      </w:r>
      <w:bookmarkEnd w:id="21"/>
      <w:bookmarkEnd w:id="22"/>
      <w:r>
        <w:rPr>
          <w:rFonts w:ascii="黑体" w:eastAsia="黑体" w:hAnsi="黑体" w:hint="eastAsia"/>
          <w:sz w:val="24"/>
        </w:rPr>
        <w:t xml:space="preserve"> </w:t>
      </w:r>
    </w:p>
    <w:p>
      <w:pPr>
        <w:widowControl/>
        <w:spacing w:line="360" w:lineRule="auto"/>
        <w:ind w:firstLine="480" w:firstLineChars="200"/>
        <w:rPr>
          <w:rFonts w:ascii="黑体" w:eastAsia="黑体" w:hAnsi="黑体"/>
          <w:sz w:val="24"/>
        </w:rPr>
      </w:pPr>
      <w:r>
        <w:rPr>
          <w:rFonts w:hint="eastAsia"/>
          <w:sz w:val="24"/>
          <w:szCs w:val="32"/>
        </w:rPr>
        <w:t>关于研究思路，本文先对山东省和河南省农产品出口贸易的现状进行分别阐述，然后对两省的农产品出口贸易情况比较分析，再根据比较得出的结论提出对山东省农产品出口贸易发展的建议。论文内容主要分为五个部分。第一部分是绪论，主要阐述研究背景、意义，国内外研究现状以及研究内容和研究方法。第二部分根据收集到的资料，阐述山东省农产品出口概况，包括山东省农业发展现状和农产品出口现状，其中农产品出口现状从出口总量、出口结构、出口地区三个方面来进行说明。第三部分依托从河南省统计局、海关等收集的数据资料，对河南省当前的农业发展和农产品出口情况进行描述。第四部分对山东省和河南省的农产品出口贸易状况进行比较分析，基于第二部分和第三部分的内容，从两省</w:t>
      </w:r>
      <w:bookmarkStart w:id="23" w:name="_Hlk67409881"/>
      <w:r>
        <w:rPr>
          <w:rFonts w:hint="eastAsia"/>
          <w:sz w:val="24"/>
          <w:szCs w:val="32"/>
        </w:rPr>
        <w:t>农产品的出口规模、出口结构和国际竞争力</w:t>
      </w:r>
      <w:bookmarkEnd w:id="23"/>
      <w:r>
        <w:rPr>
          <w:rFonts w:hint="eastAsia"/>
          <w:sz w:val="24"/>
          <w:szCs w:val="32"/>
        </w:rPr>
        <w:t>三个角度来分析。第五部分根据第四章的结论为山东省农产品出口贸易进一步发展提出相关政策建议。</w:t>
      </w:r>
    </w:p>
    <w:p>
      <w:pPr>
        <w:spacing w:before="156" w:beforeLines="50" w:after="156" w:afterLines="50" w:line="360" w:lineRule="auto"/>
        <w:outlineLvl w:val="1"/>
        <w:rPr>
          <w:rFonts w:ascii="黑体" w:eastAsia="黑体" w:hAnsi="黑体"/>
          <w:sz w:val="24"/>
        </w:rPr>
      </w:pPr>
      <w:bookmarkStart w:id="24" w:name="_Toc70440615"/>
      <w:bookmarkStart w:id="25" w:name="_Toc28554"/>
      <w:r>
        <w:rPr>
          <w:rFonts w:ascii="Times New Roman" w:eastAsia="黑体" w:hAnsi="Times New Roman" w:cs="Times New Roman" w:hint="eastAsia"/>
          <w:sz w:val="24"/>
        </w:rPr>
        <w:t>1</w:t>
      </w:r>
      <w:r>
        <w:rPr>
          <w:rFonts w:ascii="Times New Roman" w:eastAsia="黑体" w:hAnsi="Times New Roman" w:cs="Times New Roman"/>
          <w:sz w:val="24"/>
        </w:rPr>
        <w:t>.4</w:t>
      </w:r>
      <w:r>
        <w:rPr>
          <w:sz w:val="24"/>
          <w:szCs w:val="32"/>
        </w:rPr>
        <w:t xml:space="preserve"> </w:t>
      </w:r>
      <w:r>
        <w:rPr>
          <w:rFonts w:ascii="黑体" w:eastAsia="黑体" w:hAnsi="黑体" w:hint="eastAsia"/>
          <w:sz w:val="24"/>
        </w:rPr>
        <w:t>研究方法</w:t>
      </w:r>
      <w:bookmarkEnd w:id="24"/>
      <w:bookmarkEnd w:id="25"/>
    </w:p>
    <w:p>
      <w:pPr>
        <w:pStyle w:val="ListParagraph"/>
        <w:spacing w:line="360" w:lineRule="auto"/>
        <w:ind w:firstLine="480"/>
        <w:rPr>
          <w:sz w:val="24"/>
          <w:szCs w:val="32"/>
        </w:rPr>
      </w:pPr>
      <w:r>
        <w:rPr>
          <w:rFonts w:hint="eastAsia"/>
          <w:sz w:val="24"/>
          <w:szCs w:val="32"/>
        </w:rPr>
        <w:t>在研究方法上，本文主要使用文献分析法、数据分析法和比较分析法。</w:t>
      </w:r>
    </w:p>
    <w:p>
      <w:pPr>
        <w:pStyle w:val="ListParagraph"/>
        <w:spacing w:line="360" w:lineRule="auto"/>
        <w:ind w:firstLine="480"/>
        <w:rPr>
          <w:sz w:val="24"/>
        </w:rPr>
      </w:pPr>
      <w:r>
        <w:rPr>
          <w:rFonts w:hint="eastAsia"/>
          <w:sz w:val="24"/>
        </w:rPr>
        <w:t>（一）文献分析法：在中国知网上查找相关文献和在山东省及河南省农业农村厅阅读相关文件政策，对山东省和河南省农产品出口状况的相关文献进行分析，为文章研究奠定基础。</w:t>
      </w:r>
    </w:p>
    <w:p>
      <w:pPr>
        <w:pStyle w:val="ListParagraph"/>
        <w:spacing w:line="360" w:lineRule="auto"/>
        <w:ind w:right="-32" w:firstLine="480" w:rightChars="-15"/>
        <w:textAlignment w:val="baseline"/>
        <w:rPr>
          <w:color w:val="C00000"/>
          <w:sz w:val="24"/>
        </w:rPr>
        <w:sectPr>
          <w:footerReference w:type="default" r:id="rId8"/>
          <w:type w:val="nextPage"/>
          <w:pgSz w:w="11906" w:h="16838"/>
          <w:pgMar w:top="1134" w:right="1134" w:bottom="1134" w:left="1418" w:header="851" w:footer="851" w:gutter="0"/>
          <w:pgNumType w:start="4"/>
          <w:cols w:num="1" w:space="425"/>
          <w:titlePg w:val="0"/>
          <w:docGrid w:type="lines" w:linePitch="312" w:charSpace="0"/>
        </w:sectPr>
      </w:pPr>
      <w:r>
        <w:rPr>
          <w:rFonts w:hint="eastAsia"/>
          <w:sz w:val="24"/>
        </w:rPr>
        <w:t>（二）数据分析法：论文需要大量的数据来支撑。本文从山东省和河南省统计局、统计年鉴、海关等收集有关两省农产品出口状况的数据，包括山东省及河南省近年农产品出口总量、主要出口的农产品数额、出口到不同国家和地区的农产品数额等，列举或将数据制成图表，并分析数据的分布和变化规律来进行分析。</w:t>
      </w:r>
    </w:p>
    <w:p>
      <w:pPr>
        <w:pStyle w:val="ListParagraph"/>
        <w:spacing w:line="360" w:lineRule="auto"/>
        <w:ind w:firstLine="480"/>
        <w:rPr>
          <w:sz w:val="24"/>
          <w:szCs w:val="32"/>
        </w:rPr>
      </w:pPr>
      <w:r>
        <w:rPr>
          <w:rFonts w:hint="eastAsia"/>
          <w:sz w:val="24"/>
        </w:rPr>
        <w:t>（三）比较分析法：本文对山东省和河南省农产品出口贸易状况比较分析，分析指标包括</w:t>
      </w:r>
      <w:r>
        <w:rPr>
          <w:sz w:val="24"/>
          <w:szCs w:val="32"/>
        </w:rPr>
        <w:t>农业总产值、</w:t>
      </w:r>
      <w:r>
        <w:rPr>
          <w:rFonts w:hint="eastAsia"/>
          <w:sz w:val="24"/>
          <w:szCs w:val="32"/>
        </w:rPr>
        <w:t>农产品</w:t>
      </w:r>
      <w:r>
        <w:rPr>
          <w:sz w:val="24"/>
          <w:szCs w:val="32"/>
        </w:rPr>
        <w:t>出口总额、出口品种等</w:t>
      </w:r>
      <w:r>
        <w:rPr>
          <w:rFonts w:hint="eastAsia"/>
          <w:sz w:val="24"/>
          <w:szCs w:val="32"/>
        </w:rPr>
        <w:t>，以此来说明两省在农产品出口状况方面的差异。</w:t>
      </w:r>
      <w:r>
        <w:rPr>
          <w:rFonts w:ascii="黑体" w:eastAsia="黑体" w:hAnsi="黑体" w:hint="eastAsia"/>
          <w:sz w:val="24"/>
        </w:rPr>
        <w:t xml:space="preserve"> </w:t>
      </w:r>
    </w:p>
    <w:p>
      <w:pPr>
        <w:pStyle w:val="Heading1"/>
        <w:spacing w:after="312" w:afterLines="100"/>
      </w:pPr>
      <w:bookmarkStart w:id="26" w:name="_Toc527100066"/>
      <w:bookmarkStart w:id="27" w:name="_Toc70440616"/>
      <w:bookmarkStart w:id="28" w:name="_Toc67595410"/>
      <w:bookmarkStart w:id="29" w:name="_Toc12523"/>
      <w:r>
        <w:rPr>
          <w:rFonts w:hint="eastAsia"/>
        </w:rPr>
        <w:t>第</w:t>
      </w:r>
      <w:r>
        <w:t>2</w:t>
      </w:r>
      <w:r>
        <w:rPr>
          <w:rFonts w:hint="eastAsia"/>
        </w:rPr>
        <w:t xml:space="preserve">章 </w:t>
      </w:r>
      <w:bookmarkEnd w:id="26"/>
      <w:r>
        <w:rPr>
          <w:rFonts w:hint="eastAsia"/>
        </w:rPr>
        <w:t>山东省农产品出口概况</w:t>
      </w:r>
      <w:bookmarkEnd w:id="27"/>
      <w:bookmarkEnd w:id="28"/>
      <w:bookmarkEnd w:id="29"/>
    </w:p>
    <w:p>
      <w:pPr>
        <w:spacing w:line="360" w:lineRule="auto"/>
        <w:ind w:firstLine="480" w:firstLineChars="200"/>
        <w:rPr>
          <w:rFonts w:ascii="Times New Roman" w:hAnsi="Times New Roman"/>
          <w:sz w:val="24"/>
        </w:rPr>
      </w:pPr>
      <w:r>
        <w:rPr>
          <w:rFonts w:ascii="Times New Roman" w:hAnsi="Times New Roman" w:hint="eastAsia"/>
          <w:sz w:val="24"/>
        </w:rPr>
        <w:t>在我国各省市中，山东省在农产品的生产、加工、出口、贸易等方面长期占据重要位置。本章主要针对山东省农业目前发展状况和出口现状进行阐述。</w:t>
      </w:r>
    </w:p>
    <w:p>
      <w:pPr>
        <w:pStyle w:val="Heading2"/>
        <w:spacing w:before="156" w:beforeLines="50" w:after="156" w:afterLines="50"/>
        <w:rPr>
          <w:rFonts w:ascii="Times New Roman" w:hAnsi="Times New Roman"/>
          <w:color w:val="FF0000"/>
          <w:sz w:val="24"/>
          <w:szCs w:val="24"/>
        </w:rPr>
      </w:pPr>
      <w:bookmarkStart w:id="30" w:name="_Toc10604"/>
      <w:bookmarkStart w:id="31" w:name="_Toc13635"/>
      <w:bookmarkStart w:id="32" w:name="_Toc32493"/>
      <w:bookmarkStart w:id="33" w:name="_Toc482212756"/>
      <w:bookmarkStart w:id="34" w:name="_Toc527100067"/>
      <w:bookmarkStart w:id="35" w:name="_Toc19950"/>
      <w:bookmarkStart w:id="36" w:name="_Toc67595411"/>
      <w:bookmarkStart w:id="37" w:name="_Toc70440617"/>
      <w:bookmarkStart w:id="38" w:name="_Toc24315"/>
      <w:r>
        <w:rPr>
          <w:rFonts w:ascii="Times New Roman" w:hAnsi="Times New Roman"/>
          <w:sz w:val="24"/>
          <w:szCs w:val="24"/>
        </w:rPr>
        <w:t>2.1</w:t>
      </w:r>
      <w:bookmarkEnd w:id="30"/>
      <w:bookmarkEnd w:id="31"/>
      <w:r>
        <w:rPr>
          <w:rFonts w:ascii="Times New Roman" w:hAnsi="Times New Roman" w:hint="eastAsia"/>
          <w:sz w:val="24"/>
          <w:szCs w:val="24"/>
        </w:rPr>
        <w:t xml:space="preserve"> </w:t>
      </w:r>
      <w:bookmarkEnd w:id="32"/>
      <w:bookmarkEnd w:id="33"/>
      <w:bookmarkEnd w:id="34"/>
      <w:bookmarkEnd w:id="35"/>
      <w:r>
        <w:rPr>
          <w:rFonts w:ascii="Times New Roman" w:hAnsi="Times New Roman" w:hint="eastAsia"/>
          <w:sz w:val="24"/>
          <w:szCs w:val="24"/>
        </w:rPr>
        <w:t>山东省农业发展现状</w:t>
      </w:r>
      <w:bookmarkEnd w:id="36"/>
      <w:bookmarkEnd w:id="37"/>
      <w:bookmarkEnd w:id="38"/>
      <w:r>
        <w:rPr>
          <w:rFonts w:ascii="Times New Roman" w:hAnsi="Times New Roman"/>
          <w:sz w:val="24"/>
          <w:szCs w:val="24"/>
        </w:rPr>
        <w:t xml:space="preserve"> </w:t>
      </w:r>
    </w:p>
    <w:p>
      <w:pPr>
        <w:spacing w:line="360" w:lineRule="auto"/>
        <w:ind w:firstLine="480" w:firstLineChars="200"/>
        <w:rPr>
          <w:rFonts w:ascii="Times New Roman" w:hAnsi="Times New Roman"/>
          <w:sz w:val="24"/>
        </w:rPr>
      </w:pPr>
      <w:r>
        <w:rPr>
          <w:rFonts w:ascii="Times New Roman" w:hAnsi="Times New Roman" w:hint="eastAsia"/>
          <w:sz w:val="24"/>
        </w:rPr>
        <w:t>山东省是东部沿海省份，位于华北平原，地势比较低平，温带季风气候，温和湿润，雨热同期，较有利于农作物的生长，省内的东部沿海城市如青岛、烟台、威海等为农产品的出口创造了有利的条件；且山东人口资源丰富，劳动力素质也较高，在农业的发展上政府也高度重视，这使得山东省农业的规模和质量都较为优越。凭着得天独厚的自然条件和长期积累的农业种植经验，山东省农业发展具有独特的地方特色。</w:t>
      </w:r>
    </w:p>
    <w:p>
      <w:pPr>
        <w:spacing w:line="360" w:lineRule="auto"/>
        <w:ind w:firstLine="480" w:firstLineChars="200"/>
        <w:rPr>
          <w:rFonts w:ascii="Times New Roman" w:hAnsi="Times New Roman"/>
          <w:sz w:val="24"/>
        </w:rPr>
      </w:pPr>
      <w:r>
        <w:rPr>
          <w:rFonts w:ascii="Times New Roman" w:hAnsi="Times New Roman" w:hint="eastAsia"/>
          <w:sz w:val="24"/>
        </w:rPr>
        <w:t>当前山东省农业发展良好，粮食产量、农业现代化建设、农民收入、农业农村改革等方面都有发展。在“十三五”时期，山东农业总产值破万亿，农业农村经济有良好发展趋势，农业科技含量稳步提高，农业综合效益及竞争力提升速度较快。2</w:t>
      </w:r>
      <w:r>
        <w:rPr>
          <w:rFonts w:ascii="Times New Roman" w:hAnsi="Times New Roman"/>
          <w:sz w:val="24"/>
        </w:rPr>
        <w:t>020</w:t>
      </w:r>
      <w:r>
        <w:rPr>
          <w:rFonts w:ascii="Times New Roman" w:hAnsi="Times New Roman" w:hint="eastAsia"/>
          <w:sz w:val="24"/>
        </w:rPr>
        <w:t>年山东省农林牧渔总产值总共1</w:t>
      </w:r>
      <w:r>
        <w:rPr>
          <w:rFonts w:ascii="Times New Roman" w:hAnsi="Times New Roman"/>
          <w:sz w:val="24"/>
        </w:rPr>
        <w:t>0190</w:t>
      </w:r>
      <w:r>
        <w:rPr>
          <w:rFonts w:ascii="Times New Roman" w:hAnsi="Times New Roman" w:hint="eastAsia"/>
          <w:sz w:val="24"/>
        </w:rPr>
        <w:t>亿元，按照可比价格计算，相比2</w:t>
      </w:r>
      <w:r>
        <w:rPr>
          <w:rFonts w:ascii="Times New Roman" w:hAnsi="Times New Roman"/>
          <w:sz w:val="24"/>
        </w:rPr>
        <w:t>019</w:t>
      </w:r>
      <w:r>
        <w:rPr>
          <w:rFonts w:ascii="Times New Roman" w:hAnsi="Times New Roman" w:hint="eastAsia"/>
          <w:sz w:val="24"/>
        </w:rPr>
        <w:t>年增长3.0%，成为全国首个突破万亿元的省份；肉类、水海产品、蔬菜、水果产量分别占到全国9%、1</w:t>
      </w:r>
      <w:r>
        <w:rPr>
          <w:rFonts w:ascii="Times New Roman" w:hAnsi="Times New Roman"/>
          <w:sz w:val="24"/>
        </w:rPr>
        <w:t>3</w:t>
      </w:r>
      <w:r>
        <w:rPr>
          <w:rFonts w:ascii="Times New Roman" w:hAnsi="Times New Roman" w:hint="eastAsia"/>
          <w:sz w:val="24"/>
        </w:rPr>
        <w:t>%、1</w:t>
      </w:r>
      <w:r>
        <w:rPr>
          <w:rFonts w:ascii="Times New Roman" w:hAnsi="Times New Roman"/>
          <w:sz w:val="24"/>
        </w:rPr>
        <w:t>1</w:t>
      </w:r>
      <w:r>
        <w:rPr>
          <w:rFonts w:ascii="Times New Roman" w:hAnsi="Times New Roman" w:hint="eastAsia"/>
          <w:sz w:val="24"/>
        </w:rPr>
        <w:t>%和10%，稳居全国前列。</w:t>
      </w:r>
    </w:p>
    <w:p>
      <w:pPr>
        <w:spacing w:line="360" w:lineRule="auto"/>
        <w:ind w:firstLine="480" w:firstLineChars="200"/>
        <w:rPr>
          <w:rFonts w:ascii="Times New Roman" w:hAnsi="Times New Roman"/>
          <w:sz w:val="24"/>
        </w:rPr>
      </w:pPr>
    </w:p>
    <w:p>
      <w:pPr>
        <w:ind w:firstLine="420" w:firstLineChars="200"/>
        <w:jc w:val="right"/>
        <w:rPr>
          <w:rFonts w:ascii="Times New Roman" w:hAnsi="Times New Roman" w:cs="Times New Roman"/>
          <w:szCs w:val="20"/>
        </w:rPr>
      </w:pPr>
      <w:r>
        <w:rPr>
          <w:rFonts w:ascii="Times New Roman" w:hAnsi="Times New Roman" w:cs="Times New Roman"/>
          <w:szCs w:val="20"/>
        </w:rPr>
        <w:t>表2-1 2007-2020年山东省历年粮食总产量数据统计</w:t>
      </w:r>
      <w:r>
        <w:rPr>
          <w:rFonts w:ascii="Times New Roman" w:hAnsi="Times New Roman" w:cs="Times New Roman" w:hint="eastAsia"/>
          <w:szCs w:val="20"/>
        </w:rPr>
        <w:t xml:space="preserve"> </w:t>
      </w:r>
      <w:r>
        <w:rPr>
          <w:rFonts w:ascii="Times New Roman" w:hAnsi="Times New Roman" w:cs="Times New Roman"/>
          <w:szCs w:val="20"/>
        </w:rPr>
        <w:t xml:space="preserve">               单位：万吨</w:t>
      </w:r>
    </w:p>
    <w:tbl>
      <w:tblPr>
        <w:tblStyle w:val="100"/>
        <w:tblW w:w="9257"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157"/>
        <w:gridCol w:w="1157"/>
        <w:gridCol w:w="1157"/>
        <w:gridCol w:w="1157"/>
        <w:gridCol w:w="1157"/>
        <w:gridCol w:w="1157"/>
        <w:gridCol w:w="1157"/>
        <w:gridCol w:w="1158"/>
      </w:tblGrid>
      <w:tr>
        <w:tblPrEx>
          <w:tblW w:w="9257"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730"/>
          <w:jc w:val="center"/>
        </w:trPr>
        <w:tc>
          <w:tcPr>
            <w:tcW w:w="1157" w:type="dxa"/>
            <w:vAlign w:val="center"/>
          </w:tcPr>
          <w:p>
            <w:pPr>
              <w:jc w:val="center"/>
              <w:rPr>
                <w:rFonts w:ascii="Times New Roman" w:hAnsi="Times New Roman" w:cs="Times New Roman"/>
                <w:szCs w:val="20"/>
              </w:rPr>
            </w:pPr>
            <w:r>
              <w:rPr>
                <w:rFonts w:ascii="Times New Roman" w:hAnsi="Times New Roman" w:cs="Times New Roman"/>
                <w:szCs w:val="20"/>
              </w:rPr>
              <w:t>年份</w:t>
            </w:r>
          </w:p>
        </w:tc>
        <w:tc>
          <w:tcPr>
            <w:tcW w:w="1157" w:type="dxa"/>
            <w:vAlign w:val="center"/>
          </w:tcPr>
          <w:p>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007</w:t>
            </w:r>
          </w:p>
        </w:tc>
        <w:tc>
          <w:tcPr>
            <w:tcW w:w="1157" w:type="dxa"/>
            <w:vAlign w:val="center"/>
          </w:tcPr>
          <w:p>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008</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2009</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2010</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2011</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2012</w:t>
            </w:r>
          </w:p>
        </w:tc>
        <w:tc>
          <w:tcPr>
            <w:tcW w:w="1158" w:type="dxa"/>
            <w:vAlign w:val="center"/>
          </w:tcPr>
          <w:p>
            <w:pPr>
              <w:jc w:val="center"/>
              <w:rPr>
                <w:rFonts w:ascii="Times New Roman" w:hAnsi="Times New Roman" w:cs="Times New Roman"/>
                <w:szCs w:val="20"/>
              </w:rPr>
            </w:pPr>
            <w:r>
              <w:rPr>
                <w:rFonts w:ascii="Times New Roman" w:hAnsi="Times New Roman" w:cs="Times New Roman"/>
                <w:szCs w:val="20"/>
              </w:rPr>
              <w:t>2013</w:t>
            </w:r>
          </w:p>
        </w:tc>
      </w:tr>
      <w:tr>
        <w:tblPrEx>
          <w:tblW w:w="9257" w:type="dxa"/>
          <w:jc w:val="center"/>
          <w:tblCellMar>
            <w:top w:w="0" w:type="dxa"/>
            <w:left w:w="108" w:type="dxa"/>
            <w:bottom w:w="0" w:type="dxa"/>
            <w:right w:w="108" w:type="dxa"/>
          </w:tblCellMar>
        </w:tblPrEx>
        <w:trPr>
          <w:trHeight w:val="730"/>
          <w:jc w:val="center"/>
        </w:trPr>
        <w:tc>
          <w:tcPr>
            <w:tcW w:w="1157" w:type="dxa"/>
            <w:vAlign w:val="center"/>
          </w:tcPr>
          <w:p>
            <w:pPr>
              <w:jc w:val="center"/>
              <w:rPr>
                <w:rFonts w:ascii="Times New Roman" w:hAnsi="Times New Roman" w:cs="Times New Roman"/>
                <w:szCs w:val="20"/>
              </w:rPr>
            </w:pPr>
            <w:r>
              <w:rPr>
                <w:rFonts w:ascii="Times New Roman" w:hAnsi="Times New Roman" w:cs="Times New Roman"/>
                <w:szCs w:val="20"/>
              </w:rPr>
              <w:t>产量</w:t>
            </w:r>
          </w:p>
        </w:tc>
        <w:tc>
          <w:tcPr>
            <w:tcW w:w="1157" w:type="dxa"/>
            <w:vAlign w:val="center"/>
          </w:tcPr>
          <w:p>
            <w:pPr>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148.8</w:t>
            </w:r>
          </w:p>
        </w:tc>
        <w:tc>
          <w:tcPr>
            <w:tcW w:w="1157" w:type="dxa"/>
            <w:vAlign w:val="center"/>
          </w:tcPr>
          <w:p>
            <w:pPr>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260.5</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4316.3</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4335.7</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4426.3</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4511.4</w:t>
            </w:r>
          </w:p>
        </w:tc>
        <w:tc>
          <w:tcPr>
            <w:tcW w:w="1158" w:type="dxa"/>
            <w:vAlign w:val="center"/>
          </w:tcPr>
          <w:p>
            <w:pPr>
              <w:jc w:val="center"/>
              <w:rPr>
                <w:rFonts w:ascii="Times New Roman" w:hAnsi="Times New Roman" w:cs="Times New Roman"/>
                <w:szCs w:val="20"/>
              </w:rPr>
            </w:pPr>
            <w:r>
              <w:rPr>
                <w:rFonts w:ascii="Times New Roman" w:hAnsi="Times New Roman" w:cs="Times New Roman"/>
                <w:szCs w:val="20"/>
              </w:rPr>
              <w:t>4528.2</w:t>
            </w:r>
          </w:p>
        </w:tc>
      </w:tr>
      <w:tr>
        <w:tblPrEx>
          <w:tblW w:w="9257" w:type="dxa"/>
          <w:jc w:val="center"/>
          <w:tblCellMar>
            <w:top w:w="0" w:type="dxa"/>
            <w:left w:w="108" w:type="dxa"/>
            <w:bottom w:w="0" w:type="dxa"/>
            <w:right w:w="108" w:type="dxa"/>
          </w:tblCellMar>
        </w:tblPrEx>
        <w:trPr>
          <w:trHeight w:val="701"/>
          <w:jc w:val="center"/>
        </w:trPr>
        <w:tc>
          <w:tcPr>
            <w:tcW w:w="1157" w:type="dxa"/>
            <w:vAlign w:val="center"/>
          </w:tcPr>
          <w:p>
            <w:pPr>
              <w:jc w:val="center"/>
              <w:rPr>
                <w:rFonts w:ascii="Times New Roman" w:hAnsi="Times New Roman" w:cs="Times New Roman"/>
                <w:szCs w:val="20"/>
              </w:rPr>
            </w:pPr>
            <w:r>
              <w:rPr>
                <w:rFonts w:ascii="Times New Roman" w:hAnsi="Times New Roman" w:cs="Times New Roman"/>
                <w:szCs w:val="20"/>
              </w:rPr>
              <w:t>年份</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2014</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2015</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2016</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2017</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2018</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2019</w:t>
            </w:r>
          </w:p>
        </w:tc>
        <w:tc>
          <w:tcPr>
            <w:tcW w:w="1158" w:type="dxa"/>
            <w:vAlign w:val="center"/>
          </w:tcPr>
          <w:p>
            <w:pPr>
              <w:jc w:val="center"/>
              <w:rPr>
                <w:rFonts w:ascii="Times New Roman" w:hAnsi="Times New Roman" w:cs="Times New Roman"/>
                <w:szCs w:val="20"/>
              </w:rPr>
            </w:pPr>
            <w:r>
              <w:rPr>
                <w:rFonts w:ascii="Times New Roman" w:hAnsi="Times New Roman" w:cs="Times New Roman"/>
                <w:szCs w:val="20"/>
              </w:rPr>
              <w:t>2020</w:t>
            </w:r>
          </w:p>
        </w:tc>
      </w:tr>
      <w:tr>
        <w:tblPrEx>
          <w:tblW w:w="9257" w:type="dxa"/>
          <w:jc w:val="center"/>
          <w:tblCellMar>
            <w:top w:w="0" w:type="dxa"/>
            <w:left w:w="108" w:type="dxa"/>
            <w:bottom w:w="0" w:type="dxa"/>
            <w:right w:w="108" w:type="dxa"/>
          </w:tblCellMar>
        </w:tblPrEx>
        <w:trPr>
          <w:trHeight w:val="730"/>
          <w:jc w:val="center"/>
        </w:trPr>
        <w:tc>
          <w:tcPr>
            <w:tcW w:w="1157" w:type="dxa"/>
            <w:vAlign w:val="center"/>
          </w:tcPr>
          <w:p>
            <w:pPr>
              <w:jc w:val="center"/>
              <w:rPr>
                <w:rFonts w:ascii="Times New Roman" w:hAnsi="Times New Roman" w:cs="Times New Roman"/>
                <w:szCs w:val="20"/>
              </w:rPr>
            </w:pPr>
            <w:r>
              <w:rPr>
                <w:rFonts w:ascii="Times New Roman" w:hAnsi="Times New Roman" w:cs="Times New Roman"/>
                <w:szCs w:val="20"/>
              </w:rPr>
              <w:t>产量</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4596.6</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4712.7</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4700</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5374.3</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5319.5</w:t>
            </w:r>
          </w:p>
        </w:tc>
        <w:tc>
          <w:tcPr>
            <w:tcW w:w="1157" w:type="dxa"/>
            <w:vAlign w:val="center"/>
          </w:tcPr>
          <w:p>
            <w:pPr>
              <w:jc w:val="center"/>
              <w:rPr>
                <w:rFonts w:ascii="Times New Roman" w:hAnsi="Times New Roman" w:cs="Times New Roman"/>
                <w:szCs w:val="20"/>
              </w:rPr>
            </w:pPr>
            <w:r>
              <w:rPr>
                <w:rFonts w:ascii="Times New Roman" w:hAnsi="Times New Roman" w:cs="Times New Roman"/>
                <w:szCs w:val="20"/>
              </w:rPr>
              <w:t>5357</w:t>
            </w:r>
          </w:p>
        </w:tc>
        <w:tc>
          <w:tcPr>
            <w:tcW w:w="1158" w:type="dxa"/>
            <w:vAlign w:val="center"/>
          </w:tcPr>
          <w:p>
            <w:pPr>
              <w:jc w:val="center"/>
              <w:rPr>
                <w:rFonts w:ascii="Times New Roman" w:hAnsi="Times New Roman" w:cs="Times New Roman"/>
                <w:szCs w:val="20"/>
              </w:rPr>
            </w:pPr>
            <w:r>
              <w:rPr>
                <w:rFonts w:ascii="Times New Roman" w:hAnsi="Times New Roman" w:cs="Times New Roman"/>
                <w:szCs w:val="20"/>
              </w:rPr>
              <w:t>5446.8</w:t>
            </w:r>
          </w:p>
        </w:tc>
      </w:tr>
    </w:tbl>
    <w:p>
      <w:pPr>
        <w:jc w:val="center"/>
        <w:rPr>
          <w:rFonts w:ascii="Times New Roman" w:hAnsi="Times New Roman" w:cs="Times New Roman"/>
          <w:szCs w:val="20"/>
        </w:rPr>
      </w:pPr>
      <w:r>
        <w:rPr>
          <w:rFonts w:ascii="Times New Roman" w:hAnsi="Times New Roman" w:cs="Times New Roman"/>
          <w:szCs w:val="20"/>
        </w:rPr>
        <w:t>资料来源：山东省统计局、山东省农业农村厅</w:t>
      </w:r>
    </w:p>
    <w:p>
      <w:pPr>
        <w:jc w:val="center"/>
        <w:rPr>
          <w:rFonts w:ascii="Times New Roman" w:hAnsi="Times New Roman" w:cs="Times New Roman"/>
          <w:szCs w:val="20"/>
        </w:rPr>
      </w:pPr>
    </w:p>
    <w:p>
      <w:pPr>
        <w:spacing w:line="360" w:lineRule="auto"/>
        <w:ind w:firstLine="480" w:firstLineChars="200"/>
        <w:rPr>
          <w:rFonts w:ascii="Times New Roman" w:hAnsi="Times New Roman"/>
          <w:sz w:val="24"/>
        </w:rPr>
        <w:sectPr>
          <w:footerReference w:type="default" r:id="rId9"/>
          <w:type w:val="nextPage"/>
          <w:pgSz w:w="11906" w:h="16838"/>
          <w:pgMar w:top="1134" w:right="1134" w:bottom="1134" w:left="1418" w:header="851" w:footer="851" w:gutter="0"/>
          <w:pgNumType w:start="5"/>
          <w:cols w:num="1" w:space="425"/>
          <w:titlePg w:val="0"/>
          <w:docGrid w:type="lines" w:linePitch="312" w:charSpace="0"/>
        </w:sectPr>
      </w:pPr>
      <w:r>
        <w:rPr>
          <w:rFonts w:ascii="Times New Roman" w:hAnsi="Times New Roman" w:hint="eastAsia"/>
          <w:sz w:val="24"/>
        </w:rPr>
        <w:t>从表2</w:t>
      </w:r>
      <w:r>
        <w:rPr>
          <w:rFonts w:ascii="Times New Roman" w:hAnsi="Times New Roman"/>
          <w:sz w:val="24"/>
        </w:rPr>
        <w:t>-1</w:t>
      </w:r>
      <w:r>
        <w:rPr>
          <w:rFonts w:ascii="Times New Roman" w:hAnsi="Times New Roman" w:hint="eastAsia"/>
          <w:sz w:val="24"/>
        </w:rPr>
        <w:t>可以看出，从2</w:t>
      </w:r>
      <w:r>
        <w:rPr>
          <w:rFonts w:ascii="Times New Roman" w:hAnsi="Times New Roman"/>
          <w:sz w:val="24"/>
        </w:rPr>
        <w:t>007</w:t>
      </w:r>
      <w:r>
        <w:rPr>
          <w:rFonts w:ascii="Times New Roman" w:hAnsi="Times New Roman" w:hint="eastAsia"/>
          <w:sz w:val="24"/>
        </w:rPr>
        <w:t>年到2</w:t>
      </w:r>
      <w:r>
        <w:rPr>
          <w:rFonts w:ascii="Times New Roman" w:hAnsi="Times New Roman"/>
          <w:sz w:val="24"/>
        </w:rPr>
        <w:t>020</w:t>
      </w:r>
      <w:r>
        <w:rPr>
          <w:rFonts w:ascii="Times New Roman" w:hAnsi="Times New Roman" w:hint="eastAsia"/>
          <w:sz w:val="24"/>
        </w:rPr>
        <w:t>年，山东粮食产量总体上是持续上升的，除了在2</w:t>
      </w:r>
      <w:r>
        <w:rPr>
          <w:rFonts w:ascii="Times New Roman" w:hAnsi="Times New Roman"/>
          <w:sz w:val="24"/>
        </w:rPr>
        <w:t>016</w:t>
      </w:r>
      <w:r>
        <w:rPr>
          <w:rFonts w:ascii="Times New Roman" w:hAnsi="Times New Roman" w:hint="eastAsia"/>
          <w:sz w:val="24"/>
        </w:rPr>
        <w:t>年和2</w:t>
      </w:r>
      <w:r>
        <w:rPr>
          <w:rFonts w:ascii="Times New Roman" w:hAnsi="Times New Roman"/>
          <w:sz w:val="24"/>
        </w:rPr>
        <w:t>018</w:t>
      </w:r>
    </w:p>
    <w:p>
      <w:pPr>
        <w:spacing w:line="360" w:lineRule="auto"/>
        <w:ind w:firstLine="480" w:firstLineChars="200"/>
        <w:rPr>
          <w:rFonts w:ascii="Times New Roman" w:hAnsi="Times New Roman"/>
          <w:sz w:val="24"/>
        </w:rPr>
      </w:pPr>
      <w:r>
        <w:rPr>
          <w:rFonts w:ascii="Times New Roman" w:hAnsi="Times New Roman" w:hint="eastAsia"/>
          <w:sz w:val="24"/>
        </w:rPr>
        <w:t>年有略微下降外，其余年份的粮食产量都在增加。当然，除粮食外，棉花、油料、蔬菜等作物的种植面积和产量都有一定程度的增长，以及农业其他方面包括机械化、科技创新、农民收入等也都有相对的发展提高。</w:t>
      </w:r>
    </w:p>
    <w:p>
      <w:pPr>
        <w:spacing w:before="156" w:beforeLines="50" w:after="156" w:afterLines="50" w:line="360" w:lineRule="auto"/>
        <w:outlineLvl w:val="1"/>
        <w:rPr>
          <w:rFonts w:ascii="黑体" w:eastAsia="黑体" w:hAnsi="黑体"/>
          <w:sz w:val="24"/>
        </w:rPr>
      </w:pPr>
      <w:bookmarkStart w:id="39" w:name="_Toc67595412"/>
      <w:bookmarkStart w:id="40" w:name="_Toc70440618"/>
      <w:bookmarkStart w:id="41" w:name="_Toc25375"/>
      <w:r>
        <w:rPr>
          <w:rFonts w:ascii="Times New Roman" w:eastAsia="黑体" w:hAnsi="Times New Roman" w:cs="Times New Roman"/>
          <w:sz w:val="24"/>
        </w:rPr>
        <w:t xml:space="preserve">2.2 </w:t>
      </w:r>
      <w:r>
        <w:rPr>
          <w:rFonts w:ascii="黑体" w:eastAsia="黑体" w:hAnsi="黑体" w:hint="eastAsia"/>
          <w:sz w:val="24"/>
        </w:rPr>
        <w:t>山东省农产品出口现状</w:t>
      </w:r>
      <w:bookmarkEnd w:id="39"/>
      <w:bookmarkEnd w:id="40"/>
      <w:bookmarkEnd w:id="41"/>
    </w:p>
    <w:p>
      <w:pPr>
        <w:pStyle w:val="Heading3"/>
        <w:ind w:firstLine="480"/>
        <w:rPr>
          <w:rFonts w:eastAsiaTheme="minorEastAsia"/>
        </w:rPr>
      </w:pPr>
      <w:bookmarkStart w:id="42" w:name="_Toc482212757"/>
      <w:bookmarkStart w:id="43" w:name="_Toc527100068"/>
      <w:bookmarkStart w:id="44" w:name="_Toc70440619"/>
      <w:bookmarkStart w:id="45" w:name="_Toc67595413"/>
      <w:r>
        <w:rPr>
          <w:rFonts w:eastAsiaTheme="minorEastAsia"/>
        </w:rPr>
        <w:t>2.2.1</w:t>
      </w:r>
      <w:r>
        <w:rPr>
          <w:rFonts w:eastAsiaTheme="minorEastAsia" w:hint="eastAsia"/>
        </w:rPr>
        <w:t xml:space="preserve"> </w:t>
      </w:r>
      <w:bookmarkEnd w:id="42"/>
      <w:bookmarkEnd w:id="43"/>
      <w:r>
        <w:rPr>
          <w:rFonts w:eastAsiaTheme="minorEastAsia" w:hint="eastAsia"/>
        </w:rPr>
        <w:t>农产品出口总量</w:t>
      </w:r>
      <w:bookmarkEnd w:id="44"/>
      <w:bookmarkEnd w:id="45"/>
    </w:p>
    <w:p>
      <w:pPr>
        <w:spacing w:line="360" w:lineRule="auto"/>
        <w:ind w:firstLine="480" w:firstLineChars="200"/>
        <w:rPr>
          <w:rFonts w:asciiTheme="minorEastAsia" w:hAnsiTheme="minorEastAsia" w:cs="宋体"/>
          <w:sz w:val="24"/>
        </w:rPr>
      </w:pPr>
      <w:r>
        <w:rPr>
          <w:rFonts w:asciiTheme="minorEastAsia" w:hAnsiTheme="minorEastAsia" w:cs="宋体" w:hint="eastAsia"/>
          <w:sz w:val="24"/>
        </w:rPr>
        <w:t>由于农业本身优势和出口贸易的地理优势，山东省农产品的出口贸易额连续多年为全国第一，为其农业经济的发展做出很大贡献。自2</w:t>
      </w:r>
      <w:r>
        <w:rPr>
          <w:rFonts w:asciiTheme="minorEastAsia" w:hAnsiTheme="minorEastAsia" w:cs="宋体"/>
          <w:sz w:val="24"/>
        </w:rPr>
        <w:t>001</w:t>
      </w:r>
      <w:r>
        <w:rPr>
          <w:rFonts w:asciiTheme="minorEastAsia" w:hAnsiTheme="minorEastAsia" w:cs="宋体" w:hint="eastAsia"/>
          <w:sz w:val="24"/>
        </w:rPr>
        <w:t>年我国加入世界贸易组织后，山东省积极利用自身条件，发展出口贸易，特别是农产品的出口增长迅速，随着农业技术水平和科技投入的增加，其出口规模不断扩大。</w:t>
      </w:r>
    </w:p>
    <w:p>
      <w:pPr>
        <w:spacing w:line="360" w:lineRule="auto"/>
        <w:ind w:firstLine="480" w:firstLineChars="200"/>
        <w:rPr>
          <w:rFonts w:ascii="Times New Roman" w:hAnsi="Times New Roman"/>
          <w:sz w:val="24"/>
        </w:rPr>
      </w:pPr>
      <w:r>
        <w:rPr>
          <w:rFonts w:ascii="Times New Roman" w:hAnsi="Times New Roman" w:hint="eastAsia"/>
          <w:sz w:val="24"/>
        </w:rPr>
        <w:t>从图2</w:t>
      </w:r>
      <w:r>
        <w:rPr>
          <w:rFonts w:ascii="Times New Roman" w:hAnsi="Times New Roman"/>
          <w:sz w:val="24"/>
        </w:rPr>
        <w:t>-1</w:t>
      </w:r>
      <w:r>
        <w:rPr>
          <w:rFonts w:ascii="Times New Roman" w:hAnsi="Times New Roman" w:hint="eastAsia"/>
          <w:sz w:val="24"/>
        </w:rPr>
        <w:t>可以看出，山东省农产品的出口额总体上呈上升趋势，2</w:t>
      </w:r>
      <w:r>
        <w:rPr>
          <w:rFonts w:ascii="Times New Roman" w:hAnsi="Times New Roman"/>
          <w:sz w:val="24"/>
        </w:rPr>
        <w:t>020</w:t>
      </w:r>
      <w:r>
        <w:rPr>
          <w:rFonts w:ascii="Times New Roman" w:hAnsi="Times New Roman" w:hint="eastAsia"/>
          <w:sz w:val="24"/>
        </w:rPr>
        <w:t>年出口额达到了1</w:t>
      </w:r>
      <w:r>
        <w:rPr>
          <w:rFonts w:ascii="Times New Roman" w:hAnsi="Times New Roman"/>
          <w:sz w:val="24"/>
        </w:rPr>
        <w:t>89.9</w:t>
      </w:r>
      <w:r>
        <w:rPr>
          <w:rFonts w:ascii="Times New Roman" w:hAnsi="Times New Roman" w:hint="eastAsia"/>
          <w:sz w:val="24"/>
        </w:rPr>
        <w:t>亿美元，而2</w:t>
      </w:r>
      <w:r>
        <w:rPr>
          <w:rFonts w:ascii="Times New Roman" w:hAnsi="Times New Roman"/>
          <w:sz w:val="24"/>
        </w:rPr>
        <w:t>008</w:t>
      </w:r>
      <w:r>
        <w:rPr>
          <w:rFonts w:ascii="Times New Roman" w:hAnsi="Times New Roman" w:hint="eastAsia"/>
          <w:sz w:val="24"/>
        </w:rPr>
        <w:t>年为</w:t>
      </w:r>
      <w:r>
        <w:rPr>
          <w:rFonts w:ascii="Times New Roman" w:hAnsi="Times New Roman"/>
          <w:sz w:val="24"/>
        </w:rPr>
        <w:t>99.8</w:t>
      </w:r>
      <w:r>
        <w:rPr>
          <w:rFonts w:ascii="Times New Roman" w:hAnsi="Times New Roman" w:hint="eastAsia"/>
          <w:sz w:val="24"/>
        </w:rPr>
        <w:t>亿美元，翻了约一番，而且2</w:t>
      </w:r>
      <w:r>
        <w:rPr>
          <w:rFonts w:ascii="Times New Roman" w:hAnsi="Times New Roman"/>
          <w:sz w:val="24"/>
        </w:rPr>
        <w:t>020</w:t>
      </w:r>
      <w:r>
        <w:rPr>
          <w:rFonts w:ascii="Times New Roman" w:hAnsi="Times New Roman" w:hint="eastAsia"/>
          <w:sz w:val="24"/>
        </w:rPr>
        <w:t>年在疫情的影响下还出现了逆势增长，发展趋势良好；如图2</w:t>
      </w:r>
      <w:r>
        <w:rPr>
          <w:rFonts w:ascii="Times New Roman" w:hAnsi="Times New Roman"/>
          <w:sz w:val="24"/>
        </w:rPr>
        <w:t>-2</w:t>
      </w:r>
      <w:r>
        <w:rPr>
          <w:rFonts w:ascii="Times New Roman" w:hAnsi="Times New Roman" w:hint="eastAsia"/>
          <w:sz w:val="24"/>
        </w:rPr>
        <w:t>所示，山东省农产品出口额在2</w:t>
      </w:r>
      <w:r>
        <w:rPr>
          <w:rFonts w:ascii="Times New Roman" w:hAnsi="Times New Roman"/>
          <w:sz w:val="24"/>
        </w:rPr>
        <w:t>010</w:t>
      </w:r>
      <w:r>
        <w:rPr>
          <w:rFonts w:ascii="Times New Roman" w:hAnsi="Times New Roman" w:hint="eastAsia"/>
          <w:sz w:val="24"/>
        </w:rPr>
        <w:t>年出现了十二年间最大幅度的正增长，其次就是在2</w:t>
      </w:r>
      <w:r>
        <w:rPr>
          <w:rFonts w:ascii="Times New Roman" w:hAnsi="Times New Roman"/>
          <w:sz w:val="24"/>
        </w:rPr>
        <w:t>010</w:t>
      </w:r>
      <w:r>
        <w:rPr>
          <w:rFonts w:ascii="Times New Roman" w:hAnsi="Times New Roman" w:hint="eastAsia"/>
          <w:sz w:val="24"/>
        </w:rPr>
        <w:t>年和2</w:t>
      </w:r>
      <w:r>
        <w:rPr>
          <w:rFonts w:ascii="Times New Roman" w:hAnsi="Times New Roman"/>
          <w:sz w:val="24"/>
        </w:rPr>
        <w:t>011</w:t>
      </w:r>
      <w:r>
        <w:rPr>
          <w:rFonts w:ascii="Times New Roman" w:hAnsi="Times New Roman" w:hint="eastAsia"/>
          <w:sz w:val="24"/>
        </w:rPr>
        <w:t>年增长较多，其余在2</w:t>
      </w:r>
      <w:r>
        <w:rPr>
          <w:rFonts w:ascii="Times New Roman" w:hAnsi="Times New Roman"/>
          <w:sz w:val="24"/>
        </w:rPr>
        <w:t>016</w:t>
      </w:r>
      <w:r>
        <w:rPr>
          <w:rFonts w:ascii="Times New Roman" w:hAnsi="Times New Roman" w:hint="eastAsia"/>
          <w:sz w:val="24"/>
        </w:rPr>
        <w:t>、2</w:t>
      </w:r>
      <w:r>
        <w:rPr>
          <w:rFonts w:ascii="Times New Roman" w:hAnsi="Times New Roman"/>
          <w:sz w:val="24"/>
        </w:rPr>
        <w:t>017</w:t>
      </w:r>
      <w:r>
        <w:rPr>
          <w:rFonts w:ascii="Times New Roman" w:hAnsi="Times New Roman" w:hint="eastAsia"/>
          <w:sz w:val="24"/>
        </w:rPr>
        <w:t>、2</w:t>
      </w:r>
      <w:r>
        <w:rPr>
          <w:rFonts w:ascii="Times New Roman" w:hAnsi="Times New Roman"/>
          <w:sz w:val="24"/>
        </w:rPr>
        <w:t>019</w:t>
      </w:r>
      <w:r>
        <w:rPr>
          <w:rFonts w:ascii="Times New Roman" w:hAnsi="Times New Roman" w:hint="eastAsia"/>
          <w:sz w:val="24"/>
        </w:rPr>
        <w:t>年增长幅度相近；在2</w:t>
      </w:r>
      <w:r>
        <w:rPr>
          <w:rFonts w:ascii="Times New Roman" w:hAnsi="Times New Roman"/>
          <w:sz w:val="24"/>
        </w:rPr>
        <w:t>009</w:t>
      </w:r>
      <w:r>
        <w:rPr>
          <w:rFonts w:ascii="Times New Roman" w:hAnsi="Times New Roman" w:hint="eastAsia"/>
          <w:sz w:val="24"/>
        </w:rPr>
        <w:t>、2</w:t>
      </w:r>
      <w:r>
        <w:rPr>
          <w:rFonts w:ascii="Times New Roman" w:hAnsi="Times New Roman"/>
          <w:sz w:val="24"/>
        </w:rPr>
        <w:t>012</w:t>
      </w:r>
      <w:r>
        <w:rPr>
          <w:rFonts w:ascii="Times New Roman" w:hAnsi="Times New Roman" w:hint="eastAsia"/>
          <w:sz w:val="24"/>
        </w:rPr>
        <w:t>、2</w:t>
      </w:r>
      <w:r>
        <w:rPr>
          <w:rFonts w:ascii="Times New Roman" w:hAnsi="Times New Roman"/>
          <w:sz w:val="24"/>
        </w:rPr>
        <w:t>015</w:t>
      </w:r>
      <w:r>
        <w:rPr>
          <w:rFonts w:ascii="Times New Roman" w:hAnsi="Times New Roman" w:hint="eastAsia"/>
          <w:sz w:val="24"/>
        </w:rPr>
        <w:t>、2</w:t>
      </w:r>
      <w:r>
        <w:rPr>
          <w:rFonts w:ascii="Times New Roman" w:hAnsi="Times New Roman"/>
          <w:sz w:val="24"/>
        </w:rPr>
        <w:t>018</w:t>
      </w:r>
      <w:r>
        <w:rPr>
          <w:rFonts w:ascii="Times New Roman" w:hAnsi="Times New Roman" w:hint="eastAsia"/>
          <w:sz w:val="24"/>
        </w:rPr>
        <w:t>年出现了负增长，下降最多的一年是2</w:t>
      </w:r>
      <w:r>
        <w:rPr>
          <w:rFonts w:ascii="Times New Roman" w:hAnsi="Times New Roman"/>
          <w:sz w:val="24"/>
        </w:rPr>
        <w:t>015</w:t>
      </w:r>
      <w:r>
        <w:rPr>
          <w:rFonts w:ascii="Times New Roman" w:hAnsi="Times New Roman" w:hint="eastAsia"/>
          <w:sz w:val="24"/>
        </w:rPr>
        <w:t>年，其他年份的变动幅度不大。</w:t>
      </w:r>
    </w:p>
    <w:p>
      <w:pPr>
        <w:spacing w:line="360" w:lineRule="auto"/>
        <w:ind w:firstLine="480" w:firstLineChars="200"/>
        <w:rPr>
          <w:rFonts w:asciiTheme="minorEastAsia" w:hAnsiTheme="minorEastAsia" w:cs="宋体"/>
          <w:sz w:val="24"/>
        </w:rPr>
      </w:pPr>
    </w:p>
    <w:p>
      <w:pPr>
        <w:spacing w:line="360" w:lineRule="auto"/>
        <w:ind w:firstLine="480" w:firstLineChars="200"/>
        <w:rPr>
          <w:rFonts w:asciiTheme="minorEastAsia" w:hAnsiTheme="minorEastAsia" w:cs="宋体"/>
          <w:sz w:val="24"/>
        </w:rPr>
      </w:pPr>
      <w:r>
        <w:rPr>
          <w:rFonts w:ascii="Times New Roman" w:hAnsi="Times New Roman" w:cs="Times New Roman"/>
          <w:sz w:val="24"/>
        </w:rPr>
        <w:drawing>
          <wp:inline distT="0" distB="0" distL="0" distR="0">
            <wp:extent cx="5486400" cy="3200400"/>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360" w:lineRule="auto"/>
        <w:ind w:firstLine="420" w:firstLineChars="200"/>
        <w:jc w:val="center"/>
        <w:rPr>
          <w:rFonts w:asciiTheme="minorEastAsia" w:hAnsiTheme="minorEastAsia" w:cs="宋体"/>
          <w:szCs w:val="20"/>
        </w:rPr>
      </w:pPr>
      <w:r>
        <w:rPr>
          <w:rFonts w:asciiTheme="minorEastAsia" w:hAnsiTheme="minorEastAsia" w:cs="宋体" w:hint="eastAsia"/>
          <w:szCs w:val="20"/>
        </w:rPr>
        <w:t>图</w:t>
      </w:r>
      <w:r>
        <w:rPr>
          <w:rFonts w:ascii="Times New Roman" w:hAnsi="Times New Roman" w:cs="Times New Roman"/>
          <w:szCs w:val="20"/>
        </w:rPr>
        <w:t>2-1 2008-2020</w:t>
      </w:r>
      <w:r>
        <w:rPr>
          <w:rFonts w:asciiTheme="minorEastAsia" w:hAnsiTheme="minorEastAsia" w:cs="宋体" w:hint="eastAsia"/>
          <w:szCs w:val="20"/>
        </w:rPr>
        <w:t>年山东省农产品出口总额（单位：亿美元</w:t>
      </w:r>
      <w:r>
        <w:rPr>
          <w:rFonts w:asciiTheme="minorEastAsia" w:hAnsiTheme="minorEastAsia" w:cs="宋体"/>
          <w:szCs w:val="20"/>
        </w:rPr>
        <w:t>）</w:t>
      </w:r>
    </w:p>
    <w:p>
      <w:pPr>
        <w:spacing w:line="360" w:lineRule="auto"/>
        <w:ind w:firstLine="420" w:firstLineChars="200"/>
        <w:jc w:val="center"/>
        <w:rPr>
          <w:rFonts w:asciiTheme="minorEastAsia" w:hAnsiTheme="minorEastAsia" w:cs="宋体"/>
          <w:szCs w:val="20"/>
        </w:rPr>
        <w:sectPr>
          <w:footerReference w:type="default" r:id="rId11"/>
          <w:type w:val="nextPage"/>
          <w:pgSz w:w="11906" w:h="16838"/>
          <w:pgMar w:top="1134" w:right="1134" w:bottom="1134" w:left="1418" w:header="851" w:footer="851" w:gutter="0"/>
          <w:pgNumType w:start="6"/>
          <w:cols w:num="1" w:space="425"/>
          <w:titlePg w:val="0"/>
          <w:docGrid w:type="lines" w:linePitch="312" w:charSpace="0"/>
        </w:sectPr>
      </w:pPr>
      <w:r>
        <w:rPr>
          <w:rFonts w:asciiTheme="minorEastAsia" w:hAnsiTheme="minorEastAsia" w:cs="宋体" w:hint="eastAsia"/>
          <w:szCs w:val="20"/>
        </w:rPr>
        <w:t>数据来源：山东省统计局</w:t>
      </w:r>
    </w:p>
    <w:p>
      <w:pPr>
        <w:spacing w:line="360" w:lineRule="auto"/>
        <w:ind w:firstLine="480" w:firstLineChars="200"/>
        <w:jc w:val="center"/>
        <w:rPr>
          <w:rFonts w:asciiTheme="minorEastAsia" w:hAnsiTheme="minorEastAsia" w:cs="宋体"/>
          <w:sz w:val="24"/>
        </w:rPr>
      </w:pPr>
      <w:r>
        <w:rPr>
          <w:rFonts w:asciiTheme="minorEastAsia" w:hAnsiTheme="minorEastAsia" w:cs="宋体"/>
          <w:sz w:val="24"/>
        </w:rPr>
        <w:drawing>
          <wp:inline distT="0" distB="0" distL="0" distR="0">
            <wp:extent cx="5471160" cy="3017520"/>
            <wp:effectExtent l="0" t="0" r="15240" b="1143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360" w:lineRule="auto"/>
        <w:jc w:val="center"/>
        <w:rPr>
          <w:rFonts w:ascii="Times New Roman" w:hAnsi="Times New Roman" w:cs="Times New Roman" w:hint="eastAsia"/>
          <w:szCs w:val="21"/>
        </w:rPr>
      </w:pPr>
      <w:r>
        <w:rPr>
          <w:rFonts w:ascii="Times New Roman" w:hAnsi="Times New Roman" w:cs="Times New Roman"/>
          <w:szCs w:val="21"/>
        </w:rPr>
        <w:t>图2-2 2009-2020年山东省农产品出口额</w:t>
      </w:r>
      <w:r>
        <w:rPr>
          <w:rFonts w:ascii="Times New Roman" w:hAnsi="Times New Roman" w:cs="Times New Roman" w:hint="eastAsia"/>
          <w:szCs w:val="21"/>
        </w:rPr>
        <w:t>历年</w:t>
      </w:r>
      <w:r>
        <w:rPr>
          <w:rFonts w:ascii="Times New Roman" w:hAnsi="Times New Roman" w:cs="Times New Roman"/>
          <w:szCs w:val="21"/>
        </w:rPr>
        <w:t>增长</w:t>
      </w:r>
      <w:r>
        <w:rPr>
          <w:rFonts w:ascii="Times New Roman" w:hAnsi="Times New Roman" w:cs="Times New Roman" w:hint="eastAsia"/>
          <w:szCs w:val="21"/>
        </w:rPr>
        <w:t>率</w:t>
      </w:r>
    </w:p>
    <w:p>
      <w:pPr>
        <w:spacing w:line="360" w:lineRule="auto"/>
        <w:jc w:val="center"/>
        <w:rPr>
          <w:rFonts w:ascii="Times New Roman" w:hAnsi="Times New Roman" w:cs="Times New Roman"/>
          <w:szCs w:val="21"/>
        </w:rPr>
      </w:pPr>
      <w:r>
        <w:rPr>
          <w:rFonts w:ascii="Times New Roman" w:hAnsi="Times New Roman" w:cs="Times New Roman"/>
          <w:szCs w:val="21"/>
        </w:rPr>
        <w:t>数据来源：山东省统计局</w:t>
      </w:r>
    </w:p>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r>
        <w:rPr>
          <w:rFonts w:ascii="Times New Roman" w:hAnsi="Times New Roman" w:hint="eastAsia"/>
          <w:sz w:val="24"/>
        </w:rPr>
        <w:t>表2</w:t>
      </w:r>
      <w:r>
        <w:rPr>
          <w:rFonts w:ascii="Times New Roman" w:hAnsi="Times New Roman"/>
          <w:sz w:val="24"/>
        </w:rPr>
        <w:t>-2</w:t>
      </w:r>
      <w:r>
        <w:rPr>
          <w:rFonts w:ascii="Times New Roman" w:hAnsi="Times New Roman" w:hint="eastAsia"/>
          <w:sz w:val="24"/>
        </w:rPr>
        <w:t>是2</w:t>
      </w:r>
      <w:r>
        <w:rPr>
          <w:rFonts w:ascii="Times New Roman" w:hAnsi="Times New Roman"/>
          <w:sz w:val="24"/>
        </w:rPr>
        <w:t>008</w:t>
      </w:r>
      <w:r>
        <w:rPr>
          <w:rFonts w:ascii="Times New Roman" w:hAnsi="Times New Roman" w:hint="eastAsia"/>
          <w:sz w:val="24"/>
        </w:rPr>
        <w:t>年到2</w:t>
      </w:r>
      <w:r>
        <w:rPr>
          <w:rFonts w:ascii="Times New Roman" w:hAnsi="Times New Roman"/>
          <w:sz w:val="24"/>
        </w:rPr>
        <w:t>020</w:t>
      </w:r>
      <w:r>
        <w:rPr>
          <w:rFonts w:ascii="Times New Roman" w:hAnsi="Times New Roman" w:hint="eastAsia"/>
          <w:sz w:val="24"/>
        </w:rPr>
        <w:t>年山东省的农产品出口额在当年全省出口贸易额中的比重，从表中可以得出，这十三年间山东农产品的出口额占全省出口贸易总额的比重一直在1</w:t>
      </w:r>
      <w:r>
        <w:rPr>
          <w:rFonts w:ascii="Times New Roman" w:hAnsi="Times New Roman"/>
          <w:sz w:val="24"/>
        </w:rPr>
        <w:t>0</w:t>
      </w:r>
      <w:r>
        <w:rPr>
          <w:rFonts w:ascii="Times New Roman" w:hAnsi="Times New Roman" w:hint="eastAsia"/>
          <w:sz w:val="24"/>
        </w:rPr>
        <w:t>%左右，未出现大幅涨跌，其中2</w:t>
      </w:r>
      <w:r>
        <w:rPr>
          <w:rFonts w:ascii="Times New Roman" w:hAnsi="Times New Roman"/>
          <w:sz w:val="24"/>
        </w:rPr>
        <w:t>009</w:t>
      </w:r>
      <w:r>
        <w:rPr>
          <w:rFonts w:ascii="Times New Roman" w:hAnsi="Times New Roman" w:hint="eastAsia"/>
          <w:sz w:val="24"/>
        </w:rPr>
        <w:t>年、2</w:t>
      </w:r>
      <w:r>
        <w:rPr>
          <w:rFonts w:ascii="Times New Roman" w:hAnsi="Times New Roman"/>
          <w:sz w:val="24"/>
        </w:rPr>
        <w:t>010</w:t>
      </w:r>
      <w:r>
        <w:rPr>
          <w:rFonts w:ascii="Times New Roman" w:hAnsi="Times New Roman" w:hint="eastAsia"/>
          <w:sz w:val="24"/>
        </w:rPr>
        <w:t>年、2</w:t>
      </w:r>
      <w:r>
        <w:rPr>
          <w:rFonts w:ascii="Times New Roman" w:hAnsi="Times New Roman"/>
          <w:sz w:val="24"/>
        </w:rPr>
        <w:t>011</w:t>
      </w:r>
      <w:r>
        <w:rPr>
          <w:rFonts w:ascii="Times New Roman" w:hAnsi="Times New Roman" w:hint="eastAsia"/>
          <w:sz w:val="24"/>
        </w:rPr>
        <w:t>年、2</w:t>
      </w:r>
      <w:r>
        <w:rPr>
          <w:rFonts w:ascii="Times New Roman" w:hAnsi="Times New Roman"/>
          <w:sz w:val="24"/>
        </w:rPr>
        <w:t>015</w:t>
      </w:r>
      <w:r>
        <w:rPr>
          <w:rFonts w:ascii="Times New Roman" w:hAnsi="Times New Roman" w:hint="eastAsia"/>
          <w:sz w:val="24"/>
        </w:rPr>
        <w:t>年所占的比重都达到了1</w:t>
      </w:r>
      <w:r>
        <w:rPr>
          <w:rFonts w:ascii="Times New Roman" w:hAnsi="Times New Roman"/>
          <w:sz w:val="24"/>
        </w:rPr>
        <w:t>2</w:t>
      </w:r>
      <w:r>
        <w:rPr>
          <w:rFonts w:ascii="Times New Roman" w:hAnsi="Times New Roman" w:hint="eastAsia"/>
          <w:sz w:val="24"/>
        </w:rPr>
        <w:t>%以上，所占比重最大的一年是2</w:t>
      </w:r>
      <w:r>
        <w:rPr>
          <w:rFonts w:ascii="Times New Roman" w:hAnsi="Times New Roman"/>
          <w:sz w:val="24"/>
        </w:rPr>
        <w:t>015</w:t>
      </w:r>
      <w:r>
        <w:rPr>
          <w:rFonts w:ascii="Times New Roman" w:hAnsi="Times New Roman" w:hint="eastAsia"/>
          <w:sz w:val="24"/>
        </w:rPr>
        <w:t>年为1</w:t>
      </w:r>
      <w:r>
        <w:rPr>
          <w:rFonts w:ascii="Times New Roman" w:hAnsi="Times New Roman"/>
          <w:sz w:val="24"/>
        </w:rPr>
        <w:t>2.4</w:t>
      </w:r>
      <w:r>
        <w:rPr>
          <w:rFonts w:ascii="Times New Roman" w:hAnsi="Times New Roman" w:hint="eastAsia"/>
          <w:sz w:val="24"/>
        </w:rPr>
        <w:t>%，最少的一年是2</w:t>
      </w:r>
      <w:r>
        <w:rPr>
          <w:rFonts w:ascii="Times New Roman" w:hAnsi="Times New Roman"/>
          <w:sz w:val="24"/>
        </w:rPr>
        <w:t>020</w:t>
      </w:r>
      <w:r>
        <w:rPr>
          <w:rFonts w:ascii="Times New Roman" w:hAnsi="Times New Roman" w:hint="eastAsia"/>
          <w:sz w:val="24"/>
        </w:rPr>
        <w:t>年为9</w:t>
      </w:r>
      <w:r>
        <w:rPr>
          <w:rFonts w:ascii="Times New Roman" w:hAnsi="Times New Roman"/>
          <w:sz w:val="24"/>
        </w:rPr>
        <w:t>.48</w:t>
      </w:r>
      <w:r>
        <w:rPr>
          <w:rFonts w:ascii="Times New Roman" w:hAnsi="Times New Roman" w:hint="eastAsia"/>
          <w:sz w:val="24"/>
        </w:rPr>
        <w:t>%。</w:t>
      </w:r>
    </w:p>
    <w:p>
      <w:pPr>
        <w:spacing w:line="360" w:lineRule="auto"/>
        <w:jc w:val="left"/>
        <w:rPr>
          <w:rFonts w:ascii="Times New Roman" w:hAnsi="Times New Roman" w:cs="Times New Roman"/>
          <w:szCs w:val="21"/>
        </w:rPr>
      </w:pPr>
    </w:p>
    <w:p>
      <w:pPr>
        <w:jc w:val="center"/>
        <w:rPr>
          <w:rFonts w:ascii="Times New Roman" w:hAnsi="Times New Roman" w:cs="Times New Roman"/>
          <w:szCs w:val="21"/>
        </w:rPr>
      </w:pPr>
      <w:r>
        <w:rPr>
          <w:rFonts w:ascii="Times New Roman" w:hAnsi="Times New Roman" w:cs="Times New Roman"/>
          <w:szCs w:val="21"/>
        </w:rPr>
        <w:t>表2-2 2008-2020年山东省农产品出口额占全省出口贸易额比重</w:t>
      </w:r>
      <w:r>
        <w:rPr>
          <w:rFonts w:ascii="Times New Roman" w:hAnsi="Times New Roman" w:cs="Times New Roman" w:hint="eastAsia"/>
          <w:szCs w:val="21"/>
        </w:rPr>
        <w:t xml:space="preserve"> </w:t>
      </w:r>
      <w:r>
        <w:rPr>
          <w:rFonts w:ascii="Times New Roman" w:hAnsi="Times New Roman" w:cs="Times New Roman"/>
          <w:szCs w:val="21"/>
        </w:rPr>
        <w:t xml:space="preserve">  出口额单位：亿美元</w:t>
      </w:r>
    </w:p>
    <w:tbl>
      <w:tblPr>
        <w:tblStyle w:val="110"/>
        <w:tblW w:w="8896"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224"/>
        <w:gridCol w:w="2224"/>
        <w:gridCol w:w="2224"/>
        <w:gridCol w:w="2224"/>
      </w:tblGrid>
      <w:tr>
        <w:tblPrEx>
          <w:tblW w:w="8896"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520"/>
        </w:trPr>
        <w:tc>
          <w:tcPr>
            <w:tcW w:w="2224" w:type="dxa"/>
            <w:vAlign w:val="center"/>
          </w:tcPr>
          <w:p>
            <w:pPr>
              <w:jc w:val="center"/>
              <w:rPr>
                <w:rFonts w:ascii="Times New Roman" w:hAnsi="Times New Roman" w:cs="Times New Roman"/>
                <w:szCs w:val="21"/>
              </w:rPr>
            </w:pPr>
            <w:r>
              <w:rPr>
                <w:rFonts w:ascii="Times New Roman" w:hAnsi="Times New Roman" w:cs="Times New Roman"/>
                <w:szCs w:val="21"/>
              </w:rPr>
              <w:t>年份</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农产品出口额</w:t>
            </w:r>
          </w:p>
        </w:tc>
        <w:tc>
          <w:tcPr>
            <w:tcW w:w="2224" w:type="dxa"/>
            <w:vAlign w:val="center"/>
          </w:tcPr>
          <w:p>
            <w:pPr>
              <w:jc w:val="center"/>
              <w:rPr>
                <w:rFonts w:ascii="Times New Roman" w:hAnsi="Times New Roman" w:cs="Times New Roman"/>
                <w:szCs w:val="21"/>
              </w:rPr>
            </w:pPr>
            <w:r>
              <w:rPr>
                <w:rFonts w:ascii="Times New Roman" w:hAnsi="Times New Roman" w:cs="Times New Roman" w:hint="eastAsia"/>
                <w:szCs w:val="21"/>
              </w:rPr>
              <w:t>全省对外贸易</w:t>
            </w:r>
            <w:r>
              <w:rPr>
                <w:rFonts w:ascii="Times New Roman" w:hAnsi="Times New Roman" w:cs="Times New Roman"/>
                <w:szCs w:val="21"/>
              </w:rPr>
              <w:t>出口总额</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所占比重%</w:t>
            </w:r>
          </w:p>
        </w:tc>
      </w:tr>
      <w:tr>
        <w:tblPrEx>
          <w:tblW w:w="8896" w:type="dxa"/>
          <w:tblInd w:w="0" w:type="dxa"/>
          <w:tblCellMar>
            <w:top w:w="0" w:type="dxa"/>
            <w:left w:w="108" w:type="dxa"/>
            <w:bottom w:w="0" w:type="dxa"/>
            <w:right w:w="108" w:type="dxa"/>
          </w:tblCellMar>
        </w:tblPrEx>
        <w:trPr>
          <w:trHeight w:val="499"/>
        </w:trPr>
        <w:tc>
          <w:tcPr>
            <w:tcW w:w="2224" w:type="dxa"/>
            <w:vAlign w:val="center"/>
          </w:tcPr>
          <w:p>
            <w:pPr>
              <w:jc w:val="center"/>
              <w:rPr>
                <w:rFonts w:ascii="Times New Roman" w:hAnsi="Times New Roman" w:cs="Times New Roman"/>
                <w:szCs w:val="21"/>
              </w:rPr>
            </w:pPr>
            <w:r>
              <w:rPr>
                <w:rFonts w:ascii="Times New Roman" w:hAnsi="Times New Roman" w:cs="Times New Roman"/>
                <w:szCs w:val="21"/>
              </w:rPr>
              <w:t>2008</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99.8</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931.7</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10.71</w:t>
            </w:r>
          </w:p>
        </w:tc>
      </w:tr>
      <w:tr>
        <w:tblPrEx>
          <w:tblW w:w="8896" w:type="dxa"/>
          <w:tblInd w:w="0" w:type="dxa"/>
          <w:tblCellMar>
            <w:top w:w="0" w:type="dxa"/>
            <w:left w:w="108" w:type="dxa"/>
            <w:bottom w:w="0" w:type="dxa"/>
            <w:right w:w="108" w:type="dxa"/>
          </w:tblCellMar>
        </w:tblPrEx>
        <w:trPr>
          <w:trHeight w:val="520"/>
        </w:trPr>
        <w:tc>
          <w:tcPr>
            <w:tcW w:w="2224" w:type="dxa"/>
            <w:vAlign w:val="center"/>
          </w:tcPr>
          <w:p>
            <w:pPr>
              <w:jc w:val="center"/>
              <w:rPr>
                <w:rFonts w:ascii="Times New Roman" w:hAnsi="Times New Roman" w:cs="Times New Roman"/>
                <w:szCs w:val="21"/>
              </w:rPr>
            </w:pPr>
            <w:r>
              <w:rPr>
                <w:rFonts w:ascii="Times New Roman" w:hAnsi="Times New Roman" w:cs="Times New Roman"/>
                <w:szCs w:val="21"/>
              </w:rPr>
              <w:t>2009</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97.7</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795.7</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12.28</w:t>
            </w:r>
          </w:p>
        </w:tc>
      </w:tr>
      <w:tr>
        <w:tblPrEx>
          <w:tblW w:w="8896" w:type="dxa"/>
          <w:tblInd w:w="0" w:type="dxa"/>
          <w:tblCellMar>
            <w:top w:w="0" w:type="dxa"/>
            <w:left w:w="108" w:type="dxa"/>
            <w:bottom w:w="0" w:type="dxa"/>
            <w:right w:w="108" w:type="dxa"/>
          </w:tblCellMar>
        </w:tblPrEx>
        <w:trPr>
          <w:trHeight w:val="520"/>
        </w:trPr>
        <w:tc>
          <w:tcPr>
            <w:tcW w:w="2224" w:type="dxa"/>
            <w:vAlign w:val="center"/>
          </w:tcPr>
          <w:p>
            <w:pPr>
              <w:jc w:val="center"/>
              <w:rPr>
                <w:rFonts w:ascii="Times New Roman" w:hAnsi="Times New Roman" w:cs="Times New Roman"/>
                <w:szCs w:val="21"/>
              </w:rPr>
            </w:pPr>
            <w:r>
              <w:rPr>
                <w:rFonts w:ascii="Times New Roman" w:hAnsi="Times New Roman" w:cs="Times New Roman"/>
                <w:szCs w:val="21"/>
              </w:rPr>
              <w:t>2010</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127.1</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1041.4</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12.2</w:t>
            </w:r>
          </w:p>
        </w:tc>
      </w:tr>
      <w:tr>
        <w:tblPrEx>
          <w:tblW w:w="8896" w:type="dxa"/>
          <w:tblInd w:w="0" w:type="dxa"/>
          <w:tblCellMar>
            <w:top w:w="0" w:type="dxa"/>
            <w:left w:w="108" w:type="dxa"/>
            <w:bottom w:w="0" w:type="dxa"/>
            <w:right w:w="108" w:type="dxa"/>
          </w:tblCellMar>
        </w:tblPrEx>
        <w:trPr>
          <w:trHeight w:val="520"/>
        </w:trPr>
        <w:tc>
          <w:tcPr>
            <w:tcW w:w="2224" w:type="dxa"/>
            <w:vAlign w:val="center"/>
          </w:tcPr>
          <w:p>
            <w:pPr>
              <w:jc w:val="center"/>
              <w:rPr>
                <w:rFonts w:ascii="Times New Roman" w:hAnsi="Times New Roman" w:cs="Times New Roman"/>
                <w:szCs w:val="21"/>
              </w:rPr>
            </w:pPr>
            <w:r>
              <w:rPr>
                <w:rFonts w:ascii="Times New Roman" w:hAnsi="Times New Roman" w:cs="Times New Roman"/>
                <w:szCs w:val="21"/>
              </w:rPr>
              <w:t>2011</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153.8</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1257.9</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12.23</w:t>
            </w:r>
          </w:p>
        </w:tc>
      </w:tr>
      <w:tr>
        <w:tblPrEx>
          <w:tblW w:w="8896" w:type="dxa"/>
          <w:tblInd w:w="0" w:type="dxa"/>
          <w:tblCellMar>
            <w:top w:w="0" w:type="dxa"/>
            <w:left w:w="108" w:type="dxa"/>
            <w:bottom w:w="0" w:type="dxa"/>
            <w:right w:w="108" w:type="dxa"/>
          </w:tblCellMar>
        </w:tblPrEx>
        <w:trPr>
          <w:trHeight w:val="520"/>
        </w:trPr>
        <w:tc>
          <w:tcPr>
            <w:tcW w:w="2224" w:type="dxa"/>
            <w:vAlign w:val="center"/>
          </w:tcPr>
          <w:p>
            <w:pPr>
              <w:jc w:val="center"/>
              <w:rPr>
                <w:rFonts w:ascii="Times New Roman" w:hAnsi="Times New Roman" w:cs="Times New Roman"/>
                <w:szCs w:val="21"/>
              </w:rPr>
            </w:pPr>
            <w:r>
              <w:rPr>
                <w:rFonts w:ascii="Times New Roman" w:hAnsi="Times New Roman" w:cs="Times New Roman"/>
                <w:szCs w:val="21"/>
              </w:rPr>
              <w:t>2012</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150.3</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1287.3</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11.67</w:t>
            </w:r>
          </w:p>
        </w:tc>
      </w:tr>
      <w:tr>
        <w:tblPrEx>
          <w:tblW w:w="8896" w:type="dxa"/>
          <w:tblInd w:w="0" w:type="dxa"/>
          <w:tblCellMar>
            <w:top w:w="0" w:type="dxa"/>
            <w:left w:w="108" w:type="dxa"/>
            <w:bottom w:w="0" w:type="dxa"/>
            <w:right w:w="108" w:type="dxa"/>
          </w:tblCellMar>
        </w:tblPrEx>
        <w:trPr>
          <w:trHeight w:val="520"/>
        </w:trPr>
        <w:tc>
          <w:tcPr>
            <w:tcW w:w="2224" w:type="dxa"/>
            <w:vAlign w:val="center"/>
          </w:tcPr>
          <w:p>
            <w:pPr>
              <w:jc w:val="center"/>
              <w:rPr>
                <w:rFonts w:ascii="Times New Roman" w:hAnsi="Times New Roman" w:cs="Times New Roman"/>
                <w:szCs w:val="21"/>
              </w:rPr>
            </w:pPr>
            <w:r>
              <w:rPr>
                <w:rFonts w:ascii="Times New Roman" w:hAnsi="Times New Roman" w:cs="Times New Roman"/>
                <w:szCs w:val="21"/>
              </w:rPr>
              <w:t>2013</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152.1</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1345.1</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11.3</w:t>
            </w:r>
          </w:p>
        </w:tc>
      </w:tr>
      <w:tr>
        <w:tblPrEx>
          <w:tblW w:w="8896" w:type="dxa"/>
          <w:tblInd w:w="0" w:type="dxa"/>
          <w:tblCellMar>
            <w:top w:w="0" w:type="dxa"/>
            <w:left w:w="108" w:type="dxa"/>
            <w:bottom w:w="0" w:type="dxa"/>
            <w:right w:w="108" w:type="dxa"/>
          </w:tblCellMar>
        </w:tblPrEx>
        <w:trPr>
          <w:trHeight w:val="499"/>
        </w:trPr>
        <w:tc>
          <w:tcPr>
            <w:tcW w:w="2224" w:type="dxa"/>
            <w:vAlign w:val="center"/>
          </w:tcPr>
          <w:p>
            <w:pPr>
              <w:jc w:val="center"/>
              <w:rPr>
                <w:rFonts w:ascii="Times New Roman" w:hAnsi="Times New Roman" w:cs="Times New Roman"/>
                <w:szCs w:val="21"/>
              </w:rPr>
            </w:pPr>
            <w:r>
              <w:rPr>
                <w:rFonts w:ascii="Times New Roman" w:hAnsi="Times New Roman" w:cs="Times New Roman"/>
                <w:szCs w:val="21"/>
              </w:rPr>
              <w:t>2014</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157.4</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1435.7</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11.75</w:t>
            </w:r>
          </w:p>
        </w:tc>
      </w:tr>
      <w:tr>
        <w:tblPrEx>
          <w:tblW w:w="8896" w:type="dxa"/>
          <w:tblInd w:w="0" w:type="dxa"/>
          <w:tblCellMar>
            <w:top w:w="0" w:type="dxa"/>
            <w:left w:w="108" w:type="dxa"/>
            <w:bottom w:w="0" w:type="dxa"/>
            <w:right w:w="108" w:type="dxa"/>
          </w:tblCellMar>
        </w:tblPrEx>
        <w:trPr>
          <w:trHeight w:val="520"/>
        </w:trPr>
        <w:tc>
          <w:tcPr>
            <w:tcW w:w="2224" w:type="dxa"/>
            <w:vAlign w:val="center"/>
          </w:tcPr>
          <w:p>
            <w:pPr>
              <w:jc w:val="center"/>
              <w:rPr>
                <w:rFonts w:ascii="Times New Roman" w:hAnsi="Times New Roman" w:cs="Times New Roman"/>
                <w:szCs w:val="21"/>
              </w:rPr>
            </w:pPr>
            <w:r>
              <w:rPr>
                <w:rFonts w:ascii="Times New Roman" w:hAnsi="Times New Roman" w:cs="Times New Roman"/>
                <w:szCs w:val="21"/>
              </w:rPr>
              <w:t>2015</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153.1</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1498.8</w:t>
            </w:r>
          </w:p>
        </w:tc>
        <w:tc>
          <w:tcPr>
            <w:tcW w:w="2224" w:type="dxa"/>
            <w:vAlign w:val="center"/>
          </w:tcPr>
          <w:p>
            <w:pPr>
              <w:jc w:val="center"/>
              <w:rPr>
                <w:rFonts w:ascii="Times New Roman" w:hAnsi="Times New Roman" w:cs="Times New Roman"/>
                <w:szCs w:val="21"/>
              </w:rPr>
            </w:pPr>
            <w:r>
              <w:rPr>
                <w:rFonts w:ascii="Times New Roman" w:hAnsi="Times New Roman" w:cs="Times New Roman"/>
                <w:szCs w:val="21"/>
              </w:rPr>
              <w:t>12.4</w:t>
            </w:r>
          </w:p>
        </w:tc>
      </w:tr>
    </w:tbl>
    <w:p>
      <w:pPr>
        <w:rPr>
          <w:rFonts w:ascii="Times New Roman" w:hAnsi="Times New Roman" w:cs="Times New Roman"/>
          <w:szCs w:val="21"/>
        </w:rPr>
      </w:pPr>
      <w:r>
        <w:rPr>
          <w:rFonts w:ascii="Times New Roman" w:hAnsi="Times New Roman" w:cs="Times New Roman"/>
          <w:szCs w:val="21"/>
        </w:rPr>
        <w:br/>
      </w:r>
      <w:r>
        <w:rPr>
          <w:rFonts w:ascii="Times New Roman" w:hAnsi="Times New Roman" w:cs="Times New Roman"/>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https://d.book118.com/977110200023006033</w:t>
        </w:r>
      </w:hyperlink>
    </w:p>
    <w:p>
      <w:pPr>
        <w:rPr>
          <w:rFonts w:ascii="Times New Roman" w:hAnsi="Times New Roman" w:cs="Times New Roman"/>
          <w:szCs w:val="21"/>
        </w:rPr>
      </w:pPr>
    </w:p>
    <w:sectPr>
      <w:footerReference w:type="default" r:id="rId14"/>
      <w:type w:val="nextPage"/>
      <w:pgSz w:w="11906" w:h="16838"/>
      <w:pgMar w:top="1134" w:right="1134" w:bottom="1134" w:left="1418" w:header="851" w:footer="851"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MS Mincho">
    <w:altName w:val="Segoe Print"/>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9510620"/>
      <w:richText/>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79531878"/>
      <w:richText/>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3</w:t>
        </w:r>
        <w:r>
          <w:rPr>
            <w:rFonts w:ascii="Times New Roman" w:hAnsi="Times New Roman" w:cs="Times New Roman"/>
          </w:rPr>
          <w:fldChar w:fldCharType="end"/>
        </w:r>
      </w:p>
    </w:sdtContent>
  </w:sdt>
  <w:p>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29518871"/>
      <w:richText/>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4</w:t>
        </w:r>
        <w:r>
          <w:rPr>
            <w:rFonts w:ascii="Times New Roman" w:hAnsi="Times New Roman" w:cs="Times New Roman"/>
          </w:rPr>
          <w:fldChar w:fldCharType="end"/>
        </w:r>
      </w:p>
    </w:sdtContent>
  </w:sdt>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49659232"/>
      <w:richText/>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4</w:t>
        </w:r>
        <w:r>
          <w:rPr>
            <w:rFonts w:ascii="Times New Roman" w:hAnsi="Times New Roman" w:cs="Times New Roman"/>
          </w:rPr>
          <w:fldChar w:fldCharType="end"/>
        </w:r>
      </w:p>
    </w:sdtContent>
  </w:sdt>
  <w:p>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97475982"/>
      <w:richText/>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5</w:t>
        </w:r>
        <w:r>
          <w:rPr>
            <w:rFonts w:ascii="Times New Roman" w:hAnsi="Times New Roman" w:cs="Times New Roman"/>
          </w:rPr>
          <w:fldChar w:fldCharType="end"/>
        </w:r>
      </w:p>
    </w:sdtContent>
  </w:sdt>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19695648"/>
      <w:richText/>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6</w:t>
        </w:r>
        <w:r>
          <w:rPr>
            <w:rFonts w:ascii="Times New Roman" w:hAnsi="Times New Roman" w:cs="Times New Roman"/>
          </w:rPr>
          <w:fldChar w:fldCharType="end"/>
        </w:r>
      </w:p>
    </w:sdtContent>
  </w:sdt>
  <w:p>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71808009"/>
      <w:richText/>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7</w:t>
        </w:r>
        <w:r>
          <w:rPr>
            <w:rFonts w:ascii="Times New Roman" w:hAnsi="Times New Roman" w:cs="Times New Roman"/>
          </w:rPr>
          <w:fldChar w:fldCharType="end"/>
        </w:r>
      </w:p>
    </w:sdtContent>
  </w:sdt>
  <w:p>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EFD"/>
    <w:rsid w:val="00000CF3"/>
    <w:rsid w:val="00001CCD"/>
    <w:rsid w:val="00003D7D"/>
    <w:rsid w:val="000053E3"/>
    <w:rsid w:val="00006662"/>
    <w:rsid w:val="00006EAF"/>
    <w:rsid w:val="0000762E"/>
    <w:rsid w:val="000104FF"/>
    <w:rsid w:val="0001173F"/>
    <w:rsid w:val="00011A7D"/>
    <w:rsid w:val="000220D2"/>
    <w:rsid w:val="00023A95"/>
    <w:rsid w:val="00024A52"/>
    <w:rsid w:val="00033F87"/>
    <w:rsid w:val="0003693A"/>
    <w:rsid w:val="00044953"/>
    <w:rsid w:val="00051CF2"/>
    <w:rsid w:val="00053E79"/>
    <w:rsid w:val="00054453"/>
    <w:rsid w:val="00063F93"/>
    <w:rsid w:val="00064EFA"/>
    <w:rsid w:val="00065AB7"/>
    <w:rsid w:val="000719D1"/>
    <w:rsid w:val="00073DA6"/>
    <w:rsid w:val="00081C76"/>
    <w:rsid w:val="00082F03"/>
    <w:rsid w:val="00083249"/>
    <w:rsid w:val="00085C26"/>
    <w:rsid w:val="000877EA"/>
    <w:rsid w:val="00087820"/>
    <w:rsid w:val="00090E16"/>
    <w:rsid w:val="000965D4"/>
    <w:rsid w:val="000A0E43"/>
    <w:rsid w:val="000A1A5A"/>
    <w:rsid w:val="000A1A60"/>
    <w:rsid w:val="000A231D"/>
    <w:rsid w:val="000A24A2"/>
    <w:rsid w:val="000A6EDD"/>
    <w:rsid w:val="000B0083"/>
    <w:rsid w:val="000B105F"/>
    <w:rsid w:val="000C6B7E"/>
    <w:rsid w:val="000D264A"/>
    <w:rsid w:val="000E79E9"/>
    <w:rsid w:val="000F2B0E"/>
    <w:rsid w:val="000F5138"/>
    <w:rsid w:val="001078D5"/>
    <w:rsid w:val="00111EAD"/>
    <w:rsid w:val="00116454"/>
    <w:rsid w:val="00121381"/>
    <w:rsid w:val="00124624"/>
    <w:rsid w:val="00124D01"/>
    <w:rsid w:val="001302BC"/>
    <w:rsid w:val="001316D0"/>
    <w:rsid w:val="001348D9"/>
    <w:rsid w:val="00135BB6"/>
    <w:rsid w:val="00135E17"/>
    <w:rsid w:val="0013682D"/>
    <w:rsid w:val="0014599B"/>
    <w:rsid w:val="001553F6"/>
    <w:rsid w:val="0016077A"/>
    <w:rsid w:val="001642C1"/>
    <w:rsid w:val="0016576F"/>
    <w:rsid w:val="001668B7"/>
    <w:rsid w:val="0016782D"/>
    <w:rsid w:val="00167F5F"/>
    <w:rsid w:val="001709F1"/>
    <w:rsid w:val="00174E49"/>
    <w:rsid w:val="001847D5"/>
    <w:rsid w:val="00184FB6"/>
    <w:rsid w:val="00186A86"/>
    <w:rsid w:val="00190B3F"/>
    <w:rsid w:val="00192422"/>
    <w:rsid w:val="00194A5A"/>
    <w:rsid w:val="001A1509"/>
    <w:rsid w:val="001A357D"/>
    <w:rsid w:val="001A3D6B"/>
    <w:rsid w:val="001A5BE8"/>
    <w:rsid w:val="001C6C2A"/>
    <w:rsid w:val="001C7992"/>
    <w:rsid w:val="001D24E0"/>
    <w:rsid w:val="001D2C6C"/>
    <w:rsid w:val="001D4D3C"/>
    <w:rsid w:val="001D50C4"/>
    <w:rsid w:val="001D636A"/>
    <w:rsid w:val="001E389D"/>
    <w:rsid w:val="001E4328"/>
    <w:rsid w:val="001E4699"/>
    <w:rsid w:val="001E530C"/>
    <w:rsid w:val="001E5602"/>
    <w:rsid w:val="001F311E"/>
    <w:rsid w:val="001F3AC8"/>
    <w:rsid w:val="002016CD"/>
    <w:rsid w:val="0020726D"/>
    <w:rsid w:val="00207EFC"/>
    <w:rsid w:val="00210EC8"/>
    <w:rsid w:val="00211ADC"/>
    <w:rsid w:val="00214690"/>
    <w:rsid w:val="0021480A"/>
    <w:rsid w:val="00216A29"/>
    <w:rsid w:val="00222BED"/>
    <w:rsid w:val="00222F62"/>
    <w:rsid w:val="00230FF0"/>
    <w:rsid w:val="002316D7"/>
    <w:rsid w:val="00236799"/>
    <w:rsid w:val="00236CDC"/>
    <w:rsid w:val="0023756B"/>
    <w:rsid w:val="00237CF2"/>
    <w:rsid w:val="00244327"/>
    <w:rsid w:val="002449D5"/>
    <w:rsid w:val="002470A1"/>
    <w:rsid w:val="00247750"/>
    <w:rsid w:val="0025089F"/>
    <w:rsid w:val="0025201E"/>
    <w:rsid w:val="0025765C"/>
    <w:rsid w:val="00257ACC"/>
    <w:rsid w:val="0026302F"/>
    <w:rsid w:val="00270F80"/>
    <w:rsid w:val="00272621"/>
    <w:rsid w:val="0028351E"/>
    <w:rsid w:val="0028714E"/>
    <w:rsid w:val="00290F31"/>
    <w:rsid w:val="00292950"/>
    <w:rsid w:val="00294ACB"/>
    <w:rsid w:val="0029517C"/>
    <w:rsid w:val="002962A0"/>
    <w:rsid w:val="00296562"/>
    <w:rsid w:val="002A008B"/>
    <w:rsid w:val="002B1734"/>
    <w:rsid w:val="002C0450"/>
    <w:rsid w:val="002C0D43"/>
    <w:rsid w:val="002C2AF8"/>
    <w:rsid w:val="002C3E02"/>
    <w:rsid w:val="002C526D"/>
    <w:rsid w:val="002C6D5A"/>
    <w:rsid w:val="002E09A8"/>
    <w:rsid w:val="002E7062"/>
    <w:rsid w:val="002F2B42"/>
    <w:rsid w:val="00303F95"/>
    <w:rsid w:val="00305D5F"/>
    <w:rsid w:val="0030699A"/>
    <w:rsid w:val="00307589"/>
    <w:rsid w:val="003150FB"/>
    <w:rsid w:val="00322AD5"/>
    <w:rsid w:val="00323B75"/>
    <w:rsid w:val="003248C6"/>
    <w:rsid w:val="00331E12"/>
    <w:rsid w:val="00334664"/>
    <w:rsid w:val="00335F8E"/>
    <w:rsid w:val="00345201"/>
    <w:rsid w:val="003513F4"/>
    <w:rsid w:val="0036009C"/>
    <w:rsid w:val="003660AF"/>
    <w:rsid w:val="00366CA5"/>
    <w:rsid w:val="00373890"/>
    <w:rsid w:val="00381715"/>
    <w:rsid w:val="00384777"/>
    <w:rsid w:val="00390DC1"/>
    <w:rsid w:val="003974AB"/>
    <w:rsid w:val="00397870"/>
    <w:rsid w:val="003A1948"/>
    <w:rsid w:val="003A2291"/>
    <w:rsid w:val="003A4CA8"/>
    <w:rsid w:val="003B3903"/>
    <w:rsid w:val="003B4F2A"/>
    <w:rsid w:val="003C0A10"/>
    <w:rsid w:val="003C39D8"/>
    <w:rsid w:val="003C3E04"/>
    <w:rsid w:val="003C5021"/>
    <w:rsid w:val="003C60B0"/>
    <w:rsid w:val="003D0C9D"/>
    <w:rsid w:val="003D1405"/>
    <w:rsid w:val="003D1EB3"/>
    <w:rsid w:val="003D24C4"/>
    <w:rsid w:val="003D2BAE"/>
    <w:rsid w:val="003E06B7"/>
    <w:rsid w:val="003E0B68"/>
    <w:rsid w:val="003E565B"/>
    <w:rsid w:val="003F2661"/>
    <w:rsid w:val="003F3EE2"/>
    <w:rsid w:val="00416385"/>
    <w:rsid w:val="00416DEB"/>
    <w:rsid w:val="00422CAB"/>
    <w:rsid w:val="004232F3"/>
    <w:rsid w:val="00423A01"/>
    <w:rsid w:val="00425693"/>
    <w:rsid w:val="00427BE5"/>
    <w:rsid w:val="00430388"/>
    <w:rsid w:val="00430977"/>
    <w:rsid w:val="00441210"/>
    <w:rsid w:val="00442095"/>
    <w:rsid w:val="00442F70"/>
    <w:rsid w:val="004535AD"/>
    <w:rsid w:val="00456098"/>
    <w:rsid w:val="004628EB"/>
    <w:rsid w:val="00462BFA"/>
    <w:rsid w:val="00463204"/>
    <w:rsid w:val="00464BA2"/>
    <w:rsid w:val="004714E9"/>
    <w:rsid w:val="00471676"/>
    <w:rsid w:val="0047228A"/>
    <w:rsid w:val="00472AFB"/>
    <w:rsid w:val="004825B6"/>
    <w:rsid w:val="00485E3D"/>
    <w:rsid w:val="00487C08"/>
    <w:rsid w:val="00487E31"/>
    <w:rsid w:val="00490139"/>
    <w:rsid w:val="00490E2C"/>
    <w:rsid w:val="00491671"/>
    <w:rsid w:val="004964C9"/>
    <w:rsid w:val="004A5CCC"/>
    <w:rsid w:val="004B2132"/>
    <w:rsid w:val="004B62EC"/>
    <w:rsid w:val="004C21E9"/>
    <w:rsid w:val="004C3ACD"/>
    <w:rsid w:val="004C71A7"/>
    <w:rsid w:val="004D3521"/>
    <w:rsid w:val="004D46BE"/>
    <w:rsid w:val="004D49FA"/>
    <w:rsid w:val="004D75F6"/>
    <w:rsid w:val="004E0045"/>
    <w:rsid w:val="004E340A"/>
    <w:rsid w:val="004E3DE6"/>
    <w:rsid w:val="004F0D7A"/>
    <w:rsid w:val="004F1195"/>
    <w:rsid w:val="004F2AE9"/>
    <w:rsid w:val="004F2F2B"/>
    <w:rsid w:val="004F3A2D"/>
    <w:rsid w:val="004F6CBE"/>
    <w:rsid w:val="004F705C"/>
    <w:rsid w:val="00501DC3"/>
    <w:rsid w:val="0051617D"/>
    <w:rsid w:val="00517012"/>
    <w:rsid w:val="005208AC"/>
    <w:rsid w:val="0053093C"/>
    <w:rsid w:val="00531412"/>
    <w:rsid w:val="00532144"/>
    <w:rsid w:val="0053349A"/>
    <w:rsid w:val="00536601"/>
    <w:rsid w:val="005418D2"/>
    <w:rsid w:val="00544578"/>
    <w:rsid w:val="00545164"/>
    <w:rsid w:val="00551A07"/>
    <w:rsid w:val="00554E70"/>
    <w:rsid w:val="00555984"/>
    <w:rsid w:val="00561287"/>
    <w:rsid w:val="0056375D"/>
    <w:rsid w:val="005737F9"/>
    <w:rsid w:val="00574582"/>
    <w:rsid w:val="0057475C"/>
    <w:rsid w:val="00580FEE"/>
    <w:rsid w:val="00583F4F"/>
    <w:rsid w:val="00585862"/>
    <w:rsid w:val="005903C1"/>
    <w:rsid w:val="00592BAA"/>
    <w:rsid w:val="005932FC"/>
    <w:rsid w:val="005956B0"/>
    <w:rsid w:val="005974C1"/>
    <w:rsid w:val="005A0B5C"/>
    <w:rsid w:val="005A3683"/>
    <w:rsid w:val="005A46AE"/>
    <w:rsid w:val="005A5B60"/>
    <w:rsid w:val="005A6F7B"/>
    <w:rsid w:val="005A71AF"/>
    <w:rsid w:val="005B18B2"/>
    <w:rsid w:val="005B1E57"/>
    <w:rsid w:val="005B38F1"/>
    <w:rsid w:val="005B41E1"/>
    <w:rsid w:val="005B78F3"/>
    <w:rsid w:val="005C2BEF"/>
    <w:rsid w:val="005C3023"/>
    <w:rsid w:val="005C6378"/>
    <w:rsid w:val="005C6D69"/>
    <w:rsid w:val="005D1128"/>
    <w:rsid w:val="005D59D8"/>
    <w:rsid w:val="005D5BD6"/>
    <w:rsid w:val="005D5E84"/>
    <w:rsid w:val="005E0F93"/>
    <w:rsid w:val="005F771E"/>
    <w:rsid w:val="00601B92"/>
    <w:rsid w:val="00603ABA"/>
    <w:rsid w:val="006110C8"/>
    <w:rsid w:val="006145C6"/>
    <w:rsid w:val="006159B1"/>
    <w:rsid w:val="00616473"/>
    <w:rsid w:val="00617548"/>
    <w:rsid w:val="0062137A"/>
    <w:rsid w:val="0062555A"/>
    <w:rsid w:val="0062609D"/>
    <w:rsid w:val="00627A3C"/>
    <w:rsid w:val="0063651D"/>
    <w:rsid w:val="0063677E"/>
    <w:rsid w:val="00637694"/>
    <w:rsid w:val="00645A2D"/>
    <w:rsid w:val="00651F60"/>
    <w:rsid w:val="006548FF"/>
    <w:rsid w:val="00654FBF"/>
    <w:rsid w:val="006555EC"/>
    <w:rsid w:val="0066124B"/>
    <w:rsid w:val="0066192F"/>
    <w:rsid w:val="00665D4D"/>
    <w:rsid w:val="0067642D"/>
    <w:rsid w:val="006903B1"/>
    <w:rsid w:val="00694102"/>
    <w:rsid w:val="00694D56"/>
    <w:rsid w:val="006A25A2"/>
    <w:rsid w:val="006A2E5F"/>
    <w:rsid w:val="006A4943"/>
    <w:rsid w:val="006A6C32"/>
    <w:rsid w:val="006B2A5C"/>
    <w:rsid w:val="006B32E5"/>
    <w:rsid w:val="006B4A34"/>
    <w:rsid w:val="006B63E5"/>
    <w:rsid w:val="006C54CE"/>
    <w:rsid w:val="006C7897"/>
    <w:rsid w:val="006D2F9E"/>
    <w:rsid w:val="006D2FFC"/>
    <w:rsid w:val="006D7E90"/>
    <w:rsid w:val="006E0279"/>
    <w:rsid w:val="006E13E5"/>
    <w:rsid w:val="006E1EE5"/>
    <w:rsid w:val="006E386B"/>
    <w:rsid w:val="006F24D7"/>
    <w:rsid w:val="006F4C06"/>
    <w:rsid w:val="00700D22"/>
    <w:rsid w:val="007061DA"/>
    <w:rsid w:val="00707125"/>
    <w:rsid w:val="00716E3B"/>
    <w:rsid w:val="00724A60"/>
    <w:rsid w:val="00730847"/>
    <w:rsid w:val="007318F0"/>
    <w:rsid w:val="00731E83"/>
    <w:rsid w:val="00732683"/>
    <w:rsid w:val="00733DB9"/>
    <w:rsid w:val="007355AA"/>
    <w:rsid w:val="007377C9"/>
    <w:rsid w:val="00741983"/>
    <w:rsid w:val="0074615F"/>
    <w:rsid w:val="00746365"/>
    <w:rsid w:val="00750418"/>
    <w:rsid w:val="00753EE6"/>
    <w:rsid w:val="00766F12"/>
    <w:rsid w:val="007728BF"/>
    <w:rsid w:val="007745BA"/>
    <w:rsid w:val="0077485C"/>
    <w:rsid w:val="007804C4"/>
    <w:rsid w:val="00781EFD"/>
    <w:rsid w:val="0078692F"/>
    <w:rsid w:val="00787238"/>
    <w:rsid w:val="00791410"/>
    <w:rsid w:val="007A1CD5"/>
    <w:rsid w:val="007A23C5"/>
    <w:rsid w:val="007A4703"/>
    <w:rsid w:val="007A7807"/>
    <w:rsid w:val="007B03C0"/>
    <w:rsid w:val="007B278B"/>
    <w:rsid w:val="007B69F5"/>
    <w:rsid w:val="007C3143"/>
    <w:rsid w:val="007D078C"/>
    <w:rsid w:val="007E0ACC"/>
    <w:rsid w:val="007E7CC8"/>
    <w:rsid w:val="007F730D"/>
    <w:rsid w:val="00802A3A"/>
    <w:rsid w:val="008033D0"/>
    <w:rsid w:val="00804F36"/>
    <w:rsid w:val="0080576B"/>
    <w:rsid w:val="00811805"/>
    <w:rsid w:val="008133C3"/>
    <w:rsid w:val="0081700B"/>
    <w:rsid w:val="00826C7F"/>
    <w:rsid w:val="008345F7"/>
    <w:rsid w:val="00834938"/>
    <w:rsid w:val="0083689D"/>
    <w:rsid w:val="00837501"/>
    <w:rsid w:val="00843851"/>
    <w:rsid w:val="00845479"/>
    <w:rsid w:val="008470C4"/>
    <w:rsid w:val="008527B3"/>
    <w:rsid w:val="00852F25"/>
    <w:rsid w:val="00854463"/>
    <w:rsid w:val="008560D3"/>
    <w:rsid w:val="00856DF5"/>
    <w:rsid w:val="00856F90"/>
    <w:rsid w:val="00860C35"/>
    <w:rsid w:val="00865CBF"/>
    <w:rsid w:val="00867352"/>
    <w:rsid w:val="00870853"/>
    <w:rsid w:val="0087308D"/>
    <w:rsid w:val="00873797"/>
    <w:rsid w:val="00875ED8"/>
    <w:rsid w:val="008815F2"/>
    <w:rsid w:val="00883C55"/>
    <w:rsid w:val="00884FF5"/>
    <w:rsid w:val="00885B0B"/>
    <w:rsid w:val="00891440"/>
    <w:rsid w:val="0089764E"/>
    <w:rsid w:val="008A1D21"/>
    <w:rsid w:val="008A7C38"/>
    <w:rsid w:val="008B208E"/>
    <w:rsid w:val="008B3569"/>
    <w:rsid w:val="008C1982"/>
    <w:rsid w:val="008C4C90"/>
    <w:rsid w:val="008C4ED0"/>
    <w:rsid w:val="008C5D9F"/>
    <w:rsid w:val="008D1278"/>
    <w:rsid w:val="008D3A6B"/>
    <w:rsid w:val="008D6544"/>
    <w:rsid w:val="008E078F"/>
    <w:rsid w:val="008E3821"/>
    <w:rsid w:val="008E7572"/>
    <w:rsid w:val="008E7880"/>
    <w:rsid w:val="008F23A2"/>
    <w:rsid w:val="008F36A8"/>
    <w:rsid w:val="008F4D78"/>
    <w:rsid w:val="009025C3"/>
    <w:rsid w:val="00903851"/>
    <w:rsid w:val="00907962"/>
    <w:rsid w:val="00911415"/>
    <w:rsid w:val="009149EA"/>
    <w:rsid w:val="00917A19"/>
    <w:rsid w:val="00917C31"/>
    <w:rsid w:val="00920614"/>
    <w:rsid w:val="00923767"/>
    <w:rsid w:val="00925166"/>
    <w:rsid w:val="00925BC8"/>
    <w:rsid w:val="009304CE"/>
    <w:rsid w:val="009330F0"/>
    <w:rsid w:val="009352B0"/>
    <w:rsid w:val="0093619B"/>
    <w:rsid w:val="00936FDF"/>
    <w:rsid w:val="0094065E"/>
    <w:rsid w:val="00941121"/>
    <w:rsid w:val="00944836"/>
    <w:rsid w:val="0094596C"/>
    <w:rsid w:val="00961766"/>
    <w:rsid w:val="00961A97"/>
    <w:rsid w:val="00964DB1"/>
    <w:rsid w:val="009656C5"/>
    <w:rsid w:val="009706A7"/>
    <w:rsid w:val="009715C2"/>
    <w:rsid w:val="009719BC"/>
    <w:rsid w:val="00974095"/>
    <w:rsid w:val="009762F4"/>
    <w:rsid w:val="00981F9A"/>
    <w:rsid w:val="009836B3"/>
    <w:rsid w:val="009841F5"/>
    <w:rsid w:val="009901AC"/>
    <w:rsid w:val="00990E0B"/>
    <w:rsid w:val="00991ECA"/>
    <w:rsid w:val="0099320C"/>
    <w:rsid w:val="009976D4"/>
    <w:rsid w:val="009A2B90"/>
    <w:rsid w:val="009A5CAE"/>
    <w:rsid w:val="009B32D0"/>
    <w:rsid w:val="009B43C1"/>
    <w:rsid w:val="009B5AEB"/>
    <w:rsid w:val="009B6498"/>
    <w:rsid w:val="009C6B93"/>
    <w:rsid w:val="009C7037"/>
    <w:rsid w:val="009D2671"/>
    <w:rsid w:val="009E196B"/>
    <w:rsid w:val="009E4BB4"/>
    <w:rsid w:val="009E6B05"/>
    <w:rsid w:val="009F0BB6"/>
    <w:rsid w:val="009F273A"/>
    <w:rsid w:val="009F49C7"/>
    <w:rsid w:val="009F4C27"/>
    <w:rsid w:val="009F5E1C"/>
    <w:rsid w:val="009F5F9E"/>
    <w:rsid w:val="00A02F6E"/>
    <w:rsid w:val="00A03316"/>
    <w:rsid w:val="00A0457F"/>
    <w:rsid w:val="00A047C2"/>
    <w:rsid w:val="00A061A7"/>
    <w:rsid w:val="00A123E4"/>
    <w:rsid w:val="00A15081"/>
    <w:rsid w:val="00A17BCB"/>
    <w:rsid w:val="00A37385"/>
    <w:rsid w:val="00A4197B"/>
    <w:rsid w:val="00A45A58"/>
    <w:rsid w:val="00A46669"/>
    <w:rsid w:val="00A46D4C"/>
    <w:rsid w:val="00A509CC"/>
    <w:rsid w:val="00A53C1D"/>
    <w:rsid w:val="00A53E42"/>
    <w:rsid w:val="00A54C72"/>
    <w:rsid w:val="00A54E80"/>
    <w:rsid w:val="00A55E21"/>
    <w:rsid w:val="00A57026"/>
    <w:rsid w:val="00A674DC"/>
    <w:rsid w:val="00A719C5"/>
    <w:rsid w:val="00A73B12"/>
    <w:rsid w:val="00A75044"/>
    <w:rsid w:val="00A760E3"/>
    <w:rsid w:val="00A81002"/>
    <w:rsid w:val="00A827AE"/>
    <w:rsid w:val="00A837A4"/>
    <w:rsid w:val="00A8596D"/>
    <w:rsid w:val="00A91E88"/>
    <w:rsid w:val="00A9392E"/>
    <w:rsid w:val="00A94112"/>
    <w:rsid w:val="00A94B0B"/>
    <w:rsid w:val="00A97348"/>
    <w:rsid w:val="00AA21C4"/>
    <w:rsid w:val="00AA2473"/>
    <w:rsid w:val="00AA29C5"/>
    <w:rsid w:val="00AA5544"/>
    <w:rsid w:val="00AB2300"/>
    <w:rsid w:val="00AB5FC0"/>
    <w:rsid w:val="00AB614A"/>
    <w:rsid w:val="00AB7250"/>
    <w:rsid w:val="00AC2838"/>
    <w:rsid w:val="00AC35D7"/>
    <w:rsid w:val="00AC76F2"/>
    <w:rsid w:val="00AD0F3C"/>
    <w:rsid w:val="00AD15F4"/>
    <w:rsid w:val="00AD35C0"/>
    <w:rsid w:val="00AD45C9"/>
    <w:rsid w:val="00AD6335"/>
    <w:rsid w:val="00AE4FE7"/>
    <w:rsid w:val="00AE7AE6"/>
    <w:rsid w:val="00AF50DF"/>
    <w:rsid w:val="00AF6D9F"/>
    <w:rsid w:val="00AF7A82"/>
    <w:rsid w:val="00B0535B"/>
    <w:rsid w:val="00B0631E"/>
    <w:rsid w:val="00B07AAB"/>
    <w:rsid w:val="00B15E39"/>
    <w:rsid w:val="00B175E0"/>
    <w:rsid w:val="00B30300"/>
    <w:rsid w:val="00B333A4"/>
    <w:rsid w:val="00B40EC4"/>
    <w:rsid w:val="00B4179F"/>
    <w:rsid w:val="00B434E7"/>
    <w:rsid w:val="00B440E6"/>
    <w:rsid w:val="00B45743"/>
    <w:rsid w:val="00B46771"/>
    <w:rsid w:val="00B5025E"/>
    <w:rsid w:val="00B506D8"/>
    <w:rsid w:val="00B528B6"/>
    <w:rsid w:val="00B60D9D"/>
    <w:rsid w:val="00B6479D"/>
    <w:rsid w:val="00B666D7"/>
    <w:rsid w:val="00B66EE0"/>
    <w:rsid w:val="00B841AE"/>
    <w:rsid w:val="00B92559"/>
    <w:rsid w:val="00B936A8"/>
    <w:rsid w:val="00BB0851"/>
    <w:rsid w:val="00BC04B8"/>
    <w:rsid w:val="00BC1941"/>
    <w:rsid w:val="00BC6BFA"/>
    <w:rsid w:val="00BD0109"/>
    <w:rsid w:val="00BD0552"/>
    <w:rsid w:val="00BD64B0"/>
    <w:rsid w:val="00BD7EC2"/>
    <w:rsid w:val="00BE0D00"/>
    <w:rsid w:val="00BE16AB"/>
    <w:rsid w:val="00BE195F"/>
    <w:rsid w:val="00BE3966"/>
    <w:rsid w:val="00BE4340"/>
    <w:rsid w:val="00BE6796"/>
    <w:rsid w:val="00BE707C"/>
    <w:rsid w:val="00BE7085"/>
    <w:rsid w:val="00BF6257"/>
    <w:rsid w:val="00C03B11"/>
    <w:rsid w:val="00C07A64"/>
    <w:rsid w:val="00C13F40"/>
    <w:rsid w:val="00C14520"/>
    <w:rsid w:val="00C14908"/>
    <w:rsid w:val="00C20F55"/>
    <w:rsid w:val="00C20FAC"/>
    <w:rsid w:val="00C21D06"/>
    <w:rsid w:val="00C22841"/>
    <w:rsid w:val="00C2331A"/>
    <w:rsid w:val="00C25289"/>
    <w:rsid w:val="00C264D3"/>
    <w:rsid w:val="00C36C32"/>
    <w:rsid w:val="00C37498"/>
    <w:rsid w:val="00C41D80"/>
    <w:rsid w:val="00C43E4B"/>
    <w:rsid w:val="00C503E8"/>
    <w:rsid w:val="00C55989"/>
    <w:rsid w:val="00C56307"/>
    <w:rsid w:val="00C56DAA"/>
    <w:rsid w:val="00C56E9A"/>
    <w:rsid w:val="00C62F8F"/>
    <w:rsid w:val="00C63FF5"/>
    <w:rsid w:val="00C67D4B"/>
    <w:rsid w:val="00C7097B"/>
    <w:rsid w:val="00C717BA"/>
    <w:rsid w:val="00C72B9F"/>
    <w:rsid w:val="00C73734"/>
    <w:rsid w:val="00C745CD"/>
    <w:rsid w:val="00C75AFB"/>
    <w:rsid w:val="00C9495E"/>
    <w:rsid w:val="00CA0170"/>
    <w:rsid w:val="00CA396F"/>
    <w:rsid w:val="00CB1C27"/>
    <w:rsid w:val="00CB3AC8"/>
    <w:rsid w:val="00CC1910"/>
    <w:rsid w:val="00CD75AE"/>
    <w:rsid w:val="00CE738F"/>
    <w:rsid w:val="00CF0CFC"/>
    <w:rsid w:val="00CF3008"/>
    <w:rsid w:val="00CF44A7"/>
    <w:rsid w:val="00CF5C5F"/>
    <w:rsid w:val="00CF638D"/>
    <w:rsid w:val="00D00CBB"/>
    <w:rsid w:val="00D01BCE"/>
    <w:rsid w:val="00D03772"/>
    <w:rsid w:val="00D048C8"/>
    <w:rsid w:val="00D05887"/>
    <w:rsid w:val="00D06197"/>
    <w:rsid w:val="00D12911"/>
    <w:rsid w:val="00D233A1"/>
    <w:rsid w:val="00D30F5F"/>
    <w:rsid w:val="00D33734"/>
    <w:rsid w:val="00D37004"/>
    <w:rsid w:val="00D40136"/>
    <w:rsid w:val="00D470B6"/>
    <w:rsid w:val="00D476E5"/>
    <w:rsid w:val="00D5026E"/>
    <w:rsid w:val="00D52340"/>
    <w:rsid w:val="00D53D3D"/>
    <w:rsid w:val="00D543D9"/>
    <w:rsid w:val="00D66725"/>
    <w:rsid w:val="00D71FAA"/>
    <w:rsid w:val="00D76D07"/>
    <w:rsid w:val="00D81466"/>
    <w:rsid w:val="00D816EE"/>
    <w:rsid w:val="00D82C06"/>
    <w:rsid w:val="00D846EF"/>
    <w:rsid w:val="00D859CB"/>
    <w:rsid w:val="00D86BA2"/>
    <w:rsid w:val="00D86BE8"/>
    <w:rsid w:val="00D9613A"/>
    <w:rsid w:val="00DA009D"/>
    <w:rsid w:val="00DA209A"/>
    <w:rsid w:val="00DA2C32"/>
    <w:rsid w:val="00DA5147"/>
    <w:rsid w:val="00DB3294"/>
    <w:rsid w:val="00DB6C78"/>
    <w:rsid w:val="00DC7FEA"/>
    <w:rsid w:val="00DD0B9F"/>
    <w:rsid w:val="00DD1350"/>
    <w:rsid w:val="00DD2DB2"/>
    <w:rsid w:val="00DD3F2D"/>
    <w:rsid w:val="00DD4E47"/>
    <w:rsid w:val="00DD5BF8"/>
    <w:rsid w:val="00DD77EE"/>
    <w:rsid w:val="00DE0E2B"/>
    <w:rsid w:val="00DE1A2F"/>
    <w:rsid w:val="00DE5315"/>
    <w:rsid w:val="00DE79E4"/>
    <w:rsid w:val="00DF1853"/>
    <w:rsid w:val="00DF1D62"/>
    <w:rsid w:val="00DF406D"/>
    <w:rsid w:val="00DF539A"/>
    <w:rsid w:val="00DF729F"/>
    <w:rsid w:val="00E01F87"/>
    <w:rsid w:val="00E0618E"/>
    <w:rsid w:val="00E1069B"/>
    <w:rsid w:val="00E10FC0"/>
    <w:rsid w:val="00E1155A"/>
    <w:rsid w:val="00E11FF3"/>
    <w:rsid w:val="00E163FF"/>
    <w:rsid w:val="00E24174"/>
    <w:rsid w:val="00E2605C"/>
    <w:rsid w:val="00E324E4"/>
    <w:rsid w:val="00E364B4"/>
    <w:rsid w:val="00E36EA1"/>
    <w:rsid w:val="00E42F28"/>
    <w:rsid w:val="00E4358A"/>
    <w:rsid w:val="00E440A5"/>
    <w:rsid w:val="00E453ED"/>
    <w:rsid w:val="00E503C7"/>
    <w:rsid w:val="00E54DC9"/>
    <w:rsid w:val="00E579B7"/>
    <w:rsid w:val="00E65E8A"/>
    <w:rsid w:val="00E6622E"/>
    <w:rsid w:val="00E66ECB"/>
    <w:rsid w:val="00E71727"/>
    <w:rsid w:val="00E77FCC"/>
    <w:rsid w:val="00E8037F"/>
    <w:rsid w:val="00E82392"/>
    <w:rsid w:val="00E82465"/>
    <w:rsid w:val="00E82760"/>
    <w:rsid w:val="00E83635"/>
    <w:rsid w:val="00E857F4"/>
    <w:rsid w:val="00E87736"/>
    <w:rsid w:val="00E90194"/>
    <w:rsid w:val="00E907BD"/>
    <w:rsid w:val="00E92D62"/>
    <w:rsid w:val="00E947C1"/>
    <w:rsid w:val="00E96BDA"/>
    <w:rsid w:val="00E97005"/>
    <w:rsid w:val="00E97391"/>
    <w:rsid w:val="00EA0B45"/>
    <w:rsid w:val="00EA0FAE"/>
    <w:rsid w:val="00EA6505"/>
    <w:rsid w:val="00EB2A1E"/>
    <w:rsid w:val="00EB6E48"/>
    <w:rsid w:val="00EB6FD9"/>
    <w:rsid w:val="00EC2645"/>
    <w:rsid w:val="00EC3122"/>
    <w:rsid w:val="00EC7049"/>
    <w:rsid w:val="00ED03C9"/>
    <w:rsid w:val="00ED2470"/>
    <w:rsid w:val="00ED336F"/>
    <w:rsid w:val="00ED4219"/>
    <w:rsid w:val="00ED4A4B"/>
    <w:rsid w:val="00EE1033"/>
    <w:rsid w:val="00EE1C0E"/>
    <w:rsid w:val="00EE552E"/>
    <w:rsid w:val="00EE73BC"/>
    <w:rsid w:val="00F01299"/>
    <w:rsid w:val="00F01917"/>
    <w:rsid w:val="00F04452"/>
    <w:rsid w:val="00F05D9F"/>
    <w:rsid w:val="00F07253"/>
    <w:rsid w:val="00F10BD2"/>
    <w:rsid w:val="00F129AA"/>
    <w:rsid w:val="00F143DB"/>
    <w:rsid w:val="00F161C3"/>
    <w:rsid w:val="00F161CE"/>
    <w:rsid w:val="00F2098B"/>
    <w:rsid w:val="00F216ED"/>
    <w:rsid w:val="00F31576"/>
    <w:rsid w:val="00F35FBC"/>
    <w:rsid w:val="00F366BD"/>
    <w:rsid w:val="00F42B50"/>
    <w:rsid w:val="00F43844"/>
    <w:rsid w:val="00F503CD"/>
    <w:rsid w:val="00F6280B"/>
    <w:rsid w:val="00F63384"/>
    <w:rsid w:val="00F63A00"/>
    <w:rsid w:val="00F63D7B"/>
    <w:rsid w:val="00F64CC4"/>
    <w:rsid w:val="00F76193"/>
    <w:rsid w:val="00F815DC"/>
    <w:rsid w:val="00F8332D"/>
    <w:rsid w:val="00F875C9"/>
    <w:rsid w:val="00F87930"/>
    <w:rsid w:val="00F94AFF"/>
    <w:rsid w:val="00F95132"/>
    <w:rsid w:val="00F95606"/>
    <w:rsid w:val="00FA1C3F"/>
    <w:rsid w:val="00FA2A64"/>
    <w:rsid w:val="00FA6156"/>
    <w:rsid w:val="00FA727C"/>
    <w:rsid w:val="00FB44E8"/>
    <w:rsid w:val="00FB4783"/>
    <w:rsid w:val="00FB51EF"/>
    <w:rsid w:val="00FC1C1E"/>
    <w:rsid w:val="00FC298A"/>
    <w:rsid w:val="00FC3345"/>
    <w:rsid w:val="00FC43F6"/>
    <w:rsid w:val="00FD1066"/>
    <w:rsid w:val="00FD35BF"/>
    <w:rsid w:val="00FD4B2D"/>
    <w:rsid w:val="00FD7A34"/>
    <w:rsid w:val="00FE0B64"/>
    <w:rsid w:val="00FE18EB"/>
    <w:rsid w:val="00FE3B7C"/>
    <w:rsid w:val="00FE3D81"/>
    <w:rsid w:val="00FE3EB2"/>
    <w:rsid w:val="00FE568C"/>
    <w:rsid w:val="00FF124C"/>
    <w:rsid w:val="00FF2462"/>
    <w:rsid w:val="00FF32E7"/>
    <w:rsid w:val="00FF4358"/>
    <w:rsid w:val="00FF45C4"/>
    <w:rsid w:val="00FF4E0B"/>
    <w:rsid w:val="0215637C"/>
    <w:rsid w:val="03CD51B3"/>
    <w:rsid w:val="03CE6E6D"/>
    <w:rsid w:val="06F2197D"/>
    <w:rsid w:val="0CEF1527"/>
    <w:rsid w:val="10515A27"/>
    <w:rsid w:val="129259AC"/>
    <w:rsid w:val="12AC61AC"/>
    <w:rsid w:val="19645A64"/>
    <w:rsid w:val="22EF79E4"/>
    <w:rsid w:val="26521288"/>
    <w:rsid w:val="2A6049C5"/>
    <w:rsid w:val="2DFB3C75"/>
    <w:rsid w:val="38156995"/>
    <w:rsid w:val="3D3B2FE9"/>
    <w:rsid w:val="405003EA"/>
    <w:rsid w:val="43D24468"/>
    <w:rsid w:val="455D3E80"/>
    <w:rsid w:val="48DB69D3"/>
    <w:rsid w:val="491B6B6A"/>
    <w:rsid w:val="50870672"/>
    <w:rsid w:val="557F0CA1"/>
    <w:rsid w:val="563E0A60"/>
    <w:rsid w:val="56621059"/>
    <w:rsid w:val="5A957396"/>
    <w:rsid w:val="5ACA0EAE"/>
    <w:rsid w:val="603C31BF"/>
    <w:rsid w:val="66DF3FCE"/>
    <w:rsid w:val="6F57229F"/>
    <w:rsid w:val="753752FD"/>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semiHidden="0"/>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keepNext/>
      <w:keepLines/>
      <w:spacing w:line="360" w:lineRule="auto"/>
      <w:jc w:val="center"/>
      <w:outlineLvl w:val="0"/>
    </w:pPr>
    <w:rPr>
      <w:rFonts w:ascii="Times New Roman" w:eastAsia="黑体" w:hAnsi="Times New Roman" w:cs="Times New Roman"/>
      <w:bCs/>
      <w:kern w:val="44"/>
      <w:sz w:val="30"/>
      <w:szCs w:val="44"/>
    </w:rPr>
  </w:style>
  <w:style w:type="paragraph" w:styleId="Heading2">
    <w:name w:val="heading 2"/>
    <w:basedOn w:val="Normal"/>
    <w:next w:val="Normal"/>
    <w:link w:val="2"/>
    <w:autoRedefine/>
    <w:qFormat/>
    <w:pPr>
      <w:keepNext/>
      <w:keepLines/>
      <w:spacing w:line="360" w:lineRule="auto"/>
      <w:outlineLvl w:val="1"/>
    </w:pPr>
    <w:rPr>
      <w:rFonts w:ascii="Arial" w:eastAsia="黑体" w:hAnsi="Arial" w:cs="Times New Roman"/>
      <w:bCs/>
      <w:sz w:val="28"/>
      <w:szCs w:val="32"/>
    </w:rPr>
  </w:style>
  <w:style w:type="paragraph" w:styleId="Heading3">
    <w:name w:val="heading 3"/>
    <w:basedOn w:val="Normal"/>
    <w:next w:val="Normal"/>
    <w:link w:val="3"/>
    <w:qFormat/>
    <w:pPr>
      <w:keepNext/>
      <w:keepLines/>
      <w:spacing w:line="360" w:lineRule="auto"/>
      <w:ind w:firstLine="200" w:firstLineChars="200"/>
      <w:outlineLvl w:val="2"/>
    </w:pPr>
    <w:rPr>
      <w:rFonts w:ascii="Times New Roman" w:eastAsia="黑体" w:hAnsi="Times New Roman" w:cs="Times New Roman"/>
      <w:bCs/>
      <w:sz w:val="24"/>
      <w:szCs w:val="32"/>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7">
    <w:name w:val="toc 7"/>
    <w:basedOn w:val="Normal"/>
    <w:next w:val="Normal"/>
    <w:uiPriority w:val="39"/>
    <w:unhideWhenUsed/>
    <w:qFormat/>
    <w:pPr>
      <w:ind w:left="1260"/>
      <w:jc w:val="left"/>
    </w:pPr>
    <w:rPr>
      <w:rFonts w:cstheme="minorHAnsi"/>
      <w:sz w:val="18"/>
      <w:szCs w:val="18"/>
    </w:rPr>
  </w:style>
  <w:style w:type="paragraph" w:styleId="CommentText">
    <w:name w:val="annotation text"/>
    <w:basedOn w:val="Normal"/>
    <w:link w:val="a3"/>
    <w:autoRedefine/>
    <w:uiPriority w:val="99"/>
    <w:semiHidden/>
    <w:unhideWhenUsed/>
    <w:qFormat/>
    <w:pPr>
      <w:jc w:val="left"/>
    </w:pPr>
  </w:style>
  <w:style w:type="paragraph" w:styleId="TOC5">
    <w:name w:val="toc 5"/>
    <w:basedOn w:val="Normal"/>
    <w:next w:val="Normal"/>
    <w:autoRedefine/>
    <w:uiPriority w:val="39"/>
    <w:unhideWhenUsed/>
    <w:qFormat/>
    <w:pPr>
      <w:ind w:left="840"/>
      <w:jc w:val="left"/>
    </w:pPr>
    <w:rPr>
      <w:rFonts w:cstheme="minorHAnsi"/>
      <w:sz w:val="18"/>
      <w:szCs w:val="18"/>
    </w:rPr>
  </w:style>
  <w:style w:type="paragraph" w:styleId="TOC3">
    <w:name w:val="toc 3"/>
    <w:basedOn w:val="Normal"/>
    <w:next w:val="Normal"/>
    <w:uiPriority w:val="39"/>
    <w:qFormat/>
    <w:pPr>
      <w:ind w:left="420"/>
      <w:jc w:val="left"/>
    </w:pPr>
    <w:rPr>
      <w:rFonts w:cstheme="minorHAnsi"/>
      <w:i/>
      <w:iCs/>
      <w:sz w:val="20"/>
      <w:szCs w:val="20"/>
    </w:rPr>
  </w:style>
  <w:style w:type="paragraph" w:styleId="TOC8">
    <w:name w:val="toc 8"/>
    <w:basedOn w:val="Normal"/>
    <w:next w:val="Normal"/>
    <w:uiPriority w:val="39"/>
    <w:unhideWhenUsed/>
    <w:qFormat/>
    <w:pPr>
      <w:ind w:left="1470"/>
      <w:jc w:val="left"/>
    </w:pPr>
    <w:rPr>
      <w:rFonts w:cstheme="minorHAnsi"/>
      <w:sz w:val="18"/>
      <w:szCs w:val="18"/>
    </w:rPr>
  </w:style>
  <w:style w:type="paragraph" w:styleId="Date">
    <w:name w:val="Date"/>
    <w:basedOn w:val="Normal"/>
    <w:next w:val="Normal"/>
    <w:link w:val="a2"/>
    <w:autoRedefine/>
    <w:uiPriority w:val="99"/>
    <w:semiHidden/>
    <w:unhideWhenUsed/>
    <w:qFormat/>
    <w:pPr>
      <w:ind w:left="100" w:leftChars="2500"/>
    </w:p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spacing w:before="120" w:after="120"/>
      <w:jc w:val="left"/>
    </w:pPr>
    <w:rPr>
      <w:rFonts w:cstheme="minorHAnsi"/>
      <w:b/>
      <w:bCs/>
      <w:caps/>
      <w:sz w:val="20"/>
      <w:szCs w:val="20"/>
    </w:rPr>
  </w:style>
  <w:style w:type="paragraph" w:styleId="TOC4">
    <w:name w:val="toc 4"/>
    <w:basedOn w:val="Normal"/>
    <w:next w:val="Normal"/>
    <w:uiPriority w:val="39"/>
    <w:unhideWhenUsed/>
    <w:pPr>
      <w:ind w:left="630"/>
      <w:jc w:val="left"/>
    </w:pPr>
    <w:rPr>
      <w:rFonts w:cstheme="minorHAnsi"/>
      <w:sz w:val="18"/>
      <w:szCs w:val="18"/>
    </w:rPr>
  </w:style>
  <w:style w:type="paragraph" w:styleId="TOC6">
    <w:name w:val="toc 6"/>
    <w:basedOn w:val="Normal"/>
    <w:next w:val="Normal"/>
    <w:autoRedefine/>
    <w:uiPriority w:val="39"/>
    <w:unhideWhenUsed/>
    <w:qFormat/>
    <w:pPr>
      <w:ind w:left="1050"/>
      <w:jc w:val="left"/>
    </w:pPr>
    <w:rPr>
      <w:rFonts w:cstheme="minorHAnsi"/>
      <w:sz w:val="18"/>
      <w:szCs w:val="18"/>
    </w:rPr>
  </w:style>
  <w:style w:type="paragraph" w:styleId="TOC2">
    <w:name w:val="toc 2"/>
    <w:basedOn w:val="Normal"/>
    <w:next w:val="Normal"/>
    <w:autoRedefine/>
    <w:uiPriority w:val="39"/>
    <w:qFormat/>
    <w:pPr>
      <w:ind w:left="210"/>
      <w:jc w:val="left"/>
    </w:pPr>
    <w:rPr>
      <w:rFonts w:cstheme="minorHAnsi"/>
      <w:smallCaps/>
      <w:sz w:val="20"/>
      <w:szCs w:val="20"/>
    </w:rPr>
  </w:style>
  <w:style w:type="paragraph" w:styleId="TOC9">
    <w:name w:val="toc 9"/>
    <w:basedOn w:val="Normal"/>
    <w:next w:val="Normal"/>
    <w:autoRedefine/>
    <w:uiPriority w:val="39"/>
    <w:unhideWhenUsed/>
    <w:qFormat/>
    <w:pPr>
      <w:ind w:left="1680"/>
      <w:jc w:val="left"/>
    </w:pPr>
    <w:rPr>
      <w:rFonts w:cstheme="minorHAnsi"/>
      <w:sz w:val="18"/>
      <w:szCs w:val="18"/>
    </w:rPr>
  </w:style>
  <w:style w:type="paragraph" w:styleId="HTMLPreformatted">
    <w:name w:val="HTML Preformatted"/>
    <w:basedOn w:val="Normal"/>
    <w:link w:val="HTML"/>
    <w:autoRedefine/>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a4"/>
    <w:uiPriority w:val="99"/>
    <w:semiHidden/>
    <w:unhideWhenUsed/>
    <w:rPr>
      <w:b/>
      <w:bCs/>
    </w:rPr>
  </w:style>
  <w:style w:type="table" w:styleId="TableGrid">
    <w:name w:val="Table Grid"/>
    <w:basedOn w:val="TableNormal"/>
    <w:uiPriority w:val="59"/>
    <w:pPr>
      <w:widowControl w:val="0"/>
      <w:jc w:val="both"/>
    </w:pPr>
    <w:rPr>
      <w:rFonts w:ascii="Times New Roman" w:hAnsi="Times New Roman" w:cs="Times New Roman"/>
    </w:rPr>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style>
  <w:style w:type="character" w:styleId="PageNumber">
    <w:name w:val="page number"/>
    <w:basedOn w:val="DefaultParagraphFont"/>
    <w:autoRedefine/>
    <w:qFormat/>
  </w:style>
  <w:style w:type="character" w:styleId="Hyperlink">
    <w:name w:val="Hyperlink"/>
    <w:autoRedefine/>
    <w:uiPriority w:val="99"/>
    <w:qFormat/>
    <w:rPr>
      <w:color w:val="0000FF"/>
      <w:u w:val="single"/>
    </w:rPr>
  </w:style>
  <w:style w:type="character" w:styleId="CommentReference">
    <w:name w:val="annotation reference"/>
    <w:basedOn w:val="DefaultParagraphFont"/>
    <w:uiPriority w:val="99"/>
    <w:semiHidden/>
    <w:unhideWhenUsed/>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1">
    <w:name w:val="标题 1 字符"/>
    <w:basedOn w:val="DefaultParagraphFont"/>
    <w:link w:val="Heading1"/>
    <w:autoRedefine/>
    <w:qFormat/>
    <w:rPr>
      <w:rFonts w:ascii="Times New Roman" w:eastAsia="黑体" w:hAnsi="Times New Roman" w:cs="Times New Roman"/>
      <w:bCs/>
      <w:kern w:val="44"/>
      <w:sz w:val="30"/>
      <w:szCs w:val="44"/>
    </w:rPr>
  </w:style>
  <w:style w:type="character" w:customStyle="1" w:styleId="2">
    <w:name w:val="标题 2 字符"/>
    <w:basedOn w:val="DefaultParagraphFont"/>
    <w:link w:val="Heading2"/>
    <w:autoRedefine/>
    <w:qFormat/>
    <w:rPr>
      <w:rFonts w:ascii="Arial" w:eastAsia="黑体" w:hAnsi="Arial" w:cs="Times New Roman"/>
      <w:bCs/>
      <w:sz w:val="28"/>
      <w:szCs w:val="32"/>
    </w:rPr>
  </w:style>
  <w:style w:type="character" w:customStyle="1" w:styleId="3">
    <w:name w:val="标题 3 字符"/>
    <w:basedOn w:val="DefaultParagraphFont"/>
    <w:link w:val="Heading3"/>
    <w:qFormat/>
    <w:rPr>
      <w:rFonts w:ascii="Times New Roman" w:eastAsia="黑体" w:hAnsi="Times New Roman" w:cs="Times New Roman"/>
      <w:bCs/>
      <w:sz w:val="24"/>
      <w:szCs w:val="32"/>
    </w:rPr>
  </w:style>
  <w:style w:type="character" w:customStyle="1" w:styleId="a2">
    <w:name w:val="日期 字符"/>
    <w:basedOn w:val="DefaultParagraphFont"/>
    <w:link w:val="Date"/>
    <w:uiPriority w:val="99"/>
    <w:semiHidden/>
    <w:qFormat/>
  </w:style>
  <w:style w:type="paragraph" w:styleId="ListParagraph">
    <w:name w:val="List Paragraph"/>
    <w:basedOn w:val="Normal"/>
    <w:uiPriority w:val="34"/>
    <w:unhideWhenUsed/>
    <w:qFormat/>
    <w:pPr>
      <w:ind w:firstLine="420" w:firstLineChars="200"/>
    </w:pPr>
    <w:rPr>
      <w:rFonts w:ascii="Times New Roman" w:eastAsia="宋体" w:hAnsi="Times New Roman" w:cs="Times New Roman"/>
      <w:szCs w:val="24"/>
    </w:rPr>
  </w:style>
  <w:style w:type="paragraph" w:customStyle="1" w:styleId="TOC10">
    <w:name w:val="TOC 标题1"/>
    <w:basedOn w:val="Heading1"/>
    <w:next w:val="Normal"/>
    <w:uiPriority w:val="39"/>
    <w:unhideWhenUsed/>
    <w:qFormat/>
    <w:pPr>
      <w:widowControl/>
      <w:spacing w:before="240" w:line="259" w:lineRule="auto"/>
      <w:jc w:val="left"/>
      <w:outlineLvl w:val="9"/>
    </w:pPr>
    <w:rPr>
      <w:rFonts w:asciiTheme="majorHAnsi" w:eastAsiaTheme="majorEastAsia" w:hAnsiTheme="majorHAnsi" w:cstheme="majorBidi"/>
      <w:bCs w:val="0"/>
      <w:color w:val="376092" w:themeColor="accent1" w:themeShade="BF"/>
      <w:kern w:val="0"/>
      <w:sz w:val="32"/>
      <w:szCs w:val="32"/>
    </w:rPr>
  </w:style>
  <w:style w:type="character" w:customStyle="1" w:styleId="10">
    <w:name w:val="未处理的提及1"/>
    <w:basedOn w:val="DefaultParagraphFont"/>
    <w:uiPriority w:val="99"/>
    <w:semiHidden/>
    <w:unhideWhenUsed/>
    <w:rPr>
      <w:color w:val="605E5C"/>
      <w:shd w:val="clear" w:color="auto" w:fill="E1DFDD"/>
    </w:rPr>
  </w:style>
  <w:style w:type="character" w:customStyle="1" w:styleId="HTML">
    <w:name w:val="HTML 预设格式 字符"/>
    <w:basedOn w:val="DefaultParagraphFont"/>
    <w:link w:val="HTMLPreformatted"/>
    <w:autoRedefine/>
    <w:uiPriority w:val="99"/>
    <w:qFormat/>
    <w:rPr>
      <w:rFonts w:ascii="宋体" w:eastAsia="宋体" w:hAnsi="宋体" w:cs="宋体"/>
      <w:sz w:val="24"/>
      <w:szCs w:val="24"/>
    </w:rPr>
  </w:style>
  <w:style w:type="table" w:customStyle="1" w:styleId="41">
    <w:name w:val="无格式表格 41"/>
    <w:basedOn w:val="TableNormal"/>
    <w:autoRedefine/>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table" w:customStyle="1" w:styleId="11">
    <w:name w:val="网格型浅色1"/>
    <w:basedOn w:val="TableNormal"/>
    <w:autoRedefine/>
    <w:uiPriority w:val="40"/>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style>
  <w:style w:type="table" w:customStyle="1" w:styleId="21">
    <w:name w:val="无格式表格 21"/>
    <w:basedOn w:val="TableNormal"/>
    <w:autoRedefine/>
    <w:uiPriority w:val="42"/>
    <w:qFormat/>
    <w:tblPr>
      <w:tblBorders>
        <w:top w:val="single" w:sz="4" w:space="0" w:color="7E7E7E" w:themeColor="text1" w:themeTint="80"/>
        <w:bottom w:val="single" w:sz="4" w:space="0" w:color="7E7E7E" w:themeColor="text1" w:themeTint="80"/>
      </w:tblBorders>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 w:type="table" w:customStyle="1" w:styleId="31">
    <w:name w:val="无格式表格 31"/>
    <w:basedOn w:val="TableNormal"/>
    <w:autoRedefine/>
    <w:uiPriority w:val="43"/>
    <w:qFormat/>
    <w:tblPr/>
    <w:tblStylePr w:type="firstRow">
      <w:rPr>
        <w:b/>
        <w:bCs/>
        <w:caps/>
      </w:rPr>
      <w:tblPr/>
      <w:tcPr>
        <w:tcBorders>
          <w:bottom w:val="single" w:sz="4" w:space="0" w:color="7E7E7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E7E7E" w:themeColor="text1" w:themeTint="80"/>
        </w:tcBorders>
      </w:tcPr>
    </w:tblStylePr>
    <w:tblStylePr w:type="lastCol">
      <w:rPr>
        <w:b/>
        <w:bCs/>
        <w:caps/>
      </w:rPr>
      <w:tblPr/>
      <w:tcPr>
        <w:tcBorders>
          <w:left w:val="nil"/>
        </w:tcBorders>
      </w:tc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a3">
    <w:name w:val="批注文字 字符"/>
    <w:basedOn w:val="DefaultParagraphFont"/>
    <w:link w:val="CommentText"/>
    <w:autoRedefine/>
    <w:uiPriority w:val="99"/>
    <w:semiHidden/>
    <w:qFormat/>
    <w:rPr>
      <w:kern w:val="2"/>
      <w:sz w:val="21"/>
      <w:szCs w:val="22"/>
    </w:rPr>
  </w:style>
  <w:style w:type="character" w:customStyle="1" w:styleId="a4">
    <w:name w:val="批注主题 字符"/>
    <w:basedOn w:val="a3"/>
    <w:link w:val="CommentSubject"/>
    <w:autoRedefine/>
    <w:uiPriority w:val="99"/>
    <w:semiHidden/>
    <w:qFormat/>
    <w:rPr>
      <w:b/>
      <w:bCs/>
      <w:kern w:val="2"/>
      <w:sz w:val="21"/>
      <w:szCs w:val="22"/>
    </w:rPr>
  </w:style>
  <w:style w:type="table" w:customStyle="1" w:styleId="12">
    <w:name w:val="样式1"/>
    <w:basedOn w:val="TableNormal"/>
    <w:autoRedefine/>
    <w:uiPriority w:val="99"/>
    <w:qFormat/>
    <w:tblPr>
      <w:tblBorders>
        <w:top w:val="single" w:sz="4" w:space="0" w:color="auto"/>
        <w:bottom w:val="single" w:sz="4" w:space="0" w:color="auto"/>
        <w:insideH w:val="single" w:sz="4" w:space="0" w:color="auto"/>
        <w:insideV w:val="single" w:sz="4" w:space="0" w:color="auto"/>
      </w:tblBorders>
    </w:tblPr>
  </w:style>
  <w:style w:type="character" w:customStyle="1" w:styleId="20">
    <w:name w:val="未处理的提及2"/>
    <w:basedOn w:val="DefaultParagraphFont"/>
    <w:autoRedefine/>
    <w:uiPriority w:val="99"/>
    <w:semiHidden/>
    <w:unhideWhenUsed/>
    <w:qFormat/>
    <w:rPr>
      <w:color w:val="605E5C"/>
      <w:shd w:val="clear" w:color="auto" w:fill="E1DFDD"/>
    </w:rPr>
  </w:style>
  <w:style w:type="table" w:customStyle="1" w:styleId="GridTableLight">
    <w:name w:val="Grid Table Light"/>
    <w:basedOn w:val="TableNormal"/>
    <w:autoRedefine/>
    <w:uiPriority w:val="40"/>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style>
  <w:style w:type="paragraph" w:customStyle="1" w:styleId="TOCHeading">
    <w:name w:val="TOC Heading"/>
    <w:basedOn w:val="Heading1"/>
    <w:next w:val="Normal"/>
    <w:autoRedefine/>
    <w:uiPriority w:val="39"/>
    <w:unhideWhenUsed/>
    <w:qFormat/>
    <w:pPr>
      <w:widowControl/>
      <w:spacing w:before="240" w:line="259" w:lineRule="auto"/>
      <w:jc w:val="left"/>
      <w:outlineLvl w:val="9"/>
    </w:pPr>
    <w:rPr>
      <w:rFonts w:asciiTheme="majorHAnsi" w:eastAsiaTheme="majorEastAsia" w:hAnsiTheme="majorHAnsi" w:cstheme="majorBidi"/>
      <w:bCs w:val="0"/>
      <w:color w:val="376092" w:themeColor="accent1" w:themeShade="BF"/>
      <w:kern w:val="0"/>
      <w:sz w:val="32"/>
      <w:szCs w:val="32"/>
    </w:r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 w:type="table" w:customStyle="1" w:styleId="100">
    <w:name w:val="样式1_0"/>
    <w:basedOn w:val="TableNormal"/>
    <w:autoRedefine/>
    <w:uiPriority w:val="99"/>
    <w:qFormat/>
    <w:tblPr>
      <w:tblBorders>
        <w:top w:val="single" w:sz="4" w:space="0" w:color="auto"/>
        <w:bottom w:val="single" w:sz="4" w:space="0" w:color="auto"/>
        <w:insideH w:val="single" w:sz="4" w:space="0" w:color="auto"/>
        <w:insideV w:val="single" w:sz="4" w:space="0" w:color="auto"/>
      </w:tblBorders>
    </w:tblPr>
  </w:style>
  <w:style w:type="table" w:customStyle="1" w:styleId="110">
    <w:name w:val="样式1_1"/>
    <w:basedOn w:val="TableNormal"/>
    <w:autoRedefine/>
    <w:uiPriority w:val="99"/>
    <w:qFormat/>
    <w:tblPr>
      <w:tblBorders>
        <w:top w:val="single" w:sz="4" w:space="0" w:color="auto"/>
        <w:bottom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1.xml" /><Relationship Id="rId11" Type="http://schemas.openxmlformats.org/officeDocument/2006/relationships/footer" Target="footer6.xml" /><Relationship Id="rId12" Type="http://schemas.openxmlformats.org/officeDocument/2006/relationships/chart" Target="charts/chart2.xml" /><Relationship Id="rId13" Type="http://schemas.openxmlformats.org/officeDocument/2006/relationships/hyperlink" Target="https://d.book118.com/977110200023006033"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openxmlformats.org/officeDocument/2006/relationships/themeOverride" Target="../theme/themeOverride1.xml" /></Relationships>
</file>

<file path=word/charts/_rels/chart2.xml.rels><?xml version="1.0" encoding="utf-8" standalone="yes"?><Relationships xmlns="http://schemas.openxmlformats.org/package/2006/relationships"><Relationship Id="rId1" Type="http://schemas.openxmlformats.org/officeDocument/2006/relationships/package" Target="../embeddings/Microsoft_Excel_Worksheet2.xlsx" /><Relationship Id="rId2" Type="http://schemas.openxmlformats.org/officeDocument/2006/relationships/themeOverride" Target="../theme/themeOverride2.xml" /></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出口总额</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prstDash val="solid"/>
                      <a:round/>
                    </a:ln>
                    <a:effectLst/>
                  </c:spPr>
                </c15:leaderLines>
              </c:ext>
            </c:extLst>
          </c:dLbls>
          <c:cat>
            <c:numRef>
              <c:f>Sheet1!$A$2:$A$14</c:f>
              <c:numCache>
                <c:formatCode>General</c:formatCode>
                <c:ptCount val="13"/>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numCache>
            </c:numRef>
          </c:cat>
          <c:val>
            <c:numRef>
              <c:f>Sheet1!$B$2:$B$14</c:f>
              <c:numCache>
                <c:formatCode>General</c:formatCode>
                <c:ptCount val="13"/>
                <c:pt idx="0">
                  <c:v>99.8</c:v>
                </c:pt>
                <c:pt idx="1">
                  <c:v>97.7</c:v>
                </c:pt>
                <c:pt idx="2">
                  <c:v>127.1</c:v>
                </c:pt>
                <c:pt idx="3">
                  <c:v>153.8</c:v>
                </c:pt>
                <c:pt idx="4">
                  <c:v>150.3</c:v>
                </c:pt>
                <c:pt idx="5">
                  <c:v>152.1</c:v>
                </c:pt>
                <c:pt idx="6">
                  <c:v>157.4</c:v>
                </c:pt>
                <c:pt idx="7">
                  <c:v>153.1</c:v>
                </c:pt>
                <c:pt idx="8">
                  <c:v>162.9</c:v>
                </c:pt>
                <c:pt idx="9">
                  <c:v>174.6</c:v>
                </c:pt>
                <c:pt idx="10">
                  <c:v>173.8</c:v>
                </c:pt>
                <c:pt idx="11">
                  <c:v>186.4</c:v>
                </c:pt>
                <c:pt idx="12">
                  <c:v>189.9</c:v>
                </c:pt>
              </c:numCache>
            </c:numRef>
          </c:val>
        </c:ser>
        <c:dLbls>
          <c:showLegendKey val="0"/>
          <c:showVal val="1"/>
          <c:showCatName val="0"/>
          <c:showSerName val="0"/>
          <c:showPercent val="0"/>
          <c:showBubbleSize val="0"/>
        </c:dLbls>
        <c:gapWidth val="219"/>
        <c:overlap val="-27"/>
        <c:axId val="236465152"/>
        <c:axId val="171608320"/>
      </c:barChart>
      <c:catAx>
        <c:axId val="236465152"/>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1608320"/>
        <c:crosses val="autoZero"/>
        <c:auto val="1"/>
        <c:lblAlgn val="ctr"/>
        <c:lblOffset val="100"/>
        <c:noMultiLvlLbl val="0"/>
      </c:catAx>
      <c:valAx>
        <c:axId val="171608320"/>
        <c:scaling>
          <c:orientation val="minMax"/>
        </c:scaling>
        <c:delete val="0"/>
        <c:axPos val="l"/>
        <c:majorGridlines>
          <c:spPr>
            <a:ln w="9525">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6465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增长率%</c:v>
                </c:pt>
              </c:strCache>
            </c:strRef>
          </c:tx>
          <c:spPr>
            <a:solidFill>
              <a:schemeClr val="accent3"/>
            </a:solidFill>
            <a:ln>
              <a:noFill/>
            </a:ln>
            <a:effectLst/>
          </c:spPr>
          <c:invertIfNegative val="0"/>
          <c:dLbls>
            <c:delete val="1"/>
            <c:showLegendKey val="0"/>
            <c:showVal val="0"/>
            <c:showCatName val="0"/>
            <c:showSerName val="0"/>
            <c:showPercent val="0"/>
            <c:showBubbleSize val="0"/>
          </c:dLbls>
          <c:cat>
            <c:numRef>
              <c:f>Sheet1!$A$2:$A$13</c:f>
              <c:numCache>
                <c:formatCode>General</c:formatCode>
                <c:ptCount val="12"/>
                <c:pt idx="0">
                  <c:v>2009</c:v>
                </c:pt>
                <c:pt idx="1">
                  <c:v>2010</c:v>
                </c:pt>
                <c:pt idx="2">
                  <c:v>2011</c:v>
                </c:pt>
                <c:pt idx="3">
                  <c:v>2012</c:v>
                </c:pt>
                <c:pt idx="4">
                  <c:v>2013</c:v>
                </c:pt>
                <c:pt idx="5">
                  <c:v>2014</c:v>
                </c:pt>
                <c:pt idx="6">
                  <c:v>2015</c:v>
                </c:pt>
                <c:pt idx="7">
                  <c:v>2016</c:v>
                </c:pt>
                <c:pt idx="8">
                  <c:v>2017</c:v>
                </c:pt>
                <c:pt idx="9">
                  <c:v>2018</c:v>
                </c:pt>
                <c:pt idx="10">
                  <c:v>2019</c:v>
                </c:pt>
                <c:pt idx="11">
                  <c:v>2020</c:v>
                </c:pt>
              </c:numCache>
            </c:numRef>
          </c:cat>
          <c:val>
            <c:numRef>
              <c:f>Sheet1!$B$2:$B$13</c:f>
              <c:numCache>
                <c:formatCode>General</c:formatCode>
                <c:ptCount val="12"/>
                <c:pt idx="0">
                  <c:v>-2.1</c:v>
                </c:pt>
                <c:pt idx="1">
                  <c:v>30.1</c:v>
                </c:pt>
                <c:pt idx="2">
                  <c:v>21</c:v>
                </c:pt>
                <c:pt idx="3">
                  <c:v>-2.3</c:v>
                </c:pt>
                <c:pt idx="4">
                  <c:v>1.2</c:v>
                </c:pt>
                <c:pt idx="5">
                  <c:v>3.5</c:v>
                </c:pt>
                <c:pt idx="6">
                  <c:v>-2.7</c:v>
                </c:pt>
                <c:pt idx="7">
                  <c:v>6.4</c:v>
                </c:pt>
                <c:pt idx="8">
                  <c:v>7.2</c:v>
                </c:pt>
                <c:pt idx="9">
                  <c:v>-0.2</c:v>
                </c:pt>
                <c:pt idx="10">
                  <c:v>7.3</c:v>
                </c:pt>
                <c:pt idx="11">
                  <c:v>1.9</c:v>
                </c:pt>
              </c:numCache>
            </c:numRef>
          </c:val>
        </c:ser>
        <c:ser>
          <c:idx val="1"/>
          <c:order val="1"/>
          <c:tx>
            <c:strRef>
              <c:f>Sheet1!$C$1</c:f>
              <c:strCache>
                <c:ptCount val="1"/>
                <c:pt idx="0">
                  <c:v>列1</c:v>
                </c:pt>
              </c:strCache>
            </c:strRef>
          </c:tx>
          <c:spPr>
            <a:solidFill>
              <a:schemeClr val="accent2"/>
            </a:solidFill>
            <a:ln>
              <a:noFill/>
            </a:ln>
            <a:effectLst/>
          </c:spPr>
          <c:invertIfNegative val="0"/>
          <c:dLbls>
            <c:delete val="1"/>
            <c:showLegendKey val="0"/>
            <c:showVal val="0"/>
            <c:showCatName val="0"/>
            <c:showSerName val="0"/>
            <c:showPercent val="0"/>
            <c:showBubbleSize val="0"/>
          </c:dLbls>
          <c:cat>
            <c:numRef>
              <c:f>Sheet1!$A$2:$A$13</c:f>
              <c:numCache>
                <c:formatCode>General</c:formatCode>
                <c:ptCount val="12"/>
                <c:pt idx="0">
                  <c:v>2009</c:v>
                </c:pt>
                <c:pt idx="1">
                  <c:v>2010</c:v>
                </c:pt>
                <c:pt idx="2">
                  <c:v>2011</c:v>
                </c:pt>
                <c:pt idx="3">
                  <c:v>2012</c:v>
                </c:pt>
                <c:pt idx="4">
                  <c:v>2013</c:v>
                </c:pt>
                <c:pt idx="5">
                  <c:v>2014</c:v>
                </c:pt>
                <c:pt idx="6">
                  <c:v>2015</c:v>
                </c:pt>
                <c:pt idx="7">
                  <c:v>2016</c:v>
                </c:pt>
                <c:pt idx="8">
                  <c:v>2017</c:v>
                </c:pt>
                <c:pt idx="9">
                  <c:v>2018</c:v>
                </c:pt>
                <c:pt idx="10">
                  <c:v>2019</c:v>
                </c:pt>
                <c:pt idx="11">
                  <c:v>2020</c:v>
                </c:pt>
              </c:numCache>
            </c:numRef>
          </c:cat>
          <c:val>
            <c:numRef>
              <c:f>Sheet1!$C$2:$C$13</c:f>
              <c:numCache>
                <c:formatCode>General</c:formatCode>
                <c:ptCount val="12"/>
              </c:numCache>
            </c:numRef>
          </c:val>
        </c:ser>
        <c:ser>
          <c:idx val="2"/>
          <c:order val="2"/>
          <c:tx>
            <c:strRef>
              <c:f>Sheet1!$D$1</c:f>
              <c:strCache>
                <c:ptCount val="1"/>
                <c:pt idx="0">
                  <c:v>列2</c:v>
                </c:pt>
              </c:strCache>
            </c:strRef>
          </c:tx>
          <c:spPr>
            <a:solidFill>
              <a:schemeClr val="accent3"/>
            </a:solidFill>
            <a:ln>
              <a:noFill/>
            </a:ln>
            <a:effectLst/>
          </c:spPr>
          <c:invertIfNegative val="0"/>
          <c:dLbls>
            <c:delete val="1"/>
            <c:showLegendKey val="0"/>
            <c:showVal val="0"/>
            <c:showCatName val="0"/>
            <c:showSerName val="0"/>
            <c:showPercent val="0"/>
            <c:showBubbleSize val="0"/>
          </c:dLbls>
          <c:cat>
            <c:numRef>
              <c:f>Sheet1!$A$2:$A$13</c:f>
              <c:numCache>
                <c:formatCode>General</c:formatCode>
                <c:ptCount val="12"/>
                <c:pt idx="0">
                  <c:v>2009</c:v>
                </c:pt>
                <c:pt idx="1">
                  <c:v>2010</c:v>
                </c:pt>
                <c:pt idx="2">
                  <c:v>2011</c:v>
                </c:pt>
                <c:pt idx="3">
                  <c:v>2012</c:v>
                </c:pt>
                <c:pt idx="4">
                  <c:v>2013</c:v>
                </c:pt>
                <c:pt idx="5">
                  <c:v>2014</c:v>
                </c:pt>
                <c:pt idx="6">
                  <c:v>2015</c:v>
                </c:pt>
                <c:pt idx="7">
                  <c:v>2016</c:v>
                </c:pt>
                <c:pt idx="8">
                  <c:v>2017</c:v>
                </c:pt>
                <c:pt idx="9">
                  <c:v>2018</c:v>
                </c:pt>
                <c:pt idx="10">
                  <c:v>2019</c:v>
                </c:pt>
                <c:pt idx="11">
                  <c:v>2020</c:v>
                </c:pt>
              </c:numCache>
            </c:numRef>
          </c:cat>
          <c:val>
            <c:numRef>
              <c:f>Sheet1!$D$2:$D$13</c:f>
              <c:numCache>
                <c:formatCode>General</c:formatCode>
                <c:ptCount val="12"/>
              </c:numCache>
            </c:numRef>
          </c:val>
        </c:ser>
        <c:dLbls>
          <c:showLegendKey val="0"/>
          <c:showVal val="0"/>
          <c:showCatName val="0"/>
          <c:showSerName val="0"/>
          <c:showPercent val="0"/>
          <c:showBubbleSize val="0"/>
        </c:dLbls>
        <c:gapWidth val="219"/>
        <c:overlap val="-27"/>
        <c:axId val="233802752"/>
        <c:axId val="171611200"/>
      </c:barChart>
      <c:catAx>
        <c:axId val="233802752"/>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1611200"/>
        <c:crosses val="autoZero"/>
        <c:auto val="1"/>
        <c:lblAlgn val="ctr"/>
        <c:lblOffset val="100"/>
        <c:noMultiLvlLbl val="0"/>
      </c:catAx>
      <c:valAx>
        <c:axId val="171611200"/>
        <c:scaling>
          <c:orientation val="minMax"/>
        </c:scaling>
        <c:delete val="0"/>
        <c:axPos val="l"/>
        <c:majorGridlines>
          <c:spPr>
            <a:ln w="9525">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3802752"/>
        <c:crosses val="autoZero"/>
        <c:crossBetween val="between"/>
      </c:valAx>
      <c:spPr>
        <a:noFill/>
        <a:ln>
          <a:noFill/>
        </a:ln>
        <a:effectLst/>
      </c:spPr>
    </c:plotArea>
    <c:legend>
      <c:legendPos val="b"/>
      <c:legendEntry>
        <c:idx val="1"/>
        <c:delete val="1"/>
      </c:legendEntry>
      <c:legendEntry>
        <c:idx val="2"/>
        <c:delete val="1"/>
      </c:legendEntry>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word/theme/themeOverride2.xml><?xml version="1.0" encoding="utf-8"?>
<a:themeOverride xmlns:a="http://schemas.openxmlformats.org/drawingml/2006/main">
  <a:clrScheme xmlns:a="http://schemas.openxmlformats.org/drawingml/2006/main"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274728-C9BE-496C-A3BD-9D02FFA9BC1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2855</Words>
  <Characters>16278</Characters>
  <Application>Microsoft Office Word</Application>
  <DocSecurity>0</DocSecurity>
  <Lines>135</Lines>
  <Paragraphs>38</Paragraphs>
  <ScaleCrop>false</ScaleCrop>
  <Company>Ghost Win7 SP1 装机版  V2017/06/21</Company>
  <LinksUpToDate>false</LinksUpToDate>
  <CharactersWithSpaces>19095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ABEEL</cp:lastModifiedBy>
  <cp:revision>14</cp:revision>
  <cp:lastPrinted>2017-10-23T02:08:00Z</cp:lastPrinted>
  <dcterms:created xsi:type="dcterms:W3CDTF">2021-05-09T05:08:00Z</dcterms:created>
  <dcterms:modified xsi:type="dcterms:W3CDTF">2024-01-21T14:13:40Z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FDDA29A9B2C24F86AE4CACE8AB8A1014_13</vt:lpwstr>
  </property>
  <property fmtid="{D5CDD505-2E9C-101B-9397-08002B2CF9AE}" pid="3" name="KSOProductBuildVer">
    <vt:lpwstr>2052-12.1.0.16120</vt:lpwstr>
  </property>
  <property fmtid="{D5CDD505-2E9C-101B-9397-08002B2CF9AE}" pid="4" name="KSORubyTemplateID" linkTarget="0">
    <vt:lpwstr>6</vt:lpwstr>
  </property>
</Properties>
</file>