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00" w:lineRule="auto"/>
        <w:jc w:val="center"/>
        <w:rPr>
          <w:rFonts w:ascii="宋体" w:hAnsi="宋体" w:cs="宋体" w:hint="eastAsia"/>
          <w:b/>
          <w:bCs/>
          <w:sz w:val="36"/>
          <w:u w:val="single"/>
        </w:rPr>
      </w:pPr>
      <w:r>
        <w:rPr>
          <w:rFonts w:ascii="宋体" w:hAnsi="宋体" w:cs="宋体" w:hint="eastAsia"/>
          <w:b/>
          <w:bCs/>
          <w:sz w:val="30"/>
          <w:u w:val="single"/>
        </w:rPr>
        <w:t>基于渠道理论的康美药业营运资金管理</w:t>
      </w:r>
      <w:r>
        <w:rPr>
          <w:rFonts w:ascii="宋体" w:hAnsi="宋体" w:cs="宋体" w:hint="eastAsia"/>
          <w:b/>
          <w:bCs/>
          <w:sz w:val="30"/>
          <w:u w:val="single"/>
          <w:lang w:eastAsia="zh-CN"/>
        </w:rPr>
        <w:t>问题调研分析报告</w:t>
      </w:r>
    </w:p>
    <w:sdt>
      <w:sdtPr>
        <w:rPr>
          <w:rFonts w:ascii="Cambria" w:hAnsi="Cambria" w:hint="eastAsia"/>
          <w:bCs/>
          <w:sz w:val="32"/>
          <w:szCs w:val="32"/>
        </w:rPr>
        <w:id w:val="147461019"/>
        <w:docPartObj>
          <w:docPartGallery w:val="Table of Contents"/>
          <w:docPartUnique/>
        </w:docPartObj>
      </w:sdtPr>
      <w:sdtEndPr>
        <w:rPr>
          <w:rFonts w:ascii="Cambria" w:hAnsi="Cambria" w:hint="eastAsia"/>
          <w:b/>
          <w:bCs/>
          <w:sz w:val="24"/>
          <w:szCs w:val="32"/>
        </w:rPr>
      </w:sdtEndPr>
      <w:sdtContent>
        <w:p>
          <w:pPr>
            <w:jc w:val="center"/>
            <w:rPr>
              <w:rFonts w:ascii="Cambria" w:hAnsi="Cambria"/>
              <w:bCs/>
              <w:sz w:val="32"/>
              <w:szCs w:val="32"/>
            </w:rPr>
          </w:pPr>
          <w:r>
            <w:rPr>
              <w:rFonts w:ascii="Cambria" w:hAnsi="Cambria" w:hint="eastAsia"/>
              <w:bCs/>
              <w:sz w:val="32"/>
              <w:szCs w:val="32"/>
            </w:rPr>
            <w:t>目 录</w:t>
          </w:r>
        </w:p>
        <w:p>
          <w:pPr>
            <w:pStyle w:val="WPSOffice1"/>
            <w:tabs>
              <w:tab w:val="right" w:leader="dot" w:pos="8306"/>
            </w:tabs>
            <w:rPr>
              <w:b/>
            </w:rPr>
          </w:pPr>
          <w:r>
            <w:rPr>
              <w:rFonts w:ascii="Cambria" w:hAnsi="Cambria" w:hint="eastAsia"/>
              <w:bCs/>
              <w:kern w:val="2"/>
              <w:sz w:val="32"/>
              <w:szCs w:val="32"/>
            </w:rPr>
            <w:fldChar w:fldCharType="begin"/>
          </w:r>
          <w:r>
            <w:rPr>
              <w:rFonts w:ascii="Cambria" w:hAnsi="Cambria" w:hint="eastAsia"/>
              <w:bCs/>
              <w:kern w:val="2"/>
              <w:sz w:val="32"/>
              <w:szCs w:val="32"/>
            </w:rPr>
            <w:instrText xml:space="preserve">TOC \o "1-2" \h \u </w:instrText>
          </w:r>
          <w:r>
            <w:rPr>
              <w:rFonts w:ascii="Cambria" w:hAnsi="Cambria" w:hint="eastAsia"/>
              <w:bCs/>
              <w:kern w:val="2"/>
              <w:sz w:val="32"/>
              <w:szCs w:val="32"/>
            </w:rPr>
            <w:fldChar w:fldCharType="separate"/>
          </w:r>
          <w:bookmarkStart w:id="0" w:name="_GoBack"/>
          <w:bookmarkEnd w:id="0"/>
          <w:hyperlink w:anchor="_Toc30838" w:history="1">
            <w:r>
              <w:rPr>
                <w:rFonts w:ascii="宋体" w:hAnsi="宋体" w:cs="宋体" w:hint="eastAsia"/>
                <w:b/>
                <w:sz w:val="28"/>
                <w:szCs w:val="28"/>
              </w:rPr>
              <w:t>第一章 相关理论概述</w:t>
            </w:r>
            <w:r>
              <w:rPr>
                <w:bCs/>
                <w:sz w:val="28"/>
                <w:szCs w:val="28"/>
              </w:rPr>
              <w:tab/>
            </w:r>
            <w:r>
              <w:rPr>
                <w:rFonts w:ascii="宋体" w:hAnsi="宋体" w:cs="宋体" w:hint="eastAsia"/>
                <w:bCs/>
                <w:kern w:val="2"/>
                <w:sz w:val="24"/>
                <w:szCs w:val="24"/>
              </w:rPr>
              <w:fldChar w:fldCharType="begin"/>
            </w:r>
            <w:r>
              <w:rPr>
                <w:rFonts w:ascii="宋体" w:hAnsi="宋体" w:cs="宋体" w:hint="eastAsia"/>
                <w:bCs/>
                <w:kern w:val="2"/>
                <w:sz w:val="24"/>
                <w:szCs w:val="24"/>
              </w:rPr>
              <w:instrText xml:space="preserve"> PAGEREF _Toc30838 </w:instrText>
            </w:r>
            <w:r>
              <w:rPr>
                <w:rFonts w:ascii="宋体" w:hAnsi="宋体" w:cs="宋体" w:hint="eastAsia"/>
                <w:bCs/>
                <w:kern w:val="2"/>
                <w:sz w:val="24"/>
                <w:szCs w:val="24"/>
              </w:rPr>
              <w:fldChar w:fldCharType="separate"/>
            </w:r>
            <w:r>
              <w:rPr>
                <w:rFonts w:ascii="宋体" w:hAnsi="宋体" w:cs="宋体" w:hint="eastAsia"/>
                <w:bCs/>
                <w:kern w:val="2"/>
                <w:sz w:val="24"/>
                <w:szCs w:val="24"/>
              </w:rPr>
              <w:t>1</w:t>
            </w:r>
            <w:r>
              <w:rPr>
                <w:rFonts w:ascii="宋体" w:hAnsi="宋体" w:cs="宋体" w:hint="eastAsia"/>
                <w:bCs/>
                <w:kern w:val="2"/>
                <w:sz w:val="24"/>
                <w:szCs w:val="24"/>
              </w:rPr>
              <w:fldChar w:fldCharType="end"/>
            </w:r>
          </w:hyperlink>
        </w:p>
        <w:p>
          <w:pPr>
            <w:pStyle w:val="WPSOffice2"/>
            <w:tabs>
              <w:tab w:val="right" w:leader="dot" w:pos="8306"/>
            </w:tabs>
            <w:spacing w:line="480" w:lineRule="auto"/>
            <w:ind w:left="480"/>
            <w:rPr>
              <w:rFonts w:ascii="宋体" w:hAnsi="宋体" w:cs="宋体"/>
              <w:sz w:val="24"/>
              <w:szCs w:val="24"/>
            </w:rPr>
          </w:pPr>
          <w:hyperlink w:anchor="_Toc1453" w:history="1">
            <w:r>
              <w:rPr>
                <w:rFonts w:ascii="宋体" w:hAnsi="宋体" w:cs="宋体" w:hint="eastAsia"/>
                <w:sz w:val="24"/>
                <w:szCs w:val="24"/>
              </w:rPr>
              <w:t>1.1营运资金管理的概念</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_Toc1453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WPSOffice2"/>
            <w:tabs>
              <w:tab w:val="right" w:leader="dot" w:pos="8306"/>
            </w:tabs>
            <w:spacing w:line="480" w:lineRule="auto"/>
            <w:ind w:left="480"/>
            <w:rPr>
              <w:rFonts w:ascii="宋体" w:hAnsi="宋体" w:cs="宋体"/>
              <w:sz w:val="24"/>
              <w:szCs w:val="24"/>
            </w:rPr>
          </w:pPr>
          <w:hyperlink w:anchor="_Toc30852" w:history="1">
            <w:r>
              <w:rPr>
                <w:rFonts w:ascii="宋体" w:hAnsi="宋体" w:cs="宋体" w:hint="eastAsia"/>
                <w:sz w:val="24"/>
                <w:szCs w:val="24"/>
              </w:rPr>
              <w:t>1.2渠道理论</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_Toc30852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WPSOffice2"/>
            <w:tabs>
              <w:tab w:val="right" w:leader="dot" w:pos="8306"/>
            </w:tabs>
            <w:spacing w:line="480" w:lineRule="auto"/>
            <w:ind w:left="480"/>
            <w:rPr>
              <w:rFonts w:ascii="宋体" w:hAnsi="宋体" w:cs="宋体"/>
              <w:sz w:val="24"/>
              <w:szCs w:val="24"/>
            </w:rPr>
          </w:pPr>
          <w:hyperlink w:anchor="_Toc7161" w:history="1">
            <w:r>
              <w:rPr>
                <w:rFonts w:ascii="宋体" w:hAnsi="宋体" w:cs="宋体" w:hint="eastAsia"/>
                <w:sz w:val="24"/>
                <w:szCs w:val="24"/>
              </w:rPr>
              <w:t>1.3基于渠道理论的营运资金管理的主要内容</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_Toc7161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WPSOffice1"/>
            <w:tabs>
              <w:tab w:val="right" w:leader="dot" w:pos="8306"/>
            </w:tabs>
            <w:rPr>
              <w:rFonts w:ascii="宋体" w:hAnsi="宋体" w:cs="宋体"/>
              <w:b/>
            </w:rPr>
          </w:pPr>
          <w:hyperlink w:anchor="_Toc6999" w:history="1">
            <w:r>
              <w:rPr>
                <w:rFonts w:ascii="宋体" w:hAnsi="宋体" w:cs="宋体" w:hint="eastAsia"/>
                <w:b/>
                <w:sz w:val="28"/>
                <w:szCs w:val="28"/>
              </w:rPr>
              <w:t>第二章 基于渠道理论的康美药业营运资金管理的现状</w:t>
            </w:r>
            <w:r>
              <w:rPr>
                <w:bCs/>
                <w:sz w:val="28"/>
                <w:szCs w:val="28"/>
              </w:rPr>
              <w:tab/>
            </w:r>
            <w:r>
              <w:rPr>
                <w:rFonts w:ascii="宋体" w:hAnsi="宋体" w:cs="宋体" w:hint="eastAsia"/>
                <w:bCs/>
                <w:kern w:val="2"/>
                <w:sz w:val="24"/>
                <w:szCs w:val="24"/>
              </w:rPr>
              <w:t>3</w:t>
            </w:r>
          </w:hyperlink>
        </w:p>
        <w:p>
          <w:pPr>
            <w:pStyle w:val="WPSOffice2"/>
            <w:tabs>
              <w:tab w:val="right" w:leader="dot" w:pos="8306"/>
            </w:tabs>
            <w:spacing w:line="480" w:lineRule="auto"/>
            <w:ind w:left="480"/>
            <w:rPr>
              <w:rFonts w:ascii="宋体" w:hAnsi="宋体" w:cs="宋体"/>
              <w:bCs/>
              <w:kern w:val="2"/>
              <w:sz w:val="24"/>
              <w:szCs w:val="24"/>
            </w:rPr>
          </w:pPr>
          <w:hyperlink w:anchor="_Toc1782" w:history="1">
            <w:r>
              <w:rPr>
                <w:rFonts w:ascii="宋体" w:hAnsi="宋体" w:cs="宋体" w:hint="eastAsia"/>
                <w:bCs/>
                <w:kern w:val="2"/>
                <w:sz w:val="24"/>
                <w:szCs w:val="24"/>
              </w:rPr>
              <w:t>2.1康美药业公司简介</w:t>
            </w:r>
            <w:r>
              <w:rPr>
                <w:rFonts w:ascii="宋体" w:hAnsi="宋体" w:cs="宋体" w:hint="eastAsia"/>
                <w:bCs/>
                <w:kern w:val="2"/>
                <w:sz w:val="24"/>
                <w:szCs w:val="24"/>
              </w:rPr>
              <w:tab/>
            </w:r>
            <w:r>
              <w:rPr>
                <w:rFonts w:ascii="宋体" w:hAnsi="宋体" w:cs="宋体" w:hint="eastAsia"/>
                <w:bCs/>
                <w:kern w:val="2"/>
                <w:sz w:val="24"/>
                <w:szCs w:val="24"/>
              </w:rPr>
              <w:t>3</w:t>
            </w:r>
          </w:hyperlink>
        </w:p>
        <w:p>
          <w:pPr>
            <w:pStyle w:val="WPSOffice2"/>
            <w:tabs>
              <w:tab w:val="right" w:leader="dot" w:pos="8306"/>
            </w:tabs>
            <w:spacing w:line="480" w:lineRule="auto"/>
            <w:ind w:left="480"/>
            <w:rPr>
              <w:rFonts w:ascii="宋体" w:hAnsi="宋体" w:cs="宋体"/>
              <w:bCs/>
              <w:kern w:val="2"/>
              <w:sz w:val="24"/>
              <w:szCs w:val="24"/>
            </w:rPr>
          </w:pPr>
          <w:hyperlink w:anchor="_Toc21023" w:history="1">
            <w:r>
              <w:rPr>
                <w:rFonts w:ascii="宋体" w:hAnsi="宋体" w:cs="宋体" w:hint="eastAsia"/>
                <w:bCs/>
                <w:kern w:val="2"/>
                <w:sz w:val="24"/>
                <w:szCs w:val="24"/>
              </w:rPr>
              <w:t>2.2康美药业营运资金基本情况</w:t>
            </w:r>
            <w:r>
              <w:rPr>
                <w:rFonts w:ascii="宋体" w:hAnsi="宋体" w:cs="宋体" w:hint="eastAsia"/>
                <w:bCs/>
                <w:kern w:val="2"/>
                <w:sz w:val="24"/>
                <w:szCs w:val="24"/>
              </w:rPr>
              <w:tab/>
            </w:r>
          </w:hyperlink>
          <w:r>
            <w:rPr>
              <w:rFonts w:ascii="宋体" w:hAnsi="宋体" w:cs="宋体" w:hint="eastAsia"/>
              <w:bCs/>
              <w:kern w:val="2"/>
              <w:sz w:val="24"/>
              <w:szCs w:val="24"/>
            </w:rPr>
            <w:t>3</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2.2.1营运资金构成</w:t>
          </w:r>
          <w:r>
            <w:rPr>
              <w:rFonts w:ascii="宋体" w:hAnsi="宋体" w:cs="宋体" w:hint="eastAsia"/>
              <w:bCs/>
              <w:kern w:val="2"/>
              <w:sz w:val="24"/>
              <w:szCs w:val="24"/>
            </w:rPr>
            <w:tab/>
          </w:r>
          <w:r>
            <w:rPr>
              <w:rFonts w:ascii="宋体" w:hAnsi="宋体" w:cs="宋体" w:hint="eastAsia"/>
              <w:bCs/>
              <w:kern w:val="2"/>
              <w:sz w:val="24"/>
              <w:szCs w:val="24"/>
            </w:rPr>
            <w:t>3</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2.2.2流动资产构成</w:t>
          </w:r>
          <w:r>
            <w:rPr>
              <w:rFonts w:ascii="宋体" w:hAnsi="宋体" w:cs="宋体" w:hint="eastAsia"/>
              <w:bCs/>
              <w:kern w:val="2"/>
              <w:sz w:val="24"/>
              <w:szCs w:val="24"/>
            </w:rPr>
            <w:tab/>
          </w:r>
          <w:r>
            <w:rPr>
              <w:rFonts w:ascii="宋体" w:hAnsi="宋体" w:cs="宋体" w:hint="eastAsia"/>
              <w:bCs/>
              <w:kern w:val="2"/>
              <w:sz w:val="24"/>
              <w:szCs w:val="24"/>
            </w:rPr>
            <w:t>4</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2.2.3流动负债构成</w:t>
          </w:r>
          <w:r>
            <w:rPr>
              <w:rFonts w:ascii="宋体" w:hAnsi="宋体" w:cs="宋体" w:hint="eastAsia"/>
              <w:bCs/>
              <w:kern w:val="2"/>
              <w:sz w:val="24"/>
              <w:szCs w:val="24"/>
            </w:rPr>
            <w:tab/>
          </w:r>
          <w:r>
            <w:rPr>
              <w:rFonts w:ascii="宋体" w:hAnsi="宋体" w:cs="宋体" w:hint="eastAsia"/>
              <w:bCs/>
              <w:kern w:val="2"/>
              <w:sz w:val="24"/>
              <w:szCs w:val="24"/>
            </w:rPr>
            <w:t>5</w:t>
          </w:r>
        </w:p>
        <w:p>
          <w:pPr>
            <w:pStyle w:val="WPSOffice2"/>
            <w:tabs>
              <w:tab w:val="right" w:leader="dot" w:pos="8306"/>
            </w:tabs>
            <w:spacing w:line="480" w:lineRule="auto"/>
            <w:ind w:left="480"/>
            <w:rPr>
              <w:rFonts w:ascii="宋体" w:hAnsi="宋体" w:cs="宋体"/>
              <w:bCs/>
              <w:kern w:val="2"/>
              <w:sz w:val="24"/>
              <w:szCs w:val="24"/>
            </w:rPr>
          </w:pPr>
          <w:hyperlink w:anchor="_Toc9478" w:history="1">
            <w:r>
              <w:rPr>
                <w:rFonts w:ascii="宋体" w:hAnsi="宋体" w:cs="宋体" w:hint="eastAsia"/>
                <w:bCs/>
                <w:kern w:val="2"/>
                <w:sz w:val="24"/>
                <w:szCs w:val="24"/>
              </w:rPr>
              <w:t>2.3康美药业各渠道营运资金管理现状</w:t>
            </w:r>
            <w:r>
              <w:rPr>
                <w:rFonts w:ascii="宋体" w:hAnsi="宋体" w:cs="宋体" w:hint="eastAsia"/>
                <w:bCs/>
                <w:kern w:val="2"/>
                <w:sz w:val="24"/>
                <w:szCs w:val="24"/>
              </w:rPr>
              <w:tab/>
            </w:r>
            <w:r>
              <w:rPr>
                <w:rFonts w:ascii="宋体" w:hAnsi="宋体" w:cs="宋体" w:hint="eastAsia"/>
                <w:bCs/>
                <w:kern w:val="2"/>
                <w:sz w:val="24"/>
                <w:szCs w:val="24"/>
              </w:rPr>
              <w:t>6</w:t>
            </w:r>
          </w:hyperlink>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2.3.1采购渠道营运资金管理现状</w:t>
          </w:r>
          <w:r>
            <w:rPr>
              <w:rFonts w:ascii="宋体" w:hAnsi="宋体" w:cs="宋体" w:hint="eastAsia"/>
              <w:bCs/>
              <w:kern w:val="2"/>
              <w:sz w:val="24"/>
              <w:szCs w:val="24"/>
            </w:rPr>
            <w:tab/>
          </w:r>
          <w:r>
            <w:rPr>
              <w:rFonts w:ascii="宋体" w:hAnsi="宋体" w:cs="宋体" w:hint="eastAsia"/>
              <w:bCs/>
              <w:kern w:val="2"/>
              <w:sz w:val="24"/>
              <w:szCs w:val="24"/>
            </w:rPr>
            <w:t>6</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2.3.2销售渠道营运资金管理现状</w:t>
          </w:r>
          <w:r>
            <w:rPr>
              <w:rFonts w:ascii="宋体" w:hAnsi="宋体" w:cs="宋体" w:hint="eastAsia"/>
              <w:bCs/>
              <w:kern w:val="2"/>
              <w:sz w:val="24"/>
              <w:szCs w:val="24"/>
            </w:rPr>
            <w:tab/>
          </w:r>
          <w:r>
            <w:rPr>
              <w:rFonts w:ascii="宋体" w:hAnsi="宋体" w:cs="宋体" w:hint="eastAsia"/>
              <w:bCs/>
              <w:kern w:val="2"/>
              <w:sz w:val="24"/>
              <w:szCs w:val="24"/>
            </w:rPr>
            <w:t>6</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2.3.3生产渠道营运资金管理现状</w:t>
          </w:r>
          <w:r>
            <w:rPr>
              <w:rFonts w:ascii="宋体" w:hAnsi="宋体" w:cs="宋体" w:hint="eastAsia"/>
              <w:bCs/>
              <w:kern w:val="2"/>
              <w:sz w:val="24"/>
              <w:szCs w:val="24"/>
            </w:rPr>
            <w:tab/>
          </w:r>
          <w:r>
            <w:rPr>
              <w:rFonts w:ascii="宋体" w:hAnsi="宋体" w:cs="宋体" w:hint="eastAsia"/>
              <w:bCs/>
              <w:kern w:val="2"/>
              <w:sz w:val="24"/>
              <w:szCs w:val="24"/>
            </w:rPr>
            <w:t>7</w:t>
          </w:r>
        </w:p>
        <w:p>
          <w:pPr>
            <w:pStyle w:val="WPSOffice2"/>
            <w:tabs>
              <w:tab w:val="right" w:leader="dot" w:pos="8306"/>
            </w:tabs>
            <w:spacing w:line="480" w:lineRule="auto"/>
            <w:ind w:left="480"/>
            <w:rPr>
              <w:rFonts w:ascii="宋体" w:hAnsi="宋体" w:cs="宋体"/>
              <w:bCs/>
              <w:kern w:val="2"/>
              <w:sz w:val="24"/>
              <w:szCs w:val="24"/>
            </w:rPr>
          </w:pPr>
          <w:hyperlink w:anchor="_Toc13278" w:history="1">
            <w:r>
              <w:rPr>
                <w:rFonts w:ascii="宋体" w:hAnsi="宋体" w:cs="宋体" w:hint="eastAsia"/>
                <w:bCs/>
                <w:kern w:val="2"/>
                <w:sz w:val="24"/>
                <w:szCs w:val="24"/>
              </w:rPr>
              <w:t>2.4康美药业与同行业营运资金管理水平对比</w:t>
            </w:r>
            <w:r>
              <w:rPr>
                <w:rFonts w:ascii="宋体" w:hAnsi="宋体" w:cs="宋体" w:hint="eastAsia"/>
                <w:bCs/>
                <w:kern w:val="2"/>
                <w:sz w:val="24"/>
                <w:szCs w:val="24"/>
              </w:rPr>
              <w:tab/>
            </w:r>
            <w:r>
              <w:rPr>
                <w:rFonts w:ascii="宋体" w:hAnsi="宋体" w:cs="宋体" w:hint="eastAsia"/>
                <w:bCs/>
                <w:kern w:val="2"/>
                <w:sz w:val="24"/>
                <w:szCs w:val="24"/>
              </w:rPr>
              <w:t>8</w:t>
            </w:r>
          </w:hyperlink>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2.4.1采购渠道营运资金管理水平对比</w:t>
          </w:r>
          <w:r>
            <w:rPr>
              <w:rFonts w:ascii="宋体" w:hAnsi="宋体" w:cs="宋体" w:hint="eastAsia"/>
              <w:bCs/>
              <w:kern w:val="2"/>
              <w:sz w:val="24"/>
              <w:szCs w:val="24"/>
            </w:rPr>
            <w:tab/>
          </w:r>
          <w:r>
            <w:rPr>
              <w:rFonts w:ascii="宋体" w:hAnsi="宋体" w:cs="宋体" w:hint="eastAsia"/>
              <w:bCs/>
              <w:kern w:val="2"/>
              <w:sz w:val="24"/>
              <w:szCs w:val="24"/>
            </w:rPr>
            <w:t>8</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2.4.2生产渠道营运资金管理水平对比</w:t>
          </w:r>
          <w:r>
            <w:rPr>
              <w:rFonts w:ascii="宋体" w:hAnsi="宋体" w:cs="宋体" w:hint="eastAsia"/>
              <w:bCs/>
              <w:kern w:val="2"/>
              <w:sz w:val="24"/>
              <w:szCs w:val="24"/>
            </w:rPr>
            <w:tab/>
          </w:r>
          <w:r>
            <w:rPr>
              <w:rFonts w:ascii="宋体" w:hAnsi="宋体" w:cs="宋体" w:hint="eastAsia"/>
              <w:bCs/>
              <w:kern w:val="2"/>
              <w:sz w:val="24"/>
              <w:szCs w:val="24"/>
            </w:rPr>
            <w:t>9</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2.4.3销售渠道营运资金管理水平对比</w:t>
          </w:r>
          <w:r>
            <w:rPr>
              <w:rFonts w:ascii="宋体" w:hAnsi="宋体" w:cs="宋体" w:hint="eastAsia"/>
              <w:bCs/>
              <w:kern w:val="2"/>
              <w:sz w:val="24"/>
              <w:szCs w:val="24"/>
            </w:rPr>
            <w:tab/>
          </w:r>
          <w:r>
            <w:rPr>
              <w:rFonts w:ascii="宋体" w:hAnsi="宋体" w:cs="宋体" w:hint="eastAsia"/>
              <w:bCs/>
              <w:kern w:val="2"/>
              <w:sz w:val="24"/>
              <w:szCs w:val="24"/>
            </w:rPr>
            <w:t>10</w:t>
          </w:r>
        </w:p>
        <w:p>
          <w:pPr>
            <w:pStyle w:val="WPSOffice1"/>
            <w:tabs>
              <w:tab w:val="right" w:leader="dot" w:pos="8306"/>
            </w:tabs>
            <w:rPr>
              <w:b/>
            </w:rPr>
          </w:pPr>
          <w:hyperlink w:anchor="_Toc17059" w:history="1">
            <w:r>
              <w:rPr>
                <w:rFonts w:ascii="宋体" w:hAnsi="宋体" w:cs="宋体" w:hint="eastAsia"/>
                <w:b/>
                <w:sz w:val="28"/>
                <w:szCs w:val="28"/>
              </w:rPr>
              <w:t>第三章 基于渠道理论的康美药业营运资金管理存在的问题</w:t>
            </w:r>
            <w:r>
              <w:rPr>
                <w:rFonts w:ascii="宋体" w:hAnsi="宋体" w:cs="宋体" w:hint="eastAsia"/>
                <w:bCs/>
                <w:sz w:val="28"/>
                <w:szCs w:val="28"/>
              </w:rPr>
              <w:tab/>
            </w:r>
            <w:r>
              <w:rPr>
                <w:rFonts w:ascii="宋体" w:hAnsi="宋体" w:cs="宋体" w:hint="eastAsia"/>
                <w:bCs/>
                <w:sz w:val="24"/>
                <w:szCs w:val="24"/>
              </w:rPr>
              <w:t>1</w:t>
            </w:r>
          </w:hyperlink>
          <w:r>
            <w:rPr>
              <w:rFonts w:ascii="宋体" w:hAnsi="宋体" w:cs="宋体" w:hint="eastAsia"/>
              <w:bCs/>
              <w:sz w:val="24"/>
              <w:szCs w:val="24"/>
            </w:rPr>
            <w:t>2</w:t>
          </w:r>
        </w:p>
        <w:p>
          <w:pPr>
            <w:pStyle w:val="WPSOffice2"/>
            <w:tabs>
              <w:tab w:val="right" w:leader="dot" w:pos="8306"/>
            </w:tabs>
            <w:spacing w:line="480" w:lineRule="auto"/>
            <w:ind w:left="480"/>
            <w:rPr>
              <w:rFonts w:ascii="宋体" w:hAnsi="宋体" w:cs="宋体"/>
              <w:bCs/>
              <w:kern w:val="2"/>
              <w:sz w:val="24"/>
              <w:szCs w:val="24"/>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NumType w:fmt="upperRoman"/>
              <w:cols w:num="1" w:space="0"/>
              <w:titlePg/>
              <w:docGrid w:type="lines" w:linePitch="312" w:charSpace="0"/>
            </w:sectPr>
          </w:pPr>
          <w:hyperlink w:anchor="_Toc11933" w:history="1">
            <w:r>
              <w:rPr>
                <w:rFonts w:ascii="宋体" w:hAnsi="宋体" w:cs="宋体" w:hint="eastAsia"/>
                <w:bCs/>
                <w:kern w:val="2"/>
                <w:sz w:val="24"/>
                <w:szCs w:val="24"/>
              </w:rPr>
              <w:t>3.1采购渠道营运资金管理存在的问题</w:t>
            </w:r>
            <w:r>
              <w:rPr>
                <w:rFonts w:ascii="宋体" w:hAnsi="宋体" w:cs="宋体" w:hint="eastAsia"/>
                <w:bCs/>
                <w:kern w:val="2"/>
                <w:sz w:val="24"/>
                <w:szCs w:val="24"/>
              </w:rPr>
              <w:tab/>
            </w:r>
            <w:r>
              <w:rPr>
                <w:rFonts w:ascii="宋体" w:hAnsi="宋体" w:cs="宋体" w:hint="eastAsia"/>
                <w:bCs/>
                <w:kern w:val="2"/>
                <w:sz w:val="24"/>
                <w:szCs w:val="24"/>
              </w:rPr>
              <w:t>1</w:t>
            </w:r>
          </w:hyperlink>
          <w:r>
            <w:rPr>
              <w:rFonts w:ascii="宋体" w:hAnsi="宋体" w:cs="宋体" w:hint="eastAsia"/>
              <w:bCs/>
              <w:kern w:val="2"/>
              <w:sz w:val="24"/>
              <w:szCs w:val="24"/>
            </w:rPr>
            <w:t>2</w:t>
          </w:r>
        </w:p>
      </w:sdtContent>
    </w:sdt>
    <w:sdt>
      <w:sdtPr>
        <w:rPr>
          <w:rFonts w:ascii="Cambria" w:hAnsi="Cambria" w:hint="eastAsia"/>
          <w:bCs/>
          <w:sz w:val="32"/>
          <w:szCs w:val="32"/>
        </w:rPr>
        <w:id w:val="1789916049"/>
        <w:docPartObj>
          <w:docPartGallery w:val="Table of Contents"/>
          <w:docPartUnique/>
        </w:docPartObj>
      </w:sdtPr>
      <w:sdtEndPr>
        <w:rPr>
          <w:rFonts w:ascii="Cambria" w:hAnsi="Cambria" w:hint="eastAsia"/>
          <w:b/>
          <w:bCs/>
          <w:sz w:val="24"/>
          <w:szCs w:val="32"/>
        </w:rPr>
      </w:sdtEndPr>
      <w:sdtContent>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3.1.1应付账款占用金额大</w:t>
          </w:r>
          <w:r>
            <w:rPr>
              <w:rFonts w:ascii="宋体" w:hAnsi="宋体" w:cs="宋体" w:hint="eastAsia"/>
              <w:bCs/>
              <w:kern w:val="2"/>
              <w:sz w:val="24"/>
              <w:szCs w:val="24"/>
            </w:rPr>
            <w:tab/>
          </w:r>
          <w:r>
            <w:rPr>
              <w:rFonts w:ascii="宋体" w:hAnsi="宋体" w:cs="宋体" w:hint="eastAsia"/>
              <w:bCs/>
              <w:kern w:val="2"/>
              <w:sz w:val="24"/>
              <w:szCs w:val="24"/>
            </w:rPr>
            <w:t>12</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3.1.2</w:t>
          </w:r>
          <w:r>
            <w:rPr>
              <w:rFonts w:ascii="宋体" w:hAnsi="宋体" w:hint="eastAsia"/>
              <w:color w:val="000000"/>
              <w:sz w:val="24"/>
              <w:lang w:bidi="ar"/>
            </w:rPr>
            <w:t>采购固定资产以及难以变现的资产比重大</w:t>
          </w:r>
          <w:r>
            <w:rPr>
              <w:rFonts w:ascii="宋体" w:hAnsi="宋体" w:cs="宋体" w:hint="eastAsia"/>
              <w:bCs/>
              <w:kern w:val="2"/>
              <w:sz w:val="24"/>
              <w:szCs w:val="24"/>
            </w:rPr>
            <w:tab/>
          </w:r>
          <w:r>
            <w:rPr>
              <w:rFonts w:ascii="宋体" w:hAnsi="宋体" w:cs="宋体" w:hint="eastAsia"/>
              <w:bCs/>
              <w:kern w:val="2"/>
              <w:sz w:val="24"/>
              <w:szCs w:val="24"/>
            </w:rPr>
            <w:t>12</w:t>
          </w:r>
        </w:p>
        <w:p>
          <w:pPr>
            <w:pStyle w:val="WPSOffice2"/>
            <w:tabs>
              <w:tab w:val="right" w:leader="dot" w:pos="8306"/>
            </w:tabs>
            <w:spacing w:line="480" w:lineRule="auto"/>
            <w:ind w:left="480"/>
            <w:rPr>
              <w:rFonts w:ascii="宋体" w:hAnsi="宋体" w:cs="宋体"/>
              <w:bCs/>
              <w:kern w:val="2"/>
              <w:sz w:val="24"/>
              <w:szCs w:val="24"/>
            </w:rPr>
          </w:pPr>
          <w:hyperlink w:anchor="_Toc832" w:history="1">
            <w:r>
              <w:rPr>
                <w:rFonts w:ascii="宋体" w:hAnsi="宋体" w:cs="宋体" w:hint="eastAsia"/>
                <w:bCs/>
                <w:kern w:val="2"/>
                <w:sz w:val="24"/>
                <w:szCs w:val="24"/>
              </w:rPr>
              <w:t>3.2生产渠道营运资金管理存在的问题</w:t>
            </w:r>
            <w:r>
              <w:rPr>
                <w:rFonts w:ascii="宋体" w:hAnsi="宋体" w:cs="宋体" w:hint="eastAsia"/>
                <w:bCs/>
                <w:kern w:val="2"/>
                <w:sz w:val="24"/>
                <w:szCs w:val="24"/>
              </w:rPr>
              <w:tab/>
            </w:r>
            <w:r>
              <w:rPr>
                <w:rFonts w:ascii="宋体" w:hAnsi="宋体" w:cs="宋体" w:hint="eastAsia"/>
                <w:bCs/>
                <w:kern w:val="2"/>
                <w:sz w:val="24"/>
                <w:szCs w:val="24"/>
              </w:rPr>
              <w:t>1</w:t>
            </w:r>
          </w:hyperlink>
          <w:r>
            <w:rPr>
              <w:rFonts w:ascii="宋体" w:hAnsi="宋体" w:cs="宋体" w:hint="eastAsia"/>
              <w:bCs/>
              <w:kern w:val="2"/>
              <w:sz w:val="24"/>
              <w:szCs w:val="24"/>
            </w:rPr>
            <w:t>3</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3.2.1</w:t>
          </w:r>
          <w:r>
            <w:rPr>
              <w:rFonts w:ascii="宋体" w:hAnsi="宋体" w:hint="eastAsia"/>
              <w:color w:val="000000"/>
              <w:sz w:val="24"/>
              <w:lang w:bidi="ar"/>
            </w:rPr>
            <w:t>在产品资金占用大</w:t>
          </w:r>
          <w:r>
            <w:rPr>
              <w:rFonts w:ascii="宋体" w:hAnsi="宋体" w:cs="宋体" w:hint="eastAsia"/>
              <w:bCs/>
              <w:kern w:val="2"/>
              <w:sz w:val="24"/>
              <w:szCs w:val="24"/>
            </w:rPr>
            <w:tab/>
          </w:r>
          <w:r>
            <w:rPr>
              <w:rFonts w:ascii="宋体" w:hAnsi="宋体" w:cs="宋体" w:hint="eastAsia"/>
              <w:bCs/>
              <w:kern w:val="2"/>
              <w:sz w:val="24"/>
              <w:szCs w:val="24"/>
            </w:rPr>
            <w:t>13</w:t>
          </w:r>
        </w:p>
        <w:p>
          <w:pPr>
            <w:pStyle w:val="WPSOffice2"/>
            <w:tabs>
              <w:tab w:val="right" w:leader="dot" w:pos="8306"/>
            </w:tabs>
            <w:spacing w:line="480" w:lineRule="auto"/>
            <w:ind w:left="480"/>
            <w:rPr>
              <w:rFonts w:ascii="宋体" w:hAnsi="宋体"/>
              <w:color w:val="000000"/>
              <w:sz w:val="24"/>
              <w:lang w:bidi="ar"/>
            </w:rPr>
          </w:pPr>
          <w:r>
            <w:rPr>
              <w:rFonts w:ascii="宋体" w:hAnsi="宋体" w:hint="eastAsia"/>
              <w:color w:val="000000"/>
              <w:sz w:val="24"/>
              <w:lang w:bidi="ar"/>
            </w:rPr>
            <w:t xml:space="preserve">  3.2.2存货量大且周转速度缓慢</w:t>
          </w:r>
          <w:r>
            <w:rPr>
              <w:rFonts w:ascii="宋体" w:hAnsi="宋体" w:cs="宋体" w:hint="eastAsia"/>
              <w:bCs/>
              <w:kern w:val="2"/>
              <w:sz w:val="24"/>
              <w:szCs w:val="24"/>
            </w:rPr>
            <w:tab/>
          </w:r>
          <w:r>
            <w:rPr>
              <w:rFonts w:ascii="宋体" w:hAnsi="宋体" w:cs="宋体" w:hint="eastAsia"/>
              <w:bCs/>
              <w:kern w:val="2"/>
              <w:sz w:val="24"/>
              <w:szCs w:val="24"/>
            </w:rPr>
            <w:t>14</w:t>
          </w:r>
        </w:p>
        <w:p>
          <w:pPr>
            <w:pStyle w:val="WPSOffice2"/>
            <w:tabs>
              <w:tab w:val="right" w:leader="dot" w:pos="8306"/>
            </w:tabs>
            <w:spacing w:line="480" w:lineRule="auto"/>
            <w:ind w:left="480"/>
            <w:rPr>
              <w:rFonts w:ascii="宋体" w:hAnsi="宋体" w:cs="宋体"/>
              <w:bCs/>
              <w:kern w:val="2"/>
              <w:sz w:val="24"/>
              <w:szCs w:val="24"/>
            </w:rPr>
          </w:pPr>
          <w:hyperlink w:anchor="_Toc22350" w:history="1">
            <w:r>
              <w:rPr>
                <w:rFonts w:ascii="宋体" w:hAnsi="宋体" w:cs="宋体" w:hint="eastAsia"/>
                <w:bCs/>
                <w:kern w:val="2"/>
                <w:sz w:val="24"/>
                <w:szCs w:val="24"/>
              </w:rPr>
              <w:t>3.3销售渠道营运资金管理存在的问题</w:t>
            </w:r>
            <w:r>
              <w:rPr>
                <w:rFonts w:ascii="宋体" w:hAnsi="宋体" w:cs="宋体" w:hint="eastAsia"/>
                <w:bCs/>
                <w:kern w:val="2"/>
                <w:sz w:val="24"/>
                <w:szCs w:val="24"/>
              </w:rPr>
              <w:tab/>
            </w:r>
            <w:r>
              <w:rPr>
                <w:rFonts w:ascii="宋体" w:hAnsi="宋体" w:cs="宋体" w:hint="eastAsia"/>
                <w:bCs/>
                <w:kern w:val="2"/>
                <w:sz w:val="24"/>
                <w:szCs w:val="24"/>
              </w:rPr>
              <w:t>1</w:t>
            </w:r>
          </w:hyperlink>
          <w:r>
            <w:rPr>
              <w:rFonts w:ascii="宋体" w:hAnsi="宋体" w:cs="宋体" w:hint="eastAsia"/>
              <w:bCs/>
              <w:kern w:val="2"/>
              <w:sz w:val="24"/>
              <w:szCs w:val="24"/>
            </w:rPr>
            <w:t>5</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3.3.1</w:t>
          </w:r>
          <w:r>
            <w:rPr>
              <w:rFonts w:ascii="宋体" w:hAnsi="宋体" w:hint="eastAsia"/>
              <w:color w:val="000000"/>
              <w:sz w:val="24"/>
              <w:lang w:bidi="ar"/>
            </w:rPr>
            <w:t>产成品积压</w:t>
          </w:r>
          <w:r>
            <w:rPr>
              <w:rFonts w:ascii="宋体" w:hAnsi="宋体" w:cs="宋体" w:hint="eastAsia"/>
              <w:bCs/>
              <w:kern w:val="2"/>
              <w:sz w:val="24"/>
              <w:szCs w:val="24"/>
            </w:rPr>
            <w:tab/>
          </w:r>
          <w:r>
            <w:rPr>
              <w:rFonts w:ascii="宋体" w:hAnsi="宋体" w:cs="宋体" w:hint="eastAsia"/>
              <w:bCs/>
              <w:kern w:val="2"/>
              <w:sz w:val="24"/>
              <w:szCs w:val="24"/>
            </w:rPr>
            <w:t>15</w:t>
          </w:r>
        </w:p>
        <w:p>
          <w:pPr>
            <w:pStyle w:val="WPSOffice2"/>
            <w:tabs>
              <w:tab w:val="right" w:leader="dot" w:pos="8306"/>
            </w:tabs>
            <w:spacing w:line="480" w:lineRule="auto"/>
            <w:ind w:left="480"/>
            <w:rPr>
              <w:rFonts w:ascii="宋体" w:hAnsi="宋体"/>
              <w:color w:val="000000"/>
              <w:sz w:val="24"/>
              <w:lang w:bidi="ar"/>
            </w:rPr>
          </w:pPr>
          <w:r>
            <w:rPr>
              <w:rFonts w:ascii="宋体" w:hAnsi="宋体" w:hint="eastAsia"/>
              <w:color w:val="000000"/>
              <w:sz w:val="24"/>
              <w:lang w:bidi="ar"/>
            </w:rPr>
            <w:t xml:space="preserve">  3.3.2应收账款金额大且存在坏账风险</w:t>
          </w:r>
          <w:r>
            <w:rPr>
              <w:rFonts w:ascii="宋体" w:hAnsi="宋体" w:cs="宋体" w:hint="eastAsia"/>
              <w:bCs/>
              <w:kern w:val="2"/>
              <w:sz w:val="24"/>
              <w:szCs w:val="24"/>
            </w:rPr>
            <w:tab/>
          </w:r>
          <w:r>
            <w:rPr>
              <w:rFonts w:ascii="宋体" w:hAnsi="宋体" w:cs="宋体" w:hint="eastAsia"/>
              <w:bCs/>
              <w:kern w:val="2"/>
              <w:sz w:val="24"/>
              <w:szCs w:val="24"/>
            </w:rPr>
            <w:t>15</w:t>
          </w:r>
        </w:p>
        <w:p>
          <w:pPr>
            <w:pStyle w:val="WPSOffice1"/>
            <w:tabs>
              <w:tab w:val="right" w:leader="dot" w:pos="8306"/>
            </w:tabs>
            <w:outlineLvl w:val="2"/>
            <w:rPr>
              <w:b/>
              <w:sz w:val="28"/>
              <w:szCs w:val="28"/>
            </w:rPr>
          </w:pPr>
          <w:hyperlink w:anchor="_Toc21040" w:history="1">
            <w:r>
              <w:rPr>
                <w:rFonts w:ascii="宋体" w:hAnsi="宋体" w:cs="宋体" w:hint="eastAsia"/>
                <w:b/>
                <w:sz w:val="28"/>
                <w:szCs w:val="28"/>
              </w:rPr>
              <w:t>第四章 基于渠道理论的康美药业营运资金管理存在问题的原因</w:t>
            </w:r>
            <w:r>
              <w:rPr>
                <w:rFonts w:ascii="宋体" w:hAnsi="宋体" w:cs="宋体" w:hint="eastAsia"/>
                <w:bCs/>
                <w:sz w:val="28"/>
                <w:szCs w:val="28"/>
              </w:rPr>
              <w:tab/>
            </w:r>
            <w:r>
              <w:rPr>
                <w:rFonts w:ascii="宋体" w:hAnsi="宋体" w:cs="宋体" w:hint="eastAsia"/>
                <w:bCs/>
                <w:kern w:val="2"/>
                <w:sz w:val="24"/>
                <w:szCs w:val="24"/>
              </w:rPr>
              <w:t>1</w:t>
            </w:r>
          </w:hyperlink>
          <w:r>
            <w:rPr>
              <w:rFonts w:ascii="宋体" w:hAnsi="宋体" w:cs="宋体" w:hint="eastAsia"/>
              <w:bCs/>
              <w:kern w:val="2"/>
              <w:sz w:val="24"/>
              <w:szCs w:val="24"/>
            </w:rPr>
            <w:t>7</w:t>
          </w:r>
        </w:p>
        <w:p>
          <w:pPr>
            <w:pStyle w:val="WPSOffice2"/>
            <w:tabs>
              <w:tab w:val="right" w:leader="dot" w:pos="8306"/>
            </w:tabs>
            <w:spacing w:line="480" w:lineRule="auto"/>
            <w:ind w:left="480"/>
            <w:rPr>
              <w:rFonts w:ascii="宋体" w:hAnsi="宋体" w:cs="宋体"/>
              <w:bCs/>
              <w:kern w:val="2"/>
              <w:sz w:val="24"/>
              <w:szCs w:val="24"/>
            </w:rPr>
          </w:pPr>
          <w:hyperlink w:anchor="_Toc30102" w:history="1">
            <w:r>
              <w:rPr>
                <w:rFonts w:ascii="宋体" w:hAnsi="宋体" w:cs="宋体" w:hint="eastAsia"/>
                <w:bCs/>
                <w:kern w:val="2"/>
                <w:sz w:val="24"/>
                <w:szCs w:val="24"/>
              </w:rPr>
              <w:t>4.1采购渠道营运资金管理存在问题的原因</w:t>
            </w:r>
            <w:r>
              <w:rPr>
                <w:rFonts w:ascii="宋体" w:hAnsi="宋体" w:cs="宋体" w:hint="eastAsia"/>
                <w:bCs/>
                <w:kern w:val="2"/>
                <w:sz w:val="24"/>
                <w:szCs w:val="24"/>
              </w:rPr>
              <w:tab/>
            </w:r>
          </w:hyperlink>
          <w:r>
            <w:rPr>
              <w:rFonts w:ascii="宋体" w:hAnsi="宋体" w:cs="宋体" w:hint="eastAsia"/>
              <w:bCs/>
              <w:kern w:val="2"/>
              <w:sz w:val="24"/>
              <w:szCs w:val="24"/>
            </w:rPr>
            <w:t>17</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4.1.1</w:t>
          </w:r>
          <w:r>
            <w:rPr>
              <w:rFonts w:ascii="宋体" w:hAnsi="宋体" w:hint="eastAsia"/>
              <w:color w:val="000000"/>
              <w:sz w:val="24"/>
              <w:lang w:bidi="ar"/>
            </w:rPr>
            <w:t>企业过度依赖赊购方式</w:t>
          </w:r>
          <w:r>
            <w:rPr>
              <w:rFonts w:ascii="宋体" w:hAnsi="宋体" w:cs="宋体" w:hint="eastAsia"/>
              <w:bCs/>
              <w:kern w:val="2"/>
              <w:sz w:val="24"/>
              <w:szCs w:val="24"/>
            </w:rPr>
            <w:tab/>
          </w:r>
          <w:r>
            <w:rPr>
              <w:rFonts w:ascii="宋体" w:hAnsi="宋体" w:cs="宋体" w:hint="eastAsia"/>
              <w:bCs/>
              <w:kern w:val="2"/>
              <w:sz w:val="24"/>
              <w:szCs w:val="24"/>
            </w:rPr>
            <w:t>17</w:t>
          </w:r>
        </w:p>
        <w:p>
          <w:pPr>
            <w:pStyle w:val="WPSOffice2"/>
            <w:tabs>
              <w:tab w:val="right" w:leader="dot" w:pos="8306"/>
            </w:tabs>
            <w:spacing w:line="480" w:lineRule="auto"/>
            <w:ind w:left="480"/>
            <w:rPr>
              <w:rFonts w:ascii="宋体" w:hAnsi="宋体"/>
              <w:color w:val="000000"/>
              <w:sz w:val="24"/>
              <w:lang w:bidi="ar"/>
            </w:rPr>
          </w:pPr>
          <w:r>
            <w:rPr>
              <w:rFonts w:ascii="宋体" w:hAnsi="宋体" w:hint="eastAsia"/>
              <w:color w:val="000000"/>
              <w:sz w:val="24"/>
              <w:lang w:bidi="ar"/>
            </w:rPr>
            <w:t xml:space="preserve">  4.1.2企业资产结构安排不注重企业长期价值创造</w:t>
          </w:r>
          <w:r>
            <w:rPr>
              <w:rFonts w:ascii="宋体" w:hAnsi="宋体" w:cs="宋体" w:hint="eastAsia"/>
              <w:bCs/>
              <w:kern w:val="2"/>
              <w:sz w:val="24"/>
              <w:szCs w:val="24"/>
            </w:rPr>
            <w:tab/>
          </w:r>
          <w:r>
            <w:rPr>
              <w:rFonts w:ascii="宋体" w:hAnsi="宋体" w:cs="宋体" w:hint="eastAsia"/>
              <w:bCs/>
              <w:kern w:val="2"/>
              <w:sz w:val="24"/>
              <w:szCs w:val="24"/>
            </w:rPr>
            <w:t>17</w:t>
          </w:r>
        </w:p>
        <w:p>
          <w:pPr>
            <w:pStyle w:val="WPSOffice2"/>
            <w:tabs>
              <w:tab w:val="right" w:leader="dot" w:pos="8306"/>
            </w:tabs>
            <w:spacing w:line="480" w:lineRule="auto"/>
            <w:ind w:left="480"/>
            <w:rPr>
              <w:rFonts w:ascii="宋体" w:hAnsi="宋体" w:cs="宋体"/>
              <w:bCs/>
              <w:kern w:val="2"/>
              <w:sz w:val="24"/>
              <w:szCs w:val="24"/>
            </w:rPr>
          </w:pPr>
          <w:hyperlink w:anchor="_Toc9140" w:history="1">
            <w:r>
              <w:rPr>
                <w:rFonts w:ascii="宋体" w:hAnsi="宋体" w:cs="宋体" w:hint="eastAsia"/>
                <w:bCs/>
                <w:kern w:val="2"/>
                <w:sz w:val="24"/>
                <w:szCs w:val="24"/>
              </w:rPr>
              <w:t>4.2生产渠道营运资金管理存在问题的原因</w:t>
            </w:r>
            <w:r>
              <w:rPr>
                <w:rFonts w:ascii="宋体" w:hAnsi="宋体" w:cs="宋体" w:hint="eastAsia"/>
                <w:bCs/>
                <w:kern w:val="2"/>
                <w:sz w:val="24"/>
                <w:szCs w:val="24"/>
              </w:rPr>
              <w:tab/>
            </w:r>
            <w:r>
              <w:rPr>
                <w:rFonts w:ascii="宋体" w:hAnsi="宋体" w:cs="宋体" w:hint="eastAsia"/>
                <w:bCs/>
                <w:kern w:val="2"/>
                <w:sz w:val="24"/>
                <w:szCs w:val="24"/>
              </w:rPr>
              <w:t>1</w:t>
            </w:r>
          </w:hyperlink>
          <w:r>
            <w:rPr>
              <w:rFonts w:ascii="宋体" w:hAnsi="宋体" w:cs="宋体" w:hint="eastAsia"/>
              <w:bCs/>
              <w:kern w:val="2"/>
              <w:sz w:val="24"/>
              <w:szCs w:val="24"/>
            </w:rPr>
            <w:t>8</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4.2.1生产渠道模式落后</w:t>
          </w:r>
          <w:r>
            <w:rPr>
              <w:rFonts w:ascii="宋体" w:hAnsi="宋体" w:cs="宋体" w:hint="eastAsia"/>
              <w:bCs/>
              <w:kern w:val="2"/>
              <w:sz w:val="24"/>
              <w:szCs w:val="24"/>
            </w:rPr>
            <w:tab/>
          </w:r>
          <w:r>
            <w:rPr>
              <w:rFonts w:ascii="宋体" w:hAnsi="宋体" w:cs="宋体" w:hint="eastAsia"/>
              <w:bCs/>
              <w:kern w:val="2"/>
              <w:sz w:val="24"/>
              <w:szCs w:val="24"/>
            </w:rPr>
            <w:t>18</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4.2.2渠道间信息没有充分共享</w:t>
          </w:r>
          <w:r>
            <w:rPr>
              <w:rFonts w:ascii="宋体" w:hAnsi="宋体" w:cs="宋体" w:hint="eastAsia"/>
              <w:bCs/>
              <w:kern w:val="2"/>
              <w:sz w:val="24"/>
              <w:szCs w:val="24"/>
            </w:rPr>
            <w:tab/>
          </w:r>
          <w:r>
            <w:rPr>
              <w:rFonts w:ascii="宋体" w:hAnsi="宋体" w:cs="宋体" w:hint="eastAsia"/>
              <w:bCs/>
              <w:kern w:val="2"/>
              <w:sz w:val="24"/>
              <w:szCs w:val="24"/>
            </w:rPr>
            <w:t>18</w:t>
          </w:r>
        </w:p>
        <w:p>
          <w:pPr>
            <w:pStyle w:val="WPSOffice2"/>
            <w:tabs>
              <w:tab w:val="right" w:leader="dot" w:pos="8306"/>
            </w:tabs>
            <w:spacing w:line="480" w:lineRule="auto"/>
            <w:ind w:left="480"/>
            <w:rPr>
              <w:rFonts w:ascii="宋体" w:hAnsi="宋体" w:cs="宋体"/>
              <w:bCs/>
              <w:kern w:val="2"/>
              <w:sz w:val="24"/>
              <w:szCs w:val="24"/>
            </w:rPr>
          </w:pPr>
          <w:hyperlink w:anchor="_Toc4886" w:history="1">
            <w:r>
              <w:rPr>
                <w:rFonts w:ascii="宋体" w:hAnsi="宋体" w:cs="宋体" w:hint="eastAsia"/>
                <w:bCs/>
                <w:kern w:val="2"/>
                <w:sz w:val="24"/>
                <w:szCs w:val="24"/>
              </w:rPr>
              <w:t>4.3销售渠道营运资金管理存在问题的原因</w:t>
            </w:r>
            <w:r>
              <w:rPr>
                <w:rFonts w:ascii="宋体" w:hAnsi="宋体" w:cs="宋体" w:hint="eastAsia"/>
                <w:bCs/>
                <w:kern w:val="2"/>
                <w:sz w:val="24"/>
                <w:szCs w:val="24"/>
              </w:rPr>
              <w:tab/>
            </w:r>
          </w:hyperlink>
          <w:r>
            <w:rPr>
              <w:rFonts w:ascii="宋体" w:hAnsi="宋体" w:cs="宋体" w:hint="eastAsia"/>
              <w:bCs/>
              <w:kern w:val="2"/>
              <w:sz w:val="24"/>
              <w:szCs w:val="24"/>
            </w:rPr>
            <w:t>18</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4.3.1</w:t>
          </w:r>
          <w:r>
            <w:rPr>
              <w:rFonts w:ascii="宋体" w:hAnsi="宋体" w:hint="eastAsia"/>
              <w:color w:val="000000"/>
              <w:sz w:val="24"/>
              <w:lang w:bidi="ar"/>
            </w:rPr>
            <w:t>销售渠道不畅通，销售市场不均衡</w:t>
          </w:r>
          <w:r>
            <w:rPr>
              <w:rFonts w:ascii="宋体" w:hAnsi="宋体" w:cs="宋体" w:hint="eastAsia"/>
              <w:bCs/>
              <w:kern w:val="2"/>
              <w:sz w:val="24"/>
              <w:szCs w:val="24"/>
            </w:rPr>
            <w:tab/>
          </w:r>
          <w:r>
            <w:rPr>
              <w:rFonts w:ascii="宋体" w:hAnsi="宋体" w:cs="宋体" w:hint="eastAsia"/>
              <w:bCs/>
              <w:kern w:val="2"/>
              <w:sz w:val="24"/>
              <w:szCs w:val="24"/>
            </w:rPr>
            <w:t>18</w:t>
          </w:r>
        </w:p>
        <w:p>
          <w:pPr>
            <w:pStyle w:val="WPSOffice2"/>
            <w:tabs>
              <w:tab w:val="right" w:leader="dot" w:pos="8306"/>
            </w:tabs>
            <w:spacing w:line="480" w:lineRule="auto"/>
            <w:ind w:left="480"/>
            <w:rPr>
              <w:rFonts w:ascii="宋体" w:hAnsi="宋体"/>
              <w:color w:val="000000"/>
              <w:sz w:val="24"/>
              <w:lang w:bidi="ar"/>
            </w:rPr>
          </w:pPr>
          <w:r>
            <w:rPr>
              <w:rFonts w:ascii="宋体" w:hAnsi="宋体" w:hint="eastAsia"/>
              <w:color w:val="000000"/>
              <w:sz w:val="24"/>
              <w:lang w:bidi="ar"/>
            </w:rPr>
            <w:t xml:space="preserve">  4.3.2信用政策宽松</w:t>
          </w:r>
          <w:r>
            <w:rPr>
              <w:rFonts w:ascii="宋体" w:hAnsi="宋体" w:cs="宋体" w:hint="eastAsia"/>
              <w:bCs/>
              <w:kern w:val="2"/>
              <w:sz w:val="24"/>
              <w:szCs w:val="24"/>
            </w:rPr>
            <w:tab/>
          </w:r>
          <w:r>
            <w:rPr>
              <w:rFonts w:ascii="宋体" w:hAnsi="宋体" w:cs="宋体" w:hint="eastAsia"/>
              <w:bCs/>
              <w:kern w:val="2"/>
              <w:sz w:val="24"/>
              <w:szCs w:val="24"/>
            </w:rPr>
            <w:t>18</w:t>
          </w:r>
        </w:p>
        <w:p>
          <w:pPr>
            <w:pStyle w:val="WPSOffice1"/>
            <w:tabs>
              <w:tab w:val="right" w:leader="dot" w:pos="8306"/>
            </w:tabs>
            <w:spacing w:line="360" w:lineRule="auto"/>
            <w:rPr>
              <w:b/>
            </w:rPr>
          </w:pPr>
          <w:hyperlink w:anchor="_Toc20393" w:history="1">
            <w:r>
              <w:rPr>
                <w:rFonts w:ascii="宋体" w:hAnsi="宋体" w:cs="宋体" w:hint="eastAsia"/>
                <w:b/>
                <w:sz w:val="28"/>
                <w:szCs w:val="28"/>
              </w:rPr>
              <w:t>第五章 基于渠道理论的康美药业营运资金管理的提升建议</w:t>
            </w:r>
            <w:r>
              <w:rPr>
                <w:rFonts w:ascii="宋体" w:hAnsi="宋体" w:cs="宋体" w:hint="eastAsia"/>
                <w:bCs/>
                <w:sz w:val="28"/>
                <w:szCs w:val="28"/>
              </w:rPr>
              <w:tab/>
            </w:r>
            <w:r>
              <w:rPr>
                <w:rFonts w:ascii="宋体" w:hAnsi="宋体" w:cs="宋体" w:hint="eastAsia"/>
                <w:bCs/>
                <w:kern w:val="2"/>
                <w:sz w:val="24"/>
                <w:szCs w:val="24"/>
              </w:rPr>
              <w:t>2</w:t>
            </w:r>
          </w:hyperlink>
          <w:r>
            <w:rPr>
              <w:rFonts w:ascii="宋体" w:hAnsi="宋体" w:cs="宋体" w:hint="eastAsia"/>
              <w:bCs/>
              <w:kern w:val="2"/>
              <w:sz w:val="24"/>
              <w:szCs w:val="24"/>
            </w:rPr>
            <w:t>0</w:t>
          </w:r>
        </w:p>
        <w:p>
          <w:pPr>
            <w:pStyle w:val="WPSOffice2"/>
            <w:tabs>
              <w:tab w:val="right" w:leader="dot" w:pos="8306"/>
            </w:tabs>
            <w:spacing w:line="480" w:lineRule="auto"/>
            <w:ind w:left="480"/>
            <w:rPr>
              <w:rFonts w:ascii="宋体" w:hAnsi="宋体" w:cs="宋体"/>
              <w:bCs/>
              <w:kern w:val="2"/>
              <w:sz w:val="24"/>
              <w:szCs w:val="24"/>
            </w:rPr>
          </w:pPr>
          <w:hyperlink w:anchor="_Toc20984" w:history="1">
            <w:r>
              <w:rPr>
                <w:rFonts w:ascii="宋体" w:hAnsi="宋体" w:cs="宋体" w:hint="eastAsia"/>
                <w:bCs/>
                <w:kern w:val="2"/>
                <w:sz w:val="24"/>
                <w:szCs w:val="24"/>
              </w:rPr>
              <w:t>5.1采购渠道营运资金管理提升建议</w:t>
            </w:r>
            <w:r>
              <w:rPr>
                <w:rFonts w:ascii="宋体" w:hAnsi="宋体" w:cs="宋体" w:hint="eastAsia"/>
                <w:bCs/>
                <w:kern w:val="2"/>
                <w:sz w:val="24"/>
                <w:szCs w:val="24"/>
              </w:rPr>
              <w:tab/>
            </w:r>
            <w:r>
              <w:rPr>
                <w:rFonts w:ascii="宋体" w:hAnsi="宋体" w:cs="宋体" w:hint="eastAsia"/>
                <w:bCs/>
                <w:kern w:val="2"/>
                <w:sz w:val="24"/>
                <w:szCs w:val="24"/>
              </w:rPr>
              <w:t>2</w:t>
            </w:r>
          </w:hyperlink>
          <w:r>
            <w:rPr>
              <w:rFonts w:ascii="宋体" w:hAnsi="宋体" w:cs="宋体" w:hint="eastAsia"/>
              <w:bCs/>
              <w:kern w:val="2"/>
              <w:sz w:val="24"/>
              <w:szCs w:val="24"/>
            </w:rPr>
            <w:t>0</w:t>
          </w:r>
        </w:p>
        <w:p>
          <w:pPr>
            <w:pStyle w:val="WPSOffice2"/>
            <w:tabs>
              <w:tab w:val="right" w:leader="dot" w:pos="8306"/>
            </w:tabs>
            <w:spacing w:line="480" w:lineRule="auto"/>
            <w:ind w:left="480"/>
            <w:rPr>
              <w:rFonts w:ascii="宋体" w:hAnsi="宋体"/>
              <w:color w:val="000000"/>
              <w:sz w:val="24"/>
              <w:lang w:bidi="ar"/>
            </w:rPr>
          </w:pPr>
          <w:r>
            <w:rPr>
              <w:rFonts w:ascii="宋体" w:hAnsi="宋体" w:cs="宋体" w:hint="eastAsia"/>
              <w:bCs/>
              <w:kern w:val="2"/>
              <w:sz w:val="24"/>
              <w:szCs w:val="24"/>
            </w:rPr>
            <w:t xml:space="preserve">  </w:t>
          </w:r>
          <w:r>
            <w:rPr>
              <w:rFonts w:ascii="宋体" w:hAnsi="宋体" w:hint="eastAsia"/>
              <w:color w:val="000000"/>
              <w:sz w:val="24"/>
              <w:lang w:bidi="ar"/>
            </w:rPr>
            <w:t>5.1.1明确采购管理权责体系</w:t>
          </w:r>
          <w:r>
            <w:rPr>
              <w:rFonts w:ascii="宋体" w:hAnsi="宋体" w:cs="宋体" w:hint="eastAsia"/>
              <w:bCs/>
              <w:kern w:val="2"/>
              <w:sz w:val="24"/>
              <w:szCs w:val="24"/>
            </w:rPr>
            <w:tab/>
          </w:r>
          <w:r>
            <w:rPr>
              <w:rFonts w:ascii="宋体" w:hAnsi="宋体" w:cs="宋体" w:hint="eastAsia"/>
              <w:bCs/>
              <w:kern w:val="2"/>
              <w:sz w:val="24"/>
              <w:szCs w:val="24"/>
            </w:rPr>
            <w:t>20</w:t>
          </w:r>
        </w:p>
        <w:p>
          <w:pPr>
            <w:pStyle w:val="WPSOffice2"/>
            <w:tabs>
              <w:tab w:val="right" w:leader="dot" w:pos="8306"/>
            </w:tabs>
            <w:spacing w:line="480" w:lineRule="auto"/>
            <w:ind w:left="480"/>
            <w:rPr>
              <w:rFonts w:ascii="宋体" w:hAnsi="宋体"/>
              <w:color w:val="000000"/>
              <w:sz w:val="24"/>
              <w:lang w:bidi="ar"/>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fmt="upperRoman" w:start="2"/>
              <w:cols w:num="1" w:space="0"/>
              <w:titlePg w:val="0"/>
              <w:docGrid w:type="lines" w:linePitch="312" w:charSpace="0"/>
            </w:sectPr>
          </w:pPr>
          <w:r>
            <w:rPr>
              <w:rFonts w:ascii="宋体" w:hAnsi="宋体" w:hint="eastAsia"/>
              <w:color w:val="000000"/>
              <w:sz w:val="24"/>
              <w:lang w:bidi="ar"/>
            </w:rPr>
            <w:t xml:space="preserve">  5.1.2合理安排采购资产比例</w:t>
          </w:r>
          <w:r>
            <w:rPr>
              <w:rFonts w:ascii="宋体" w:hAnsi="宋体" w:cs="宋体" w:hint="eastAsia"/>
              <w:bCs/>
              <w:kern w:val="2"/>
              <w:sz w:val="24"/>
              <w:szCs w:val="24"/>
            </w:rPr>
            <w:tab/>
          </w:r>
          <w:r>
            <w:rPr>
              <w:rFonts w:ascii="宋体" w:hAnsi="宋体" w:cs="宋体" w:hint="eastAsia"/>
              <w:bCs/>
              <w:kern w:val="2"/>
              <w:sz w:val="24"/>
              <w:szCs w:val="24"/>
            </w:rPr>
            <w:t>20</w:t>
          </w:r>
        </w:p>
      </w:sdtContent>
    </w:sdt>
    <w:sdt>
      <w:sdtPr>
        <w:rPr>
          <w:rFonts w:ascii="Cambria" w:hAnsi="Cambria" w:hint="eastAsia"/>
          <w:bCs/>
          <w:sz w:val="32"/>
          <w:szCs w:val="32"/>
        </w:rPr>
        <w:id w:val="77755843"/>
        <w:docPartObj>
          <w:docPartGallery w:val="Table of Contents"/>
          <w:docPartUnique/>
        </w:docPartObj>
      </w:sdtPr>
      <w:sdtEndPr>
        <w:rPr>
          <w:rFonts w:ascii="Cambria" w:hAnsi="Cambria" w:hint="eastAsia"/>
          <w:b/>
          <w:bCs/>
          <w:sz w:val="24"/>
          <w:szCs w:val="32"/>
        </w:rPr>
      </w:sdtEndPr>
      <w:sdtContent>
        <w:p>
          <w:pPr>
            <w:pStyle w:val="WPSOffice2"/>
            <w:tabs>
              <w:tab w:val="right" w:leader="dot" w:pos="8306"/>
            </w:tabs>
            <w:spacing w:line="480" w:lineRule="auto"/>
            <w:ind w:left="480"/>
            <w:rPr>
              <w:rFonts w:ascii="宋体" w:hAnsi="宋体" w:cs="宋体"/>
              <w:bCs/>
              <w:kern w:val="2"/>
              <w:sz w:val="24"/>
              <w:szCs w:val="24"/>
            </w:rPr>
          </w:pPr>
          <w:hyperlink w:anchor="_Toc23142" w:history="1">
            <w:r>
              <w:rPr>
                <w:rFonts w:ascii="宋体" w:hAnsi="宋体" w:cs="宋体" w:hint="eastAsia"/>
                <w:bCs/>
                <w:kern w:val="2"/>
                <w:sz w:val="24"/>
                <w:szCs w:val="24"/>
              </w:rPr>
              <w:t>5.2生产渠道营运资金管理提升建议</w:t>
            </w:r>
            <w:r>
              <w:rPr>
                <w:rFonts w:ascii="宋体" w:hAnsi="宋体" w:cs="宋体" w:hint="eastAsia"/>
                <w:bCs/>
                <w:kern w:val="2"/>
                <w:sz w:val="24"/>
                <w:szCs w:val="24"/>
              </w:rPr>
              <w:tab/>
            </w:r>
            <w:r>
              <w:rPr>
                <w:rFonts w:ascii="宋体" w:hAnsi="宋体" w:cs="宋体" w:hint="eastAsia"/>
                <w:bCs/>
                <w:kern w:val="2"/>
                <w:sz w:val="24"/>
                <w:szCs w:val="24"/>
              </w:rPr>
              <w:t>2</w:t>
            </w:r>
          </w:hyperlink>
          <w:r>
            <w:rPr>
              <w:rFonts w:ascii="宋体" w:hAnsi="宋体" w:cs="宋体" w:hint="eastAsia"/>
              <w:bCs/>
              <w:kern w:val="2"/>
              <w:sz w:val="24"/>
              <w:szCs w:val="24"/>
            </w:rPr>
            <w:t>0</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5.2.1缩短生产周期，合理安排资产结构</w:t>
          </w:r>
          <w:r>
            <w:rPr>
              <w:rFonts w:ascii="宋体" w:hAnsi="宋体" w:cs="宋体" w:hint="eastAsia"/>
              <w:bCs/>
              <w:kern w:val="2"/>
              <w:sz w:val="24"/>
              <w:szCs w:val="24"/>
            </w:rPr>
            <w:tab/>
          </w:r>
          <w:r>
            <w:rPr>
              <w:rFonts w:ascii="宋体" w:hAnsi="宋体" w:cs="宋体" w:hint="eastAsia"/>
              <w:bCs/>
              <w:kern w:val="2"/>
              <w:sz w:val="24"/>
              <w:szCs w:val="24"/>
            </w:rPr>
            <w:t>20</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5.2.2保持渠道间信息共享畅通</w:t>
          </w:r>
          <w:r>
            <w:rPr>
              <w:rFonts w:ascii="宋体" w:hAnsi="宋体" w:cs="宋体" w:hint="eastAsia"/>
              <w:bCs/>
              <w:kern w:val="2"/>
              <w:sz w:val="24"/>
              <w:szCs w:val="24"/>
            </w:rPr>
            <w:tab/>
          </w:r>
          <w:r>
            <w:rPr>
              <w:rFonts w:ascii="宋体" w:hAnsi="宋体" w:cs="宋体" w:hint="eastAsia"/>
              <w:bCs/>
              <w:kern w:val="2"/>
              <w:sz w:val="24"/>
              <w:szCs w:val="24"/>
            </w:rPr>
            <w:t>21</w:t>
          </w:r>
        </w:p>
        <w:p>
          <w:pPr>
            <w:pStyle w:val="WPSOffice2"/>
            <w:tabs>
              <w:tab w:val="right" w:leader="dot" w:pos="8306"/>
            </w:tabs>
            <w:spacing w:line="480" w:lineRule="auto"/>
            <w:ind w:left="480"/>
            <w:rPr>
              <w:rFonts w:ascii="宋体" w:hAnsi="宋体" w:cs="宋体"/>
              <w:bCs/>
              <w:kern w:val="2"/>
              <w:sz w:val="24"/>
              <w:szCs w:val="24"/>
            </w:rPr>
          </w:pPr>
          <w:hyperlink w:anchor="_Toc11452" w:history="1">
            <w:r>
              <w:rPr>
                <w:rFonts w:ascii="宋体" w:hAnsi="宋体" w:cs="宋体" w:hint="eastAsia"/>
                <w:bCs/>
                <w:kern w:val="2"/>
                <w:sz w:val="24"/>
                <w:szCs w:val="24"/>
              </w:rPr>
              <w:t>5.3销售渠道营运资金管理提升建议</w:t>
            </w:r>
            <w:r>
              <w:rPr>
                <w:rFonts w:ascii="宋体" w:hAnsi="宋体" w:cs="宋体" w:hint="eastAsia"/>
                <w:bCs/>
                <w:kern w:val="2"/>
                <w:sz w:val="24"/>
                <w:szCs w:val="24"/>
              </w:rPr>
              <w:tab/>
            </w:r>
            <w:r>
              <w:rPr>
                <w:rFonts w:ascii="宋体" w:hAnsi="宋体" w:cs="宋体" w:hint="eastAsia"/>
                <w:bCs/>
                <w:kern w:val="2"/>
                <w:sz w:val="24"/>
                <w:szCs w:val="24"/>
              </w:rPr>
              <w:t>2</w:t>
            </w:r>
          </w:hyperlink>
          <w:r>
            <w:rPr>
              <w:rFonts w:ascii="宋体" w:hAnsi="宋体" w:cs="宋体" w:hint="eastAsia"/>
              <w:bCs/>
              <w:kern w:val="2"/>
              <w:sz w:val="24"/>
              <w:szCs w:val="24"/>
            </w:rPr>
            <w:t>1</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5.3.1扩大市场销售规模</w:t>
          </w:r>
          <w:r>
            <w:rPr>
              <w:rFonts w:ascii="宋体" w:hAnsi="宋体" w:cs="宋体" w:hint="eastAsia"/>
              <w:bCs/>
              <w:kern w:val="2"/>
              <w:sz w:val="24"/>
              <w:szCs w:val="24"/>
            </w:rPr>
            <w:tab/>
          </w:r>
          <w:r>
            <w:rPr>
              <w:rFonts w:ascii="宋体" w:hAnsi="宋体" w:cs="宋体" w:hint="eastAsia"/>
              <w:bCs/>
              <w:kern w:val="2"/>
              <w:sz w:val="24"/>
              <w:szCs w:val="24"/>
            </w:rPr>
            <w:t>21</w:t>
          </w:r>
        </w:p>
        <w:p>
          <w:pPr>
            <w:pStyle w:val="WPSOffice2"/>
            <w:tabs>
              <w:tab w:val="right" w:leader="dot" w:pos="8306"/>
            </w:tabs>
            <w:spacing w:line="480" w:lineRule="auto"/>
            <w:ind w:left="480"/>
            <w:rPr>
              <w:rFonts w:ascii="宋体" w:hAnsi="宋体" w:cs="宋体"/>
              <w:bCs/>
              <w:kern w:val="2"/>
              <w:sz w:val="24"/>
              <w:szCs w:val="24"/>
            </w:rPr>
          </w:pPr>
          <w:r>
            <w:rPr>
              <w:rFonts w:ascii="宋体" w:hAnsi="宋体" w:cs="宋体" w:hint="eastAsia"/>
              <w:bCs/>
              <w:kern w:val="2"/>
              <w:sz w:val="24"/>
              <w:szCs w:val="24"/>
            </w:rPr>
            <w:t xml:space="preserve">  5.3.2对应收账款加以严格的管理控制</w:t>
          </w:r>
          <w:r>
            <w:rPr>
              <w:rFonts w:ascii="宋体" w:hAnsi="宋体" w:cs="宋体" w:hint="eastAsia"/>
              <w:bCs/>
              <w:kern w:val="2"/>
              <w:sz w:val="24"/>
              <w:szCs w:val="24"/>
            </w:rPr>
            <w:tab/>
          </w:r>
          <w:r>
            <w:rPr>
              <w:rFonts w:ascii="宋体" w:hAnsi="宋体" w:cs="宋体" w:hint="eastAsia"/>
              <w:bCs/>
              <w:kern w:val="2"/>
              <w:sz w:val="24"/>
              <w:szCs w:val="24"/>
            </w:rPr>
            <w:t>21</w:t>
          </w:r>
        </w:p>
        <w:p>
          <w:pPr>
            <w:pStyle w:val="WPSOffice1"/>
            <w:tabs>
              <w:tab w:val="right" w:leader="dot" w:pos="8306"/>
            </w:tabs>
            <w:rPr>
              <w:b/>
              <w:sz w:val="28"/>
              <w:szCs w:val="28"/>
            </w:rPr>
          </w:pPr>
          <w:hyperlink w:anchor="_Toc26058" w:history="1">
            <w:r>
              <w:rPr>
                <w:rFonts w:hint="eastAsia"/>
                <w:b/>
                <w:sz w:val="28"/>
                <w:szCs w:val="28"/>
              </w:rPr>
              <w:t>第六章 结束语</w:t>
            </w:r>
            <w:r>
              <w:rPr>
                <w:rFonts w:hint="eastAsia"/>
                <w:bCs/>
                <w:sz w:val="28"/>
                <w:szCs w:val="28"/>
              </w:rPr>
              <w:tab/>
            </w:r>
            <w:r>
              <w:rPr>
                <w:rFonts w:ascii="宋体" w:hAnsi="宋体" w:cs="宋体" w:hint="eastAsia"/>
                <w:bCs/>
                <w:kern w:val="2"/>
                <w:sz w:val="24"/>
                <w:szCs w:val="24"/>
              </w:rPr>
              <w:t>2</w:t>
            </w:r>
          </w:hyperlink>
          <w:r>
            <w:rPr>
              <w:rFonts w:ascii="宋体" w:hAnsi="宋体" w:cs="宋体" w:hint="eastAsia"/>
              <w:bCs/>
              <w:kern w:val="2"/>
              <w:sz w:val="24"/>
              <w:szCs w:val="24"/>
            </w:rPr>
            <w:t>3</w:t>
          </w:r>
        </w:p>
        <w:p>
          <w:pPr>
            <w:pStyle w:val="WPSOffice1"/>
            <w:tabs>
              <w:tab w:val="right" w:leader="dot" w:pos="8306"/>
            </w:tabs>
            <w:rPr>
              <w:b/>
              <w:sz w:val="28"/>
              <w:szCs w:val="28"/>
            </w:rPr>
          </w:pPr>
          <w:hyperlink w:anchor="_Toc4510" w:history="1">
            <w:r>
              <w:rPr>
                <w:rFonts w:hint="eastAsia"/>
                <w:b/>
                <w:sz w:val="28"/>
                <w:szCs w:val="28"/>
              </w:rPr>
              <w:t>参考文献</w:t>
            </w:r>
            <w:r>
              <w:rPr>
                <w:rFonts w:hint="eastAsia"/>
                <w:bCs/>
                <w:sz w:val="28"/>
                <w:szCs w:val="28"/>
              </w:rPr>
              <w:tab/>
            </w:r>
            <w:r>
              <w:rPr>
                <w:rFonts w:ascii="宋体" w:hAnsi="宋体" w:cs="宋体" w:hint="eastAsia"/>
                <w:bCs/>
                <w:kern w:val="2"/>
                <w:sz w:val="24"/>
                <w:szCs w:val="24"/>
              </w:rPr>
              <w:t>2</w:t>
            </w:r>
          </w:hyperlink>
          <w:r>
            <w:rPr>
              <w:rFonts w:ascii="宋体" w:hAnsi="宋体" w:cs="宋体" w:hint="eastAsia"/>
              <w:bCs/>
              <w:kern w:val="2"/>
              <w:sz w:val="24"/>
              <w:szCs w:val="24"/>
            </w:rPr>
            <w:t>4</w:t>
          </w:r>
        </w:p>
        <w:p>
          <w:pPr>
            <w:jc w:val="left"/>
            <w:rPr>
              <w:rFonts w:ascii="Cambria" w:hAnsi="Cambria"/>
              <w:bCs/>
              <w:sz w:val="32"/>
              <w:szCs w:val="32"/>
            </w:rPr>
          </w:pPr>
          <w:r>
            <w:rPr>
              <w:rFonts w:ascii="Cambria" w:hAnsi="Cambria" w:hint="eastAsia"/>
              <w:b/>
              <w:bCs/>
              <w:szCs w:val="32"/>
            </w:rPr>
            <w:fldChar w:fldCharType="end"/>
          </w:r>
        </w:p>
      </w:sdtContent>
    </w:sdt>
    <w:p>
      <w:pPr>
        <w:jc w:val="left"/>
        <w:rPr>
          <w:rFonts w:ascii="Cambria" w:hAnsi="Cambria"/>
          <w:bCs/>
          <w:sz w:val="32"/>
          <w:szCs w:val="32"/>
        </w:rPr>
      </w:pPr>
    </w:p>
    <w:p>
      <w:pPr>
        <w:jc w:val="left"/>
        <w:rPr>
          <w:rFonts w:ascii="Cambria" w:hAnsi="Cambria"/>
          <w:bCs/>
          <w:sz w:val="32"/>
          <w:szCs w:val="32"/>
        </w:rPr>
      </w:pPr>
    </w:p>
    <w:p>
      <w:pPr>
        <w:jc w:val="left"/>
        <w:rPr>
          <w:rFonts w:ascii="Cambria" w:hAnsi="Cambria"/>
          <w:bCs/>
          <w:sz w:val="32"/>
          <w:szCs w:val="32"/>
        </w:rPr>
      </w:pPr>
    </w:p>
    <w:p>
      <w:pPr>
        <w:jc w:val="left"/>
        <w:rPr>
          <w:rFonts w:ascii="Cambria" w:hAnsi="Cambria"/>
          <w:bCs/>
          <w:sz w:val="32"/>
          <w:szCs w:val="32"/>
        </w:rPr>
      </w:pPr>
    </w:p>
    <w:p>
      <w:pPr>
        <w:jc w:val="left"/>
        <w:rPr>
          <w:rFonts w:ascii="Cambria" w:hAnsi="Cambria"/>
          <w:bCs/>
          <w:sz w:val="32"/>
          <w:szCs w:val="32"/>
        </w:rPr>
      </w:pPr>
    </w:p>
    <w:p>
      <w:pPr>
        <w:jc w:val="left"/>
        <w:rPr>
          <w:rFonts w:ascii="Cambria" w:hAnsi="Cambria"/>
          <w:bCs/>
          <w:sz w:val="32"/>
          <w:szCs w:val="32"/>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NumType w:fmt="upperRoman" w:start="3"/>
          <w:cols w:num="1" w:space="0"/>
          <w:titlePg w:val="0"/>
          <w:docGrid w:type="lines" w:linePitch="312" w:charSpace="0"/>
        </w:sectPr>
      </w:pPr>
    </w:p>
    <w:p>
      <w:pPr>
        <w:pStyle w:val="Heading1"/>
        <w:ind w:left="0" w:leftChars="0"/>
        <w:rPr>
          <w:rFonts w:ascii="宋体" w:hAnsi="宋体" w:cs="宋体"/>
        </w:rPr>
      </w:pPr>
      <w:bookmarkStart w:id="1" w:name="_Toc30838"/>
      <w:r>
        <w:rPr>
          <w:rFonts w:ascii="宋体" w:hAnsi="宋体" w:cs="宋体" w:hint="eastAsia"/>
        </w:rPr>
        <w:t>第一章 相关理论概</w:t>
      </w:r>
      <w:bookmarkEnd w:id="1"/>
    </w:p>
    <w:p>
      <w:pPr>
        <w:pStyle w:val="Heading2"/>
        <w:spacing w:before="0" w:after="0" w:line="360" w:lineRule="auto"/>
        <w:rPr>
          <w:rFonts w:ascii="宋体" w:hAnsi="宋体" w:cs="宋体"/>
        </w:rPr>
      </w:pPr>
      <w:bookmarkStart w:id="2" w:name="_Toc1453"/>
      <w:r>
        <w:rPr>
          <w:rFonts w:ascii="宋体" w:hAnsi="宋体" w:cs="宋体" w:hint="eastAsia"/>
        </w:rPr>
        <w:t>1.1营运资金管理的概念</w:t>
      </w:r>
      <w:bookmarkEnd w:id="2"/>
    </w:p>
    <w:p>
      <w:pPr>
        <w:ind w:firstLine="480"/>
        <w:rPr>
          <w:rFonts w:ascii="宋体" w:hAnsi="宋体" w:cs="宋体"/>
        </w:rPr>
      </w:pPr>
      <w:r>
        <w:rPr>
          <w:rFonts w:ascii="宋体" w:hAnsi="宋体" w:cs="宋体" w:hint="eastAsia"/>
        </w:rPr>
        <w:t>营运资金管理的目标是</w:t>
      </w:r>
      <w:r>
        <w:rPr>
          <w:rFonts w:ascii="宋体" w:hAnsi="宋体" w:cs="宋体" w:hint="eastAsia"/>
          <w:lang w:val="en-US" w:eastAsia="zh-CN"/>
        </w:rPr>
        <w:t>将</w:t>
      </w:r>
      <w:r>
        <w:rPr>
          <w:rFonts w:ascii="宋体" w:hAnsi="宋体" w:cs="宋体" w:hint="eastAsia"/>
        </w:rPr>
        <w:t>流动资产和流动负债维持在一个稳定合理的范围之内</w:t>
      </w:r>
      <w:r>
        <w:rPr>
          <w:rFonts w:ascii="宋体" w:hAnsi="宋体" w:cs="宋体" w:hint="eastAsia"/>
          <w:lang w:val="en-US" w:eastAsia="zh-CN"/>
        </w:rPr>
        <w:t>，提升营运资金利用率，从而</w:t>
      </w:r>
      <w:r>
        <w:rPr>
          <w:rFonts w:ascii="宋体" w:hAnsi="宋体" w:cs="宋体" w:hint="eastAsia"/>
        </w:rPr>
        <w:t>实现企业价值最大化。狭义上的营运资金</w:t>
      </w:r>
      <w:r>
        <w:rPr>
          <w:rFonts w:ascii="宋体" w:hAnsi="宋体" w:cs="宋体" w:hint="eastAsia"/>
          <w:lang w:val="en-US" w:eastAsia="zh-CN"/>
        </w:rPr>
        <w:t>也叫</w:t>
      </w:r>
      <w:r>
        <w:rPr>
          <w:rFonts w:ascii="宋体" w:hAnsi="宋体" w:cs="宋体" w:hint="eastAsia"/>
        </w:rPr>
        <w:t>净营运资金</w:t>
      </w:r>
      <w:r>
        <w:rPr>
          <w:rFonts w:ascii="宋体" w:hAnsi="宋体" w:cs="宋体" w:hint="eastAsia"/>
          <w:lang w:eastAsia="zh-CN"/>
        </w:rPr>
        <w:t>，</w:t>
      </w:r>
      <w:r>
        <w:rPr>
          <w:rFonts w:ascii="宋体" w:hAnsi="宋体" w:cs="宋体" w:hint="eastAsia"/>
        </w:rPr>
        <w:t>是指企业流动资产与流动负债的差额。广义上的营运资金</w:t>
      </w:r>
      <w:r>
        <w:rPr>
          <w:rFonts w:ascii="宋体" w:hAnsi="宋体" w:cs="宋体" w:hint="eastAsia"/>
          <w:lang w:val="en-US" w:eastAsia="zh-CN"/>
        </w:rPr>
        <w:t>是指</w:t>
      </w:r>
      <w:r>
        <w:rPr>
          <w:rFonts w:ascii="宋体" w:hAnsi="宋体" w:cs="宋体" w:hint="eastAsia"/>
        </w:rPr>
        <w:t>企业的</w:t>
      </w:r>
      <w:hyperlink r:id="rId24" w:tgtFrame="https://wenda.so.com/q/_blank" w:history="1">
        <w:r>
          <w:rPr>
            <w:rFonts w:ascii="宋体" w:hAnsi="宋体" w:cs="宋体" w:hint="eastAsia"/>
          </w:rPr>
          <w:t>流动资产</w:t>
        </w:r>
      </w:hyperlink>
      <w:r>
        <w:rPr>
          <w:rFonts w:ascii="宋体" w:hAnsi="宋体" w:cs="宋体" w:hint="eastAsia"/>
        </w:rPr>
        <w:t>总额。</w:t>
      </w:r>
      <w:r>
        <w:rPr>
          <w:rFonts w:ascii="宋体" w:hAnsi="宋体" w:cs="宋体" w:hint="eastAsia"/>
          <w:lang w:val="en-US" w:eastAsia="zh-CN"/>
        </w:rPr>
        <w:t>论文基于</w:t>
      </w:r>
      <w:r>
        <w:rPr>
          <w:rFonts w:ascii="宋体" w:hAnsi="宋体" w:cs="宋体" w:hint="eastAsia"/>
        </w:rPr>
        <w:t>狭义上的营运资金概念</w:t>
      </w:r>
      <w:r>
        <w:rPr>
          <w:rFonts w:ascii="宋体" w:hAnsi="宋体" w:cs="宋体" w:hint="eastAsia"/>
          <w:lang w:val="en-US" w:eastAsia="zh-CN"/>
        </w:rPr>
        <w:t>来</w:t>
      </w:r>
      <w:r>
        <w:rPr>
          <w:rFonts w:ascii="宋体" w:hAnsi="宋体" w:cs="宋体" w:hint="eastAsia"/>
        </w:rPr>
        <w:t>对</w:t>
      </w:r>
      <w:r>
        <w:rPr>
          <w:rFonts w:ascii="宋体" w:hAnsi="宋体" w:cs="宋体" w:hint="eastAsia"/>
          <w:lang w:val="en-US" w:eastAsia="zh-CN"/>
        </w:rPr>
        <w:t>企业</w:t>
      </w:r>
      <w:r>
        <w:rPr>
          <w:rFonts w:ascii="宋体" w:hAnsi="宋体" w:cs="宋体" w:hint="eastAsia"/>
        </w:rPr>
        <w:t>营运资金管理</w:t>
      </w:r>
      <w:r>
        <w:rPr>
          <w:rFonts w:ascii="宋体" w:hAnsi="宋体" w:cs="宋体" w:hint="eastAsia"/>
          <w:lang w:val="en-US" w:eastAsia="zh-CN"/>
        </w:rPr>
        <w:t>进行分析并</w:t>
      </w:r>
      <w:r>
        <w:rPr>
          <w:rFonts w:ascii="宋体" w:hAnsi="宋体" w:cs="宋体" w:hint="eastAsia"/>
        </w:rPr>
        <w:t>展开论述。营运资金管理</w:t>
      </w:r>
      <w:r>
        <w:rPr>
          <w:rFonts w:ascii="宋体" w:hAnsi="宋体" w:cs="宋体" w:hint="eastAsia"/>
          <w:lang w:val="en-US" w:eastAsia="zh-CN"/>
        </w:rPr>
        <w:t>的对象是</w:t>
      </w:r>
      <w:r>
        <w:rPr>
          <w:rFonts w:ascii="宋体" w:hAnsi="宋体" w:cs="宋体" w:hint="eastAsia"/>
        </w:rPr>
        <w:t>企业</w:t>
      </w:r>
      <w:r>
        <w:rPr>
          <w:rFonts w:ascii="宋体" w:hAnsi="宋体" w:cs="宋体" w:hint="eastAsia"/>
          <w:lang w:val="en-US" w:eastAsia="zh-CN"/>
        </w:rPr>
        <w:t>内部与</w:t>
      </w:r>
      <w:r>
        <w:rPr>
          <w:rFonts w:ascii="宋体" w:hAnsi="宋体" w:cs="宋体" w:hint="eastAsia"/>
        </w:rPr>
        <w:t>流动资产和流动负债</w:t>
      </w:r>
      <w:r>
        <w:rPr>
          <w:rFonts w:ascii="宋体" w:hAnsi="宋体" w:cs="宋体" w:hint="eastAsia"/>
          <w:lang w:val="en-US" w:eastAsia="zh-CN"/>
        </w:rPr>
        <w:t>有关</w:t>
      </w:r>
      <w:r>
        <w:rPr>
          <w:rFonts w:ascii="宋体" w:hAnsi="宋体" w:cs="宋体" w:hint="eastAsia"/>
        </w:rPr>
        <w:t>的信息</w:t>
      </w:r>
      <w:r>
        <w:rPr>
          <w:rFonts w:ascii="宋体" w:hAnsi="宋体" w:cs="宋体" w:hint="eastAsia"/>
          <w:lang w:eastAsia="zh-CN"/>
        </w:rPr>
        <w:t>，</w:t>
      </w:r>
      <w:r>
        <w:rPr>
          <w:rFonts w:ascii="宋体" w:hAnsi="宋体" w:cs="宋体" w:hint="eastAsia"/>
          <w:lang w:val="en-US" w:eastAsia="zh-CN"/>
        </w:rPr>
        <w:t>其内容主要是对这些信息</w:t>
      </w:r>
      <w:r>
        <w:rPr>
          <w:rFonts w:ascii="宋体" w:hAnsi="宋体" w:cs="宋体" w:hint="eastAsia"/>
        </w:rPr>
        <w:t>进行</w:t>
      </w:r>
      <w:r>
        <w:rPr>
          <w:rFonts w:ascii="宋体" w:hAnsi="宋体" w:cs="宋体" w:hint="eastAsia"/>
          <w:lang w:val="en-US" w:eastAsia="zh-CN"/>
        </w:rPr>
        <w:t>全面、综合的</w:t>
      </w:r>
      <w:r>
        <w:rPr>
          <w:rFonts w:ascii="宋体" w:hAnsi="宋体" w:cs="宋体" w:hint="eastAsia"/>
        </w:rPr>
        <w:t>管理</w:t>
      </w:r>
      <w:r>
        <w:rPr>
          <w:rFonts w:ascii="宋体" w:hAnsi="宋体" w:cs="宋体" w:hint="eastAsia"/>
          <w:lang w:eastAsia="zh-CN"/>
        </w:rPr>
        <w:t>。</w:t>
      </w:r>
      <w:r>
        <w:rPr>
          <w:rFonts w:ascii="宋体" w:hAnsi="宋体" w:cs="宋体" w:hint="eastAsia"/>
        </w:rPr>
        <w:t>企业需持有足够的营运资金以维持日常的生产经营活动正常进行以及维持一定的短期偿债能力和抵御风险能力，但若持有过多会导致闲置资金利用率差，未能实现资金价值最大化。</w:t>
      </w:r>
    </w:p>
    <w:p>
      <w:pPr>
        <w:ind w:firstLine="480"/>
        <w:rPr>
          <w:rFonts w:ascii="宋体" w:hAnsi="宋体" w:cs="宋体"/>
        </w:rPr>
      </w:pPr>
    </w:p>
    <w:p>
      <w:pPr>
        <w:pStyle w:val="Heading2"/>
        <w:spacing w:before="0" w:after="0" w:line="360" w:lineRule="auto"/>
        <w:rPr>
          <w:rFonts w:ascii="宋体" w:hAnsi="宋体" w:cs="宋体"/>
        </w:rPr>
      </w:pPr>
      <w:bookmarkStart w:id="3" w:name="_Toc30852"/>
      <w:r>
        <w:rPr>
          <w:rFonts w:ascii="宋体" w:hAnsi="宋体" w:cs="宋体" w:hint="eastAsia"/>
        </w:rPr>
        <w:t>1.2渠道理论</w:t>
      </w:r>
      <w:bookmarkEnd w:id="3"/>
    </w:p>
    <w:p>
      <w:pPr>
        <w:ind w:firstLine="480"/>
        <w:rPr>
          <w:rFonts w:ascii="宋体" w:hAnsi="宋体" w:cs="宋体" w:hint="default"/>
        </w:rPr>
      </w:pPr>
      <w:r>
        <w:rPr>
          <w:rFonts w:ascii="宋体" w:hAnsi="宋体" w:cs="宋体" w:hint="eastAsia"/>
        </w:rPr>
        <w:t>渠道理论主要包括</w:t>
      </w:r>
      <w:r>
        <w:rPr>
          <w:rFonts w:ascii="宋体" w:hAnsi="宋体" w:cs="宋体" w:hint="eastAsia"/>
          <w:lang w:val="en-US" w:eastAsia="zh-CN"/>
        </w:rPr>
        <w:t>对</w:t>
      </w:r>
      <w:r>
        <w:rPr>
          <w:rFonts w:ascii="宋体" w:hAnsi="宋体" w:cs="宋体" w:hint="eastAsia"/>
        </w:rPr>
        <w:t>渠道结构、渠道行为、渠道关系</w:t>
      </w:r>
      <w:r>
        <w:rPr>
          <w:rFonts w:ascii="宋体" w:hAnsi="宋体" w:cs="宋体" w:hint="eastAsia"/>
          <w:lang w:val="en-US" w:eastAsia="zh-CN"/>
        </w:rPr>
        <w:t>三个方面的研究</w:t>
      </w:r>
      <w:r>
        <w:rPr>
          <w:rFonts w:ascii="宋体" w:hAnsi="宋体" w:cs="宋体" w:hint="eastAsia"/>
        </w:rPr>
        <w:t>。在渠道结构下，企业的经营活动分为采购活动、生产活动和销售活动。渠道行为</w:t>
      </w:r>
      <w:r>
        <w:rPr>
          <w:rFonts w:ascii="宋体" w:hAnsi="宋体" w:cs="宋体" w:hint="eastAsia"/>
          <w:lang w:val="en-US" w:eastAsia="zh-CN"/>
        </w:rPr>
        <w:t>主要</w:t>
      </w:r>
      <w:r>
        <w:rPr>
          <w:rFonts w:ascii="宋体" w:hAnsi="宋体" w:cs="宋体" w:hint="eastAsia"/>
        </w:rPr>
        <w:t>研究渠道</w:t>
      </w:r>
      <w:r>
        <w:rPr>
          <w:rFonts w:ascii="宋体" w:hAnsi="宋体" w:cs="宋体" w:hint="eastAsia"/>
          <w:lang w:val="en-US" w:eastAsia="zh-CN"/>
        </w:rPr>
        <w:t>内各</w:t>
      </w:r>
      <w:r>
        <w:rPr>
          <w:rFonts w:ascii="宋体" w:hAnsi="宋体" w:cs="宋体" w:hint="eastAsia"/>
        </w:rPr>
        <w:t>成员之间由于信息不对称和权力不对等等原因而形成的渠道冲突，</w:t>
      </w:r>
      <w:r>
        <w:rPr>
          <w:rFonts w:ascii="宋体" w:hAnsi="宋体" w:cs="宋体" w:hint="eastAsia"/>
          <w:lang w:val="en-US" w:eastAsia="zh-CN"/>
        </w:rPr>
        <w:t>并针对此进行</w:t>
      </w:r>
      <w:r>
        <w:rPr>
          <w:rFonts w:ascii="宋体" w:hAnsi="宋体" w:cs="宋体" w:hint="eastAsia"/>
        </w:rPr>
        <w:t>进一步</w:t>
      </w:r>
      <w:r>
        <w:rPr>
          <w:rFonts w:ascii="宋体" w:hAnsi="宋体" w:cs="宋体" w:hint="eastAsia"/>
          <w:lang w:val="en-US" w:eastAsia="zh-CN"/>
        </w:rPr>
        <w:t>的平衡和</w:t>
      </w:r>
      <w:r>
        <w:rPr>
          <w:rFonts w:ascii="宋体" w:hAnsi="宋体" w:cs="宋体" w:hint="eastAsia"/>
        </w:rPr>
        <w:t>协调</w:t>
      </w:r>
      <w:r>
        <w:rPr>
          <w:rFonts w:ascii="宋体" w:hAnsi="宋体" w:cs="宋体" w:hint="eastAsia"/>
          <w:lang w:eastAsia="zh-CN"/>
        </w:rPr>
        <w:t>，</w:t>
      </w:r>
      <w:r>
        <w:rPr>
          <w:rFonts w:ascii="宋体" w:hAnsi="宋体" w:cs="宋体" w:hint="eastAsia"/>
        </w:rPr>
        <w:t>以实现各渠道成员间的共赢。渠道关系指的是各渠道成员间的关系，保持</w:t>
      </w:r>
      <w:r>
        <w:rPr>
          <w:rFonts w:ascii="宋体" w:hAnsi="宋体" w:cs="宋体" w:hint="eastAsia"/>
          <w:lang w:val="en-US" w:eastAsia="zh-CN"/>
        </w:rPr>
        <w:t>与</w:t>
      </w:r>
      <w:r>
        <w:rPr>
          <w:rFonts w:ascii="宋体" w:hAnsi="宋体" w:cs="宋体" w:hint="eastAsia"/>
        </w:rPr>
        <w:t>渠道</w:t>
      </w:r>
      <w:r>
        <w:rPr>
          <w:rFonts w:ascii="宋体" w:hAnsi="宋体" w:cs="宋体" w:hint="eastAsia"/>
          <w:lang w:val="en-US" w:eastAsia="zh-CN"/>
        </w:rPr>
        <w:t>其他成员之间的良好关系有助于</w:t>
      </w:r>
      <w:r>
        <w:rPr>
          <w:rFonts w:ascii="宋体" w:hAnsi="宋体" w:cs="宋体" w:hint="eastAsia"/>
        </w:rPr>
        <w:t>提升</w:t>
      </w:r>
      <w:r>
        <w:rPr>
          <w:rFonts w:ascii="宋体" w:hAnsi="宋体" w:cs="宋体" w:hint="eastAsia"/>
          <w:lang w:val="en-US" w:eastAsia="zh-CN"/>
        </w:rPr>
        <w:t>企业该</w:t>
      </w:r>
      <w:r>
        <w:rPr>
          <w:rFonts w:ascii="宋体" w:hAnsi="宋体" w:cs="宋体" w:hint="eastAsia"/>
        </w:rPr>
        <w:t>渠道</w:t>
      </w:r>
      <w:r>
        <w:rPr>
          <w:rFonts w:ascii="宋体" w:hAnsi="宋体" w:cs="宋体" w:hint="eastAsia"/>
          <w:lang w:val="en-US" w:eastAsia="zh-CN"/>
        </w:rPr>
        <w:t>营运资金</w:t>
      </w:r>
      <w:r>
        <w:rPr>
          <w:rFonts w:ascii="宋体" w:hAnsi="宋体" w:cs="宋体" w:hint="eastAsia"/>
        </w:rPr>
        <w:t>管理的效率；反之，若</w:t>
      </w:r>
      <w:r>
        <w:rPr>
          <w:rFonts w:ascii="宋体" w:hAnsi="宋体" w:cs="宋体" w:hint="eastAsia"/>
          <w:lang w:val="en-US" w:eastAsia="zh-CN"/>
        </w:rPr>
        <w:t>企业与</w:t>
      </w:r>
      <w:r>
        <w:rPr>
          <w:rFonts w:ascii="宋体" w:hAnsi="宋体" w:cs="宋体" w:hint="eastAsia"/>
        </w:rPr>
        <w:t>各渠道</w:t>
      </w:r>
      <w:r>
        <w:rPr>
          <w:rFonts w:ascii="宋体" w:hAnsi="宋体" w:cs="宋体" w:hint="eastAsia"/>
          <w:lang w:val="en-US" w:eastAsia="zh-CN"/>
        </w:rPr>
        <w:t>成员</w:t>
      </w:r>
      <w:r>
        <w:rPr>
          <w:rFonts w:ascii="宋体" w:hAnsi="宋体" w:cs="宋体" w:hint="eastAsia"/>
        </w:rPr>
        <w:t>之间的关系长期处于不利状态，将产生诸多</w:t>
      </w:r>
      <w:r>
        <w:rPr>
          <w:rFonts w:ascii="宋体" w:hAnsi="宋体" w:cs="宋体" w:hint="eastAsia"/>
          <w:lang w:val="en-US" w:eastAsia="zh-CN"/>
        </w:rPr>
        <w:t>的</w:t>
      </w:r>
      <w:r>
        <w:rPr>
          <w:rFonts w:ascii="宋体" w:hAnsi="宋体" w:cs="宋体" w:hint="eastAsia"/>
        </w:rPr>
        <w:t>问题</w:t>
      </w:r>
      <w:r>
        <w:rPr>
          <w:rFonts w:ascii="宋体" w:hAnsi="宋体" w:cs="宋体" w:hint="eastAsia"/>
          <w:lang w:eastAsia="zh-CN"/>
        </w:rPr>
        <w:t>，</w:t>
      </w:r>
      <w:r>
        <w:rPr>
          <w:rFonts w:ascii="宋体" w:hAnsi="宋体" w:cs="宋体" w:hint="eastAsia"/>
          <w:lang w:val="en-US" w:eastAsia="zh-CN"/>
        </w:rPr>
        <w:t>激发深层次的</w:t>
      </w:r>
      <w:r>
        <w:rPr>
          <w:rFonts w:ascii="宋体" w:hAnsi="宋体" w:cs="宋体" w:hint="eastAsia"/>
        </w:rPr>
        <w:t>矛盾，</w:t>
      </w:r>
      <w:r>
        <w:rPr>
          <w:rFonts w:ascii="宋体" w:hAnsi="宋体" w:cs="宋体" w:hint="eastAsia"/>
          <w:lang w:val="en-US" w:eastAsia="zh-CN"/>
        </w:rPr>
        <w:t>从而使得渠道间的</w:t>
      </w:r>
      <w:r>
        <w:rPr>
          <w:rFonts w:ascii="宋体" w:hAnsi="宋体" w:cs="宋体" w:hint="eastAsia"/>
        </w:rPr>
        <w:t>营运资金</w:t>
      </w:r>
      <w:r>
        <w:rPr>
          <w:rFonts w:ascii="宋体" w:hAnsi="宋体" w:cs="宋体" w:hint="eastAsia"/>
          <w:lang w:val="en-US" w:eastAsia="zh-CN"/>
        </w:rPr>
        <w:t>管理</w:t>
      </w:r>
      <w:r>
        <w:rPr>
          <w:rFonts w:ascii="宋体" w:hAnsi="宋体" w:cs="宋体" w:hint="eastAsia"/>
        </w:rPr>
        <w:t>效率</w:t>
      </w:r>
      <w:r>
        <w:rPr>
          <w:rFonts w:ascii="宋体" w:hAnsi="宋体" w:cs="宋体" w:hint="eastAsia"/>
          <w:lang w:val="en-US" w:eastAsia="zh-CN"/>
        </w:rPr>
        <w:t>降低</w:t>
      </w:r>
      <w:r>
        <w:rPr>
          <w:rFonts w:ascii="宋体" w:hAnsi="宋体" w:cs="宋体" w:hint="eastAsia"/>
        </w:rPr>
        <w:t>，</w:t>
      </w:r>
      <w:r>
        <w:rPr>
          <w:rFonts w:ascii="宋体" w:hAnsi="宋体" w:cs="宋体" w:hint="eastAsia"/>
          <w:lang w:val="en-US" w:eastAsia="zh-CN"/>
        </w:rPr>
        <w:t>甚至会威胁到企业的生存。</w:t>
      </w:r>
    </w:p>
    <w:p>
      <w:pPr>
        <w:ind w:firstLine="480"/>
        <w:rPr>
          <w:rFonts w:ascii="宋体" w:hAnsi="宋体" w:cs="宋体"/>
        </w:rPr>
      </w:pPr>
    </w:p>
    <w:p>
      <w:pPr>
        <w:pStyle w:val="Heading2"/>
        <w:spacing w:before="0" w:after="0" w:line="360" w:lineRule="auto"/>
        <w:rPr>
          <w:rFonts w:ascii="宋体" w:hAnsi="宋体" w:cs="宋体"/>
        </w:rPr>
      </w:pPr>
      <w:bookmarkStart w:id="4" w:name="_Toc7161"/>
      <w:r>
        <w:rPr>
          <w:rFonts w:ascii="宋体" w:hAnsi="宋体" w:cs="宋体" w:hint="eastAsia"/>
        </w:rPr>
        <w:t>1.3基于渠道理论的营运资金管理的主要内容</w:t>
      </w:r>
      <w:bookmarkEnd w:id="4"/>
    </w:p>
    <w:p>
      <w:pPr>
        <w:ind w:firstLine="480"/>
        <w:rPr>
          <w:rFonts w:ascii="宋体" w:hAnsi="宋体" w:cs="宋体"/>
        </w:rPr>
      </w:pPr>
      <w:r>
        <w:rPr>
          <w:rFonts w:ascii="宋体" w:hAnsi="宋体" w:cs="宋体" w:hint="eastAsia"/>
          <w:lang w:val="en-US" w:eastAsia="zh-CN"/>
        </w:rPr>
        <w:t>基于渠道理论的营运资金管理</w:t>
      </w:r>
      <w:r>
        <w:rPr>
          <w:rFonts w:ascii="宋体" w:hAnsi="宋体" w:cs="宋体" w:hint="eastAsia"/>
        </w:rPr>
        <w:t>全面覆盖了企业全部的营运资金项目，</w:t>
      </w:r>
      <w:r>
        <w:rPr>
          <w:rFonts w:ascii="宋体" w:hAnsi="宋体" w:cs="宋体" w:hint="eastAsia"/>
          <w:lang w:val="en-US" w:eastAsia="zh-CN"/>
        </w:rPr>
        <w:t>更加</w:t>
      </w:r>
      <w:r>
        <w:rPr>
          <w:rFonts w:ascii="宋体" w:hAnsi="宋体" w:cs="宋体" w:hint="eastAsia"/>
        </w:rPr>
        <w:t>注重营运资金管理的</w:t>
      </w:r>
      <w:r>
        <w:rPr>
          <w:rFonts w:ascii="宋体" w:hAnsi="宋体" w:cs="宋体" w:hint="eastAsia"/>
          <w:lang w:val="en-US" w:eastAsia="zh-CN"/>
        </w:rPr>
        <w:t>综合</w:t>
      </w:r>
      <w:r>
        <w:rPr>
          <w:rFonts w:ascii="宋体" w:hAnsi="宋体" w:cs="宋体" w:hint="eastAsia"/>
        </w:rPr>
        <w:t>性和协调性。它将企业的业务活动分为采购活动，生产活动和销售活动</w:t>
      </w:r>
      <w:r>
        <w:rPr>
          <w:rFonts w:ascii="宋体" w:hAnsi="宋体" w:cs="宋体" w:hint="eastAsia"/>
          <w:lang w:eastAsia="zh-CN"/>
        </w:rPr>
        <w:t>，</w:t>
      </w:r>
      <w:r>
        <w:rPr>
          <w:rFonts w:ascii="宋体" w:hAnsi="宋体" w:cs="宋体" w:hint="eastAsia"/>
        </w:rPr>
        <w:t>并在以上三个渠道中从渠道行为和渠道关系角度对营运资金</w:t>
      </w:r>
      <w:r>
        <w:rPr>
          <w:rFonts w:ascii="宋体" w:hAnsi="宋体" w:cs="宋体" w:hint="eastAsia"/>
          <w:lang w:val="en-US" w:eastAsia="zh-CN"/>
        </w:rPr>
        <w:t>管理</w:t>
      </w:r>
      <w:r>
        <w:rPr>
          <w:rFonts w:ascii="宋体" w:hAnsi="宋体" w:cs="宋体" w:hint="eastAsia"/>
        </w:rPr>
        <w:t>效率进行分析，</w:t>
      </w:r>
      <w:r>
        <w:rPr>
          <w:rFonts w:ascii="宋体" w:hAnsi="宋体" w:cs="宋体" w:hint="eastAsia"/>
          <w:lang w:val="en-US" w:eastAsia="zh-CN"/>
        </w:rPr>
        <w:t>对渠道结构和各渠道的管理模式进行优化</w:t>
      </w:r>
      <w:r>
        <w:rPr>
          <w:rFonts w:ascii="宋体" w:hAnsi="宋体" w:cs="宋体" w:hint="eastAsia"/>
        </w:rPr>
        <w:t>，从而提升企业营运资金管理</w:t>
      </w:r>
      <w:r>
        <w:rPr>
          <w:rFonts w:ascii="宋体" w:hAnsi="宋体" w:cs="宋体" w:hint="eastAsia"/>
          <w:lang w:val="en-US" w:eastAsia="zh-CN"/>
        </w:rPr>
        <w:t>的整体</w:t>
      </w:r>
      <w:r>
        <w:rPr>
          <w:rFonts w:ascii="宋体" w:hAnsi="宋体" w:cs="宋体" w:hint="eastAsia"/>
        </w:rPr>
        <w:t>水平。</w:t>
      </w:r>
    </w:p>
    <w:p>
      <w:pPr>
        <w:ind w:firstLine="480"/>
        <w:rPr>
          <w:rFonts w:ascii="宋体" w:hAnsi="宋体" w:cs="宋体" w:hint="default"/>
          <w:color w:val="000000"/>
          <w:kern w:val="0"/>
          <w:szCs w:val="24"/>
          <w:lang w:bidi="ar"/>
        </w:rPr>
        <w:sectPr>
          <w:headerReference w:type="even" r:id="rId25"/>
          <w:headerReference w:type="default" r:id="rId26"/>
          <w:footerReference w:type="even" r:id="rId27"/>
          <w:footerReference w:type="default" r:id="rId28"/>
          <w:headerReference w:type="first" r:id="rId29"/>
          <w:footerReference w:type="first" r:id="rId30"/>
          <w:pgSz w:w="11906" w:h="16838"/>
          <w:pgMar w:top="1440" w:right="1800" w:bottom="1440" w:left="1800" w:header="851" w:footer="992" w:gutter="0"/>
          <w:pgNumType w:start="1"/>
          <w:cols w:num="1" w:space="0"/>
          <w:titlePg/>
          <w:docGrid w:type="lines" w:linePitch="312" w:charSpace="0"/>
        </w:sectPr>
      </w:pPr>
      <w:r>
        <w:rPr>
          <w:rFonts w:ascii="宋体" w:hAnsi="宋体" w:cs="宋体" w:hint="eastAsia"/>
        </w:rPr>
        <w:t>首先，采购活动中基于渠道理论的营运资金管理</w:t>
      </w:r>
      <w:r>
        <w:rPr>
          <w:rFonts w:ascii="宋体" w:hAnsi="宋体" w:cs="宋体" w:hint="eastAsia"/>
          <w:lang w:val="en-US" w:eastAsia="zh-CN"/>
        </w:rPr>
        <w:t>的</w:t>
      </w:r>
    </w:p>
    <w:p>
      <w:pPr>
        <w:ind w:firstLine="480"/>
        <w:rPr>
          <w:rFonts w:ascii="宋体" w:hAnsi="宋体" w:cs="宋体" w:hint="default"/>
          <w:color w:val="000000"/>
          <w:kern w:val="0"/>
          <w:szCs w:val="24"/>
          <w:lang w:bidi="ar"/>
        </w:rPr>
      </w:pPr>
      <w:r>
        <w:rPr>
          <w:rFonts w:ascii="宋体" w:hAnsi="宋体" w:cs="宋体" w:hint="eastAsia"/>
        </w:rPr>
        <w:t>主要内容包括供应商关系管理和应付账款管理等，</w:t>
      </w:r>
      <w:r>
        <w:rPr>
          <w:rFonts w:ascii="宋体" w:hAnsi="宋体" w:cs="宋体" w:hint="eastAsia"/>
          <w:color w:val="000000"/>
          <w:kern w:val="0"/>
          <w:szCs w:val="24"/>
          <w:lang w:bidi="ar"/>
        </w:rPr>
        <w:t>重点</w:t>
      </w:r>
      <w:r>
        <w:rPr>
          <w:rFonts w:ascii="宋体" w:hAnsi="宋体" w:cs="宋体" w:hint="eastAsia"/>
          <w:color w:val="000000"/>
          <w:kern w:val="0"/>
          <w:szCs w:val="24"/>
          <w:lang w:val="en-US" w:eastAsia="zh-CN" w:bidi="ar"/>
        </w:rPr>
        <w:t>在于保持</w:t>
      </w:r>
      <w:r>
        <w:rPr>
          <w:rFonts w:ascii="宋体" w:hAnsi="宋体" w:cs="宋体" w:hint="eastAsia"/>
          <w:color w:val="000000"/>
          <w:kern w:val="0"/>
          <w:szCs w:val="24"/>
          <w:lang w:bidi="ar"/>
        </w:rPr>
        <w:t>与上游供应商</w:t>
      </w:r>
      <w:r>
        <w:rPr>
          <w:rFonts w:ascii="宋体" w:hAnsi="宋体" w:cs="宋体" w:hint="eastAsia"/>
          <w:color w:val="000000"/>
          <w:kern w:val="0"/>
          <w:szCs w:val="24"/>
          <w:lang w:val="en-US" w:eastAsia="zh-CN" w:bidi="ar"/>
        </w:rPr>
        <w:t>之间良好的合作</w:t>
      </w:r>
      <w:r>
        <w:rPr>
          <w:rFonts w:ascii="宋体" w:hAnsi="宋体" w:cs="宋体" w:hint="eastAsia"/>
          <w:color w:val="000000"/>
          <w:kern w:val="0"/>
          <w:szCs w:val="24"/>
          <w:lang w:bidi="ar"/>
        </w:rPr>
        <w:t>关系，</w:t>
      </w:r>
      <w:r>
        <w:rPr>
          <w:rFonts w:ascii="宋体" w:hAnsi="宋体" w:cs="宋体" w:hint="eastAsia"/>
          <w:color w:val="000000"/>
          <w:kern w:val="0"/>
          <w:szCs w:val="24"/>
          <w:lang w:val="en-US" w:eastAsia="zh-CN" w:bidi="ar"/>
        </w:rPr>
        <w:t>使得上游供应商能够</w:t>
      </w:r>
      <w:r>
        <w:rPr>
          <w:rFonts w:ascii="宋体" w:hAnsi="宋体" w:cs="宋体" w:hint="eastAsia"/>
          <w:color w:val="000000"/>
          <w:kern w:val="0"/>
          <w:szCs w:val="24"/>
          <w:lang w:bidi="ar"/>
        </w:rPr>
        <w:t>持续</w:t>
      </w:r>
      <w:r>
        <w:rPr>
          <w:rFonts w:ascii="宋体" w:hAnsi="宋体" w:cs="宋体" w:hint="eastAsia"/>
          <w:color w:val="000000"/>
          <w:kern w:val="0"/>
          <w:szCs w:val="24"/>
          <w:lang w:val="en-US" w:eastAsia="zh-CN" w:bidi="ar"/>
        </w:rPr>
        <w:t>且</w:t>
      </w:r>
      <w:r>
        <w:rPr>
          <w:rFonts w:ascii="宋体" w:hAnsi="宋体" w:cs="宋体" w:hint="eastAsia"/>
          <w:color w:val="000000"/>
          <w:kern w:val="0"/>
          <w:szCs w:val="24"/>
          <w:lang w:bidi="ar"/>
        </w:rPr>
        <w:t>及时</w:t>
      </w:r>
      <w:r>
        <w:rPr>
          <w:rFonts w:ascii="宋体" w:hAnsi="宋体" w:cs="宋体" w:hint="eastAsia"/>
          <w:color w:val="000000"/>
          <w:kern w:val="0"/>
          <w:szCs w:val="24"/>
          <w:lang w:val="en-US" w:eastAsia="zh-CN" w:bidi="ar"/>
        </w:rPr>
        <w:t>地</w:t>
      </w:r>
      <w:r>
        <w:rPr>
          <w:rFonts w:ascii="宋体" w:hAnsi="宋体" w:cs="宋体" w:hint="eastAsia"/>
          <w:color w:val="000000"/>
          <w:kern w:val="0"/>
          <w:szCs w:val="24"/>
          <w:lang w:bidi="ar"/>
        </w:rPr>
        <w:t>供应</w:t>
      </w:r>
      <w:r>
        <w:rPr>
          <w:rFonts w:ascii="宋体" w:hAnsi="宋体" w:cs="宋体" w:hint="eastAsia"/>
          <w:color w:val="000000"/>
          <w:kern w:val="0"/>
          <w:szCs w:val="24"/>
          <w:lang w:val="en-US" w:eastAsia="zh-CN" w:bidi="ar"/>
        </w:rPr>
        <w:t>企业生产所需的原材料</w:t>
      </w:r>
      <w:r>
        <w:rPr>
          <w:rFonts w:ascii="宋体" w:hAnsi="宋体" w:cs="宋体" w:hint="eastAsia"/>
          <w:color w:val="000000"/>
          <w:kern w:val="0"/>
          <w:szCs w:val="24"/>
          <w:lang w:bidi="ar"/>
        </w:rPr>
        <w:t>，降低</w:t>
      </w:r>
      <w:r>
        <w:rPr>
          <w:rFonts w:ascii="宋体" w:hAnsi="宋体" w:cs="宋体" w:hint="eastAsia"/>
          <w:color w:val="000000"/>
          <w:kern w:val="0"/>
          <w:szCs w:val="24"/>
          <w:lang w:val="en-US" w:eastAsia="zh-CN" w:bidi="ar"/>
        </w:rPr>
        <w:t>因原材料未能及时供应而产生的</w:t>
      </w:r>
      <w:r>
        <w:rPr>
          <w:rFonts w:ascii="宋体" w:hAnsi="宋体" w:cs="宋体" w:hint="eastAsia"/>
          <w:color w:val="000000"/>
          <w:kern w:val="0"/>
          <w:szCs w:val="24"/>
          <w:lang w:bidi="ar"/>
        </w:rPr>
        <w:t>生产风险</w:t>
      </w:r>
      <w:r>
        <w:rPr>
          <w:rFonts w:ascii="宋体" w:hAnsi="宋体" w:cs="宋体" w:hint="eastAsia"/>
          <w:color w:val="000000"/>
          <w:kern w:val="0"/>
          <w:szCs w:val="24"/>
          <w:lang w:eastAsia="zh-CN" w:bidi="ar"/>
        </w:rPr>
        <w:t>，</w:t>
      </w:r>
      <w:r>
        <w:rPr>
          <w:rFonts w:ascii="宋体" w:hAnsi="宋体" w:cs="宋体" w:hint="eastAsia"/>
          <w:color w:val="000000"/>
          <w:kern w:val="0"/>
          <w:szCs w:val="24"/>
          <w:lang w:val="en-US" w:eastAsia="zh-CN" w:bidi="ar"/>
        </w:rPr>
        <w:t>同时也可以</w:t>
      </w:r>
      <w:r>
        <w:rPr>
          <w:rFonts w:ascii="宋体" w:hAnsi="宋体" w:cs="宋体" w:hint="eastAsia"/>
          <w:color w:val="000000"/>
          <w:kern w:val="0"/>
          <w:szCs w:val="24"/>
          <w:lang w:bidi="ar"/>
        </w:rPr>
        <w:t>减少因原材料库存占用的营运资金，甚至可以适当地占用上游</w:t>
      </w:r>
      <w:r>
        <w:rPr>
          <w:rFonts w:ascii="宋体" w:hAnsi="宋体" w:cs="宋体" w:hint="eastAsia"/>
          <w:color w:val="000000"/>
          <w:kern w:val="0"/>
          <w:szCs w:val="24"/>
          <w:lang w:val="en-US" w:eastAsia="zh-CN" w:bidi="ar"/>
        </w:rPr>
        <w:t>供应商</w:t>
      </w:r>
      <w:r>
        <w:rPr>
          <w:rFonts w:ascii="宋体" w:hAnsi="宋体" w:cs="宋体" w:hint="eastAsia"/>
          <w:color w:val="000000"/>
          <w:kern w:val="0"/>
          <w:szCs w:val="24"/>
          <w:lang w:bidi="ar"/>
        </w:rPr>
        <w:t>的营运资金</w:t>
      </w:r>
      <w:r>
        <w:rPr>
          <w:rFonts w:ascii="宋体" w:hAnsi="宋体" w:cs="宋体" w:hint="eastAsia"/>
          <w:color w:val="000000"/>
          <w:kern w:val="0"/>
          <w:szCs w:val="24"/>
          <w:lang w:eastAsia="zh-CN" w:bidi="ar"/>
        </w:rPr>
        <w:t>，</w:t>
      </w:r>
      <w:r>
        <w:rPr>
          <w:rFonts w:ascii="宋体" w:hAnsi="宋体" w:cs="宋体" w:hint="eastAsia"/>
          <w:color w:val="000000"/>
          <w:kern w:val="0"/>
          <w:szCs w:val="24"/>
          <w:lang w:val="en-US" w:eastAsia="zh-CN" w:bidi="ar"/>
        </w:rPr>
        <w:t>以提升营运资金利用率。</w:t>
      </w:r>
    </w:p>
    <w:p>
      <w:pPr>
        <w:ind w:firstLine="480"/>
        <w:rPr>
          <w:rFonts w:ascii="宋体" w:hAnsi="宋体" w:cs="宋体" w:hint="eastAsia"/>
          <w:color w:val="000000"/>
          <w:kern w:val="0"/>
          <w:szCs w:val="24"/>
          <w:lang w:bidi="ar"/>
        </w:rPr>
      </w:pPr>
      <w:r>
        <w:rPr>
          <w:rFonts w:ascii="宋体" w:hAnsi="宋体" w:cs="宋体" w:hint="eastAsia"/>
          <w:color w:val="000000"/>
          <w:kern w:val="0"/>
          <w:szCs w:val="24"/>
          <w:lang w:bidi="ar"/>
        </w:rPr>
        <w:t>其次，</w:t>
      </w:r>
      <w:r>
        <w:rPr>
          <w:rFonts w:ascii="宋体" w:hAnsi="宋体" w:cs="宋体" w:hint="eastAsia"/>
        </w:rPr>
        <w:t>生产活动中基于渠道理论的营运资金管理主要包括存货管理</w:t>
      </w:r>
      <w:r>
        <w:rPr>
          <w:rFonts w:ascii="宋体" w:hAnsi="宋体" w:cs="宋体" w:hint="eastAsia"/>
          <w:lang w:val="en-US" w:eastAsia="zh-CN"/>
        </w:rPr>
        <w:t>和</w:t>
      </w:r>
      <w:r>
        <w:rPr>
          <w:rFonts w:ascii="宋体" w:hAnsi="宋体" w:cs="宋体" w:hint="eastAsia"/>
        </w:rPr>
        <w:t>生产</w:t>
      </w:r>
      <w:r>
        <w:rPr>
          <w:rFonts w:ascii="宋体" w:hAnsi="宋体" w:cs="宋体" w:hint="eastAsia"/>
          <w:lang w:val="en-US" w:eastAsia="zh-CN"/>
        </w:rPr>
        <w:t>流</w:t>
      </w:r>
      <w:r>
        <w:rPr>
          <w:rFonts w:ascii="宋体" w:hAnsi="宋体" w:cs="宋体" w:hint="eastAsia"/>
        </w:rPr>
        <w:t>程，</w:t>
      </w:r>
      <w:r>
        <w:rPr>
          <w:rFonts w:ascii="宋体" w:hAnsi="宋体" w:cs="宋体" w:hint="eastAsia"/>
          <w:lang w:val="en-US" w:eastAsia="zh-CN"/>
        </w:rPr>
        <w:t>增强</w:t>
      </w:r>
      <w:r>
        <w:rPr>
          <w:rFonts w:ascii="宋体" w:hAnsi="宋体" w:cs="宋体" w:hint="eastAsia"/>
          <w:color w:val="000000"/>
          <w:kern w:val="0"/>
          <w:szCs w:val="24"/>
          <w:lang w:bidi="ar"/>
        </w:rPr>
        <w:t>生产渠道的营运资金</w:t>
      </w:r>
      <w:r>
        <w:rPr>
          <w:rFonts w:ascii="宋体" w:hAnsi="宋体" w:cs="宋体" w:hint="eastAsia"/>
          <w:color w:val="000000"/>
          <w:kern w:val="0"/>
          <w:szCs w:val="24"/>
          <w:lang w:val="en-US" w:eastAsia="zh-CN" w:bidi="ar"/>
        </w:rPr>
        <w:t>管理效率关键在于优化生产流程和渠道结构，降低生产成本。</w:t>
      </w:r>
    </w:p>
    <w:p>
      <w:pPr>
        <w:ind w:firstLine="480"/>
        <w:rPr>
          <w:rFonts w:ascii="宋体" w:hAnsi="宋体" w:cs="宋体"/>
        </w:rPr>
      </w:pPr>
      <w:r>
        <w:rPr>
          <w:rFonts w:ascii="宋体" w:hAnsi="宋体" w:cs="宋体" w:hint="eastAsia"/>
          <w:color w:val="000000"/>
          <w:kern w:val="0"/>
          <w:szCs w:val="24"/>
          <w:lang w:bidi="ar"/>
        </w:rPr>
        <w:t>最后，</w:t>
      </w:r>
      <w:r>
        <w:rPr>
          <w:rFonts w:ascii="宋体" w:hAnsi="宋体" w:cs="宋体" w:hint="eastAsia"/>
        </w:rPr>
        <w:t>销售活动中基于渠道理论的营运资金管理主要内容包括客户关系管理</w:t>
      </w:r>
      <w:r>
        <w:rPr>
          <w:rFonts w:ascii="宋体" w:hAnsi="宋体" w:cs="宋体" w:hint="eastAsia"/>
          <w:lang w:val="en-US" w:eastAsia="zh-CN"/>
        </w:rPr>
        <w:t>和</w:t>
      </w:r>
      <w:r>
        <w:rPr>
          <w:rFonts w:ascii="宋体" w:hAnsi="宋体" w:cs="宋体" w:hint="eastAsia"/>
        </w:rPr>
        <w:t>应收账款管理，</w:t>
      </w:r>
      <w:r>
        <w:rPr>
          <w:rFonts w:ascii="宋体" w:hAnsi="宋体" w:cs="宋体" w:hint="eastAsia"/>
          <w:lang w:val="en-US" w:eastAsia="zh-CN"/>
        </w:rPr>
        <w:t>增强销售</w:t>
      </w:r>
      <w:r>
        <w:rPr>
          <w:rFonts w:ascii="宋体" w:hAnsi="宋体" w:cs="宋体" w:hint="eastAsia"/>
          <w:color w:val="000000"/>
          <w:kern w:val="0"/>
          <w:szCs w:val="24"/>
          <w:lang w:bidi="ar"/>
        </w:rPr>
        <w:t>渠道的营运资金</w:t>
      </w:r>
      <w:r>
        <w:rPr>
          <w:rFonts w:ascii="宋体" w:hAnsi="宋体" w:cs="宋体" w:hint="eastAsia"/>
          <w:color w:val="000000"/>
          <w:kern w:val="0"/>
          <w:szCs w:val="24"/>
          <w:lang w:val="en-US" w:eastAsia="zh-CN" w:bidi="ar"/>
        </w:rPr>
        <w:t>管理效率</w:t>
      </w:r>
      <w:r>
        <w:rPr>
          <w:rFonts w:ascii="宋体" w:hAnsi="宋体" w:cs="宋体" w:hint="eastAsia"/>
          <w:color w:val="000000"/>
          <w:kern w:val="0"/>
          <w:szCs w:val="24"/>
          <w:lang w:bidi="ar"/>
        </w:rPr>
        <w:t>核心</w:t>
      </w:r>
      <w:r>
        <w:rPr>
          <w:rFonts w:ascii="宋体" w:hAnsi="宋体" w:cs="宋体" w:hint="eastAsia"/>
          <w:color w:val="000000"/>
          <w:kern w:val="0"/>
          <w:szCs w:val="24"/>
          <w:lang w:val="en-US" w:eastAsia="zh-CN" w:bidi="ar"/>
        </w:rPr>
        <w:t>在于</w:t>
      </w:r>
      <w:r>
        <w:rPr>
          <w:rFonts w:ascii="宋体" w:hAnsi="宋体" w:cs="宋体" w:hint="eastAsia"/>
          <w:color w:val="000000"/>
          <w:kern w:val="0"/>
          <w:szCs w:val="24"/>
          <w:lang w:bidi="ar"/>
        </w:rPr>
        <w:t>改进渠道机构</w:t>
      </w:r>
      <w:r>
        <w:rPr>
          <w:rFonts w:ascii="宋体" w:hAnsi="宋体" w:cs="宋体" w:hint="eastAsia"/>
          <w:color w:val="000000"/>
          <w:kern w:val="0"/>
          <w:szCs w:val="24"/>
          <w:lang w:val="en-US" w:eastAsia="zh-CN" w:bidi="ar"/>
        </w:rPr>
        <w:t>和营销模式，要根据企业的实际经营情况，其所处的市场环境以及市场需求来</w:t>
      </w:r>
      <w:r>
        <w:rPr>
          <w:rFonts w:ascii="宋体" w:hAnsi="宋体" w:cs="宋体" w:hint="eastAsia"/>
          <w:color w:val="000000"/>
          <w:kern w:val="0"/>
          <w:szCs w:val="24"/>
          <w:lang w:bidi="ar"/>
        </w:rPr>
        <w:t>选择</w:t>
      </w:r>
      <w:r>
        <w:rPr>
          <w:rFonts w:ascii="宋体" w:hAnsi="宋体" w:cs="宋体" w:hint="eastAsia"/>
          <w:color w:val="000000"/>
          <w:kern w:val="0"/>
          <w:szCs w:val="24"/>
          <w:lang w:val="en-US" w:eastAsia="zh-CN" w:bidi="ar"/>
        </w:rPr>
        <w:t>合适的</w:t>
      </w:r>
      <w:r>
        <w:rPr>
          <w:rFonts w:ascii="宋体" w:hAnsi="宋体" w:cs="宋体" w:hint="eastAsia"/>
          <w:color w:val="000000"/>
          <w:kern w:val="0"/>
          <w:szCs w:val="24"/>
          <w:lang w:bidi="ar"/>
        </w:rPr>
        <w:t>渠道结构</w:t>
      </w:r>
      <w:r>
        <w:rPr>
          <w:rFonts w:ascii="宋体" w:hAnsi="宋体" w:cs="宋体" w:hint="eastAsia"/>
          <w:color w:val="000000"/>
          <w:kern w:val="0"/>
          <w:szCs w:val="24"/>
          <w:lang w:eastAsia="zh-CN" w:bidi="ar"/>
        </w:rPr>
        <w:t>，</w:t>
      </w:r>
      <w:r>
        <w:rPr>
          <w:rFonts w:ascii="宋体" w:hAnsi="宋体" w:cs="宋体" w:hint="eastAsia"/>
          <w:color w:val="000000"/>
          <w:kern w:val="0"/>
          <w:szCs w:val="24"/>
          <w:lang w:val="en-US" w:eastAsia="zh-CN" w:bidi="ar"/>
        </w:rPr>
        <w:t>个性化设计营销模式</w:t>
      </w:r>
      <w:r>
        <w:rPr>
          <w:rFonts w:ascii="宋体" w:hAnsi="宋体" w:cs="宋体" w:hint="eastAsia"/>
          <w:color w:val="000000"/>
          <w:kern w:val="0"/>
          <w:szCs w:val="24"/>
          <w:lang w:bidi="ar"/>
        </w:rPr>
        <w:t>。</w:t>
      </w:r>
      <w:r>
        <w:rPr>
          <w:rFonts w:ascii="宋体" w:hAnsi="宋体" w:cs="宋体" w:hint="eastAsia"/>
          <w:color w:val="000000"/>
          <w:kern w:val="0"/>
          <w:szCs w:val="24"/>
          <w:lang w:val="en-US" w:eastAsia="zh-CN" w:bidi="ar"/>
        </w:rPr>
        <w:t>渠道关系</w:t>
      </w:r>
      <w:r>
        <w:rPr>
          <w:rFonts w:ascii="宋体" w:hAnsi="宋体" w:cs="宋体" w:hint="eastAsia"/>
          <w:color w:val="000000"/>
          <w:kern w:val="0"/>
          <w:szCs w:val="24"/>
          <w:lang w:bidi="ar"/>
        </w:rPr>
        <w:t>也是影响销售渠道营运资金管理的重要</w:t>
      </w:r>
      <w:r>
        <w:rPr>
          <w:rFonts w:ascii="宋体" w:hAnsi="宋体" w:cs="宋体" w:hint="eastAsia"/>
          <w:color w:val="000000"/>
          <w:kern w:val="0"/>
          <w:szCs w:val="24"/>
          <w:lang w:val="en-US" w:eastAsia="zh-CN" w:bidi="ar"/>
        </w:rPr>
        <w:t>要素</w:t>
      </w:r>
      <w:r>
        <w:rPr>
          <w:rFonts w:ascii="宋体" w:hAnsi="宋体" w:cs="宋体" w:hint="eastAsia"/>
          <w:color w:val="000000"/>
          <w:kern w:val="0"/>
          <w:szCs w:val="24"/>
          <w:lang w:bidi="ar"/>
        </w:rPr>
        <w:t>，客户与企业之间</w:t>
      </w:r>
      <w:r>
        <w:rPr>
          <w:rFonts w:ascii="宋体" w:hAnsi="宋体" w:cs="宋体" w:hint="eastAsia"/>
          <w:color w:val="000000"/>
          <w:kern w:val="0"/>
          <w:szCs w:val="24"/>
          <w:lang w:val="en-US" w:eastAsia="zh-CN" w:bidi="ar"/>
        </w:rPr>
        <w:t>充分的沟通和良好</w:t>
      </w:r>
      <w:r>
        <w:rPr>
          <w:rFonts w:ascii="宋体" w:hAnsi="宋体" w:cs="宋体" w:hint="eastAsia"/>
          <w:color w:val="000000"/>
          <w:kern w:val="0"/>
          <w:szCs w:val="24"/>
          <w:lang w:bidi="ar"/>
        </w:rPr>
        <w:t>的合作关系可以减少</w:t>
      </w:r>
      <w:r>
        <w:rPr>
          <w:rFonts w:ascii="宋体" w:hAnsi="宋体" w:cs="宋体" w:hint="eastAsia"/>
          <w:color w:val="000000"/>
          <w:kern w:val="0"/>
          <w:szCs w:val="24"/>
          <w:lang w:val="en-US" w:eastAsia="zh-CN" w:bidi="ar"/>
        </w:rPr>
        <w:t>企业不必要的</w:t>
      </w:r>
      <w:r>
        <w:rPr>
          <w:rFonts w:ascii="宋体" w:hAnsi="宋体" w:cs="宋体" w:hint="eastAsia"/>
          <w:color w:val="000000"/>
          <w:kern w:val="0"/>
          <w:szCs w:val="24"/>
          <w:lang w:bidi="ar"/>
        </w:rPr>
        <w:t>产成品库存</w:t>
      </w:r>
      <w:r>
        <w:rPr>
          <w:rFonts w:ascii="宋体" w:hAnsi="宋体" w:cs="宋体" w:hint="eastAsia"/>
          <w:color w:val="000000"/>
          <w:kern w:val="0"/>
          <w:szCs w:val="24"/>
          <w:lang w:val="en-US" w:eastAsia="zh-CN" w:bidi="ar"/>
        </w:rPr>
        <w:t>堆积</w:t>
      </w:r>
      <w:r>
        <w:rPr>
          <w:rFonts w:ascii="宋体" w:hAnsi="宋体" w:cs="宋体" w:hint="eastAsia"/>
          <w:color w:val="000000"/>
          <w:kern w:val="0"/>
          <w:szCs w:val="24"/>
          <w:lang w:bidi="ar"/>
        </w:rPr>
        <w:t>和</w:t>
      </w:r>
      <w:r>
        <w:rPr>
          <w:rFonts w:ascii="宋体" w:hAnsi="宋体" w:cs="宋体" w:hint="eastAsia"/>
          <w:color w:val="000000"/>
          <w:kern w:val="0"/>
          <w:szCs w:val="24"/>
          <w:lang w:val="en-US" w:eastAsia="zh-CN" w:bidi="ar"/>
        </w:rPr>
        <w:t>应收账款占用额。</w:t>
      </w:r>
      <w:r>
        <w:rPr>
          <w:rFonts w:ascii="宋体" w:hAnsi="宋体" w:cs="宋体" w:hint="eastAsia"/>
          <w:color w:val="000000"/>
          <w:kern w:val="0"/>
          <w:szCs w:val="24"/>
          <w:lang w:bidi="ar"/>
        </w:rPr>
        <w:t>而一旦</w:t>
      </w:r>
      <w:r>
        <w:rPr>
          <w:rFonts w:ascii="宋体" w:hAnsi="宋体" w:cs="宋体" w:hint="eastAsia"/>
          <w:color w:val="000000"/>
          <w:kern w:val="0"/>
          <w:szCs w:val="24"/>
          <w:lang w:val="en-US" w:eastAsia="zh-CN" w:bidi="ar"/>
        </w:rPr>
        <w:t>两者之间的渠道关系恶化，产生</w:t>
      </w:r>
      <w:r>
        <w:rPr>
          <w:rFonts w:ascii="宋体" w:hAnsi="宋体" w:cs="宋体" w:hint="eastAsia"/>
          <w:color w:val="000000"/>
          <w:kern w:val="0"/>
          <w:szCs w:val="24"/>
          <w:lang w:bidi="ar"/>
        </w:rPr>
        <w:t>冲突，</w:t>
      </w:r>
      <w:r>
        <w:rPr>
          <w:rFonts w:ascii="宋体" w:hAnsi="宋体" w:cs="宋体" w:hint="eastAsia"/>
          <w:color w:val="000000"/>
          <w:kern w:val="0"/>
          <w:szCs w:val="24"/>
          <w:lang w:val="en-US" w:eastAsia="zh-CN" w:bidi="ar"/>
        </w:rPr>
        <w:t>则会</w:t>
      </w:r>
      <w:r>
        <w:rPr>
          <w:rFonts w:ascii="宋体" w:hAnsi="宋体" w:cs="宋体" w:hint="eastAsia"/>
          <w:color w:val="000000"/>
          <w:kern w:val="0"/>
          <w:szCs w:val="24"/>
          <w:lang w:bidi="ar"/>
        </w:rPr>
        <w:t>对渠道中的营运资金</w:t>
      </w:r>
      <w:r>
        <w:rPr>
          <w:rFonts w:ascii="宋体" w:hAnsi="宋体" w:cs="宋体" w:hint="eastAsia"/>
          <w:color w:val="000000"/>
          <w:kern w:val="0"/>
          <w:szCs w:val="24"/>
          <w:lang w:val="en-US" w:eastAsia="zh-CN" w:bidi="ar"/>
        </w:rPr>
        <w:t>管理效率</w:t>
      </w:r>
      <w:r>
        <w:rPr>
          <w:rFonts w:ascii="宋体" w:hAnsi="宋体" w:cs="宋体" w:hint="eastAsia"/>
          <w:color w:val="000000"/>
          <w:kern w:val="0"/>
          <w:szCs w:val="24"/>
          <w:lang w:bidi="ar"/>
        </w:rPr>
        <w:t>产生</w:t>
      </w:r>
      <w:r>
        <w:rPr>
          <w:rFonts w:ascii="宋体" w:hAnsi="宋体" w:cs="宋体" w:hint="eastAsia"/>
          <w:color w:val="000000"/>
          <w:kern w:val="0"/>
          <w:szCs w:val="24"/>
          <w:lang w:val="en-US" w:eastAsia="zh-CN" w:bidi="ar"/>
        </w:rPr>
        <w:t>不利影响</w:t>
      </w:r>
      <w:r>
        <w:rPr>
          <w:rFonts w:ascii="宋体" w:hAnsi="宋体" w:cs="宋体" w:hint="eastAsia"/>
          <w:color w:val="000000"/>
          <w:kern w:val="0"/>
          <w:szCs w:val="24"/>
          <w:lang w:bidi="ar"/>
        </w:rPr>
        <w:t>。</w:t>
      </w: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pPr>
    </w:p>
    <w:p>
      <w:pPr>
        <w:ind w:firstLine="480"/>
        <w:rPr>
          <w:rFonts w:ascii="宋体" w:hAnsi="宋体" w:cs="宋体"/>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800" w:bottom="1440" w:left="1800" w:header="851" w:footer="992" w:gutter="0"/>
          <w:pgNumType w:start="2"/>
          <w:cols w:num="1" w:space="0"/>
          <w:titlePg w:val="0"/>
          <w:docGrid w:type="lines" w:linePitch="312" w:charSpace="0"/>
        </w:sectPr>
      </w:pPr>
    </w:p>
    <w:p>
      <w:pPr>
        <w:pStyle w:val="Heading1"/>
        <w:numPr>
          <w:ilvl w:val="0"/>
          <w:numId w:val="1"/>
        </w:numPr>
        <w:ind w:left="480"/>
        <w:rPr>
          <w:rFonts w:ascii="宋体" w:hAnsi="宋体" w:cs="宋体"/>
        </w:rPr>
      </w:pPr>
      <w:bookmarkStart w:id="5" w:name="_Toc6999"/>
      <w:r>
        <w:rPr>
          <w:rFonts w:ascii="宋体" w:hAnsi="宋体" w:cs="宋体" w:hint="eastAsia"/>
        </w:rPr>
        <w:t>基于渠道理论的康美药业营运资金管理的现状</w:t>
      </w:r>
      <w:bookmarkEnd w:id="5"/>
    </w:p>
    <w:p>
      <w:pPr>
        <w:pStyle w:val="Heading2"/>
        <w:spacing w:before="0" w:after="0" w:line="360" w:lineRule="auto"/>
        <w:rPr>
          <w:rFonts w:ascii="宋体" w:hAnsi="宋体" w:cs="宋体"/>
        </w:rPr>
      </w:pPr>
      <w:bookmarkStart w:id="6" w:name="_Toc1782"/>
      <w:r>
        <w:rPr>
          <w:rFonts w:ascii="宋体" w:hAnsi="宋体" w:cs="宋体" w:hint="eastAsia"/>
        </w:rPr>
        <w:t>2.1康美药业公司简介</w:t>
      </w:r>
      <w:bookmarkEnd w:id="6"/>
    </w:p>
    <w:p>
      <w:pPr>
        <w:ind w:firstLine="480"/>
        <w:rPr>
          <w:rFonts w:ascii="宋体" w:hAnsi="宋体" w:cs="宋体"/>
        </w:rPr>
      </w:pPr>
      <w:r>
        <w:rPr>
          <w:rFonts w:ascii="宋体" w:hAnsi="宋体" w:cs="宋体" w:hint="eastAsia"/>
        </w:rPr>
        <w:t>康美药业股份有限公司成立于1997年，于2001年在上海证券交易所上市。A股股票代码为600518。是一家主营中药饮片、中药材贸易、药品生产销售、保健品及保健食品、中药材市场经营、医疗机械和医疗服务等业务的民营企业。所属医药制造行业，是中药饮片行业的龙头企业之一。</w:t>
      </w:r>
    </w:p>
    <w:p>
      <w:pPr>
        <w:ind w:firstLine="480"/>
        <w:rPr>
          <w:rFonts w:ascii="宋体" w:hAnsi="宋体" w:cs="宋体"/>
          <w:szCs w:val="24"/>
        </w:rPr>
      </w:pPr>
      <w:r>
        <w:rPr>
          <w:rFonts w:ascii="宋体" w:hAnsi="宋体" w:cs="宋体" w:hint="eastAsia"/>
        </w:rPr>
        <w:t>康美药业的业务流程主要围绕中药材种植，中药生产，药材贸易，医药批发，物流配送。</w:t>
      </w:r>
      <w:r>
        <w:rPr>
          <w:rFonts w:ascii="宋体" w:hAnsi="宋体" w:cs="宋体" w:hint="eastAsia"/>
          <w:szCs w:val="24"/>
        </w:rPr>
        <w:t>在种植方面，公司打造东北最大的人参产业基地、中药材集散中心和长白山中药材GAP基地，建设云南三七种植基地，保证药材供应。在生产方面，率先实现了中药饮片规模化生产，特色中药饮片生产基地遍布全国各地，完成了全国布局。在产业布局方面，重组吉林新开河、四川保宁、四川滕王阁等，收购了安徽亳州、广东普宁、河北安国等专业中药材市场，所管理的专业市场中药材交易量占全国75%以上。在仓储配送方面，已建成运营普宁中药饮片物流配送中心和康美中药物流港，构建统一、规范、标准的仓储保障。在营销方面，公司在全国20多个城市设立了子公司、办事处，在华北、华东等区域形成了完善的市场营销网络，并投入巨资建设普宁康美医院、广东康美之恋大药房连锁有限公司和深圳康美人生医药有限公司等终端渠道，构建了集医院销售、OTC、西药批发与配送、零售、连锁药店、电子商务等多种销售方式于一体的立体销售体系。</w:t>
      </w:r>
    </w:p>
    <w:p>
      <w:pPr>
        <w:ind w:firstLine="480"/>
        <w:rPr>
          <w:rFonts w:ascii="宋体" w:hAnsi="宋体" w:cs="宋体"/>
          <w:szCs w:val="24"/>
        </w:rPr>
      </w:pPr>
    </w:p>
    <w:p>
      <w:pPr>
        <w:pStyle w:val="Heading2"/>
        <w:spacing w:before="0" w:after="0" w:line="360" w:lineRule="auto"/>
        <w:rPr>
          <w:rFonts w:ascii="宋体" w:hAnsi="宋体" w:cs="宋体"/>
        </w:rPr>
      </w:pPr>
      <w:bookmarkStart w:id="7" w:name="_Toc21023"/>
      <w:r>
        <w:rPr>
          <w:rFonts w:ascii="宋体" w:hAnsi="宋体" w:cs="宋体" w:hint="eastAsia"/>
        </w:rPr>
        <w:t>2.2康美药业营运资金基本情况</w:t>
      </w:r>
      <w:bookmarkEnd w:id="7"/>
      <w:r>
        <w:rPr>
          <w:rStyle w:val="CommentReference"/>
          <w:rFonts w:ascii="宋体" w:hAnsi="宋体" w:cs="宋体" w:hint="eastAsia"/>
          <w:b w:val="0"/>
          <w:bCs w:val="0"/>
        </w:rPr>
        <w:t xml:space="preserve"> </w:t>
      </w:r>
    </w:p>
    <w:p>
      <w:pPr>
        <w:widowControl/>
        <w:ind w:firstLine="480" w:firstLineChars="200"/>
        <w:jc w:val="left"/>
        <w:rPr>
          <w:rFonts w:ascii="宋体" w:hAnsi="宋体" w:cs="宋体"/>
          <w:color w:val="FF0000"/>
          <w:kern w:val="0"/>
          <w:szCs w:val="24"/>
          <w:lang w:bidi="ar"/>
        </w:rPr>
      </w:pPr>
      <w:r>
        <w:rPr>
          <w:rFonts w:ascii="宋体" w:hAnsi="宋体" w:cs="宋体" w:hint="eastAsia"/>
          <w:lang w:val="en-US" w:eastAsia="zh-CN"/>
        </w:rPr>
        <w:t>企业的</w:t>
      </w:r>
      <w:r>
        <w:rPr>
          <w:rFonts w:ascii="宋体" w:hAnsi="宋体" w:cs="宋体" w:hint="eastAsia"/>
        </w:rPr>
        <w:t>营运资金包括流动资产和流动负债。由于</w:t>
      </w:r>
      <w:r>
        <w:rPr>
          <w:rFonts w:ascii="宋体" w:hAnsi="宋体" w:cs="宋体" w:hint="eastAsia"/>
          <w:color w:val="000000"/>
          <w:kern w:val="0"/>
          <w:szCs w:val="24"/>
          <w:lang w:bidi="ar"/>
        </w:rPr>
        <w:t>2020</w:t>
      </w:r>
      <w:r>
        <w:rPr>
          <w:rFonts w:ascii="宋体" w:hAnsi="宋体" w:cs="宋体" w:hint="eastAsia"/>
        </w:rPr>
        <w:t>年财务报告尚未披露，以下</w:t>
      </w:r>
      <w:r>
        <w:rPr>
          <w:rFonts w:ascii="宋体" w:hAnsi="宋体" w:cs="宋体" w:hint="eastAsia"/>
          <w:color w:val="000000"/>
          <w:kern w:val="0"/>
          <w:szCs w:val="24"/>
          <w:lang w:bidi="ar"/>
        </w:rPr>
        <w:t>通过分析2017年-2019年康美药业营运资金规模和构成、流动资产以及流动负债的状况，了解康美药业营运资金的基本情况。</w:t>
      </w:r>
    </w:p>
    <w:p>
      <w:pPr>
        <w:widowControl/>
        <w:jc w:val="left"/>
        <w:rPr>
          <w:rFonts w:ascii="宋体" w:hAnsi="宋体" w:cs="宋体"/>
          <w:bCs/>
        </w:rPr>
      </w:pPr>
      <w:r>
        <w:rPr>
          <w:rFonts w:ascii="宋体" w:hAnsi="宋体" w:cs="宋体" w:hint="eastAsia"/>
          <w:bCs/>
        </w:rPr>
        <w:t>2.2.1营运资金构成</w:t>
      </w:r>
    </w:p>
    <w:p>
      <w:pPr>
        <w:widowControl/>
        <w:ind w:firstLine="105" w:firstLineChars="50"/>
        <w:rPr>
          <w:rFonts w:ascii="宋体" w:hAnsi="宋体" w:cs="宋体"/>
          <w:b/>
          <w:bCs/>
          <w:sz w:val="21"/>
          <w:szCs w:val="21"/>
        </w:rPr>
      </w:pPr>
      <w:r>
        <w:rPr>
          <w:rFonts w:ascii="宋体" w:hAnsi="宋体" w:cs="宋体" w:hint="eastAsia"/>
          <w:b/>
          <w:color w:val="000000"/>
          <w:kern w:val="0"/>
          <w:sz w:val="21"/>
          <w:szCs w:val="21"/>
          <w:lang w:bidi="ar"/>
        </w:rPr>
        <w:t>表2-1              康美药业2017-2019年营运资金规模及变化       单位：万元</w:t>
      </w:r>
    </w:p>
    <w:tbl>
      <w:tblPr>
        <w:tblStyle w:val="TableGrid0"/>
        <w:tblpPr w:leftFromText="180" w:rightFromText="180" w:vertAnchor="text" w:horzAnchor="page" w:tblpXSpec="center" w:tblpY="48"/>
        <w:tblOverlap w:val="neve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6"/>
        <w:gridCol w:w="2560"/>
        <w:gridCol w:w="2270"/>
        <w:gridCol w:w="2022"/>
      </w:tblGrid>
      <w:tr>
        <w:tblPrEx>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94"/>
          <w:jc w:val="center"/>
        </w:trPr>
        <w:tc>
          <w:tcPr>
            <w:tcW w:w="1336" w:type="dxa"/>
            <w:tcBorders>
              <w:tl2br w:val="single" w:sz="4" w:space="0" w:color="auto"/>
            </w:tcBorders>
          </w:tcPr>
          <w:p>
            <w:pPr>
              <w:widowControl/>
              <w:spacing w:line="240" w:lineRule="auto"/>
              <w:rPr>
                <w:rFonts w:ascii="宋体" w:hAnsi="宋体" w:cs="宋体"/>
                <w:color w:val="000000"/>
                <w:kern w:val="0"/>
                <w:sz w:val="21"/>
                <w:szCs w:val="21"/>
                <w:lang w:bidi="ar"/>
              </w:rPr>
            </w:pPr>
            <w:r>
              <w:rPr>
                <w:rFonts w:ascii="宋体" w:hAnsi="宋体" w:cs="宋体" w:hint="eastAsia"/>
                <w:color w:val="000000"/>
                <w:kern w:val="0"/>
                <w:sz w:val="21"/>
                <w:szCs w:val="21"/>
                <w:lang w:bidi="ar"/>
              </w:rPr>
              <w:t xml:space="preserve">     年份</w:t>
            </w:r>
          </w:p>
          <w:p>
            <w:pPr>
              <w:widowControl/>
              <w:spacing w:line="240" w:lineRule="auto"/>
              <w:rPr>
                <w:rFonts w:ascii="宋体" w:hAnsi="宋体" w:cs="宋体"/>
                <w:color w:val="000000"/>
                <w:kern w:val="0"/>
                <w:sz w:val="21"/>
                <w:szCs w:val="21"/>
                <w:lang w:bidi="ar"/>
              </w:rPr>
            </w:pPr>
            <w:r>
              <w:rPr>
                <w:rFonts w:ascii="宋体" w:hAnsi="宋体" w:cs="宋体" w:hint="eastAsia"/>
                <w:color w:val="000000"/>
                <w:kern w:val="0"/>
                <w:sz w:val="21"/>
                <w:szCs w:val="21"/>
                <w:lang w:bidi="ar"/>
              </w:rPr>
              <w:t>项目</w:t>
            </w:r>
          </w:p>
        </w:tc>
        <w:tc>
          <w:tcPr>
            <w:tcW w:w="2560" w:type="dxa"/>
            <w:vAlign w:val="center"/>
          </w:tcPr>
          <w:p>
            <w:pPr>
              <w:widowControl/>
              <w:spacing w:line="240" w:lineRule="auto"/>
              <w:ind w:firstLine="840" w:firstLineChars="400"/>
              <w:rPr>
                <w:rFonts w:ascii="宋体" w:hAnsi="宋体" w:cs="宋体"/>
                <w:color w:val="000000"/>
                <w:kern w:val="0"/>
                <w:sz w:val="21"/>
                <w:szCs w:val="21"/>
                <w:lang w:bidi="ar"/>
              </w:rPr>
            </w:pPr>
            <w:r>
              <w:rPr>
                <w:rFonts w:ascii="宋体" w:hAnsi="宋体" w:cs="宋体" w:hint="eastAsia"/>
                <w:color w:val="000000"/>
                <w:kern w:val="0"/>
                <w:sz w:val="21"/>
                <w:szCs w:val="21"/>
                <w:lang w:bidi="ar"/>
              </w:rPr>
              <w:t>2017</w:t>
            </w:r>
            <w:r>
              <w:rPr>
                <w:rStyle w:val="CommentReference"/>
                <w:rFonts w:ascii="宋体" w:hAnsi="宋体" w:cs="宋体" w:hint="eastAsia"/>
              </w:rPr>
              <w:t>年</w:t>
            </w:r>
          </w:p>
        </w:tc>
        <w:tc>
          <w:tcPr>
            <w:tcW w:w="2270" w:type="dxa"/>
            <w:vAlign w:val="center"/>
          </w:tcPr>
          <w:p>
            <w:pPr>
              <w:widowControl/>
              <w:spacing w:line="240" w:lineRule="auto"/>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2018年</w:t>
            </w:r>
          </w:p>
        </w:tc>
        <w:tc>
          <w:tcPr>
            <w:tcW w:w="2022" w:type="dxa"/>
            <w:vAlign w:val="center"/>
          </w:tcPr>
          <w:p>
            <w:pPr>
              <w:widowControl/>
              <w:spacing w:line="240" w:lineRule="auto"/>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2019年</w:t>
            </w:r>
          </w:p>
        </w:tc>
      </w:tr>
      <w:tr>
        <w:tblPrEx>
          <w:tblW w:w="8188" w:type="dxa"/>
          <w:jc w:val="center"/>
          <w:tblCellMar>
            <w:top w:w="0" w:type="dxa"/>
            <w:left w:w="108" w:type="dxa"/>
            <w:bottom w:w="0" w:type="dxa"/>
            <w:right w:w="108" w:type="dxa"/>
          </w:tblCellMar>
        </w:tblPrEx>
        <w:trPr>
          <w:trHeight w:val="515"/>
          <w:jc w:val="center"/>
        </w:trPr>
        <w:tc>
          <w:tcPr>
            <w:tcW w:w="1336" w:type="dxa"/>
          </w:tcPr>
          <w:p>
            <w:pPr>
              <w:widowControl/>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营业收入</w:t>
            </w:r>
          </w:p>
        </w:tc>
        <w:tc>
          <w:tcPr>
            <w:tcW w:w="2560" w:type="dxa"/>
          </w:tcPr>
          <w:p>
            <w:pPr>
              <w:widowControl/>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1,617,396.92</w:t>
            </w:r>
          </w:p>
        </w:tc>
        <w:tc>
          <w:tcPr>
            <w:tcW w:w="2270" w:type="dxa"/>
          </w:tcPr>
          <w:p>
            <w:pPr>
              <w:widowControl/>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1,706,507.91</w:t>
            </w:r>
          </w:p>
        </w:tc>
        <w:tc>
          <w:tcPr>
            <w:tcW w:w="2022" w:type="dxa"/>
          </w:tcPr>
          <w:p>
            <w:pPr>
              <w:widowControl/>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 xml:space="preserve">1,144,554.58 </w:t>
            </w:r>
          </w:p>
        </w:tc>
      </w:tr>
    </w:tbl>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https://d.book118.com/978004110034006024</w:t>
        </w:r>
      </w:hyperlink>
    </w:p>
    <w:p/>
    <w:sectPr>
      <w:headerReference w:type="even" r:id="rId38"/>
      <w:headerReference w:type="default" r:id="rId39"/>
      <w:footerReference w:type="even" r:id="rId40"/>
      <w:footerReference w:type="default" r:id="rId41"/>
      <w:headerReference w:type="first" r:id="rId42"/>
      <w:footerReference w:type="first" r:id="rId43"/>
      <w:pgSz w:w="11906" w:h="16838"/>
      <w:pgMar w:top="1440" w:right="1800" w:bottom="1440" w:left="1800" w:header="851" w:footer="992" w:gutter="0"/>
      <w:pgNumType w:start="3"/>
      <w:cols w:num="1" w:space="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Gulim">
    <w:panose1 w:val="020B0600000101010101"/>
    <w:charset w:val="81"/>
    <w:family w:val="swiss"/>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813727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49617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650852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981953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826844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932788"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472732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455658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72193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004039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112494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681624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目录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hAnsi="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目录</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hAnsi="Times New Roma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目录</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hAnsi="Times New Roma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相关理论概述</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eastAsia="宋体" w:hAnsi="Times New Roman"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相关理论概述</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eastAsia="宋体" w:hAnsi="Times New Roman"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第二章 基于渠道理论的康美药业运营资金管理的现状</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ascii="Times New Roman" w:eastAsia="宋体" w:hAnsi="Times New Roman"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CC98088"/>
    <w:multiLevelType w:val="singleLevel"/>
    <w:tmpl w:val="BCC98088"/>
    <w:lvl w:ilvl="0">
      <w:start w:val="5"/>
      <w:numFmt w:val="chineseCounting"/>
      <w:suff w:val="space"/>
      <w:lvlText w:val="第%1章"/>
      <w:lvlJc w:val="left"/>
      <w:rPr>
        <w:rFonts w:hint="eastAsia"/>
      </w:rPr>
    </w:lvl>
  </w:abstractNum>
  <w:abstractNum w:abstractNumId="1">
    <w:nsid w:val="13DC4999"/>
    <w:multiLevelType w:val="singleLevel"/>
    <w:tmpl w:val="13DC4999"/>
    <w:lvl w:ilvl="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evenAndOddHeaders/>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F32AC"/>
    <w:rsid w:val="00031142"/>
    <w:rsid w:val="00094AE3"/>
    <w:rsid w:val="000C1C95"/>
    <w:rsid w:val="001A35A3"/>
    <w:rsid w:val="001C3E34"/>
    <w:rsid w:val="001C6DF3"/>
    <w:rsid w:val="001E59D9"/>
    <w:rsid w:val="001F3B05"/>
    <w:rsid w:val="00202BA3"/>
    <w:rsid w:val="00205C6D"/>
    <w:rsid w:val="002533CB"/>
    <w:rsid w:val="00287FB3"/>
    <w:rsid w:val="002A7BF5"/>
    <w:rsid w:val="002B7757"/>
    <w:rsid w:val="002E06C7"/>
    <w:rsid w:val="00324EAE"/>
    <w:rsid w:val="003844A2"/>
    <w:rsid w:val="003B32BA"/>
    <w:rsid w:val="00424722"/>
    <w:rsid w:val="00444F9D"/>
    <w:rsid w:val="005950DC"/>
    <w:rsid w:val="005E184A"/>
    <w:rsid w:val="00672104"/>
    <w:rsid w:val="0068106F"/>
    <w:rsid w:val="00696218"/>
    <w:rsid w:val="006B418A"/>
    <w:rsid w:val="00754B8B"/>
    <w:rsid w:val="00770154"/>
    <w:rsid w:val="007709F3"/>
    <w:rsid w:val="007C0E75"/>
    <w:rsid w:val="00820383"/>
    <w:rsid w:val="008E7997"/>
    <w:rsid w:val="008F0D52"/>
    <w:rsid w:val="009368AA"/>
    <w:rsid w:val="009C6C3C"/>
    <w:rsid w:val="009D21BF"/>
    <w:rsid w:val="00A6275F"/>
    <w:rsid w:val="00A9767E"/>
    <w:rsid w:val="00AB2D30"/>
    <w:rsid w:val="00AB7C15"/>
    <w:rsid w:val="00B263F5"/>
    <w:rsid w:val="00BA3BBA"/>
    <w:rsid w:val="00C26F87"/>
    <w:rsid w:val="00C873CE"/>
    <w:rsid w:val="00CD1161"/>
    <w:rsid w:val="00CD2BB0"/>
    <w:rsid w:val="00D06B21"/>
    <w:rsid w:val="00D638CE"/>
    <w:rsid w:val="00D95A8E"/>
    <w:rsid w:val="00D96848"/>
    <w:rsid w:val="00E34258"/>
    <w:rsid w:val="00E97DE9"/>
    <w:rsid w:val="00EA46E2"/>
    <w:rsid w:val="00EC5D1F"/>
    <w:rsid w:val="00F70C23"/>
    <w:rsid w:val="00F93617"/>
    <w:rsid w:val="00FD7864"/>
    <w:rsid w:val="016F2BCB"/>
    <w:rsid w:val="022921C9"/>
    <w:rsid w:val="045E060C"/>
    <w:rsid w:val="04B932C3"/>
    <w:rsid w:val="050C38FD"/>
    <w:rsid w:val="05E20587"/>
    <w:rsid w:val="072F3261"/>
    <w:rsid w:val="075465B1"/>
    <w:rsid w:val="09350C6F"/>
    <w:rsid w:val="09F671BA"/>
    <w:rsid w:val="0A457A06"/>
    <w:rsid w:val="0C6D16C1"/>
    <w:rsid w:val="0DE42BF0"/>
    <w:rsid w:val="1128186F"/>
    <w:rsid w:val="116E1ACF"/>
    <w:rsid w:val="13DC3538"/>
    <w:rsid w:val="14C42E64"/>
    <w:rsid w:val="14EC32E9"/>
    <w:rsid w:val="15936B0A"/>
    <w:rsid w:val="168E6872"/>
    <w:rsid w:val="179766A8"/>
    <w:rsid w:val="17D44729"/>
    <w:rsid w:val="182257B1"/>
    <w:rsid w:val="18683AD4"/>
    <w:rsid w:val="1897325B"/>
    <w:rsid w:val="1B375BED"/>
    <w:rsid w:val="1B71294F"/>
    <w:rsid w:val="1B895D7C"/>
    <w:rsid w:val="1BF27065"/>
    <w:rsid w:val="1C650D83"/>
    <w:rsid w:val="1D174560"/>
    <w:rsid w:val="1E46133B"/>
    <w:rsid w:val="1F0A6F1E"/>
    <w:rsid w:val="1FAE125E"/>
    <w:rsid w:val="1FD8144E"/>
    <w:rsid w:val="20256BC3"/>
    <w:rsid w:val="209B682E"/>
    <w:rsid w:val="21494184"/>
    <w:rsid w:val="227308BD"/>
    <w:rsid w:val="22B9760C"/>
    <w:rsid w:val="23322D24"/>
    <w:rsid w:val="237144D2"/>
    <w:rsid w:val="23C30A9D"/>
    <w:rsid w:val="23EB4896"/>
    <w:rsid w:val="2495473D"/>
    <w:rsid w:val="25A45523"/>
    <w:rsid w:val="26322BDE"/>
    <w:rsid w:val="269D1921"/>
    <w:rsid w:val="26CC1B6D"/>
    <w:rsid w:val="28531077"/>
    <w:rsid w:val="29690E85"/>
    <w:rsid w:val="2A3B1CBF"/>
    <w:rsid w:val="2A3F28E7"/>
    <w:rsid w:val="2A442D95"/>
    <w:rsid w:val="2AD630E8"/>
    <w:rsid w:val="2B005DB1"/>
    <w:rsid w:val="2B1C6012"/>
    <w:rsid w:val="2B702698"/>
    <w:rsid w:val="2C2D4A27"/>
    <w:rsid w:val="2C6275C0"/>
    <w:rsid w:val="2CD7457D"/>
    <w:rsid w:val="2CEB7BDB"/>
    <w:rsid w:val="2D5A20A9"/>
    <w:rsid w:val="2E3D1C2F"/>
    <w:rsid w:val="2EA44FEE"/>
    <w:rsid w:val="2FFE19A0"/>
    <w:rsid w:val="30296D5E"/>
    <w:rsid w:val="308C4186"/>
    <w:rsid w:val="30E96C0D"/>
    <w:rsid w:val="318D4FDC"/>
    <w:rsid w:val="327C4CFD"/>
    <w:rsid w:val="33205A41"/>
    <w:rsid w:val="37016E75"/>
    <w:rsid w:val="37D90D1A"/>
    <w:rsid w:val="37DA799B"/>
    <w:rsid w:val="38340E9C"/>
    <w:rsid w:val="38AA724E"/>
    <w:rsid w:val="39221B7C"/>
    <w:rsid w:val="39370A02"/>
    <w:rsid w:val="39C52817"/>
    <w:rsid w:val="3B631416"/>
    <w:rsid w:val="3B6A1607"/>
    <w:rsid w:val="3D0156F6"/>
    <w:rsid w:val="3EC932F2"/>
    <w:rsid w:val="3EFD1412"/>
    <w:rsid w:val="3F0B219D"/>
    <w:rsid w:val="40405E92"/>
    <w:rsid w:val="4072214C"/>
    <w:rsid w:val="40D4653B"/>
    <w:rsid w:val="4293211F"/>
    <w:rsid w:val="42BA6442"/>
    <w:rsid w:val="430C1BA9"/>
    <w:rsid w:val="435751BA"/>
    <w:rsid w:val="43666E83"/>
    <w:rsid w:val="43A605B0"/>
    <w:rsid w:val="43BF3524"/>
    <w:rsid w:val="44DB13DE"/>
    <w:rsid w:val="45EF2DB7"/>
    <w:rsid w:val="46AE35DA"/>
    <w:rsid w:val="475630F0"/>
    <w:rsid w:val="47CD6508"/>
    <w:rsid w:val="47EA77CC"/>
    <w:rsid w:val="482F32AC"/>
    <w:rsid w:val="48A91FF3"/>
    <w:rsid w:val="49470E91"/>
    <w:rsid w:val="49D242BC"/>
    <w:rsid w:val="4DEC3BEF"/>
    <w:rsid w:val="4EBC7BBB"/>
    <w:rsid w:val="4EDD5BD0"/>
    <w:rsid w:val="4FF8099F"/>
    <w:rsid w:val="51B337FA"/>
    <w:rsid w:val="532B5CF7"/>
    <w:rsid w:val="545C5BB9"/>
    <w:rsid w:val="54BF3D32"/>
    <w:rsid w:val="54DB0C9C"/>
    <w:rsid w:val="54E85BA8"/>
    <w:rsid w:val="55092551"/>
    <w:rsid w:val="554D4082"/>
    <w:rsid w:val="56151EB6"/>
    <w:rsid w:val="56230101"/>
    <w:rsid w:val="57320D24"/>
    <w:rsid w:val="57740519"/>
    <w:rsid w:val="57B65C47"/>
    <w:rsid w:val="58470F32"/>
    <w:rsid w:val="58536D40"/>
    <w:rsid w:val="589D5ADA"/>
    <w:rsid w:val="58A773B6"/>
    <w:rsid w:val="59D46C42"/>
    <w:rsid w:val="5A484A1C"/>
    <w:rsid w:val="5B0C3650"/>
    <w:rsid w:val="5B4C6CE0"/>
    <w:rsid w:val="5B5B42C7"/>
    <w:rsid w:val="5BDE0D89"/>
    <w:rsid w:val="5D81496D"/>
    <w:rsid w:val="610B6BC8"/>
    <w:rsid w:val="627D600E"/>
    <w:rsid w:val="62BE73F8"/>
    <w:rsid w:val="65E21B8B"/>
    <w:rsid w:val="66B21F68"/>
    <w:rsid w:val="681C1C6B"/>
    <w:rsid w:val="69396D59"/>
    <w:rsid w:val="6A9F163E"/>
    <w:rsid w:val="6AB47A9A"/>
    <w:rsid w:val="6C9874F9"/>
    <w:rsid w:val="6CB05291"/>
    <w:rsid w:val="6EB05989"/>
    <w:rsid w:val="6EF325E4"/>
    <w:rsid w:val="6F027613"/>
    <w:rsid w:val="6F1B1963"/>
    <w:rsid w:val="6F330791"/>
    <w:rsid w:val="6FEA018C"/>
    <w:rsid w:val="70BA583F"/>
    <w:rsid w:val="70EB6656"/>
    <w:rsid w:val="71B905AA"/>
    <w:rsid w:val="73A53284"/>
    <w:rsid w:val="73CB58B3"/>
    <w:rsid w:val="75C90561"/>
    <w:rsid w:val="75FE1F5D"/>
    <w:rsid w:val="786368FA"/>
    <w:rsid w:val="78E00A97"/>
    <w:rsid w:val="7BAE1250"/>
    <w:rsid w:val="7C264FA8"/>
    <w:rsid w:val="7C7E3DF3"/>
    <w:rsid w:val="7CDF0D9B"/>
    <w:rsid w:val="7CEA35E1"/>
    <w:rsid w:val="7E9464EC"/>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qFormat="1"/>
    <w:lsdException w:name="heading 4" w:semiHidden="0"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jc w:val="both"/>
    </w:pPr>
    <w:rPr>
      <w:rFonts w:ascii="Calibri" w:eastAsia="宋体" w:hAnsi="Calibri" w:cs="Times New Roman"/>
      <w:kern w:val="2"/>
      <w:sz w:val="24"/>
      <w:szCs w:val="22"/>
      <w:lang w:val="en-US" w:eastAsia="zh-CN" w:bidi="ar-SA"/>
    </w:rPr>
  </w:style>
  <w:style w:type="paragraph" w:styleId="Heading1">
    <w:name w:val="heading 1"/>
    <w:basedOn w:val="Normal"/>
    <w:next w:val="Normal"/>
    <w:autoRedefine/>
    <w:qFormat/>
    <w:pPr>
      <w:keepNext/>
      <w:keepLines/>
      <w:spacing w:before="100" w:after="60" w:line="240" w:lineRule="auto"/>
      <w:ind w:left="200" w:leftChars="200"/>
      <w:jc w:val="center"/>
      <w:outlineLvl w:val="0"/>
    </w:pPr>
    <w:rPr>
      <w:kern w:val="44"/>
      <w:sz w:val="32"/>
    </w:rPr>
  </w:style>
  <w:style w:type="paragraph" w:styleId="Heading2">
    <w:name w:val="heading 2"/>
    <w:basedOn w:val="Normal"/>
    <w:next w:val="Normal"/>
    <w:autoRedefine/>
    <w:uiPriority w:val="9"/>
    <w:qFormat/>
    <w:pPr>
      <w:keepNext/>
      <w:keepLines/>
      <w:spacing w:before="100" w:after="60" w:line="240" w:lineRule="auto"/>
      <w:jc w:val="left"/>
      <w:outlineLvl w:val="1"/>
    </w:pPr>
    <w:rPr>
      <w:rFonts w:ascii="Cambria" w:hAnsi="Cambria"/>
      <w:b/>
      <w:bCs/>
      <w:sz w:val="28"/>
      <w:szCs w:val="32"/>
    </w:rPr>
  </w:style>
  <w:style w:type="paragraph" w:styleId="Heading3">
    <w:name w:val="heading 3"/>
    <w:basedOn w:val="Normal"/>
    <w:next w:val="Normal"/>
    <w:autoRedefine/>
    <w:unhideWhenUsed/>
    <w:qFormat/>
    <w:pPr>
      <w:keepNext/>
      <w:keepLines/>
      <w:spacing w:line="240" w:lineRule="auto"/>
      <w:ind w:left="200" w:leftChars="200"/>
      <w:outlineLvl w:val="2"/>
    </w:pPr>
    <w:rPr>
      <w:b/>
    </w:rPr>
  </w:style>
  <w:style w:type="paragraph" w:styleId="Heading4">
    <w:name w:val="heading 4"/>
    <w:basedOn w:val="Normal"/>
    <w:next w:val="Normal"/>
    <w:autoRedefine/>
    <w:unhideWhenUsed/>
    <w:qFormat/>
    <w:pPr>
      <w:keepNext/>
      <w:keepLines/>
      <w:spacing w:before="400" w:after="410" w:line="372" w:lineRule="auto"/>
      <w:ind w:left="100" w:leftChars="100"/>
      <w:outlineLvl w:val="3"/>
    </w:pPr>
    <w:rPr>
      <w:rFonts w:ascii="Arial" w:eastAsia="黑体" w:hAnsi="Arial"/>
    </w:rPr>
  </w:style>
  <w:style w:type="paragraph" w:styleId="Heading5">
    <w:name w:val="heading 5"/>
    <w:basedOn w:val="Normal"/>
    <w:next w:val="Normal"/>
    <w:autoRedefine/>
    <w:unhideWhenUsed/>
    <w:qFormat/>
    <w:pPr>
      <w:keepNext/>
      <w:keepLines/>
      <w:spacing w:before="280" w:after="290" w:line="372" w:lineRule="auto"/>
      <w:outlineLvl w:val="4"/>
    </w:pPr>
    <w:rPr>
      <w:sz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autoRedefine/>
    <w:qFormat/>
    <w:pPr>
      <w:jc w:val="left"/>
    </w:pPr>
  </w:style>
  <w:style w:type="paragraph" w:styleId="BalloonText">
    <w:name w:val="Balloon Text"/>
    <w:basedOn w:val="Normal"/>
    <w:link w:val="Char0"/>
    <w:autoRedefine/>
    <w:qFormat/>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76" w:lineRule="auto"/>
      <w:jc w:val="left"/>
    </w:pPr>
    <w:rPr>
      <w:kern w:val="0"/>
      <w:sz w:val="22"/>
    </w:rPr>
  </w:style>
  <w:style w:type="paragraph" w:styleId="Title">
    <w:name w:val="Title"/>
    <w:basedOn w:val="Normal"/>
    <w:next w:val="Normal"/>
    <w:autoRedefine/>
    <w:uiPriority w:val="10"/>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Char2"/>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qFormat/>
    <w:rPr>
      <w:color w:val="0000FF"/>
      <w:u w:val="single"/>
    </w:rPr>
  </w:style>
  <w:style w:type="character" w:styleId="CommentReference">
    <w:name w:val="annotation reference"/>
    <w:basedOn w:val="DefaultParagraphFont"/>
    <w:autoRedefine/>
    <w:qFormat/>
    <w:rPr>
      <w:sz w:val="21"/>
      <w:szCs w:val="21"/>
    </w:rPr>
  </w:style>
  <w:style w:type="character" w:customStyle="1" w:styleId="Char">
    <w:name w:val="页眉 Char"/>
    <w:basedOn w:val="DefaultParagraphFont"/>
    <w:link w:val="Header"/>
    <w:autoRedefine/>
    <w:uiPriority w:val="99"/>
    <w:qFormat/>
    <w:rPr>
      <w:rFonts w:ascii="Calibri" w:hAnsi="Calibri"/>
      <w:kern w:val="2"/>
      <w:sz w:val="18"/>
      <w:szCs w:val="18"/>
    </w:rPr>
  </w:style>
  <w:style w:type="character" w:customStyle="1" w:styleId="Char0">
    <w:name w:val="批注框文本 Char"/>
    <w:basedOn w:val="DefaultParagraphFont"/>
    <w:link w:val="BalloonText"/>
    <w:qFormat/>
    <w:rPr>
      <w:rFonts w:ascii="Calibri" w:hAnsi="Calibri"/>
      <w:kern w:val="2"/>
      <w:sz w:val="18"/>
      <w:szCs w:val="18"/>
    </w:rPr>
  </w:style>
  <w:style w:type="paragraph" w:customStyle="1" w:styleId="WPSOffice1">
    <w:name w:val="WPSOffice手动目录 1"/>
    <w:autoRedefine/>
    <w:qFormat/>
    <w:rPr>
      <w:rFonts w:ascii="Calibri" w:eastAsia="宋体" w:hAnsi="Calibri" w:cs="Times New Roman"/>
      <w:lang w:val="en-US" w:eastAsia="zh-CN" w:bidi="ar-SA"/>
    </w:rPr>
  </w:style>
  <w:style w:type="paragraph" w:customStyle="1" w:styleId="WPSOffice2">
    <w:name w:val="WPSOffice手动目录 2"/>
    <w:autoRedefine/>
    <w:qFormat/>
    <w:pPr>
      <w:ind w:left="200" w:leftChars="200"/>
    </w:pPr>
    <w:rPr>
      <w:rFonts w:ascii="Calibri" w:eastAsia="宋体" w:hAnsi="Calibri" w:cs="Times New Roman"/>
      <w:lang w:val="en-US" w:eastAsia="zh-CN" w:bidi="ar-SA"/>
    </w:rPr>
  </w:style>
  <w:style w:type="character" w:customStyle="1" w:styleId="Char1">
    <w:name w:val="批注文字 Char"/>
    <w:basedOn w:val="DefaultParagraphFont"/>
    <w:link w:val="CommentText"/>
    <w:autoRedefine/>
    <w:qFormat/>
    <w:rPr>
      <w:kern w:val="2"/>
      <w:sz w:val="24"/>
      <w:szCs w:val="22"/>
    </w:rPr>
  </w:style>
  <w:style w:type="character" w:customStyle="1" w:styleId="Char2">
    <w:name w:val="批注主题 Char"/>
    <w:basedOn w:val="Char1"/>
    <w:link w:val="CommentSubject"/>
    <w:autoRedefine/>
    <w:qFormat/>
    <w:rPr>
      <w:b/>
      <w:bCs/>
      <w:kern w:val="2"/>
      <w:sz w:val="24"/>
      <w:szCs w:val="22"/>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www.so.com/s?q=%E6%B5%81%E5%8A%A8%E8%B5%84%E4%BA%A7&amp;ie=utf-8&amp;src=internal_wenda_recommend_textn" TargetMode="Externa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yperlink" Target="https://d.book118.com/978004110034006024" TargetMode="Externa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B66DAE-8A08-493F-9F5D-DDB914D63E6F}">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8</Pages>
  <Words>3273</Words>
  <Characters>18660</Characters>
  <Application>Microsoft Office Word</Application>
  <DocSecurity>0</DocSecurity>
  <Lines>155</Lines>
  <Paragraphs>43</Paragraphs>
  <ScaleCrop>false</ScaleCrop>
  <Company>Company</Company>
  <LinksUpToDate>false</LinksUpToDate>
  <CharactersWithSpaces>21890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34</cp:revision>
  <dcterms:created xsi:type="dcterms:W3CDTF">2021-02-21T01:45:00Z</dcterms:created>
  <dcterms:modified xsi:type="dcterms:W3CDTF">2024-01-07T08:50:24Z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2477BD0B10774678BC4368EAA83EEEC1_13</vt:lpwstr>
  </property>
  <property fmtid="{D5CDD505-2E9C-101B-9397-08002B2CF9AE}" pid="3" name="KSOProductBuildVer">
    <vt:lpwstr>2052-12.1.0.16120</vt:lpwstr>
  </property>
</Properties>
</file>