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2018-2023年浙江东方职业技术学院高职单招（数学／语文／英语）历年常考试题库含答案解析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奠定郭沫若在中国现代文学史上的地位的是他于1921年出版的诗集（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A.《尝试集》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B.《红烛》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C.《女神》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下列各句中，“数”作“计算”解的是（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352922" cy="1686102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52922" cy="1686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鲁迅发表的第一篇现代白话文小说是（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A.《呐喊》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B.《狂人日记》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C.《孔乙己》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D.《阿Q正传》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马致远的《天净沙·秋思》中紧接“枯藤老树昏鸦”的句子是（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A.小桥流水人家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B.古道西风瘦马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C.夕阳西下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D.断肠人在天涯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“大都不过参国之一”中“参国之一”的意思是（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A.三个国家中的一个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B.国都的三分之一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C.参加国之一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D.三个国都中的一个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下列同属“新月派”的一组作家是（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A.艾青、徐志摩、郭沫若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B.闻一多、郭沫若、冰心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C.徐志摩、闻一多、梁实秋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D.郁达夫、徐志摩、艾青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“知识就是力量”这句名言是出自（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A.富兰克林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C.拉封丹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D.伏尔泰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《谈时间》一文的主要论证方法是（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A.演绎论证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B.比较论证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C.归纳论证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D.类比论证、对比论证和归纳论证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提出“文章合为时而著，歌诗合为事而作”文学主张的是（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D.李商隐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闻一多曾提出新格律诗的“三美”主张，即新诗要有（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A.理想美、思想美、形式美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B.色彩浓、回味永、意境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C.音乐的美、绘画的美、建筑的美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D.节奏、韵味、意境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“出师未捷身先死，长使英雄泪满襟”。此句中所指人物和作者分别是（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A.岳飞，辛弃疾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B.周瑜，杜甫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C.诸葛亮，杜甫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D.诸葛亮，李白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关于大同世界的美好理想源自（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A.儒家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B.法家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C.道家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D.墨家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A.书信体记叙文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B.书信体议论文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C.书信体抒情文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D.奏章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孟子在本文中阐述的政治主张是（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https://d.book118.com/978036113135006040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hyperlink" Target="https://d.book118.com/978036113135006040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