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985">
      <w:pPr>
        <w:spacing w:line="360" w:lineRule="auto"/>
        <w:ind w:firstLine="561"/>
        <w:jc w:val="center"/>
        <w:rPr>
          <w:rFonts w:ascii="仿宋" w:eastAsia="仿宋" w:hAnsi="仿宋" w:cs="仿宋"/>
          <w:sz w:val="52"/>
          <w:szCs w:val="52"/>
        </w:rPr>
      </w:pPr>
      <w:bookmarkStart w:id="0" w:name="_Toc2741"/>
      <w:bookmarkStart w:id="1" w:name="_Toc24489"/>
      <w:bookmarkStart w:id="2" w:name="_Toc133988417"/>
      <w:bookmarkStart w:id="3" w:name="_Toc31953"/>
      <w:bookmarkStart w:id="4" w:name="_Toc455527105"/>
      <w:bookmarkStart w:id="5" w:name="_Toc133990430"/>
      <w:bookmarkStart w:id="6" w:name="_Toc3169"/>
      <w:bookmarkStart w:id="7" w:name="_Toc133853927"/>
      <w:bookmarkStart w:id="8" w:name="_Toc133917658"/>
      <w:bookmarkStart w:id="9" w:name="_Toc133920222"/>
      <w:bookmarkStart w:id="10" w:name="_Toc320777077"/>
      <w:bookmarkStart w:id="11" w:name="_Toc133847061"/>
      <w:bookmarkStart w:id="12" w:name="_Toc133911101"/>
      <w:bookmarkStart w:id="13" w:name="_Toc133988562"/>
      <w:bookmarkStart w:id="14" w:name="_Toc137479631"/>
      <w:r>
        <w:rPr>
          <w:rFonts w:ascii="仿宋" w:eastAsia="仿宋" w:hAnsi="仿宋" w:cs="仿宋" w:hint="eastAsia"/>
          <w:sz w:val="52"/>
          <w:szCs w:val="52"/>
        </w:rPr>
        <w:t xml:space="preserve"> 沙湾路工程</w:t>
      </w:r>
    </w:p>
    <w:p w:rsidR="00092985">
      <w:pPr>
        <w:spacing w:line="360" w:lineRule="auto"/>
        <w:ind w:firstLine="561"/>
        <w:jc w:val="center"/>
        <w:rPr>
          <w:rFonts w:ascii="仿宋" w:eastAsia="仿宋" w:hAnsi="仿宋" w:cs="仿宋" w:hint="eastAsia"/>
          <w:sz w:val="52"/>
          <w:szCs w:val="52"/>
        </w:rPr>
      </w:pPr>
      <w:r>
        <w:rPr>
          <w:rFonts w:ascii="仿宋" w:eastAsia="仿宋" w:hAnsi="仿宋" w:cs="仿宋" w:hint="eastAsia"/>
          <w:sz w:val="52"/>
          <w:szCs w:val="52"/>
        </w:rPr>
        <w:t>——</w:t>
      </w:r>
      <w:r>
        <w:rPr>
          <w:rFonts w:ascii="仿宋" w:eastAsia="仿宋" w:hAnsi="仿宋" w:cs="仿宋" w:hint="eastAsia"/>
          <w:sz w:val="52"/>
          <w:szCs w:val="52"/>
        </w:rPr>
        <w:t>道路工程施工图设计说明</w:t>
      </w:r>
    </w:p>
    <w:p w:rsidR="00092985">
      <w:pPr>
        <w:jc w:val="center"/>
        <w:rPr>
          <w:rFonts w:ascii="仿宋" w:eastAsia="仿宋" w:hAnsi="仿宋" w:cs="仿宋" w:hint="eastAsia"/>
          <w:b/>
          <w:bCs/>
          <w:sz w:val="44"/>
          <w:szCs w:val="44"/>
        </w:rPr>
        <w:sectPr>
          <w:headerReference w:type="default" r:id="rId4"/>
          <w:footerReference w:type="default" r:id="rId5"/>
          <w:type w:val="continuous"/>
          <w:pgSz w:w="23811" w:h="16838" w:orient="landscape"/>
          <w:pgMar w:top="1083" w:right="1440" w:bottom="1083" w:left="1440" w:header="850" w:footer="1417" w:gutter="680"/>
          <w:pgNumType w:start="1"/>
          <w:cols w:space="720"/>
          <w:docGrid w:type="lines" w:linePitch="316"/>
        </w:sectPr>
      </w:pPr>
    </w:p>
    <w:p w:rsidR="00092985">
      <w:pPr>
        <w:jc w:val="center"/>
        <w:rPr>
          <w:rFonts w:ascii="仿宋" w:eastAsia="仿宋" w:hAnsi="仿宋" w:cs="仿宋" w:hint="eastAsia"/>
          <w:b/>
          <w:bCs/>
          <w:sz w:val="44"/>
          <w:szCs w:val="44"/>
        </w:rPr>
        <w:sectPr>
          <w:headerReference w:type="default" r:id="rId6"/>
          <w:footerReference w:type="default" r:id="rId7"/>
          <w:type w:val="continuous"/>
          <w:pgSz w:w="23811" w:h="16838" w:orient="landscape"/>
          <w:pgMar w:top="1083" w:right="1440" w:bottom="1083" w:left="1440" w:header="850" w:footer="1417" w:gutter="680"/>
          <w:pgNumType w:start="1"/>
          <w:cols w:num="2" w:space="425" w:equalWidth="0">
            <w:col w:w="9857" w:space="425"/>
            <w:col w:w="9969" w:space="0"/>
          </w:cols>
          <w:docGrid w:type="lines" w:linePitch="316"/>
        </w:sectPr>
      </w:pPr>
      <w:r>
        <w:rPr>
          <w:rFonts w:ascii="仿宋" w:eastAsia="仿宋" w:hAnsi="仿宋" w:cs="仿宋" w:hint="eastAsia"/>
          <w:b/>
          <w:bCs/>
          <w:sz w:val="44"/>
          <w:szCs w:val="44"/>
        </w:rPr>
        <w:t xml:space="preserve">      </w:t>
      </w:r>
    </w:p>
    <w:p w:rsidR="00092985">
      <w:pPr>
        <w:pStyle w:val="Heading1"/>
        <w:numPr>
          <w:ilvl w:val="0"/>
          <w:numId w:val="2"/>
        </w:numPr>
        <w:tabs>
          <w:tab w:val="left" w:pos="-2120"/>
        </w:tabs>
        <w:spacing w:line="360" w:lineRule="auto"/>
        <w:ind w:left="640" w:firstLine="0"/>
        <w:jc w:val="both"/>
        <w:rPr>
          <w:rFonts w:ascii="仿宋" w:eastAsia="仿宋" w:hAnsi="仿宋" w:cs="仿宋" w:hint="eastAsia"/>
          <w:b/>
          <w:bCs/>
          <w:sz w:val="32"/>
          <w:szCs w:val="32"/>
        </w:rPr>
      </w:pPr>
      <w:bookmarkEnd w:id="0"/>
      <w:bookmarkEnd w:id="1"/>
      <w:r>
        <w:rPr>
          <w:rFonts w:ascii="仿宋" w:eastAsia="仿宋" w:hAnsi="仿宋" w:cs="仿宋" w:hint="eastAsia"/>
          <w:b/>
          <w:bCs/>
          <w:sz w:val="32"/>
          <w:szCs w:val="32"/>
        </w:rPr>
        <w:t>工程概况</w:t>
      </w:r>
    </w:p>
    <w:p w:rsidR="00092985">
      <w:pPr>
        <w:pStyle w:val="Heading2"/>
        <w:numPr>
          <w:ilvl w:val="1"/>
          <w:numId w:val="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项目区位</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大渡口区是</w:t>
      </w:r>
      <w:hyperlink r:id="rId8" w:tgtFrame="https://baike.so.com/doc/_blank" w:history="1">
        <w:r>
          <w:rPr>
            <w:rFonts w:ascii="仿宋" w:eastAsia="仿宋" w:hAnsi="仿宋" w:cs="仿宋" w:hint="eastAsia"/>
            <w:sz w:val="28"/>
            <w:szCs w:val="28"/>
          </w:rPr>
          <w:t>重庆主城区</w:t>
        </w:r>
      </w:hyperlink>
      <w:r>
        <w:rPr>
          <w:rFonts w:ascii="仿宋" w:eastAsia="仿宋" w:hAnsi="仿宋" w:cs="仿宋" w:hint="eastAsia"/>
          <w:sz w:val="28"/>
          <w:szCs w:val="28"/>
        </w:rPr>
        <w:t>，重庆</w:t>
      </w:r>
      <w:hyperlink r:id="rId9" w:tgtFrame="https://baike.so.com/doc/_blank" w:history="1">
        <w:r>
          <w:rPr>
            <w:rFonts w:ascii="仿宋" w:eastAsia="仿宋" w:hAnsi="仿宋" w:cs="仿宋" w:hint="eastAsia"/>
            <w:sz w:val="28"/>
            <w:szCs w:val="28"/>
          </w:rPr>
          <w:t>大都市区</w:t>
        </w:r>
      </w:hyperlink>
      <w:r>
        <w:rPr>
          <w:rFonts w:ascii="仿宋" w:eastAsia="仿宋" w:hAnsi="仿宋" w:cs="仿宋" w:hint="eastAsia"/>
          <w:sz w:val="28"/>
          <w:szCs w:val="28"/>
        </w:rPr>
        <w:t>之一，处在重庆市西南部，是重庆都市圈重要组成部分，也是重庆市</w:t>
      </w:r>
      <w:hyperlink r:id="rId10" w:tgtFrame="https://baike.so.com/doc/_blank" w:history="1">
        <w:r>
          <w:rPr>
            <w:rFonts w:ascii="仿宋" w:eastAsia="仿宋" w:hAnsi="仿宋" w:cs="仿宋" w:hint="eastAsia"/>
            <w:sz w:val="28"/>
            <w:szCs w:val="28"/>
          </w:rPr>
          <w:t>中心城区</w:t>
        </w:r>
      </w:hyperlink>
      <w:r>
        <w:rPr>
          <w:rFonts w:ascii="仿宋" w:eastAsia="仿宋" w:hAnsi="仿宋" w:cs="仿宋" w:hint="eastAsia"/>
          <w:sz w:val="28"/>
          <w:szCs w:val="28"/>
        </w:rPr>
        <w:t>十二个组团之一，于1965年建区。本项目位于大渡口区西南部建桥工业园区C区，共涉及一条市政道路。</w:t>
      </w:r>
    </w:p>
    <w:p w:rsidR="00092985">
      <w:pPr>
        <w:spacing w:line="360" w:lineRule="auto"/>
        <w:jc w:val="center"/>
        <w:rPr>
          <w:rFonts w:ascii="仿宋" w:eastAsia="仿宋" w:hAnsi="仿宋" w:cs="仿宋" w:hint="eastAsia"/>
          <w:sz w:val="28"/>
          <w:szCs w:val="28"/>
        </w:rPr>
      </w:pPr>
    </w:p>
    <w:p w:rsidR="00092985">
      <w:pPr>
        <w:spacing w:line="360" w:lineRule="auto"/>
        <w:ind w:firstLine="560"/>
        <w:jc w:val="center"/>
        <w:rPr>
          <w:rFonts w:ascii="仿宋" w:eastAsia="仿宋" w:hAnsi="仿宋" w:cs="仿宋" w:hint="eastAsia"/>
          <w:sz w:val="28"/>
          <w:szCs w:val="28"/>
        </w:rPr>
      </w:pPr>
      <w:r>
        <w:rPr>
          <w:rFonts w:ascii="仿宋" w:eastAsia="仿宋" w:hAnsi="仿宋" w:cs="仿宋" w:hint="eastAsia"/>
          <w:sz w:val="28"/>
          <w:szCs w:val="28"/>
        </w:rPr>
        <w:t>项目地理位置图</w:t>
      </w:r>
    </w:p>
    <w:p w:rsidR="00092985">
      <w:pPr>
        <w:pStyle w:val="Heading2"/>
        <w:numPr>
          <w:ilvl w:val="1"/>
          <w:numId w:val="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工程规模</w:t>
      </w:r>
    </w:p>
    <w:p w:rsidR="00092985">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本次沙湾路位于建桥工业园C区中部，道路北侧为现状污水处理厂。沙湾路起点接规划道路，终点顺接现状南海大道。建成后将为周边地块提供便捷的交通出行服务，具有较大的社会价值。</w:t>
      </w:r>
    </w:p>
    <w:p w:rsidR="00092985">
      <w:pPr>
        <w:spacing w:line="360" w:lineRule="auto"/>
        <w:ind w:firstLine="561"/>
        <w:rPr>
          <w:rFonts w:ascii="仿宋" w:eastAsia="仿宋" w:hAnsi="仿宋" w:cs="仿宋"/>
          <w:sz w:val="28"/>
          <w:szCs w:val="28"/>
        </w:rPr>
      </w:pPr>
      <w:r>
        <w:rPr>
          <w:rFonts w:ascii="仿宋" w:eastAsia="仿宋" w:hAnsi="仿宋" w:cs="仿宋" w:hint="eastAsia"/>
          <w:sz w:val="28"/>
          <w:szCs w:val="28"/>
        </w:rPr>
        <w:t>本项目为沙湾路新建道路工程，道路设计全长209.241米，双向两车道，城市支路，设计速度30km/h，道路标准路幅宽16m；本次设计范围为K0+045.000～K0+189.490，长144.49m；</w:t>
      </w:r>
    </w:p>
    <w:p w:rsidR="00092985">
      <w:pPr>
        <w:pStyle w:val="Heading2"/>
        <w:numPr>
          <w:ilvl w:val="1"/>
          <w:numId w:val="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设计内容及分册情况</w:t>
      </w:r>
    </w:p>
    <w:p w:rsidR="00092985">
      <w:pPr>
        <w:pStyle w:val="Heading3"/>
        <w:numPr>
          <w:ilvl w:val="2"/>
          <w:numId w:val="2"/>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设计内容</w:t>
      </w:r>
    </w:p>
    <w:p w:rsidR="00092985">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本次设计内容包含道路工程、排水工程、照明工程、综合管网工程、交通工程、海绵城市专篇等相关内容。</w:t>
      </w:r>
    </w:p>
    <w:p w:rsidR="00092985">
      <w:pPr>
        <w:pStyle w:val="Heading3"/>
        <w:numPr>
          <w:ilvl w:val="2"/>
          <w:numId w:val="2"/>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分册情况</w:t>
      </w:r>
    </w:p>
    <w:p w:rsidR="00092985">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本次施工图设计为全一册，包含道路工程、综合管网工程、照明工程、交通工程、海绵城市专篇。</w:t>
      </w:r>
    </w:p>
    <w:p w:rsidR="00092985">
      <w:pPr>
        <w:spacing w:line="360" w:lineRule="auto"/>
        <w:ind w:firstLine="560"/>
        <w:rPr>
          <w:rFonts w:ascii="仿宋" w:eastAsia="仿宋" w:hAnsi="仿宋" w:cs="仿宋" w:hint="eastAsia"/>
          <w:b/>
          <w:bCs/>
          <w:sz w:val="28"/>
          <w:szCs w:val="28"/>
        </w:rPr>
      </w:pPr>
      <w:r>
        <w:rPr>
          <w:rFonts w:ascii="仿宋" w:eastAsia="仿宋" w:hAnsi="仿宋" w:cs="仿宋" w:hint="eastAsia"/>
          <w:b/>
          <w:bCs/>
          <w:sz w:val="28"/>
          <w:szCs w:val="28"/>
        </w:rPr>
        <w:t>本说明为道路工程施工图设计说明。</w:t>
      </w:r>
    </w:p>
    <w:p w:rsidR="00092985">
      <w:pPr>
        <w:pStyle w:val="Heading1"/>
        <w:numPr>
          <w:ilvl w:val="0"/>
          <w:numId w:val="2"/>
        </w:numPr>
        <w:tabs>
          <w:tab w:val="left" w:pos="-2120"/>
        </w:tabs>
        <w:spacing w:line="360" w:lineRule="auto"/>
        <w:ind w:left="640" w:firstLine="0"/>
        <w:jc w:val="both"/>
        <w:rPr>
          <w:rFonts w:ascii="仿宋" w:eastAsia="仿宋" w:hAnsi="仿宋" w:cs="仿宋" w:hint="eastAsia"/>
          <w:b/>
          <w:bCs/>
          <w:sz w:val="32"/>
          <w:szCs w:val="32"/>
        </w:rPr>
      </w:pPr>
      <w:r>
        <w:rPr>
          <w:rFonts w:ascii="仿宋" w:eastAsia="仿宋" w:hAnsi="仿宋" w:cs="仿宋" w:hint="eastAsia"/>
          <w:b/>
          <w:bCs/>
          <w:sz w:val="32"/>
          <w:szCs w:val="32"/>
        </w:rPr>
        <w:t>设计依据及采用标准规范</w:t>
      </w:r>
    </w:p>
    <w:p w:rsidR="00092985">
      <w:pPr>
        <w:pStyle w:val="Heading2"/>
        <w:numPr>
          <w:ilvl w:val="1"/>
          <w:numId w:val="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设计依据</w:t>
      </w:r>
    </w:p>
    <w:p w:rsidR="00092985">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市政公用工程设计文件编制深度规定（2013年版）》（住建部工程质量安全监管司）；</w:t>
      </w:r>
    </w:p>
    <w:p w:rsidR="00092985">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《重庆市城乡总体规划（2018-2035）》；</w:t>
      </w:r>
    </w:p>
    <w:p w:rsidR="00092985">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《重庆建桥工业园C区控制性详细规划》；</w:t>
      </w:r>
    </w:p>
    <w:p w:rsidR="00092985">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我公司实测的项目建设区1:500地形图；</w:t>
      </w:r>
    </w:p>
    <w:p w:rsidR="00092985">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业主提供的项目区现状管网物探资料；</w:t>
      </w:r>
    </w:p>
    <w:p w:rsidR="00092985">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有关工程技术法规、规范等资料；</w:t>
      </w:r>
    </w:p>
    <w:p w:rsidR="00092985">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业主提供的项目区建设的选址、自然条件、建设条件和技术工艺等资料。</w:t>
      </w:r>
    </w:p>
    <w:p w:rsidR="00092985">
      <w:pPr>
        <w:pStyle w:val="Heading2"/>
        <w:numPr>
          <w:ilvl w:val="1"/>
          <w:numId w:val="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采用标准规范</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《工程建设标准强制性条文》（城市建设部分）（2013年版）；</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《市政公用工程设计文件编制深度规定》（2013版）；</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《城市道路工程设计规范》（CJJ37-2012）（2016年版）；</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sectPr>
          <w:headerReference w:type="default" r:id="rId11"/>
          <w:footerReference w:type="default" r:id="rId12"/>
          <w:type w:val="continuous"/>
          <w:pgSz w:w="23811" w:h="16838" w:orient="landscape"/>
          <w:pgMar w:top="1083" w:right="1440" w:bottom="1083" w:left="1440" w:header="850" w:footer="1417" w:gutter="680"/>
          <w:pgNumType w:start="2"/>
          <w:cols w:num="2" w:space="425" w:equalWidth="0">
            <w:col w:w="9913" w:space="425"/>
            <w:col w:w="9913" w:space="0"/>
          </w:cols>
          <w:docGrid w:type="lines" w:linePitch="316"/>
        </w:sectPr>
      </w:pPr>
      <w:r>
        <w:rPr>
          <w:rFonts w:ascii="仿宋" w:eastAsia="仿宋" w:hAnsi="仿宋" w:cs="仿宋" w:hint="eastAsia"/>
          <w:sz w:val="28"/>
          <w:szCs w:val="28"/>
        </w:rPr>
        <w:t>《城市道路路线设计规范》（CJJ193-2012）；</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《城市道路路基设计规范》（CJJ194-2013）；</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《城镇道路路面设计规范》（CJJ169-2012）；</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《城市道路交叉口设计规程》（CJJ152-2010）；</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《建筑与市政工程无障碍通用规范》(GB 55019-2021）；</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《建筑边坡工程技术规范》（GB50330-2013）；</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《城市道路交通设施设计规范》（GB50688-2011）(2019年版)；</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《城镇道路路基设计规范》（DBJ50-145-2012）；</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《城市道路交通项目通用规范》(GB 55011-2021）</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《重庆市城市道路工程施工质量验收规范》(DBJ50/T-078-2016)；</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《重庆市市政工程初步设计文件编制技术规定》2017年版；</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《城镇人行道设计指南》（DBJ/T50-131-2011）；</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《重庆市建设委员会关于重庆市建设领域限制、禁止使用落后技术的通告》；</w:t>
      </w:r>
    </w:p>
    <w:p w:rsidR="00092985">
      <w:pPr>
        <w:numPr>
          <w:ilvl w:val="0"/>
          <w:numId w:val="4"/>
        </w:numPr>
        <w:tabs>
          <w:tab w:val="left" w:pos="420"/>
        </w:tabs>
        <w:adjustRightInd w:val="0"/>
        <w:snapToGrid w:val="0"/>
        <w:spacing w:line="360" w:lineRule="auto"/>
        <w:jc w:val="left"/>
        <w:rPr>
          <w:rFonts w:ascii="仿宋" w:eastAsia="仿宋" w:hAnsi="仿宋" w:cs="仿宋" w:hint="eastAsia"/>
          <w:sz w:val="28"/>
          <w:szCs w:val="28"/>
        </w:rPr>
      </w:pPr>
      <w:r>
        <w:rPr>
          <w:rFonts w:ascii="仿宋" w:eastAsia="仿宋" w:hAnsi="仿宋" w:cs="仿宋" w:hint="eastAsia"/>
          <w:sz w:val="28"/>
          <w:szCs w:val="28"/>
        </w:rPr>
        <w:t>《关于主城区城市建筑垃圾再生产品推广应用试点工作的意见》（渝建（2019）434号文）。</w:t>
      </w:r>
    </w:p>
    <w:p w:rsidR="00092985">
      <w:pPr>
        <w:pStyle w:val="Heading2"/>
        <w:numPr>
          <w:ilvl w:val="1"/>
          <w:numId w:val="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对规范强制性条文执行情况</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本次设计各专业均满足行业现行规范强制性条文的要求。</w:t>
      </w:r>
    </w:p>
    <w:p w:rsidR="00092985">
      <w:pPr>
        <w:pStyle w:val="Heading2"/>
        <w:numPr>
          <w:ilvl w:val="1"/>
          <w:numId w:val="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对上阶段审查意见的执行情况</w:t>
      </w:r>
    </w:p>
    <w:p w:rsidR="00092985">
      <w:pPr>
        <w:spacing w:line="360" w:lineRule="auto"/>
        <w:ind w:firstLine="560"/>
        <w:rPr>
          <w:rFonts w:ascii="仿宋" w:eastAsia="仿宋" w:hAnsi="仿宋" w:cs="仿宋" w:hint="eastAsia"/>
          <w:sz w:val="28"/>
          <w:szCs w:val="28"/>
        </w:rPr>
      </w:pPr>
      <w:r>
        <w:rPr>
          <w:rFonts w:ascii="仿宋" w:eastAsia="仿宋" w:hAnsi="仿宋" w:cs="仿宋" w:hint="eastAsia"/>
          <w:color w:val="FF0000"/>
          <w:sz w:val="28"/>
          <w:szCs w:val="28"/>
        </w:rPr>
        <w:t>根据《xxxxxx初步设计文件的批复》（后续批复下来了补充）</w:t>
      </w:r>
      <w:r>
        <w:rPr>
          <w:rFonts w:ascii="仿宋" w:eastAsia="仿宋" w:hAnsi="仿宋" w:cs="仿宋" w:hint="eastAsia"/>
          <w:sz w:val="28"/>
          <w:szCs w:val="28"/>
        </w:rPr>
        <w:t>上阶段初设批复结论：设计文件内容基本齐全，资料较为完整，采用技术指标符合有关规范要求，设计深度基本满足初步设计要求，经修改、补充和完善后可进行下一阶段工作。</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（1）由于起点挖方边坡较高,应补充端头的挖方边坡设计。</w:t>
      </w:r>
    </w:p>
    <w:p w:rsidR="00092985">
      <w:pPr>
        <w:spacing w:line="360" w:lineRule="auto"/>
        <w:ind w:firstLine="560"/>
        <w:rPr>
          <w:rFonts w:ascii="仿宋" w:eastAsia="仿宋" w:hAnsi="仿宋" w:cs="仿宋" w:hint="eastAsia"/>
          <w:b/>
          <w:bCs/>
          <w:sz w:val="28"/>
          <w:szCs w:val="28"/>
        </w:rPr>
      </w:pPr>
      <w:r>
        <w:rPr>
          <w:rFonts w:ascii="仿宋" w:eastAsia="仿宋" w:hAnsi="仿宋" w:cs="仿宋" w:hint="eastAsia"/>
          <w:b/>
          <w:bCs/>
          <w:sz w:val="28"/>
          <w:szCs w:val="28"/>
        </w:rPr>
        <w:t>回复：根据审查意见，补充起点挖方边坡设计，详见C-DL-04 道路平面设计图。</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（2）补充终点路口的竖向设计。</w:t>
      </w:r>
    </w:p>
    <w:p w:rsidR="00092985">
      <w:pPr>
        <w:spacing w:line="360" w:lineRule="auto"/>
        <w:ind w:firstLine="560"/>
        <w:rPr>
          <w:rFonts w:ascii="仿宋" w:eastAsia="仿宋" w:hAnsi="仿宋" w:cs="仿宋"/>
          <w:b/>
          <w:bCs/>
          <w:sz w:val="28"/>
          <w:szCs w:val="28"/>
        </w:rPr>
      </w:pPr>
      <w:r>
        <w:rPr>
          <w:rFonts w:ascii="仿宋" w:eastAsia="仿宋" w:hAnsi="仿宋" w:cs="仿宋" w:hint="eastAsia"/>
          <w:b/>
          <w:bCs/>
          <w:sz w:val="28"/>
          <w:szCs w:val="28"/>
        </w:rPr>
        <w:t>回复：根据审查意见，补充终点路口平面竖向设计图，详见C-DL-15 平面竖向设计图。</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（3）道删除与本项目无关的设计内容。</w:t>
      </w:r>
    </w:p>
    <w:p w:rsidR="00092985">
      <w:pPr>
        <w:spacing w:line="360" w:lineRule="auto"/>
        <w:ind w:firstLine="560"/>
        <w:rPr>
          <w:rFonts w:ascii="仿宋" w:eastAsia="仿宋" w:hAnsi="仿宋" w:cs="仿宋" w:hint="eastAsia"/>
          <w:b/>
          <w:bCs/>
          <w:sz w:val="28"/>
          <w:szCs w:val="28"/>
        </w:rPr>
      </w:pPr>
      <w:r>
        <w:rPr>
          <w:rFonts w:ascii="仿宋" w:eastAsia="仿宋" w:hAnsi="仿宋" w:cs="仿宋" w:hint="eastAsia"/>
          <w:b/>
          <w:bCs/>
          <w:sz w:val="28"/>
          <w:szCs w:val="28"/>
        </w:rPr>
        <w:t>回复：根据审查意见，已删除本项目无关的设计内容和图纸。</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（4）道坡坡率应按地勘执行，且道路两侧边坡均为高边坡,应补充高边坡专项设计。</w:t>
      </w:r>
    </w:p>
    <w:p w:rsidR="00092985">
      <w:pPr>
        <w:spacing w:line="360" w:lineRule="auto"/>
        <w:ind w:firstLine="560"/>
        <w:rPr>
          <w:rFonts w:ascii="仿宋" w:eastAsia="仿宋" w:hAnsi="仿宋" w:cs="仿宋" w:hint="eastAsia"/>
          <w:b/>
          <w:bCs/>
          <w:sz w:val="28"/>
          <w:szCs w:val="28"/>
        </w:rPr>
      </w:pPr>
      <w:r>
        <w:rPr>
          <w:rFonts w:ascii="仿宋" w:eastAsia="仿宋" w:hAnsi="仿宋" w:cs="仿宋" w:hint="eastAsia"/>
          <w:b/>
          <w:bCs/>
          <w:sz w:val="28"/>
          <w:szCs w:val="28"/>
        </w:rPr>
        <w:t>回复：根据审查意见，已调整放坡坡率按地勘执行，详见C-DL-09 道路逐桩横断面设计图；经场平施工图资料的核实，道路涉及到高边坡范围已被周边在建平场挖掉和填平，本次设计范围内不存在高边坡设计，无需补充高边坡专项设计。并在设计总说明补充附件三（沙湾路工程项目道路南侧边坡情况说明）。</w:t>
      </w:r>
    </w:p>
    <w:p w:rsidR="00092985">
      <w:pPr>
        <w:pStyle w:val="Heading2"/>
        <w:numPr>
          <w:ilvl w:val="1"/>
          <w:numId w:val="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危大工程</w:t>
      </w:r>
    </w:p>
    <w:p w:rsidR="00092985">
      <w:pPr>
        <w:spacing w:line="360" w:lineRule="auto"/>
        <w:ind w:firstLine="560"/>
        <w:rPr>
          <w:rFonts w:ascii="仿宋" w:eastAsia="仿宋" w:hAnsi="仿宋" w:cs="仿宋"/>
          <w:sz w:val="28"/>
          <w:szCs w:val="28"/>
        </w:rPr>
      </w:pPr>
      <w:r>
        <w:rPr>
          <w:rFonts w:ascii="仿宋" w:eastAsia="仿宋" w:hAnsi="仿宋" w:cs="仿宋" w:hint="eastAsia"/>
          <w:sz w:val="28"/>
          <w:szCs w:val="28"/>
        </w:rPr>
        <w:t>根据《危险性较大的分部分项工程安全管理规定》（住建部令第37</w:t>
      </w:r>
      <w:r>
        <w:rPr>
          <w:rFonts w:ascii="仿宋" w:eastAsia="仿宋" w:hAnsi="仿宋" w:cs="仿宋" w:hint="eastAsia"/>
          <w:sz w:val="28"/>
          <w:szCs w:val="28"/>
        </w:rPr>
        <w:t> </w:t>
      </w:r>
      <w:r>
        <w:rPr>
          <w:rFonts w:ascii="仿宋" w:eastAsia="仿宋" w:hAnsi="仿宋" w:cs="仿宋" w:hint="eastAsia"/>
          <w:sz w:val="28"/>
          <w:szCs w:val="28"/>
        </w:rPr>
        <w:t>号），本次设计未涉及危大工程。</w:t>
      </w:r>
    </w:p>
    <w:p w:rsidR="00092985">
      <w:pPr>
        <w:pStyle w:val="Heading1"/>
        <w:numPr>
          <w:ilvl w:val="0"/>
          <w:numId w:val="2"/>
        </w:numPr>
        <w:tabs>
          <w:tab w:val="left" w:pos="-2120"/>
        </w:tabs>
        <w:spacing w:line="360" w:lineRule="auto"/>
        <w:ind w:left="640" w:firstLine="0"/>
        <w:jc w:val="both"/>
        <w:rPr>
          <w:rFonts w:ascii="仿宋" w:eastAsia="仿宋" w:hAnsi="仿宋" w:cs="仿宋" w:hint="eastAsia"/>
          <w:b/>
          <w:bCs/>
          <w:sz w:val="32"/>
          <w:szCs w:val="32"/>
        </w:rPr>
      </w:pPr>
      <w:r>
        <w:rPr>
          <w:rFonts w:ascii="仿宋" w:eastAsia="仿宋" w:hAnsi="仿宋" w:cs="仿宋" w:hint="eastAsia"/>
          <w:b/>
          <w:bCs/>
          <w:sz w:val="32"/>
          <w:szCs w:val="32"/>
        </w:rPr>
        <w:t>建设条件及工程地质条件</w:t>
      </w:r>
      <w:r>
        <w:rPr>
          <w:rFonts w:ascii="仿宋" w:eastAsia="仿宋" w:hAnsi="仿宋" w:cs="仿宋" w:hint="eastAsia"/>
          <w:b/>
          <w:bCs/>
          <w:sz w:val="30"/>
          <w:szCs w:val="30"/>
        </w:rPr>
        <w:t>（内容摘抄自勘察报告）</w:t>
      </w:r>
    </w:p>
    <w:p w:rsidR="00092985">
      <w:pPr>
        <w:pStyle w:val="Heading2"/>
        <w:numPr>
          <w:ilvl w:val="1"/>
          <w:numId w:val="2"/>
        </w:numPr>
        <w:spacing w:before="0" w:after="0" w:line="360" w:lineRule="auto"/>
        <w:ind w:firstLine="73"/>
        <w:rPr>
          <w:rFonts w:ascii="仿宋" w:eastAsia="仿宋" w:hAnsi="仿宋" w:cs="仿宋" w:hint="eastAsia"/>
          <w:sz w:val="30"/>
          <w:szCs w:val="30"/>
        </w:rPr>
      </w:pPr>
      <w:bookmarkStart w:id="15" w:name="_Toc6660"/>
      <w:r>
        <w:rPr>
          <w:rFonts w:ascii="仿宋" w:eastAsia="仿宋" w:hAnsi="仿宋" w:cs="仿宋" w:hint="eastAsia"/>
          <w:sz w:val="30"/>
          <w:szCs w:val="30"/>
        </w:rPr>
        <w:t>现状条件</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道路起点位置现状为西小路，终点接现状南海大道。拟建道路北侧为现状污水处理厂。</w:t>
      </w:r>
    </w:p>
    <w:p w:rsidR="00092985">
      <w:pPr>
        <w:spacing w:line="360" w:lineRule="auto"/>
        <w:jc w:val="center"/>
        <w:rPr>
          <w:rFonts w:ascii="仿宋" w:eastAsia="仿宋" w:hAnsi="仿宋" w:cs="仿宋" w:hint="eastAsia"/>
          <w:sz w:val="28"/>
          <w:szCs w:val="28"/>
        </w:rPr>
      </w:pPr>
    </w:p>
    <w:p w:rsidR="00092985">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拟建道路起点位置现状照片</w:t>
      </w:r>
    </w:p>
    <w:p w:rsidR="00092985">
      <w:pPr>
        <w:spacing w:line="360" w:lineRule="auto"/>
        <w:jc w:val="center"/>
        <w:rPr>
          <w:rFonts w:ascii="仿宋" w:eastAsia="仿宋" w:hAnsi="仿宋" w:cs="仿宋" w:hint="eastAsia"/>
          <w:sz w:val="28"/>
          <w:szCs w:val="28"/>
        </w:rPr>
        <w:sectPr>
          <w:headerReference w:type="default" r:id="rId13"/>
          <w:footerReference w:type="default" r:id="rId14"/>
          <w:type w:val="nextPage"/>
          <w:pgSz w:w="23811" w:h="16838" w:orient="landscape"/>
          <w:pgMar w:top="1083" w:right="1440" w:bottom="1083" w:left="1440" w:header="850" w:footer="1417" w:gutter="680"/>
          <w:pgNumType w:start="3"/>
          <w:cols w:num="2" w:space="425" w:equalWidth="0">
            <w:col w:w="9913" w:space="425"/>
            <w:col w:w="9913" w:space="0"/>
          </w:cols>
          <w:titlePg w:val="0"/>
          <w:docGrid w:type="lines" w:linePitch="316"/>
        </w:sectPr>
      </w:pPr>
    </w:p>
    <w:p w:rsidR="00092985">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拟建道路沿线两侧地形地貌照片</w:t>
      </w:r>
    </w:p>
    <w:p w:rsidR="00092985">
      <w:pPr>
        <w:pStyle w:val="BodyTextFirstIndent"/>
        <w:ind w:firstLine="560" w:firstLineChars="200"/>
        <w:rPr>
          <w:rFonts w:hint="eastAsia"/>
        </w:rPr>
      </w:pPr>
      <w:r>
        <w:rPr>
          <w:rFonts w:ascii="仿宋" w:eastAsia="仿宋" w:hAnsi="仿宋" w:cs="仿宋" w:hint="eastAsia"/>
          <w:sz w:val="28"/>
          <w:szCs w:val="28"/>
        </w:rPr>
        <w:t>现状进入建设场地为一条现状村道，道路路面老旧破损严重。拟建道路两侧为密林、土坡。现场建设条件较为成熟，具备项目开工建设的基础条件。</w:t>
      </w:r>
    </w:p>
    <w:p w:rsidR="00092985">
      <w:pPr>
        <w:pStyle w:val="Heading2"/>
        <w:numPr>
          <w:ilvl w:val="1"/>
          <w:numId w:val="5"/>
        </w:numPr>
        <w:spacing w:before="0" w:after="0" w:line="360" w:lineRule="auto"/>
        <w:ind w:firstLine="73"/>
        <w:rPr>
          <w:rFonts w:ascii="仿宋" w:eastAsia="仿宋" w:hAnsi="仿宋" w:cs="仿宋" w:hint="eastAsia"/>
          <w:sz w:val="30"/>
          <w:szCs w:val="30"/>
        </w:rPr>
      </w:pPr>
      <w:bookmarkStart w:id="16" w:name="_Toc22846"/>
      <w:bookmarkStart w:id="17" w:name="_Toc11539"/>
      <w:bookmarkEnd w:id="15"/>
      <w:r>
        <w:rPr>
          <w:rFonts w:ascii="仿宋" w:eastAsia="仿宋" w:hAnsi="仿宋" w:cs="仿宋" w:hint="eastAsia"/>
          <w:sz w:val="30"/>
          <w:szCs w:val="30"/>
        </w:rPr>
        <w:t>工程地质条件</w:t>
      </w:r>
      <w:bookmarkEnd w:id="16"/>
      <w:bookmarkEnd w:id="17"/>
    </w:p>
    <w:p w:rsidR="00092985">
      <w:pPr>
        <w:pStyle w:val="Heading3"/>
        <w:numPr>
          <w:ilvl w:val="2"/>
          <w:numId w:val="5"/>
        </w:numPr>
        <w:spacing w:before="0" w:after="0" w:line="360" w:lineRule="auto"/>
        <w:ind w:hanging="69"/>
        <w:jc w:val="left"/>
        <w:rPr>
          <w:rFonts w:ascii="仿宋" w:eastAsia="仿宋" w:hAnsi="仿宋" w:cs="仿宋" w:hint="eastAsia"/>
          <w:sz w:val="28"/>
          <w:szCs w:val="28"/>
        </w:rPr>
      </w:pPr>
      <w:bookmarkStart w:id="18" w:name="_Toc17036"/>
      <w:bookmarkStart w:id="19" w:name="_Toc116547215"/>
      <w:bookmarkStart w:id="20" w:name="_Toc313719923"/>
      <w:r>
        <w:rPr>
          <w:rFonts w:ascii="仿宋" w:eastAsia="仿宋" w:hAnsi="仿宋" w:cs="仿宋" w:hint="eastAsia"/>
          <w:sz w:val="28"/>
          <w:szCs w:val="28"/>
        </w:rPr>
        <w:t>地形地貌</w:t>
      </w:r>
      <w:bookmarkEnd w:id="18"/>
      <w:bookmarkEnd w:id="19"/>
      <w:bookmarkEnd w:id="20"/>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拟建场地原始地貌为构造剥蚀丘陵地貌，沿线分布有已拆迁民房，道路K0+060～KO+130为现有施工场地，其余区域基本保持原始地貌。地势随道路沿线总体呈两头高中间低，地面标高217～245m，相对高差约28m。</w:t>
      </w:r>
    </w:p>
    <w:p w:rsidR="00092985">
      <w:pPr>
        <w:pStyle w:val="Heading3"/>
        <w:numPr>
          <w:ilvl w:val="2"/>
          <w:numId w:val="5"/>
        </w:numPr>
        <w:spacing w:before="0" w:after="0" w:line="360" w:lineRule="auto"/>
        <w:ind w:hanging="69"/>
        <w:jc w:val="left"/>
        <w:rPr>
          <w:rFonts w:ascii="仿宋" w:eastAsia="仿宋" w:hAnsi="仿宋" w:cs="仿宋" w:hint="eastAsia"/>
          <w:sz w:val="28"/>
          <w:szCs w:val="28"/>
        </w:rPr>
      </w:pPr>
      <w:bookmarkStart w:id="21" w:name="_Toc116547216"/>
      <w:bookmarkStart w:id="22" w:name="_Toc1172"/>
      <w:bookmarkStart w:id="23" w:name="_Toc25361"/>
      <w:r>
        <w:rPr>
          <w:rFonts w:ascii="仿宋" w:eastAsia="仿宋" w:hAnsi="仿宋" w:cs="仿宋" w:hint="eastAsia"/>
          <w:sz w:val="28"/>
          <w:szCs w:val="28"/>
        </w:rPr>
        <w:t>地层岩性</w:t>
      </w:r>
      <w:bookmarkEnd w:id="23"/>
    </w:p>
    <w:p w:rsidR="00092985">
      <w:pPr>
        <w:spacing w:line="560" w:lineRule="exact"/>
        <w:ind w:firstLine="560" w:firstLineChars="200"/>
        <w:rPr>
          <w:rFonts w:ascii="仿宋" w:eastAsia="仿宋" w:hAnsi="仿宋" w:cs="仿宋" w:hint="eastAsia"/>
          <w:sz w:val="28"/>
        </w:rPr>
      </w:pPr>
      <w:r>
        <w:rPr>
          <w:rFonts w:ascii="仿宋" w:eastAsia="仿宋" w:hAnsi="仿宋" w:cs="仿宋" w:hint="eastAsia"/>
          <w:sz w:val="28"/>
        </w:rPr>
        <w:t>据地表地质调查及钻探揭示，场内上覆土层为第四系全新统素填土</w:t>
      </w:r>
      <w:r>
        <w:rPr>
          <w:rFonts w:ascii="仿宋" w:eastAsia="仿宋" w:hAnsi="仿宋" w:cs="仿宋" w:hint="eastAsia"/>
          <w:sz w:val="28"/>
          <w:szCs w:val="28"/>
        </w:rPr>
        <w:t>（Q</w:t>
      </w:r>
      <w:r>
        <w:rPr>
          <w:rFonts w:ascii="仿宋" w:eastAsia="仿宋" w:hAnsi="仿宋" w:cs="仿宋" w:hint="eastAsia"/>
          <w:sz w:val="28"/>
          <w:szCs w:val="28"/>
          <w:vertAlign w:val="subscript"/>
        </w:rPr>
        <w:t>4</w:t>
      </w:r>
      <w:r>
        <w:rPr>
          <w:rFonts w:ascii="仿宋" w:eastAsia="仿宋" w:hAnsi="仿宋" w:cs="仿宋" w:hint="eastAsia"/>
          <w:sz w:val="28"/>
          <w:szCs w:val="28"/>
          <w:vertAlign w:val="superscript"/>
        </w:rPr>
        <w:t>ml</w:t>
      </w:r>
      <w:r>
        <w:rPr>
          <w:rFonts w:ascii="仿宋" w:eastAsia="仿宋" w:hAnsi="仿宋" w:cs="仿宋" w:hint="eastAsia"/>
          <w:sz w:val="28"/>
          <w:szCs w:val="28"/>
        </w:rPr>
        <w:t>）</w:t>
      </w:r>
      <w:r>
        <w:rPr>
          <w:rFonts w:ascii="仿宋" w:eastAsia="仿宋" w:hAnsi="仿宋" w:cs="仿宋" w:hint="eastAsia"/>
          <w:sz w:val="28"/>
        </w:rPr>
        <w:t>、粉质粘土</w:t>
      </w:r>
      <w:r>
        <w:rPr>
          <w:rFonts w:ascii="仿宋" w:eastAsia="仿宋" w:hAnsi="仿宋" w:cs="仿宋" w:hint="eastAsia"/>
          <w:sz w:val="28"/>
          <w:szCs w:val="28"/>
        </w:rPr>
        <w:t>（Q</w:t>
      </w:r>
      <w:r>
        <w:rPr>
          <w:rFonts w:ascii="仿宋" w:eastAsia="仿宋" w:hAnsi="仿宋" w:cs="仿宋" w:hint="eastAsia"/>
          <w:sz w:val="28"/>
          <w:szCs w:val="28"/>
          <w:vertAlign w:val="subscript"/>
        </w:rPr>
        <w:t>4</w:t>
      </w:r>
      <w:r>
        <w:rPr>
          <w:rFonts w:ascii="仿宋" w:eastAsia="仿宋" w:hAnsi="仿宋" w:cs="仿宋" w:hint="eastAsia"/>
          <w:sz w:val="28"/>
          <w:szCs w:val="28"/>
          <w:vertAlign w:val="superscript"/>
        </w:rPr>
        <w:t>el+dl</w:t>
      </w:r>
      <w:r>
        <w:rPr>
          <w:rFonts w:ascii="仿宋" w:eastAsia="仿宋" w:hAnsi="仿宋" w:cs="仿宋" w:hint="eastAsia"/>
          <w:sz w:val="28"/>
          <w:szCs w:val="28"/>
        </w:rPr>
        <w:t>）</w:t>
      </w:r>
      <w:r>
        <w:rPr>
          <w:rFonts w:ascii="仿宋" w:eastAsia="仿宋" w:hAnsi="仿宋" w:cs="仿宋" w:hint="eastAsia"/>
          <w:sz w:val="28"/>
        </w:rPr>
        <w:t>，下伏基岩为侏罗系中统沙溪庙组</w:t>
      </w:r>
      <w:r>
        <w:rPr>
          <w:rFonts w:ascii="仿宋" w:eastAsia="仿宋" w:hAnsi="仿宋" w:cs="仿宋" w:hint="eastAsia"/>
          <w:sz w:val="28"/>
          <w:szCs w:val="28"/>
        </w:rPr>
        <w:t>（J</w:t>
      </w:r>
      <w:r>
        <w:rPr>
          <w:rFonts w:ascii="仿宋" w:eastAsia="仿宋" w:hAnsi="仿宋" w:cs="仿宋" w:hint="eastAsia"/>
          <w:sz w:val="28"/>
          <w:szCs w:val="28"/>
          <w:vertAlign w:val="subscript"/>
        </w:rPr>
        <w:t>2</w:t>
      </w:r>
      <w:r>
        <w:rPr>
          <w:rFonts w:ascii="仿宋" w:eastAsia="仿宋" w:hAnsi="仿宋" w:cs="仿宋" w:hint="eastAsia"/>
          <w:i/>
          <w:sz w:val="30"/>
          <w:szCs w:val="30"/>
        </w:rPr>
        <w:t>s</w:t>
      </w:r>
      <w:r>
        <w:rPr>
          <w:rFonts w:ascii="仿宋" w:eastAsia="仿宋" w:hAnsi="仿宋" w:cs="仿宋" w:hint="eastAsia"/>
          <w:sz w:val="28"/>
          <w:szCs w:val="28"/>
        </w:rPr>
        <w:t>）</w:t>
      </w:r>
      <w:r>
        <w:rPr>
          <w:rFonts w:ascii="仿宋" w:eastAsia="仿宋" w:hAnsi="仿宋" w:cs="仿宋" w:hint="eastAsia"/>
          <w:sz w:val="28"/>
        </w:rPr>
        <w:t>泥岩和砂岩现由新到老特征分述如下：</w:t>
      </w:r>
    </w:p>
    <w:p w:rsidR="00092985">
      <w:pPr>
        <w:ind w:firstLine="562"/>
        <w:rPr>
          <w:rFonts w:ascii="仿宋" w:eastAsia="仿宋" w:hAnsi="仿宋" w:cs="仿宋" w:hint="eastAsia"/>
          <w:sz w:val="28"/>
          <w:szCs w:val="28"/>
        </w:rPr>
      </w:pPr>
      <w:r>
        <w:rPr>
          <w:rFonts w:ascii="仿宋" w:eastAsia="仿宋" w:hAnsi="仿宋" w:cs="仿宋" w:hint="eastAsia"/>
          <w:sz w:val="28"/>
          <w:szCs w:val="28"/>
        </w:rPr>
        <w:t>1.第四系全新统（Q</w:t>
      </w:r>
      <w:r>
        <w:rPr>
          <w:rFonts w:ascii="仿宋" w:eastAsia="仿宋" w:hAnsi="仿宋" w:cs="仿宋" w:hint="eastAsia"/>
          <w:sz w:val="28"/>
          <w:szCs w:val="28"/>
          <w:vertAlign w:val="subscript"/>
        </w:rPr>
        <w:t>4</w:t>
      </w:r>
      <w:r>
        <w:rPr>
          <w:rFonts w:ascii="仿宋" w:eastAsia="仿宋" w:hAnsi="仿宋" w:cs="仿宋" w:hint="eastAsia"/>
          <w:sz w:val="28"/>
          <w:szCs w:val="28"/>
        </w:rPr>
        <w:t>）</w:t>
      </w:r>
    </w:p>
    <w:p w:rsidR="00092985">
      <w:pPr>
        <w:autoSpaceDE w:val="0"/>
        <w:autoSpaceDN w:val="0"/>
        <w:adjustRightInd w:val="0"/>
        <w:ind w:firstLine="560" w:firstLineChars="200"/>
        <w:rPr>
          <w:rFonts w:ascii="仿宋" w:eastAsia="仿宋" w:hAnsi="仿宋" w:cs="仿宋" w:hint="eastAsia"/>
          <w:kern w:val="0"/>
          <w:sz w:val="28"/>
          <w:szCs w:val="28"/>
        </w:rPr>
      </w:pPr>
      <w:r>
        <w:rPr>
          <w:rFonts w:ascii="仿宋" w:eastAsia="仿宋" w:hAnsi="仿宋" w:cs="仿宋" w:hint="eastAsia"/>
          <w:sz w:val="28"/>
          <w:szCs w:val="28"/>
        </w:rPr>
        <w:t>①</w:t>
      </w:r>
      <w:r>
        <w:rPr>
          <w:rFonts w:ascii="仿宋" w:eastAsia="仿宋" w:hAnsi="仿宋" w:cs="仿宋" w:hint="eastAsia"/>
          <w:sz w:val="28"/>
          <w:szCs w:val="28"/>
        </w:rPr>
        <w:t>素填土(Q</w:t>
      </w:r>
      <w:r>
        <w:rPr>
          <w:rFonts w:ascii="仿宋" w:eastAsia="仿宋" w:hAnsi="仿宋" w:cs="仿宋" w:hint="eastAsia"/>
          <w:sz w:val="28"/>
          <w:szCs w:val="28"/>
          <w:vertAlign w:val="subscript"/>
        </w:rPr>
        <w:t>4</w:t>
      </w:r>
      <w:r>
        <w:rPr>
          <w:rFonts w:ascii="仿宋" w:eastAsia="仿宋" w:hAnsi="仿宋" w:cs="仿宋" w:hint="eastAsia"/>
          <w:sz w:val="28"/>
          <w:szCs w:val="28"/>
          <w:vertAlign w:val="superscript"/>
        </w:rPr>
        <w:t>ml</w:t>
      </w:r>
      <w:r>
        <w:rPr>
          <w:rFonts w:ascii="仿宋" w:eastAsia="仿宋" w:hAnsi="仿宋" w:cs="仿宋" w:hint="eastAsia"/>
          <w:sz w:val="28"/>
          <w:szCs w:val="28"/>
        </w:rPr>
        <w:t>)：</w:t>
      </w:r>
      <w:r>
        <w:rPr>
          <w:rFonts w:ascii="仿宋" w:eastAsia="仿宋" w:hAnsi="仿宋" w:cs="仿宋" w:hint="eastAsia"/>
          <w:kern w:val="0"/>
          <w:sz w:val="28"/>
          <w:szCs w:val="28"/>
        </w:rPr>
        <w:t>杂色（褐色为主），主要由砂岩、泥岩块碎石及粘性土组成，块、碎石含量40-60</w:t>
      </w:r>
      <w:r>
        <w:rPr>
          <w:rFonts w:ascii="Symbol" w:eastAsia="仿宋" w:hAnsi="Symbol" w:cs="仿宋"/>
          <w:kern w:val="0"/>
          <w:sz w:val="28"/>
          <w:szCs w:val="28"/>
        </w:rPr>
        <w:sym w:font="Symbol" w:char="F025"/>
      </w:r>
      <w:r>
        <w:rPr>
          <w:rFonts w:ascii="仿宋" w:eastAsia="仿宋" w:hAnsi="仿宋" w:cs="仿宋" w:hint="eastAsia"/>
          <w:kern w:val="0"/>
          <w:sz w:val="28"/>
          <w:szCs w:val="28"/>
        </w:rPr>
        <w:t>，粒径一般2～35cm,局部存在较大孤石，最大粒径超过80cm，结构主要呈松散～稍密状，稍湿，主要分布于场地地表，该层填土由上而下，块(碎)石含量增高，局部存在架空现象，状态稍湿，堆填时间约10年，为人工机械抛填。主要分布</w:t>
      </w:r>
      <w:r>
        <w:rPr>
          <w:rFonts w:ascii="仿宋" w:eastAsia="仿宋" w:hAnsi="仿宋" w:cs="仿宋" w:hint="eastAsia"/>
          <w:sz w:val="28"/>
        </w:rPr>
        <w:t>3个地块区，</w:t>
      </w:r>
      <w:r>
        <w:rPr>
          <w:rFonts w:ascii="仿宋" w:eastAsia="仿宋" w:hAnsi="仿宋" w:cs="仿宋" w:hint="eastAsia"/>
          <w:sz w:val="28"/>
          <w:szCs w:val="28"/>
        </w:rPr>
        <w:t>钻探揭示厚度0.8～8.30m（ZK14）。</w:t>
      </w:r>
    </w:p>
    <w:p w:rsidR="00092985">
      <w:pPr>
        <w:autoSpaceDE w:val="0"/>
        <w:autoSpaceDN w:val="0"/>
        <w:adjustRightInd w:val="0"/>
        <w:ind w:firstLine="560" w:firstLineChars="200"/>
        <w:rPr>
          <w:rFonts w:ascii="仿宋" w:eastAsia="仿宋" w:hAnsi="仿宋" w:cs="仿宋" w:hint="eastAsia"/>
          <w:sz w:val="28"/>
          <w:szCs w:val="28"/>
        </w:rPr>
      </w:pPr>
      <w:r>
        <w:rPr>
          <w:rFonts w:ascii="仿宋" w:eastAsia="仿宋" w:hAnsi="仿宋" w:cs="仿宋" w:hint="eastAsia"/>
          <w:sz w:val="28"/>
        </w:rPr>
        <w:t>②</w:t>
      </w:r>
      <w:r>
        <w:rPr>
          <w:rFonts w:ascii="仿宋" w:eastAsia="仿宋" w:hAnsi="仿宋" w:cs="仿宋" w:hint="eastAsia"/>
          <w:sz w:val="28"/>
        </w:rPr>
        <w:t>粉质粘土</w:t>
      </w:r>
      <w:r>
        <w:rPr>
          <w:rFonts w:ascii="仿宋" w:eastAsia="仿宋" w:hAnsi="仿宋" w:cs="仿宋" w:hint="eastAsia"/>
          <w:sz w:val="28"/>
          <w:szCs w:val="28"/>
        </w:rPr>
        <w:t>（Q</w:t>
      </w:r>
      <w:r>
        <w:rPr>
          <w:rFonts w:ascii="仿宋" w:eastAsia="仿宋" w:hAnsi="仿宋" w:cs="仿宋" w:hint="eastAsia"/>
          <w:sz w:val="28"/>
          <w:szCs w:val="28"/>
          <w:vertAlign w:val="subscript"/>
        </w:rPr>
        <w:t>4</w:t>
      </w:r>
      <w:r>
        <w:rPr>
          <w:rFonts w:ascii="仿宋" w:eastAsia="仿宋" w:hAnsi="仿宋" w:cs="仿宋" w:hint="eastAsia"/>
          <w:sz w:val="28"/>
          <w:szCs w:val="28"/>
          <w:vertAlign w:val="superscript"/>
        </w:rPr>
        <w:t>el+dl</w:t>
      </w:r>
      <w:r>
        <w:rPr>
          <w:rFonts w:ascii="仿宋" w:eastAsia="仿宋" w:hAnsi="仿宋" w:cs="仿宋" w:hint="eastAsia"/>
          <w:sz w:val="28"/>
          <w:szCs w:val="28"/>
        </w:rPr>
        <w:t>）：</w:t>
      </w:r>
      <w:r>
        <w:rPr>
          <w:rFonts w:ascii="仿宋" w:eastAsia="仿宋" w:hAnsi="仿宋" w:cs="仿宋" w:hint="eastAsia"/>
          <w:kern w:val="0"/>
          <w:sz w:val="28"/>
          <w:szCs w:val="28"/>
          <w:lang w:val="zh-CN"/>
        </w:rPr>
        <w:t>褐色为主，少量呈黄灰色，主要呈可塑状，表层0.6-0.8m深度范围内含植物根系及有机质。切面较光滑，稍有光泽，韧性中等，干强度中等，无摇震反应。</w:t>
      </w:r>
      <w:r>
        <w:rPr>
          <w:rFonts w:ascii="仿宋" w:eastAsia="仿宋" w:hAnsi="仿宋" w:cs="仿宋" w:hint="eastAsia"/>
          <w:sz w:val="28"/>
          <w:szCs w:val="28"/>
        </w:rPr>
        <w:t>该层在场地内分布较广，属于主要覆盖层之一，属于残坡积成因；钻探揭示厚度0.3～0.7m（ZK08）。</w:t>
      </w:r>
    </w:p>
    <w:p w:rsidR="00092985">
      <w:pPr>
        <w:ind w:firstLine="560"/>
        <w:rPr>
          <w:rFonts w:ascii="仿宋" w:eastAsia="仿宋" w:hAnsi="仿宋" w:cs="仿宋" w:hint="eastAsia"/>
          <w:sz w:val="28"/>
          <w:szCs w:val="28"/>
        </w:rPr>
      </w:pPr>
      <w:r>
        <w:rPr>
          <w:rFonts w:ascii="仿宋" w:eastAsia="仿宋" w:hAnsi="仿宋" w:cs="仿宋" w:hint="eastAsia"/>
          <w:sz w:val="28"/>
          <w:szCs w:val="28"/>
        </w:rPr>
        <w:t>2.侏罗系中统沙溪庙组（J</w:t>
      </w:r>
      <w:r>
        <w:rPr>
          <w:rFonts w:ascii="仿宋" w:eastAsia="仿宋" w:hAnsi="仿宋" w:cs="仿宋" w:hint="eastAsia"/>
          <w:sz w:val="28"/>
          <w:szCs w:val="28"/>
          <w:vertAlign w:val="subscript"/>
        </w:rPr>
        <w:t>2</w:t>
      </w:r>
      <w:r>
        <w:rPr>
          <w:rFonts w:ascii="仿宋" w:eastAsia="仿宋" w:hAnsi="仿宋" w:cs="仿宋" w:hint="eastAsia"/>
          <w:i/>
          <w:sz w:val="30"/>
          <w:szCs w:val="30"/>
        </w:rPr>
        <w:t>s</w:t>
      </w:r>
      <w:r>
        <w:rPr>
          <w:rFonts w:ascii="仿宋" w:eastAsia="仿宋" w:hAnsi="仿宋" w:cs="仿宋" w:hint="eastAsia"/>
          <w:sz w:val="28"/>
          <w:szCs w:val="28"/>
        </w:rPr>
        <w:t>）：</w:t>
      </w:r>
    </w:p>
    <w:p w:rsidR="00092985">
      <w:pPr>
        <w:autoSpaceDE w:val="0"/>
        <w:autoSpaceDN w:val="0"/>
        <w:adjustRightInd w:val="0"/>
        <w:ind w:firstLine="560" w:firstLineChars="200"/>
        <w:rPr>
          <w:rFonts w:ascii="仿宋" w:eastAsia="仿宋" w:hAnsi="仿宋" w:cs="仿宋" w:hint="eastAsia"/>
          <w:sz w:val="28"/>
          <w:szCs w:val="28"/>
        </w:rPr>
      </w:pPr>
      <w:r>
        <w:rPr>
          <w:rFonts w:ascii="仿宋" w:eastAsia="仿宋" w:hAnsi="仿宋" w:cs="仿宋" w:hint="eastAsia"/>
          <w:sz w:val="28"/>
        </w:rPr>
        <w:t>③</w:t>
      </w:r>
      <w:r>
        <w:rPr>
          <w:rFonts w:ascii="仿宋" w:eastAsia="仿宋" w:hAnsi="仿宋" w:cs="仿宋" w:hint="eastAsia"/>
          <w:sz w:val="28"/>
        </w:rPr>
        <w:t>泥岩（Sm）</w:t>
      </w:r>
      <w:r>
        <w:rPr>
          <w:rFonts w:ascii="仿宋" w:eastAsia="仿宋" w:hAnsi="仿宋" w:cs="仿宋" w:hint="eastAsia"/>
          <w:sz w:val="28"/>
          <w:szCs w:val="28"/>
        </w:rPr>
        <w:t>：紫红色为主,局部含砂质成分呈紫褐色。由粘土矿物组成，砂泥质结构，厚层状构造。局部见砂质条带或灰绿色钙质团块。强风化岩芯呈粘土，呈碎块状、短柱状；中等风化岩体岩芯一般呈柱状、短柱状，节长10～20cm，岩质较软，失水会发生干裂崩解。该层分布于场地大部分地段，为勘察区主要岩层。</w:t>
      </w:r>
    </w:p>
    <w:p w:rsidR="00092985">
      <w:pPr>
        <w:ind w:firstLine="560" w:firstLineChars="200"/>
        <w:rPr>
          <w:rFonts w:ascii="仿宋" w:eastAsia="仿宋" w:hAnsi="仿宋" w:cs="仿宋" w:hint="eastAsia"/>
          <w:b/>
          <w:bCs/>
          <w:sz w:val="28"/>
          <w:szCs w:val="28"/>
        </w:rPr>
      </w:pPr>
      <w:r>
        <w:rPr>
          <w:rFonts w:ascii="仿宋" w:eastAsia="仿宋" w:hAnsi="仿宋" w:cs="仿宋" w:hint="eastAsia"/>
          <w:sz w:val="28"/>
          <w:szCs w:val="28"/>
        </w:rPr>
        <w:t>④</w:t>
      </w:r>
      <w:r>
        <w:rPr>
          <w:rFonts w:ascii="仿宋" w:eastAsia="仿宋" w:hAnsi="仿宋" w:cs="仿宋" w:hint="eastAsia"/>
          <w:sz w:val="28"/>
          <w:szCs w:val="28"/>
        </w:rPr>
        <w:t>砂岩（Ss）：灰色、灰白色，部分泥质较重的为紫灰色，主要成分以石英、长石为主，含少量云母，钙质胶结为主，局部含泥质条纹。中细粒结构，厚层状构造。岩芯强风化呈短柱状及碎块状；中等风化岩体取芯多呈柱状、短柱状，节长16～32cm，岩质较硬，该层分布厚度大，连续稳定，为勘察区又一主要岩层。</w:t>
      </w:r>
    </w:p>
    <w:p w:rsidR="00092985">
      <w:pPr>
        <w:pStyle w:val="Heading3"/>
        <w:numPr>
          <w:ilvl w:val="2"/>
          <w:numId w:val="5"/>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地质构造</w:t>
      </w:r>
      <w:bookmarkStart w:id="24" w:name="_Toc313719924"/>
      <w:bookmarkEnd w:id="21"/>
      <w:bookmarkEnd w:id="22"/>
    </w:p>
    <w:p w:rsidR="00092985">
      <w:pPr>
        <w:spacing w:line="360" w:lineRule="auto"/>
        <w:jc w:val="center"/>
        <w:rPr>
          <w:rFonts w:ascii="仿宋" w:eastAsia="仿宋" w:hAnsi="仿宋" w:cs="仿宋" w:hint="eastAsia"/>
          <w:sz w:val="28"/>
          <w:szCs w:val="28"/>
        </w:rPr>
      </w:pPr>
      <w:bookmarkEnd w:id="24"/>
    </w:p>
    <w:p w:rsidR="00092985">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构造纲要图</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拟建工程场地位于观音峡冲断背斜东翼，具体见图3.3-1构造纲要图。根据现场踏勘实测岩层优势产状80</w:t>
      </w:r>
      <w:r>
        <w:rPr>
          <w:rFonts w:ascii="仿宋" w:eastAsia="仿宋" w:hAnsi="仿宋" w:cs="仿宋" w:hint="eastAsia"/>
          <w:sz w:val="28"/>
          <w:szCs w:val="28"/>
        </w:rPr>
        <w:t>°∠</w:t>
      </w:r>
      <w:r>
        <w:rPr>
          <w:rFonts w:ascii="仿宋" w:eastAsia="仿宋" w:hAnsi="仿宋" w:cs="仿宋" w:hint="eastAsia"/>
          <w:sz w:val="28"/>
          <w:szCs w:val="28"/>
        </w:rPr>
        <w:t>58</w:t>
      </w:r>
      <w:r>
        <w:rPr>
          <w:rFonts w:ascii="仿宋" w:eastAsia="仿宋" w:hAnsi="仿宋" w:cs="仿宋" w:hint="eastAsia"/>
          <w:sz w:val="28"/>
          <w:szCs w:val="28"/>
        </w:rPr>
        <w:t>°</w:t>
      </w:r>
      <w:r>
        <w:rPr>
          <w:rFonts w:ascii="仿宋" w:eastAsia="仿宋" w:hAnsi="仿宋" w:cs="仿宋" w:hint="eastAsia"/>
          <w:sz w:val="28"/>
          <w:szCs w:val="28"/>
        </w:rPr>
        <w:t>；场区岩性砂岩与泥岩，局部为砂泥岩互层，砂岩与泥岩之间的层面往往有泥化现象，尤其是上部砂岩下部泥岩的情况，层面结合很差，属软弱结构面。在拟建场区附近测得2组裂隙产状如下：</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 1 \* GB3 </w:instrText>
      </w:r>
      <w:r>
        <w:rPr>
          <w:rFonts w:ascii="仿宋" w:eastAsia="仿宋" w:hAnsi="仿宋" w:cs="仿宋" w:hint="eastAsia"/>
          <w:sz w:val="28"/>
          <w:szCs w:val="28"/>
        </w:rPr>
        <w:fldChar w:fldCharType="separate"/>
      </w:r>
      <w:r>
        <w:rPr>
          <w:rFonts w:ascii="仿宋" w:eastAsia="仿宋" w:hAnsi="仿宋" w:cs="仿宋" w:hint="eastAsia"/>
          <w:sz w:val="28"/>
          <w:szCs w:val="28"/>
        </w:rPr>
        <w:t>①</w:t>
      </w:r>
      <w:r>
        <w:rPr>
          <w:rFonts w:ascii="仿宋" w:eastAsia="仿宋" w:hAnsi="仿宋" w:cs="仿宋" w:hint="eastAsia"/>
          <w:sz w:val="28"/>
          <w:szCs w:val="28"/>
        </w:rPr>
        <w:fldChar w:fldCharType="end"/>
      </w:r>
      <w:r>
        <w:rPr>
          <w:rFonts w:ascii="仿宋" w:eastAsia="仿宋" w:hAnsi="仿宋" w:cs="仿宋" w:hint="eastAsia"/>
          <w:sz w:val="28"/>
          <w:szCs w:val="28"/>
        </w:rPr>
        <w:t>LX1:255～265</w:t>
      </w:r>
      <w:r>
        <w:rPr>
          <w:rFonts w:ascii="仿宋" w:eastAsia="仿宋" w:hAnsi="仿宋" w:cs="仿宋" w:hint="eastAsia"/>
          <w:sz w:val="28"/>
          <w:szCs w:val="28"/>
        </w:rPr>
        <w:t>°∠</w:t>
      </w:r>
      <w:r>
        <w:rPr>
          <w:rFonts w:ascii="仿宋" w:eastAsia="仿宋" w:hAnsi="仿宋" w:cs="仿宋" w:hint="eastAsia"/>
          <w:sz w:val="28"/>
          <w:szCs w:val="28"/>
        </w:rPr>
        <w:t>62～68</w:t>
      </w:r>
      <w:r>
        <w:rPr>
          <w:rFonts w:ascii="仿宋" w:eastAsia="仿宋" w:hAnsi="仿宋" w:cs="仿宋" w:hint="eastAsia"/>
          <w:sz w:val="28"/>
          <w:szCs w:val="28"/>
        </w:rPr>
        <w:t>°</w:t>
      </w:r>
      <w:r>
        <w:rPr>
          <w:rFonts w:ascii="仿宋" w:eastAsia="仿宋" w:hAnsi="仿宋" w:cs="仿宋" w:hint="eastAsia"/>
          <w:sz w:val="28"/>
          <w:szCs w:val="28"/>
        </w:rPr>
        <w:t>，优势产状260</w:t>
      </w:r>
      <w:r>
        <w:rPr>
          <w:rFonts w:ascii="仿宋" w:eastAsia="仿宋" w:hAnsi="仿宋" w:cs="仿宋" w:hint="eastAsia"/>
          <w:sz w:val="28"/>
          <w:szCs w:val="28"/>
        </w:rPr>
        <w:t>°∠</w:t>
      </w:r>
      <w:r>
        <w:rPr>
          <w:rFonts w:ascii="仿宋" w:eastAsia="仿宋" w:hAnsi="仿宋" w:cs="仿宋" w:hint="eastAsia"/>
          <w:sz w:val="28"/>
          <w:szCs w:val="28"/>
        </w:rPr>
        <w:t>65</w:t>
      </w:r>
      <w:r>
        <w:rPr>
          <w:rFonts w:ascii="仿宋" w:eastAsia="仿宋" w:hAnsi="仿宋" w:cs="仿宋" w:hint="eastAsia"/>
          <w:sz w:val="28"/>
          <w:szCs w:val="28"/>
        </w:rPr>
        <w:t>°</w:t>
      </w:r>
      <w:r>
        <w:rPr>
          <w:rFonts w:ascii="仿宋" w:eastAsia="仿宋" w:hAnsi="仿宋" w:cs="仿宋" w:hint="eastAsia"/>
          <w:sz w:val="28"/>
          <w:szCs w:val="28"/>
        </w:rPr>
        <w:t>，，延伸一般2～5m不等，微张2～4mm，平直，间距0.5～1.2m，偶见泥质充填，结合差，属硬性结构面。</w:t>
      </w:r>
    </w:p>
    <w:p w:rsidR="00092985">
      <w:pPr>
        <w:spacing w:line="360" w:lineRule="auto"/>
        <w:ind w:firstLine="560"/>
        <w:rPr>
          <w:rFonts w:ascii="仿宋" w:eastAsia="仿宋" w:hAnsi="仿宋" w:cs="仿宋" w:hint="eastAsia"/>
          <w:sz w:val="28"/>
          <w:szCs w:val="28"/>
        </w:rPr>
        <w:sectPr>
          <w:headerReference w:type="default" r:id="rId15"/>
          <w:footerReference w:type="default" r:id="rId16"/>
          <w:type w:val="nextPage"/>
          <w:pgSz w:w="23811" w:h="16838" w:orient="landscape"/>
          <w:pgMar w:top="1083" w:right="1440" w:bottom="1083" w:left="1440" w:header="850" w:footer="1417" w:gutter="680"/>
          <w:pgNumType w:start="4"/>
          <w:cols w:num="2" w:space="425" w:equalWidth="0">
            <w:col w:w="9913" w:space="425"/>
            <w:col w:w="9913" w:space="0"/>
          </w:cols>
          <w:titlePg w:val="0"/>
          <w:docGrid w:type="lines" w:linePitch="316"/>
        </w:sect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 2 \* GB3 </w:instrText>
      </w:r>
      <w:r>
        <w:rPr>
          <w:rFonts w:ascii="仿宋" w:eastAsia="仿宋" w:hAnsi="仿宋" w:cs="仿宋" w:hint="eastAsia"/>
          <w:sz w:val="28"/>
          <w:szCs w:val="28"/>
        </w:rPr>
        <w:fldChar w:fldCharType="separate"/>
      </w:r>
      <w:r>
        <w:rPr>
          <w:rFonts w:ascii="仿宋" w:eastAsia="仿宋" w:hAnsi="仿宋" w:cs="仿宋" w:hint="eastAsia"/>
          <w:sz w:val="28"/>
          <w:szCs w:val="28"/>
        </w:rPr>
        <w:t>②</w:t>
      </w:r>
      <w:r>
        <w:rPr>
          <w:rFonts w:ascii="仿宋" w:eastAsia="仿宋" w:hAnsi="仿宋" w:cs="仿宋" w:hint="eastAsia"/>
          <w:sz w:val="28"/>
          <w:szCs w:val="28"/>
        </w:rPr>
        <w:fldChar w:fldCharType="end"/>
      </w:r>
      <w:r>
        <w:rPr>
          <w:rFonts w:ascii="仿宋" w:eastAsia="仿宋" w:hAnsi="仿宋" w:cs="仿宋" w:hint="eastAsia"/>
          <w:sz w:val="28"/>
          <w:szCs w:val="28"/>
        </w:rPr>
        <w:t>LX2:165～175</w:t>
      </w:r>
      <w:r>
        <w:rPr>
          <w:rFonts w:ascii="仿宋" w:eastAsia="仿宋" w:hAnsi="仿宋" w:cs="仿宋" w:hint="eastAsia"/>
          <w:sz w:val="28"/>
          <w:szCs w:val="28"/>
        </w:rPr>
        <w:t>°∠</w:t>
      </w:r>
      <w:r>
        <w:rPr>
          <w:rFonts w:ascii="仿宋" w:eastAsia="仿宋" w:hAnsi="仿宋" w:cs="仿宋" w:hint="eastAsia"/>
          <w:sz w:val="28"/>
          <w:szCs w:val="28"/>
        </w:rPr>
        <w:t>72～78</w:t>
      </w:r>
      <w:r>
        <w:rPr>
          <w:rFonts w:ascii="仿宋" w:eastAsia="仿宋" w:hAnsi="仿宋" w:cs="仿宋" w:hint="eastAsia"/>
          <w:sz w:val="28"/>
          <w:szCs w:val="28"/>
        </w:rPr>
        <w:t>°</w:t>
      </w:r>
      <w:r>
        <w:rPr>
          <w:rFonts w:ascii="仿宋" w:eastAsia="仿宋" w:hAnsi="仿宋" w:cs="仿宋" w:hint="eastAsia"/>
          <w:sz w:val="28"/>
          <w:szCs w:val="28"/>
        </w:rPr>
        <w:t>，优势产状170</w:t>
      </w:r>
      <w:r>
        <w:rPr>
          <w:rFonts w:ascii="仿宋" w:eastAsia="仿宋" w:hAnsi="仿宋" w:cs="仿宋" w:hint="eastAsia"/>
          <w:sz w:val="28"/>
          <w:szCs w:val="28"/>
        </w:rPr>
        <w:t>°∠</w:t>
      </w:r>
      <w:r>
        <w:rPr>
          <w:rFonts w:ascii="仿宋" w:eastAsia="仿宋" w:hAnsi="仿宋" w:cs="仿宋" w:hint="eastAsia"/>
          <w:sz w:val="28"/>
          <w:szCs w:val="28"/>
        </w:rPr>
        <w:t>75</w:t>
      </w:r>
      <w:r>
        <w:rPr>
          <w:rFonts w:ascii="仿宋" w:eastAsia="仿宋" w:hAnsi="仿宋" w:cs="仿宋" w:hint="eastAsia"/>
          <w:sz w:val="28"/>
          <w:szCs w:val="28"/>
        </w:rPr>
        <w:t>°</w:t>
      </w:r>
      <w:r>
        <w:rPr>
          <w:rFonts w:ascii="仿宋" w:eastAsia="仿宋" w:hAnsi="仿宋" w:cs="仿宋" w:hint="eastAsia"/>
          <w:sz w:val="28"/>
          <w:szCs w:val="28"/>
        </w:rPr>
        <w:t>，裂隙面平直闭合，局部有钙质充填，裂隙间距1～3m不等，延伸一般3～6m以上，局部出现倒转反向现象，结合差，属硬性构面。</w:t>
      </w:r>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场地无断裂构造，构造裂隙属不发育，地质构造简单。场区未见断层，岩层呈单斜产出，地质构造简单。</w:t>
      </w:r>
    </w:p>
    <w:p w:rsidR="00092985">
      <w:pPr>
        <w:pStyle w:val="Heading3"/>
        <w:numPr>
          <w:ilvl w:val="2"/>
          <w:numId w:val="6"/>
        </w:numPr>
        <w:spacing w:before="0" w:after="0" w:line="360" w:lineRule="auto"/>
        <w:ind w:hanging="69"/>
        <w:jc w:val="left"/>
        <w:rPr>
          <w:rFonts w:ascii="仿宋" w:eastAsia="仿宋" w:hAnsi="仿宋" w:cs="仿宋" w:hint="eastAsia"/>
          <w:sz w:val="28"/>
          <w:szCs w:val="28"/>
        </w:rPr>
      </w:pPr>
      <w:bookmarkStart w:id="25" w:name="_Toc30953"/>
      <w:bookmarkStart w:id="26" w:name="_Toc116547217"/>
      <w:bookmarkStart w:id="27" w:name="_Toc455402656"/>
      <w:bookmarkStart w:id="28" w:name="_Toc30547"/>
      <w:r>
        <w:rPr>
          <w:rFonts w:ascii="仿宋" w:eastAsia="仿宋" w:hAnsi="仿宋" w:cs="仿宋" w:hint="eastAsia"/>
          <w:sz w:val="28"/>
          <w:szCs w:val="28"/>
        </w:rPr>
        <w:t>水文地质条件</w:t>
      </w:r>
      <w:bookmarkEnd w:id="25"/>
    </w:p>
    <w:p w:rsidR="00092985">
      <w:pPr>
        <w:ind w:firstLine="560"/>
        <w:rPr>
          <w:rFonts w:ascii="仿宋" w:eastAsia="仿宋" w:hAnsi="仿宋" w:cs="仿宋" w:hint="eastAsia"/>
          <w:sz w:val="28"/>
        </w:rPr>
      </w:pPr>
      <w:r>
        <w:rPr>
          <w:rFonts w:ascii="仿宋" w:eastAsia="仿宋" w:hAnsi="仿宋" w:cs="仿宋" w:hint="eastAsia"/>
          <w:sz w:val="28"/>
        </w:rPr>
        <w:t>拟建场地为主要为岭状丘陵斜坡+冲沟的地形组合，沿线地表径流途径较发育，有利于雨水排泄。地层岩性及地形地貌决定地下水赋存条件。场区构造条件简单，基岩以泥岩、砂岩为主，地下水主要赋存在低洼地带的基岩裂隙和松散土层中，为基岩裂隙水和第四系松散堆积层孔隙水。</w:t>
      </w:r>
    </w:p>
    <w:p w:rsidR="00092985">
      <w:pPr>
        <w:ind w:firstLine="560"/>
        <w:rPr>
          <w:rFonts w:ascii="仿宋" w:eastAsia="仿宋" w:hAnsi="仿宋" w:cs="仿宋" w:hint="eastAsia"/>
          <w:sz w:val="28"/>
        </w:rPr>
      </w:pPr>
      <w:r>
        <w:rPr>
          <w:rFonts w:ascii="仿宋" w:eastAsia="仿宋" w:hAnsi="仿宋" w:cs="仿宋" w:hint="eastAsia"/>
          <w:sz w:val="28"/>
        </w:rPr>
        <w:t>第四系松散层孔隙水：主要分布在残坡积层和人工填土层中，多为局部性上层滞水，水量小，动态幅度大，水质成分由含水介质的性质决定。残积、坡积层中的地下水，水质较好，矿化度低。场地内原始地貌为斜坡地形段地下水不甚发育，原始沟槽区地下水较发育。</w:t>
      </w:r>
    </w:p>
    <w:p w:rsidR="00092985">
      <w:pPr>
        <w:ind w:firstLine="560"/>
        <w:rPr>
          <w:rFonts w:ascii="仿宋" w:eastAsia="仿宋" w:hAnsi="仿宋" w:cs="仿宋" w:hint="eastAsia"/>
          <w:sz w:val="28"/>
          <w:szCs w:val="28"/>
        </w:rPr>
      </w:pPr>
      <w:r>
        <w:rPr>
          <w:rFonts w:ascii="仿宋" w:eastAsia="仿宋" w:hAnsi="仿宋" w:cs="仿宋" w:hint="eastAsia"/>
          <w:sz w:val="28"/>
        </w:rPr>
        <w:t>碎屑岩类孔隙裂隙水：</w:t>
      </w:r>
      <w:r>
        <w:rPr>
          <w:rFonts w:ascii="仿宋" w:eastAsia="仿宋" w:hAnsi="仿宋" w:cs="仿宋" w:hint="eastAsia"/>
          <w:bCs/>
          <w:sz w:val="28"/>
        </w:rPr>
        <w:t>包括风化裂隙水和构造裂隙水。风化裂隙水分布在浅表层基岩强风化带中，为局部上层滞水或小区域潜水，水量小，受季节性影响大，各含水层自成补给、径流、排泄系统。构造裂隙水主要分布于厚层块状砂岩层中，以层间裂隙水或脉状裂隙水形式储存，泥岩相对隔水；水量稍大，动态稍稳定。场地内发育较</w:t>
      </w:r>
      <w:r>
        <w:rPr>
          <w:rFonts w:ascii="仿宋" w:eastAsia="仿宋" w:hAnsi="仿宋" w:cs="仿宋" w:hint="eastAsia"/>
          <w:sz w:val="28"/>
          <w:szCs w:val="28"/>
        </w:rPr>
        <w:t>贫乏，水文地质条件较简单。</w:t>
      </w:r>
    </w:p>
    <w:p w:rsidR="00092985">
      <w:pPr>
        <w:ind w:firstLine="560"/>
        <w:rPr>
          <w:rFonts w:ascii="仿宋" w:eastAsia="仿宋" w:hAnsi="仿宋" w:cs="仿宋" w:hint="eastAsia"/>
          <w:sz w:val="28"/>
          <w:szCs w:val="28"/>
        </w:rPr>
      </w:pPr>
      <w:r>
        <w:rPr>
          <w:rFonts w:ascii="仿宋" w:eastAsia="仿宋" w:hAnsi="仿宋" w:cs="仿宋" w:hint="eastAsia"/>
          <w:sz w:val="28"/>
          <w:szCs w:val="28"/>
        </w:rPr>
        <w:t>水位：本次勘察对所有钻孔进行简易水文观测，本场地大部分钻孔位于斜坡地带，斜坡区钻孔抽干施工循环水后，水文不恢复，地下水贫乏。未见稳定地下水位。</w:t>
      </w:r>
    </w:p>
    <w:p w:rsidR="00092985">
      <w:pPr>
        <w:ind w:firstLine="560"/>
        <w:rPr>
          <w:rFonts w:ascii="仿宋" w:eastAsia="仿宋" w:hAnsi="仿宋" w:cs="仿宋" w:hint="eastAsia"/>
          <w:sz w:val="28"/>
          <w:szCs w:val="28"/>
        </w:rPr>
      </w:pPr>
      <w:r>
        <w:rPr>
          <w:rFonts w:ascii="仿宋" w:eastAsia="仿宋" w:hAnsi="仿宋" w:cs="仿宋" w:hint="eastAsia"/>
          <w:sz w:val="28"/>
          <w:szCs w:val="28"/>
        </w:rPr>
        <w:t>根据工程经验以及类比附近场地的地质条件，素填土渗透系数5～10m/d，为中等透水层，粉质粘土层渗透系数0.01～0.05m/d，属弱透水层，泥岩渗透系数0.01～0.08m/d，为弱透水层，砂岩渗透系数取0.1～0.25m/d，为弱透水层。</w:t>
      </w:r>
    </w:p>
    <w:p w:rsidR="00092985">
      <w:pPr>
        <w:pStyle w:val="Heading3"/>
        <w:numPr>
          <w:ilvl w:val="2"/>
          <w:numId w:val="6"/>
        </w:numPr>
        <w:spacing w:before="0" w:after="0" w:line="360" w:lineRule="auto"/>
        <w:ind w:hanging="69"/>
        <w:jc w:val="left"/>
        <w:rPr>
          <w:rFonts w:ascii="仿宋" w:eastAsia="仿宋" w:hAnsi="仿宋" w:cs="仿宋" w:hint="eastAsia"/>
          <w:sz w:val="28"/>
          <w:szCs w:val="28"/>
        </w:rPr>
      </w:pPr>
      <w:bookmarkStart w:id="29" w:name="_Toc11954"/>
      <w:r>
        <w:rPr>
          <w:rFonts w:ascii="仿宋" w:eastAsia="仿宋" w:hAnsi="仿宋" w:cs="仿宋" w:hint="eastAsia"/>
          <w:sz w:val="28"/>
          <w:szCs w:val="28"/>
        </w:rPr>
        <w:t>水、土的腐蚀性判定</w:t>
      </w:r>
      <w:bookmarkEnd w:id="29"/>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（1）水的腐蚀性</w:t>
      </w:r>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本场地及其四周无污染源，人工填土主要成份为砂泥岩碎块石，无腐蚀性堆积物,结合环境地质条件（</w:t>
      </w:r>
      <w:r>
        <w:rPr>
          <w:rFonts w:ascii="仿宋" w:eastAsia="仿宋" w:hAnsi="仿宋" w:cs="仿宋" w:hint="eastAsia"/>
          <w:sz w:val="28"/>
          <w:szCs w:val="28"/>
        </w:rPr>
        <w:t>Ⅲ</w:t>
      </w:r>
      <w:r>
        <w:rPr>
          <w:rFonts w:ascii="仿宋" w:eastAsia="仿宋" w:hAnsi="仿宋" w:cs="仿宋" w:hint="eastAsia"/>
          <w:sz w:val="28"/>
          <w:szCs w:val="28"/>
        </w:rPr>
        <w:t>类）及邻近工程建筑经验，判断环境土在</w:t>
      </w:r>
      <w:r>
        <w:rPr>
          <w:rFonts w:ascii="仿宋" w:eastAsia="仿宋" w:hAnsi="仿宋" w:cs="仿宋" w:hint="eastAsia"/>
          <w:sz w:val="28"/>
          <w:szCs w:val="28"/>
        </w:rPr>
        <w:t>Ⅲ</w:t>
      </w:r>
      <w:r>
        <w:rPr>
          <w:rFonts w:ascii="仿宋" w:eastAsia="仿宋" w:hAnsi="仿宋" w:cs="仿宋" w:hint="eastAsia"/>
          <w:sz w:val="28"/>
          <w:szCs w:val="28"/>
        </w:rPr>
        <w:t>类环境类型对混凝土结构具有微腐蚀性；按地层渗透性环境土对混凝土结构具有微腐蚀性；在干湿交替作用条件下，土中Cl-对钢筋混凝土结构中钢筋具有微腐蚀性，土对钢结构的腐蚀性具有微腐蚀性。</w:t>
      </w:r>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（2）土的腐蚀性</w:t>
      </w:r>
    </w:p>
    <w:p w:rsidR="00092985">
      <w:pPr>
        <w:spacing w:line="560" w:lineRule="exact"/>
        <w:ind w:firstLine="560" w:firstLineChars="200"/>
        <w:rPr>
          <w:rFonts w:ascii="仿宋" w:eastAsia="仿宋" w:hAnsi="仿宋" w:cs="仿宋" w:hint="eastAsia"/>
        </w:rPr>
      </w:pPr>
      <w:r>
        <w:rPr>
          <w:rFonts w:ascii="仿宋" w:eastAsia="仿宋" w:hAnsi="仿宋" w:cs="仿宋" w:hint="eastAsia"/>
          <w:sz w:val="28"/>
          <w:szCs w:val="28"/>
        </w:rPr>
        <w:t>根据现场调查：拟建场区及周边无水土污染源，结合周边工程建设经验，拟建场地为</w:t>
      </w:r>
      <w:r>
        <w:rPr>
          <w:rFonts w:ascii="仿宋" w:eastAsia="仿宋" w:hAnsi="仿宋" w:cs="仿宋" w:hint="eastAsia"/>
          <w:sz w:val="28"/>
          <w:szCs w:val="28"/>
        </w:rPr>
        <w:t>Ⅲ</w:t>
      </w:r>
      <w:r>
        <w:rPr>
          <w:rFonts w:ascii="仿宋" w:eastAsia="仿宋" w:hAnsi="仿宋" w:cs="仿宋" w:hint="eastAsia"/>
          <w:sz w:val="28"/>
          <w:szCs w:val="28"/>
        </w:rPr>
        <w:t>类环境，故场区土对混凝土结构及钢筋混凝土结构中的钢筋具有微腐；场区土对钢结构具有微腐蚀。</w:t>
      </w:r>
    </w:p>
    <w:p w:rsidR="00092985">
      <w:pPr>
        <w:pStyle w:val="Heading3"/>
        <w:numPr>
          <w:ilvl w:val="2"/>
          <w:numId w:val="6"/>
        </w:numPr>
        <w:spacing w:before="0" w:after="0" w:line="360" w:lineRule="auto"/>
        <w:ind w:hanging="69"/>
        <w:jc w:val="left"/>
        <w:rPr>
          <w:rFonts w:ascii="仿宋" w:eastAsia="仿宋" w:hAnsi="仿宋" w:cs="仿宋" w:hint="eastAsia"/>
          <w:sz w:val="28"/>
          <w:szCs w:val="28"/>
        </w:rPr>
      </w:pPr>
      <w:bookmarkStart w:id="30" w:name="_Toc15579"/>
      <w:r>
        <w:rPr>
          <w:rFonts w:ascii="仿宋" w:eastAsia="仿宋" w:hAnsi="仿宋" w:cs="仿宋" w:hint="eastAsia"/>
          <w:sz w:val="28"/>
          <w:szCs w:val="28"/>
        </w:rPr>
        <w:t>不良地质现象</w:t>
      </w:r>
      <w:bookmarkEnd w:id="30"/>
    </w:p>
    <w:p w:rsidR="00092985">
      <w:pPr>
        <w:ind w:firstLine="560"/>
        <w:rPr>
          <w:rFonts w:ascii="仿宋" w:eastAsia="仿宋" w:hAnsi="仿宋" w:cs="仿宋" w:hint="eastAsia"/>
        </w:rPr>
      </w:pPr>
      <w:r>
        <w:rPr>
          <w:rFonts w:ascii="仿宋" w:eastAsia="仿宋" w:hAnsi="仿宋" w:cs="仿宋" w:hint="eastAsia"/>
          <w:sz w:val="28"/>
        </w:rPr>
        <w:t>本次勘察钻探及周边地质环境调查，拟建道路范围内未发现滑坡、危岩、崩塌、泥石流以及地下不利埋藏物等不良</w:t>
      </w:r>
      <w:r>
        <w:rPr>
          <w:rFonts w:ascii="仿宋" w:eastAsia="仿宋" w:hAnsi="仿宋" w:cs="仿宋" w:hint="eastAsia"/>
          <w:sz w:val="28"/>
          <w:szCs w:val="28"/>
        </w:rPr>
        <w:t>地质现象。另外，据访问当地村民，拟建场地沿线无既有的群测群防地质灾害隐患点。</w:t>
      </w:r>
    </w:p>
    <w:p w:rsidR="00092985">
      <w:pPr>
        <w:pStyle w:val="Heading3"/>
        <w:numPr>
          <w:ilvl w:val="2"/>
          <w:numId w:val="6"/>
        </w:numPr>
        <w:spacing w:before="0" w:after="0" w:line="360" w:lineRule="auto"/>
        <w:ind w:hanging="69"/>
        <w:jc w:val="left"/>
        <w:rPr>
          <w:rFonts w:ascii="仿宋" w:eastAsia="仿宋" w:hAnsi="仿宋" w:cs="仿宋" w:hint="eastAsia"/>
          <w:sz w:val="28"/>
          <w:szCs w:val="28"/>
        </w:rPr>
      </w:pPr>
      <w:bookmarkStart w:id="31" w:name="_Toc21824"/>
      <w:r>
        <w:rPr>
          <w:rFonts w:ascii="仿宋" w:eastAsia="仿宋" w:hAnsi="仿宋" w:cs="仿宋" w:hint="eastAsia"/>
          <w:sz w:val="28"/>
          <w:szCs w:val="28"/>
        </w:rPr>
        <w:t>岩体风化带特征</w:t>
      </w:r>
      <w:bookmarkEnd w:id="31"/>
    </w:p>
    <w:p w:rsidR="00092985">
      <w:pPr>
        <w:ind w:firstLine="560" w:firstLineChars="200"/>
        <w:rPr>
          <w:rFonts w:ascii="仿宋" w:eastAsia="仿宋" w:hAnsi="仿宋" w:cs="仿宋" w:hint="eastAsia"/>
          <w:sz w:val="28"/>
          <w:szCs w:val="28"/>
        </w:rPr>
      </w:pPr>
      <w:r>
        <w:rPr>
          <w:rFonts w:ascii="仿宋" w:eastAsia="仿宋" w:hAnsi="仿宋" w:cs="仿宋" w:hint="eastAsia"/>
          <w:sz w:val="28"/>
          <w:szCs w:val="28"/>
        </w:rPr>
        <w:t>拟建场地岩性主要由人工填土，粉质粘土，强风化、中风化砂岩和泥岩组成。场地基岩面起伏与地面基本一致。据钻探揭露，场地范围基岩面受岩性、地质构造与地形地貌等因数控制，冲沟基岩面倾角总体平缓，一般在5～15</w:t>
      </w:r>
      <w:r>
        <w:rPr>
          <w:rFonts w:ascii="仿宋" w:eastAsia="仿宋" w:hAnsi="仿宋" w:cs="仿宋" w:hint="eastAsia"/>
          <w:sz w:val="28"/>
          <w:szCs w:val="28"/>
        </w:rPr>
        <w:t>°</w:t>
      </w:r>
      <w:r>
        <w:rPr>
          <w:rFonts w:ascii="仿宋" w:eastAsia="仿宋" w:hAnsi="仿宋" w:cs="仿宋" w:hint="eastAsia"/>
          <w:sz w:val="28"/>
          <w:szCs w:val="28"/>
        </w:rPr>
        <w:t>之间，斜坡地带基岩面较陡，达35～50</w:t>
      </w:r>
      <w:r>
        <w:rPr>
          <w:rFonts w:ascii="仿宋" w:eastAsia="仿宋" w:hAnsi="仿宋" w:cs="仿宋" w:hint="eastAsia"/>
          <w:sz w:val="28"/>
          <w:szCs w:val="28"/>
        </w:rPr>
        <w:t>°</w:t>
      </w:r>
      <w:r>
        <w:rPr>
          <w:rFonts w:ascii="仿宋" w:eastAsia="仿宋" w:hAnsi="仿宋" w:cs="仿宋" w:hint="eastAsia"/>
          <w:sz w:val="28"/>
          <w:szCs w:val="28"/>
        </w:rPr>
        <w:t>，基岩埋深一般小于3m，局部钻孔揭露厚度超过5m，最大埋深为8.3m（ZK14）。</w:t>
      </w:r>
    </w:p>
    <w:p w:rsidR="00092985">
      <w:pPr>
        <w:ind w:firstLine="560"/>
        <w:rPr>
          <w:rFonts w:ascii="仿宋" w:eastAsia="仿宋" w:hAnsi="仿宋" w:cs="仿宋" w:hint="eastAsia"/>
          <w:sz w:val="28"/>
          <w:szCs w:val="28"/>
        </w:rPr>
      </w:pPr>
      <w:r>
        <w:rPr>
          <w:rFonts w:ascii="仿宋" w:eastAsia="仿宋" w:hAnsi="仿宋" w:cs="仿宋" w:hint="eastAsia"/>
          <w:sz w:val="28"/>
          <w:szCs w:val="28"/>
        </w:rPr>
        <w:t>根据钻探资料，场区基岩按风化程度可分为：</w:t>
      </w:r>
    </w:p>
    <w:p w:rsidR="00092985">
      <w:pPr>
        <w:ind w:firstLine="560"/>
        <w:rPr>
          <w:rFonts w:ascii="仿宋" w:eastAsia="仿宋" w:hAnsi="仿宋" w:cs="仿宋" w:hint="eastAsia"/>
          <w:sz w:val="28"/>
          <w:szCs w:val="28"/>
        </w:rPr>
        <w:sectPr>
          <w:headerReference w:type="default" r:id="rId17"/>
          <w:footerReference w:type="default" r:id="rId18"/>
          <w:type w:val="nextPage"/>
          <w:pgSz w:w="23811" w:h="16838" w:orient="landscape"/>
          <w:pgMar w:top="1083" w:right="1440" w:bottom="1083" w:left="1440" w:header="850" w:footer="1417" w:gutter="680"/>
          <w:pgNumType w:start="5"/>
          <w:cols w:num="2" w:space="425" w:equalWidth="0">
            <w:col w:w="9913" w:space="425"/>
            <w:col w:w="9913" w:space="0"/>
          </w:cols>
          <w:titlePg w:val="0"/>
          <w:docGrid w:type="lines" w:linePitch="316"/>
        </w:sect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 1 \* GB2 </w:instrText>
      </w:r>
      <w:r>
        <w:rPr>
          <w:rFonts w:ascii="仿宋" w:eastAsia="仿宋" w:hAnsi="仿宋" w:cs="仿宋" w:hint="eastAsia"/>
          <w:sz w:val="28"/>
          <w:szCs w:val="28"/>
        </w:rPr>
        <w:fldChar w:fldCharType="separate"/>
      </w:r>
      <w:r>
        <w:rPr>
          <w:rFonts w:ascii="仿宋" w:eastAsia="仿宋" w:hAnsi="仿宋" w:cs="仿宋" w:hint="eastAsia"/>
          <w:sz w:val="28"/>
          <w:szCs w:val="28"/>
        </w:rPr>
        <w:t>⑴</w:t>
      </w:r>
      <w:r>
        <w:rPr>
          <w:rFonts w:ascii="仿宋" w:eastAsia="仿宋" w:hAnsi="仿宋" w:cs="仿宋" w:hint="eastAsia"/>
          <w:sz w:val="28"/>
          <w:szCs w:val="28"/>
        </w:rPr>
        <w:fldChar w:fldCharType="end"/>
      </w:r>
    </w:p>
    <w:p w:rsidR="00092985">
      <w:pPr>
        <w:ind w:firstLine="560"/>
        <w:rPr>
          <w:rFonts w:ascii="仿宋" w:eastAsia="仿宋" w:hAnsi="仿宋" w:cs="仿宋" w:hint="eastAsia"/>
          <w:sz w:val="28"/>
          <w:szCs w:val="28"/>
        </w:rPr>
      </w:pPr>
      <w:r>
        <w:rPr>
          <w:rFonts w:ascii="仿宋" w:eastAsia="仿宋" w:hAnsi="仿宋" w:cs="仿宋" w:hint="eastAsia"/>
          <w:sz w:val="28"/>
          <w:szCs w:val="28"/>
        </w:rPr>
        <w:t>强风化层，岩质软，轻敲易碎，岩心呈碎块状，强风化厚度一般为0.30～4.30m。</w:t>
      </w:r>
    </w:p>
    <w:p w:rsidR="00092985">
      <w:pPr>
        <w:ind w:firstLine="560"/>
        <w:rPr>
          <w:rFonts w:ascii="仿宋" w:eastAsia="仿宋" w:hAnsi="仿宋" w:cs="仿宋" w:hint="eastAsia"/>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 2 \* GB2 </w:instrText>
      </w:r>
      <w:r>
        <w:rPr>
          <w:rFonts w:ascii="仿宋" w:eastAsia="仿宋" w:hAnsi="仿宋" w:cs="仿宋" w:hint="eastAsia"/>
          <w:sz w:val="28"/>
          <w:szCs w:val="28"/>
        </w:rPr>
        <w:fldChar w:fldCharType="separate"/>
      </w:r>
      <w:r>
        <w:rPr>
          <w:rFonts w:ascii="仿宋" w:eastAsia="仿宋" w:hAnsi="仿宋" w:cs="仿宋" w:hint="eastAsia"/>
          <w:sz w:val="28"/>
          <w:szCs w:val="28"/>
        </w:rPr>
        <w:t>⑵</w:t>
      </w:r>
      <w:r>
        <w:rPr>
          <w:rFonts w:ascii="仿宋" w:eastAsia="仿宋" w:hAnsi="仿宋" w:cs="仿宋" w:hint="eastAsia"/>
          <w:sz w:val="28"/>
          <w:szCs w:val="28"/>
        </w:rPr>
        <w:fldChar w:fldCharType="end"/>
      </w:r>
      <w:r>
        <w:rPr>
          <w:rFonts w:ascii="仿宋" w:eastAsia="仿宋" w:hAnsi="仿宋" w:cs="仿宋" w:hint="eastAsia"/>
          <w:sz w:val="28"/>
          <w:szCs w:val="28"/>
        </w:rPr>
        <w:t>中等风化层：岩体较完整，岩心多呈柱状、短柱状，部分因矿物成分及胶结程度差异，岩心呈碎块状。</w:t>
      </w:r>
    </w:p>
    <w:p w:rsidR="00092985">
      <w:pPr>
        <w:pStyle w:val="Heading2"/>
        <w:numPr>
          <w:ilvl w:val="1"/>
          <w:numId w:val="7"/>
        </w:numPr>
        <w:spacing w:before="0" w:after="0" w:line="360" w:lineRule="auto"/>
        <w:ind w:firstLine="73"/>
        <w:rPr>
          <w:rFonts w:ascii="仿宋" w:eastAsia="仿宋" w:hAnsi="仿宋" w:cs="仿宋" w:hint="eastAsia"/>
          <w:sz w:val="30"/>
          <w:szCs w:val="30"/>
        </w:rPr>
      </w:pPr>
      <w:bookmarkStart w:id="32" w:name="_Toc3877"/>
      <w:r>
        <w:rPr>
          <w:rFonts w:ascii="仿宋" w:eastAsia="仿宋" w:hAnsi="仿宋" w:cs="仿宋" w:hint="eastAsia"/>
          <w:sz w:val="30"/>
          <w:szCs w:val="30"/>
        </w:rPr>
        <w:t>地震评价</w:t>
      </w:r>
      <w:bookmarkEnd w:id="32"/>
    </w:p>
    <w:p w:rsidR="00092985">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（1）地震效应评价</w:t>
      </w:r>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根据《中国地震动参数区划图》GB18306-2015，重庆市经开区抗震设防烈度为6度区，设计基本地震加速度值为0.05g，设计地震分组为第一组，反应谱特征周期为0.35s。</w:t>
      </w:r>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根据《公路工程抗震规范》JTGB02-2013，拟建道路为城市支路，设防目标为：在E1地震作用时，位于抗震有利地段的经一般修整即可正常使用，位于抗震不利地段的经短期抢修即可恢复使用，位于抗震危险地段的挡土墙等重要构筑物不发生严重破坏。</w:t>
      </w:r>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根据《城市桥梁抗震设计规范》CJJ166-2011，本项目拟建桥梁抗震设防类别为丁类。据《建筑工程抗震设防分类标准》GB50223-2008规定，该工程为市政道路，其抗震设防属标准设防类。</w:t>
      </w:r>
    </w:p>
    <w:p w:rsidR="00092985">
      <w:pPr>
        <w:pStyle w:val="BodyText"/>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rPr>
        <w:t>根据工程经验和邻近场地物探成果，场地素填土剪切波速取值130m/s，属软弱土；粉质粘土剪切波速取值155m/s，属中软土；</w:t>
      </w:r>
      <w:bookmarkStart w:id="33" w:name="_Hlk135232096"/>
      <w:r>
        <w:rPr>
          <w:rFonts w:ascii="仿宋" w:eastAsia="仿宋" w:hAnsi="仿宋" w:cs="仿宋" w:hint="eastAsia"/>
          <w:sz w:val="28"/>
        </w:rPr>
        <w:t>强风化岩石剪切波速500～800m/s</w:t>
      </w:r>
      <w:r>
        <w:rPr>
          <w:rFonts w:ascii="仿宋" w:eastAsia="仿宋" w:hAnsi="仿宋" w:cs="仿宋" w:hint="eastAsia"/>
          <w:sz w:val="28"/>
          <w:szCs w:val="28"/>
        </w:rPr>
        <w:t>，</w:t>
      </w:r>
      <w:r>
        <w:rPr>
          <w:rFonts w:ascii="仿宋" w:eastAsia="仿宋" w:hAnsi="仿宋" w:cs="仿宋" w:hint="eastAsia"/>
          <w:sz w:val="28"/>
        </w:rPr>
        <w:t>属软质岩石；中等风化基岩剪切波速在＞800m/s，属岩石。</w:t>
      </w:r>
      <w:bookmarkEnd w:id="33"/>
      <w:r>
        <w:rPr>
          <w:rFonts w:ascii="仿宋" w:eastAsia="仿宋" w:hAnsi="仿宋" w:cs="仿宋" w:hint="eastAsia"/>
          <w:sz w:val="28"/>
        </w:rPr>
        <w:t>未来填土的剪切波速暂按素填土的剪切波速取值，为软弱土，当压实后复测波速值，再复核其评价。</w:t>
      </w:r>
    </w:p>
    <w:p w:rsidR="00092985">
      <w:pPr>
        <w:tabs>
          <w:tab w:val="left" w:pos="945"/>
        </w:tabs>
        <w:adjustRightInd w:val="0"/>
        <w:snapToGrid w:val="0"/>
        <w:spacing w:line="560" w:lineRule="exact"/>
        <w:ind w:right="418" w:firstLine="560" w:rightChars="199" w:firstLineChars="200"/>
        <w:rPr>
          <w:rFonts w:ascii="仿宋" w:eastAsia="仿宋" w:hAnsi="仿宋" w:cs="仿宋" w:hint="eastAsia"/>
          <w:kern w:val="28"/>
          <w:sz w:val="28"/>
          <w:szCs w:val="28"/>
        </w:rPr>
      </w:pPr>
      <w:r>
        <w:rPr>
          <w:rFonts w:ascii="仿宋" w:eastAsia="仿宋" w:hAnsi="仿宋" w:cs="仿宋" w:hint="eastAsia"/>
          <w:kern w:val="28"/>
          <w:sz w:val="28"/>
          <w:szCs w:val="28"/>
        </w:rPr>
        <w:t>1.对于本项目道路工程段及其设置构筑物地段：</w:t>
      </w:r>
    </w:p>
    <w:p w:rsidR="00092985">
      <w:pPr>
        <w:pStyle w:val="BodyText"/>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根据拟建道路平场标高计算场地土的等效剪切波速，根据《公路工程抗震规范》JTGB02-2013和《建筑与市政工程抗震通用规范》GB55002-2021判定建筑场地类别。各拟建道路地段的场地类别评价详见下表。</w:t>
      </w:r>
    </w:p>
    <w:p w:rsidR="00092985">
      <w:pPr>
        <w:pStyle w:val="BodyTextFirstIndent"/>
        <w:ind w:firstLine="280"/>
        <w:jc w:val="center"/>
        <w:rPr>
          <w:rFonts w:ascii="仿宋" w:eastAsia="仿宋" w:hAnsi="仿宋" w:cs="仿宋" w:hint="eastAsia"/>
        </w:rPr>
      </w:pPr>
      <w:r>
        <w:rPr>
          <w:rFonts w:ascii="仿宋" w:eastAsia="仿宋" w:hAnsi="仿宋" w:cs="仿宋" w:hint="eastAsia"/>
          <w:sz w:val="28"/>
          <w:szCs w:val="28"/>
        </w:rPr>
        <w:t>拟建各道路（道路工程段）场地类别划分表</w:t>
      </w:r>
    </w:p>
    <w:tbl>
      <w:tblPr>
        <w:tblStyle w:val="TableNormal"/>
        <w:tblW w:w="10156" w:type="dxa"/>
        <w:jc w:val="center"/>
        <w:tblInd w:w="0" w:type="dxa"/>
        <w:tblLayout w:type="fixed"/>
        <w:tblLook w:val="0000"/>
      </w:tblPr>
      <w:tblGrid>
        <w:gridCol w:w="2256"/>
        <w:gridCol w:w="892"/>
        <w:gridCol w:w="1221"/>
        <w:gridCol w:w="1335"/>
        <w:gridCol w:w="936"/>
        <w:gridCol w:w="1077"/>
        <w:gridCol w:w="2439"/>
      </w:tblGrid>
      <w:tr>
        <w:tblPrEx>
          <w:tblW w:w="10156" w:type="dxa"/>
          <w:jc w:val="center"/>
          <w:tblInd w:w="0" w:type="dxa"/>
          <w:tblLayout w:type="fixed"/>
          <w:tblLook w:val="0000"/>
        </w:tblPrEx>
        <w:trPr>
          <w:trHeight w:val="886"/>
          <w:jc w:val="center"/>
        </w:trPr>
        <w:tc>
          <w:tcPr>
            <w:tcW w:w="2256" w:type="dxa"/>
            <w:tcBorders>
              <w:top w:val="single" w:sz="4" w:space="0" w:color="auto"/>
              <w:left w:val="single" w:sz="4" w:space="0" w:color="auto"/>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里程桩号</w:t>
            </w:r>
          </w:p>
        </w:tc>
        <w:tc>
          <w:tcPr>
            <w:tcW w:w="892" w:type="dxa"/>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覆盖层厚度</w:t>
            </w:r>
          </w:p>
        </w:tc>
        <w:tc>
          <w:tcPr>
            <w:tcW w:w="1221" w:type="dxa"/>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代表钻孔</w:t>
            </w:r>
          </w:p>
        </w:tc>
        <w:tc>
          <w:tcPr>
            <w:tcW w:w="1335" w:type="dxa"/>
            <w:tcBorders>
              <w:top w:val="single" w:sz="4" w:space="0" w:color="auto"/>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等效剪切波速（m/s）</w:t>
            </w:r>
          </w:p>
        </w:tc>
        <w:tc>
          <w:tcPr>
            <w:tcW w:w="936" w:type="dxa"/>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场地类别</w:t>
            </w:r>
          </w:p>
        </w:tc>
        <w:tc>
          <w:tcPr>
            <w:tcW w:w="1077" w:type="dxa"/>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特征周期（s）</w:t>
            </w:r>
          </w:p>
        </w:tc>
        <w:tc>
          <w:tcPr>
            <w:tcW w:w="2439" w:type="dxa"/>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地段划分</w:t>
            </w:r>
          </w:p>
        </w:tc>
      </w:tr>
      <w:tr>
        <w:tblPrEx>
          <w:tblW w:w="10156" w:type="dxa"/>
          <w:jc w:val="center"/>
          <w:tblInd w:w="0" w:type="dxa"/>
          <w:tblLayout w:type="fixed"/>
          <w:tblLook w:val="0000"/>
        </w:tblPrEx>
        <w:trPr>
          <w:trHeight w:val="352"/>
          <w:jc w:val="center"/>
        </w:trPr>
        <w:tc>
          <w:tcPr>
            <w:tcW w:w="2256" w:type="dxa"/>
            <w:tcBorders>
              <w:top w:val="nil"/>
              <w:left w:val="single" w:sz="4" w:space="0" w:color="auto"/>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K0+000～K0+080</w:t>
            </w:r>
          </w:p>
        </w:tc>
        <w:tc>
          <w:tcPr>
            <w:tcW w:w="892"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0</w:t>
            </w:r>
          </w:p>
        </w:tc>
        <w:tc>
          <w:tcPr>
            <w:tcW w:w="1221"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ZK02</w:t>
            </w:r>
          </w:p>
        </w:tc>
        <w:tc>
          <w:tcPr>
            <w:tcW w:w="1335" w:type="dxa"/>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＞500</w:t>
            </w:r>
          </w:p>
        </w:tc>
        <w:tc>
          <w:tcPr>
            <w:tcW w:w="936"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Ⅰ</w:t>
            </w:r>
            <w:r>
              <w:rPr>
                <w:rFonts w:ascii="仿宋" w:eastAsia="仿宋" w:hAnsi="仿宋" w:cs="仿宋" w:hint="eastAsia"/>
                <w:kern w:val="0"/>
                <w:sz w:val="24"/>
                <w:vertAlign w:val="subscript"/>
              </w:rPr>
              <w:t>1</w:t>
            </w:r>
          </w:p>
        </w:tc>
        <w:tc>
          <w:tcPr>
            <w:tcW w:w="1077"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0.25</w:t>
            </w:r>
          </w:p>
        </w:tc>
        <w:tc>
          <w:tcPr>
            <w:tcW w:w="2439" w:type="dxa"/>
            <w:tcBorders>
              <w:top w:val="nil"/>
              <w:left w:val="nil"/>
              <w:bottom w:val="single" w:sz="4" w:space="0" w:color="auto"/>
              <w:right w:val="single" w:sz="4" w:space="0" w:color="auto"/>
            </w:tcBorders>
            <w:noWrap/>
            <w:vAlign w:val="center"/>
          </w:tcPr>
          <w:p w:rsidR="00092985">
            <w:pPr>
              <w:jc w:val="center"/>
              <w:rPr>
                <w:rFonts w:ascii="仿宋" w:eastAsia="仿宋" w:hAnsi="仿宋" w:cs="仿宋" w:hint="eastAsia"/>
                <w:kern w:val="0"/>
                <w:sz w:val="24"/>
              </w:rPr>
            </w:pPr>
            <w:r>
              <w:rPr>
                <w:rFonts w:ascii="仿宋" w:eastAsia="仿宋" w:hAnsi="仿宋" w:cs="仿宋" w:hint="eastAsia"/>
                <w:kern w:val="0"/>
                <w:sz w:val="24"/>
              </w:rPr>
              <w:t>抗震有利地段</w:t>
            </w:r>
          </w:p>
        </w:tc>
      </w:tr>
      <w:tr>
        <w:tblPrEx>
          <w:tblW w:w="10156" w:type="dxa"/>
          <w:jc w:val="center"/>
          <w:tblInd w:w="0" w:type="dxa"/>
          <w:tblLayout w:type="fixed"/>
          <w:tblLook w:val="0000"/>
        </w:tblPrEx>
        <w:trPr>
          <w:trHeight w:val="352"/>
          <w:jc w:val="center"/>
        </w:trPr>
        <w:tc>
          <w:tcPr>
            <w:tcW w:w="2256" w:type="dxa"/>
            <w:tcBorders>
              <w:top w:val="nil"/>
              <w:left w:val="single" w:sz="4" w:space="0" w:color="auto"/>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K0+080～K0+130</w:t>
            </w:r>
          </w:p>
        </w:tc>
        <w:tc>
          <w:tcPr>
            <w:tcW w:w="892"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8.3</w:t>
            </w:r>
          </w:p>
        </w:tc>
        <w:tc>
          <w:tcPr>
            <w:tcW w:w="1221"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ZK14</w:t>
            </w:r>
          </w:p>
        </w:tc>
        <w:tc>
          <w:tcPr>
            <w:tcW w:w="1335" w:type="dxa"/>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130</w:t>
            </w:r>
          </w:p>
        </w:tc>
        <w:tc>
          <w:tcPr>
            <w:tcW w:w="936"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Ⅱ</w:t>
            </w:r>
          </w:p>
        </w:tc>
        <w:tc>
          <w:tcPr>
            <w:tcW w:w="1077"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0.35</w:t>
            </w:r>
          </w:p>
        </w:tc>
        <w:tc>
          <w:tcPr>
            <w:tcW w:w="2439" w:type="dxa"/>
            <w:tcBorders>
              <w:top w:val="nil"/>
              <w:left w:val="nil"/>
              <w:bottom w:val="single" w:sz="4" w:space="0" w:color="auto"/>
              <w:right w:val="single" w:sz="4" w:space="0" w:color="auto"/>
            </w:tcBorders>
            <w:noWrap/>
            <w:vAlign w:val="center"/>
          </w:tcPr>
          <w:p w:rsidR="00092985">
            <w:pPr>
              <w:jc w:val="center"/>
              <w:rPr>
                <w:rFonts w:ascii="仿宋" w:eastAsia="仿宋" w:hAnsi="仿宋" w:cs="仿宋" w:hint="eastAsia"/>
                <w:kern w:val="0"/>
                <w:sz w:val="24"/>
              </w:rPr>
            </w:pPr>
            <w:r>
              <w:rPr>
                <w:rFonts w:ascii="仿宋" w:eastAsia="仿宋" w:hAnsi="仿宋" w:cs="仿宋" w:hint="eastAsia"/>
                <w:kern w:val="0"/>
                <w:sz w:val="24"/>
              </w:rPr>
              <w:t>抗震一般地段</w:t>
            </w:r>
          </w:p>
        </w:tc>
      </w:tr>
      <w:tr>
        <w:tblPrEx>
          <w:tblW w:w="10156" w:type="dxa"/>
          <w:jc w:val="center"/>
          <w:tblInd w:w="0" w:type="dxa"/>
          <w:tblLayout w:type="fixed"/>
          <w:tblLook w:val="0000"/>
        </w:tblPrEx>
        <w:trPr>
          <w:trHeight w:val="385"/>
          <w:jc w:val="center"/>
        </w:trPr>
        <w:tc>
          <w:tcPr>
            <w:tcW w:w="2256" w:type="dxa"/>
            <w:tcBorders>
              <w:top w:val="nil"/>
              <w:left w:val="single" w:sz="4" w:space="0" w:color="auto"/>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K0+13～K0+209.241</w:t>
            </w:r>
          </w:p>
        </w:tc>
        <w:tc>
          <w:tcPr>
            <w:tcW w:w="892"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0</w:t>
            </w:r>
          </w:p>
        </w:tc>
        <w:tc>
          <w:tcPr>
            <w:tcW w:w="1221"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ZK17</w:t>
            </w:r>
          </w:p>
        </w:tc>
        <w:tc>
          <w:tcPr>
            <w:tcW w:w="1335" w:type="dxa"/>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＞500</w:t>
            </w:r>
          </w:p>
        </w:tc>
        <w:tc>
          <w:tcPr>
            <w:tcW w:w="936"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Ⅰ</w:t>
            </w:r>
            <w:r>
              <w:rPr>
                <w:rFonts w:ascii="仿宋" w:eastAsia="仿宋" w:hAnsi="仿宋" w:cs="仿宋" w:hint="eastAsia"/>
                <w:kern w:val="0"/>
                <w:sz w:val="24"/>
                <w:vertAlign w:val="subscript"/>
              </w:rPr>
              <w:t>1</w:t>
            </w:r>
          </w:p>
        </w:tc>
        <w:tc>
          <w:tcPr>
            <w:tcW w:w="1077" w:type="dxa"/>
            <w:tcBorders>
              <w:top w:val="nil"/>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0.25</w:t>
            </w:r>
          </w:p>
        </w:tc>
        <w:tc>
          <w:tcPr>
            <w:tcW w:w="2439" w:type="dxa"/>
            <w:tcBorders>
              <w:top w:val="nil"/>
              <w:left w:val="nil"/>
              <w:bottom w:val="single" w:sz="4" w:space="0" w:color="auto"/>
              <w:right w:val="single" w:sz="4" w:space="0" w:color="auto"/>
            </w:tcBorders>
            <w:noWrap/>
            <w:vAlign w:val="center"/>
          </w:tcPr>
          <w:p w:rsidR="00092985">
            <w:pPr>
              <w:jc w:val="center"/>
              <w:rPr>
                <w:rFonts w:ascii="仿宋" w:eastAsia="仿宋" w:hAnsi="仿宋" w:cs="仿宋" w:hint="eastAsia"/>
                <w:kern w:val="0"/>
                <w:sz w:val="24"/>
              </w:rPr>
            </w:pPr>
            <w:r>
              <w:rPr>
                <w:rFonts w:ascii="仿宋" w:eastAsia="仿宋" w:hAnsi="仿宋" w:cs="仿宋" w:hint="eastAsia"/>
                <w:kern w:val="0"/>
                <w:sz w:val="24"/>
              </w:rPr>
              <w:t>抗震有利地段</w:t>
            </w:r>
          </w:p>
        </w:tc>
      </w:tr>
    </w:tbl>
    <w:p w:rsidR="00092985">
      <w:pPr>
        <w:spacing w:line="360" w:lineRule="auto"/>
        <w:ind w:firstLine="560"/>
        <w:rPr>
          <w:rFonts w:ascii="仿宋" w:eastAsia="仿宋" w:hAnsi="仿宋" w:cs="仿宋" w:hint="eastAsia"/>
          <w:sz w:val="28"/>
          <w:szCs w:val="28"/>
        </w:rPr>
      </w:pPr>
      <w:bookmarkStart w:id="34" w:name="_Toc4652"/>
      <w:r>
        <w:rPr>
          <w:rFonts w:ascii="仿宋" w:eastAsia="仿宋" w:hAnsi="仿宋" w:cs="仿宋" w:hint="eastAsia"/>
          <w:sz w:val="28"/>
          <w:szCs w:val="28"/>
        </w:rPr>
        <w:t>（2）岩土地震稳定性评价</w:t>
      </w:r>
      <w:bookmarkEnd w:id="34"/>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据钻探揭示拟建场地存在素填土和粉质粘土。经查明场内地下水较贫乏，加之拟建场地抗震设防烈度为6度区，本勘察场地不存在砂土液化问题。</w:t>
      </w:r>
    </w:p>
    <w:p w:rsidR="00092985">
      <w:pPr>
        <w:pStyle w:val="Heading3"/>
        <w:numPr>
          <w:ilvl w:val="2"/>
          <w:numId w:val="7"/>
        </w:numPr>
        <w:spacing w:before="0" w:after="0" w:line="360" w:lineRule="auto"/>
        <w:ind w:hanging="69"/>
        <w:jc w:val="left"/>
        <w:rPr>
          <w:rFonts w:ascii="仿宋" w:eastAsia="仿宋" w:hAnsi="仿宋" w:cs="仿宋" w:hint="eastAsia"/>
          <w:sz w:val="28"/>
          <w:szCs w:val="28"/>
        </w:rPr>
      </w:pPr>
      <w:bookmarkStart w:id="35" w:name="_Toc13613"/>
      <w:bookmarkStart w:id="36" w:name="_Toc135999539"/>
      <w:r>
        <w:rPr>
          <w:rFonts w:ascii="仿宋" w:eastAsia="仿宋" w:hAnsi="仿宋" w:cs="仿宋" w:hint="eastAsia"/>
          <w:sz w:val="28"/>
          <w:szCs w:val="28"/>
        </w:rPr>
        <w:t>场地稳定性及适宜性评价</w:t>
      </w:r>
      <w:bookmarkEnd w:id="35"/>
      <w:bookmarkEnd w:id="36"/>
    </w:p>
    <w:p w:rsidR="00092985">
      <w:pPr>
        <w:spacing w:line="560" w:lineRule="exact"/>
        <w:ind w:firstLine="560" w:firstLineChars="200"/>
        <w:rPr>
          <w:rFonts w:ascii="仿宋" w:eastAsia="仿宋" w:hAnsi="仿宋" w:cs="仿宋" w:hint="eastAsia"/>
          <w:b/>
          <w:bCs/>
        </w:rPr>
      </w:pPr>
      <w:bookmarkStart w:id="37" w:name="_Hlk135317168"/>
      <w:r>
        <w:rPr>
          <w:rFonts w:ascii="仿宋" w:eastAsia="仿宋" w:hAnsi="仿宋" w:cs="仿宋" w:hint="eastAsia"/>
          <w:sz w:val="28"/>
          <w:szCs w:val="28"/>
        </w:rPr>
        <w:t>根据现场地质调查，</w:t>
      </w:r>
      <w:r>
        <w:rPr>
          <w:rFonts w:ascii="仿宋" w:eastAsia="仿宋" w:hAnsi="仿宋" w:cs="仿宋" w:hint="eastAsia"/>
          <w:sz w:val="28"/>
        </w:rPr>
        <w:t>拟建道路范围内未发现滑坡、崩塌及泥石流以及地下不利埋藏物等不良</w:t>
      </w:r>
      <w:r>
        <w:rPr>
          <w:rFonts w:ascii="仿宋" w:eastAsia="仿宋" w:hAnsi="仿宋" w:cs="仿宋" w:hint="eastAsia"/>
          <w:sz w:val="28"/>
          <w:szCs w:val="28"/>
        </w:rPr>
        <w:t>地质现象。本项目主要为挖方路堑，将形成最大高度约22m的岩质边坡，在经过合理的边坡放坡及支挡等工程措施有效治理后，场地才整体稳定，适宜进行工程建设</w:t>
      </w:r>
      <w:bookmarkEnd w:id="37"/>
      <w:r>
        <w:rPr>
          <w:rFonts w:ascii="仿宋" w:eastAsia="仿宋" w:hAnsi="仿宋" w:cs="仿宋" w:hint="eastAsia"/>
          <w:sz w:val="28"/>
          <w:szCs w:val="28"/>
        </w:rPr>
        <w:t>。</w:t>
      </w:r>
    </w:p>
    <w:p w:rsidR="00092985">
      <w:pPr>
        <w:pStyle w:val="Heading3"/>
        <w:numPr>
          <w:ilvl w:val="2"/>
          <w:numId w:val="7"/>
        </w:numPr>
        <w:spacing w:before="0" w:after="0" w:line="360" w:lineRule="auto"/>
        <w:ind w:hanging="69"/>
        <w:jc w:val="left"/>
        <w:rPr>
          <w:rFonts w:ascii="仿宋" w:eastAsia="仿宋" w:hAnsi="仿宋" w:cs="仿宋" w:hint="eastAsia"/>
          <w:sz w:val="28"/>
          <w:szCs w:val="28"/>
        </w:rPr>
      </w:pPr>
      <w:bookmarkStart w:id="38" w:name="_Toc28956"/>
      <w:r>
        <w:rPr>
          <w:rFonts w:ascii="仿宋" w:eastAsia="仿宋" w:hAnsi="仿宋" w:cs="仿宋" w:hint="eastAsia"/>
          <w:sz w:val="28"/>
          <w:szCs w:val="28"/>
        </w:rPr>
        <w:t>道路工程地质评价</w:t>
      </w:r>
      <w:bookmarkEnd w:id="38"/>
    </w:p>
    <w:p w:rsidR="00092985">
      <w:pPr>
        <w:spacing w:line="560" w:lineRule="exact"/>
        <w:ind w:firstLine="560" w:firstLineChars="200"/>
        <w:rPr>
          <w:rFonts w:ascii="仿宋" w:eastAsia="仿宋" w:hAnsi="仿宋" w:cs="仿宋" w:hint="eastAsia"/>
          <w:b/>
          <w:sz w:val="28"/>
          <w:szCs w:val="28"/>
        </w:rPr>
      </w:pPr>
      <w:r>
        <w:rPr>
          <w:rFonts w:ascii="仿宋" w:eastAsia="仿宋" w:hAnsi="仿宋" w:cs="仿宋" w:hint="eastAsia"/>
          <w:spacing w:val="4"/>
          <w:sz w:val="28"/>
          <w:szCs w:val="28"/>
        </w:rPr>
        <w:t>根据设计方案：拟建沙湾路为挖方路堑段。</w:t>
      </w:r>
    </w:p>
    <w:p w:rsidR="00092985">
      <w:pPr>
        <w:spacing w:line="360" w:lineRule="auto"/>
        <w:ind w:firstLine="560"/>
        <w:rPr>
          <w:rFonts w:ascii="仿宋" w:eastAsia="仿宋" w:hAnsi="仿宋" w:cs="仿宋" w:hint="eastAsia"/>
          <w:sz w:val="28"/>
          <w:szCs w:val="28"/>
        </w:rPr>
      </w:pPr>
      <w:bookmarkStart w:id="39" w:name="_Toc29832"/>
      <w:r>
        <w:rPr>
          <w:rFonts w:ascii="仿宋" w:eastAsia="仿宋" w:hAnsi="仿宋" w:cs="仿宋" w:hint="eastAsia"/>
          <w:sz w:val="28"/>
          <w:szCs w:val="28"/>
        </w:rPr>
        <w:t>1、K0+000～K0+025道路段（代表剖面6、7）</w:t>
      </w:r>
      <w:bookmarkEnd w:id="39"/>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该段道路沿线现状右高左低，根据设计方案：该段道路路面设计高程220～220.30m。为挖方道路段，左侧挖方高度较小，最大高度10m；右侧挖方高度较大，边坡高度12.0～22.0m。</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（1）左侧</w:t>
      </w:r>
      <w:r>
        <w:rPr>
          <w:rFonts w:ascii="仿宋" w:eastAsia="仿宋" w:hAnsi="仿宋" w:cs="仿宋" w:hint="eastAsia"/>
          <w:spacing w:val="4"/>
          <w:sz w:val="28"/>
          <w:szCs w:val="28"/>
        </w:rPr>
        <w:t>：根据设计方案：道路左侧形成最大高度为10m的土质边坡(代表性剖面7)，该段边坡坡向约195</w:t>
      </w:r>
      <w:r>
        <w:rPr>
          <w:rFonts w:ascii="仿宋" w:eastAsia="仿宋" w:hAnsi="仿宋" w:cs="仿宋" w:hint="eastAsia"/>
          <w:spacing w:val="4"/>
          <w:sz w:val="28"/>
          <w:szCs w:val="28"/>
        </w:rPr>
        <w:t>°</w:t>
      </w:r>
      <w:r>
        <w:rPr>
          <w:rFonts w:ascii="仿宋" w:eastAsia="仿宋" w:hAnsi="仿宋" w:cs="仿宋" w:hint="eastAsia"/>
          <w:spacing w:val="4"/>
          <w:sz w:val="28"/>
          <w:szCs w:val="28"/>
        </w:rPr>
        <w:t>，边坡安全等级为二</w:t>
      </w:r>
      <w:r>
        <w:rPr>
          <w:rFonts w:ascii="仿宋" w:eastAsia="仿宋" w:hAnsi="仿宋" w:cs="仿宋" w:hint="eastAsia"/>
          <w:b/>
          <w:spacing w:val="4"/>
          <w:sz w:val="28"/>
          <w:szCs w:val="28"/>
        </w:rPr>
        <w:t>级</w:t>
      </w:r>
      <w:r>
        <w:rPr>
          <w:rFonts w:ascii="仿宋" w:eastAsia="仿宋" w:hAnsi="仿宋" w:cs="仿宋" w:hint="eastAsia"/>
          <w:spacing w:val="4"/>
          <w:sz w:val="28"/>
          <w:szCs w:val="28"/>
        </w:rPr>
        <w:t>，安全系数取</w:t>
      </w:r>
      <w:r>
        <w:rPr>
          <w:rFonts w:ascii="仿宋" w:eastAsia="仿宋" w:hAnsi="仿宋" w:cs="仿宋" w:hint="eastAsia"/>
          <w:b/>
          <w:spacing w:val="4"/>
          <w:sz w:val="28"/>
          <w:szCs w:val="28"/>
        </w:rPr>
        <w:t>1.30</w:t>
      </w:r>
      <w:r>
        <w:rPr>
          <w:rFonts w:ascii="仿宋" w:eastAsia="仿宋" w:hAnsi="仿宋" w:cs="仿宋" w:hint="eastAsia"/>
          <w:spacing w:val="4"/>
          <w:sz w:val="28"/>
          <w:szCs w:val="28"/>
        </w:rPr>
        <w:t>。边坡主要为素填土及强风化岩层。</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边坡直立开挖或开挖坡率过陡可能出现沿土体内部的圆弧滑动破坏。</w:t>
      </w:r>
    </w:p>
    <w:p w:rsidR="00092985">
      <w:pPr>
        <w:spacing w:line="560" w:lineRule="exact"/>
        <w:ind w:firstLine="560" w:firstLineChars="200"/>
        <w:rPr>
          <w:rFonts w:ascii="仿宋" w:eastAsia="仿宋" w:hAnsi="仿宋" w:cs="仿宋" w:hint="eastAsia"/>
          <w:spacing w:val="4"/>
          <w:sz w:val="28"/>
          <w:szCs w:val="28"/>
        </w:rPr>
        <w:sectPr>
          <w:headerReference w:type="default" r:id="rId19"/>
          <w:footerReference w:type="default" r:id="rId20"/>
          <w:type w:val="nextPage"/>
          <w:pgSz w:w="23811" w:h="16838" w:orient="landscape"/>
          <w:pgMar w:top="1083" w:right="1440" w:bottom="1083" w:left="1440" w:header="850" w:footer="1417" w:gutter="680"/>
          <w:pgNumType w:start="6"/>
          <w:cols w:num="2" w:space="425" w:equalWidth="0">
            <w:col w:w="9913" w:space="425"/>
            <w:col w:w="9913" w:space="0"/>
          </w:cols>
          <w:titlePg w:val="0"/>
          <w:docGrid w:type="lines" w:linePitch="316"/>
        </w:sectPr>
      </w:pPr>
      <w:r>
        <w:rPr>
          <w:rFonts w:ascii="仿宋" w:eastAsia="仿宋" w:hAnsi="仿宋" w:cs="仿宋" w:hint="eastAsia"/>
          <w:b/>
          <w:spacing w:val="4"/>
          <w:sz w:val="28"/>
          <w:szCs w:val="28"/>
        </w:rPr>
        <w:t>边坡支挡措施建议：</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采用分阶放坡处理，每阶高度不宜超过8m，土层段坡率值不大于1:1.75，强风化段岩体坡率值取1:1.25；也可采用锚喷支护措施处理。边坡开挖即时清理坡面松动岩块，避面掉块或落石，并做好坡面、坡脚的排水措施和防冲刷措施。</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（2）右侧：</w:t>
      </w:r>
      <w:r>
        <w:rPr>
          <w:rFonts w:ascii="仿宋" w:eastAsia="仿宋" w:hAnsi="仿宋" w:cs="仿宋" w:hint="eastAsia"/>
          <w:spacing w:val="4"/>
          <w:sz w:val="28"/>
          <w:szCs w:val="28"/>
        </w:rPr>
        <w:t>根据设计方案：道路右侧形成最大高度为22m的岩质边坡(代表性剖面6)， 该段边坡坡向280</w:t>
      </w:r>
      <w:r>
        <w:rPr>
          <w:rFonts w:ascii="仿宋" w:eastAsia="仿宋" w:hAnsi="仿宋" w:cs="仿宋" w:hint="eastAsia"/>
          <w:spacing w:val="4"/>
          <w:sz w:val="28"/>
          <w:szCs w:val="28"/>
        </w:rPr>
        <w:t>°</w:t>
      </w:r>
      <w:r>
        <w:rPr>
          <w:rFonts w:ascii="仿宋" w:eastAsia="仿宋" w:hAnsi="仿宋" w:cs="仿宋" w:hint="eastAsia"/>
          <w:spacing w:val="4"/>
          <w:sz w:val="28"/>
          <w:szCs w:val="28"/>
        </w:rPr>
        <w:t>，边坡安全等级为二</w:t>
      </w:r>
      <w:r>
        <w:rPr>
          <w:rFonts w:ascii="仿宋" w:eastAsia="仿宋" w:hAnsi="仿宋" w:cs="仿宋" w:hint="eastAsia"/>
          <w:b/>
          <w:spacing w:val="4"/>
          <w:sz w:val="28"/>
          <w:szCs w:val="28"/>
        </w:rPr>
        <w:t>级</w:t>
      </w:r>
      <w:r>
        <w:rPr>
          <w:rFonts w:ascii="仿宋" w:eastAsia="仿宋" w:hAnsi="仿宋" w:cs="仿宋" w:hint="eastAsia"/>
          <w:spacing w:val="4"/>
          <w:sz w:val="28"/>
          <w:szCs w:val="28"/>
        </w:rPr>
        <w:t>，安全系数取</w:t>
      </w:r>
      <w:r>
        <w:rPr>
          <w:rFonts w:ascii="仿宋" w:eastAsia="仿宋" w:hAnsi="仿宋" w:cs="仿宋" w:hint="eastAsia"/>
          <w:b/>
          <w:spacing w:val="4"/>
          <w:sz w:val="28"/>
          <w:szCs w:val="28"/>
        </w:rPr>
        <w:t>1.30</w:t>
      </w:r>
      <w:r>
        <w:rPr>
          <w:rFonts w:ascii="仿宋" w:eastAsia="仿宋" w:hAnsi="仿宋" w:cs="仿宋" w:hint="eastAsia"/>
          <w:spacing w:val="4"/>
          <w:sz w:val="28"/>
          <w:szCs w:val="28"/>
        </w:rPr>
        <w:t>。边坡岩性为泥岩和砂岩。</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据赤平投影图分析可知，边坡为切向坡；</w:t>
      </w:r>
      <w:bookmarkStart w:id="40" w:name="_Hlk135296475"/>
      <w:r>
        <w:rPr>
          <w:rFonts w:ascii="仿宋" w:eastAsia="仿宋" w:hAnsi="仿宋" w:cs="仿宋" w:hint="eastAsia"/>
          <w:spacing w:val="4"/>
          <w:sz w:val="28"/>
          <w:szCs w:val="28"/>
        </w:rPr>
        <w:t>LX2与边坡呈大角度相交，对边坡稳定影响较小</w:t>
      </w:r>
      <w:bookmarkEnd w:id="40"/>
      <w:r>
        <w:rPr>
          <w:rFonts w:ascii="仿宋" w:eastAsia="仿宋" w:hAnsi="仿宋" w:cs="仿宋" w:hint="eastAsia"/>
          <w:spacing w:val="4"/>
          <w:sz w:val="28"/>
          <w:szCs w:val="28"/>
        </w:rPr>
        <w:t>；</w:t>
      </w:r>
      <w:bookmarkStart w:id="41" w:name="_Hlk135234584"/>
      <w:r>
        <w:rPr>
          <w:rFonts w:ascii="仿宋" w:eastAsia="仿宋" w:hAnsi="仿宋" w:cs="仿宋" w:hint="eastAsia"/>
          <w:spacing w:val="4"/>
          <w:sz w:val="28"/>
          <w:szCs w:val="28"/>
        </w:rPr>
        <w:t>LX1与边坡小角度相交，为外倾结构面</w:t>
      </w:r>
      <w:bookmarkEnd w:id="41"/>
      <w:r>
        <w:rPr>
          <w:rFonts w:ascii="仿宋" w:eastAsia="仿宋" w:hAnsi="仿宋" w:cs="仿宋" w:hint="eastAsia"/>
          <w:spacing w:val="4"/>
          <w:sz w:val="28"/>
          <w:szCs w:val="28"/>
        </w:rPr>
        <w:t>，</w:t>
      </w:r>
      <w:bookmarkStart w:id="42" w:name="_Hlk135234541"/>
      <w:r>
        <w:rPr>
          <w:rFonts w:ascii="仿宋" w:eastAsia="仿宋" w:hAnsi="仿宋" w:cs="仿宋" w:hint="eastAsia"/>
          <w:spacing w:val="4"/>
          <w:sz w:val="28"/>
          <w:szCs w:val="28"/>
        </w:rPr>
        <w:t>对边坡稳定影响较</w:t>
      </w:r>
      <w:bookmarkEnd w:id="42"/>
      <w:r>
        <w:rPr>
          <w:rFonts w:ascii="仿宋" w:eastAsia="仿宋" w:hAnsi="仿宋" w:cs="仿宋" w:hint="eastAsia"/>
          <w:spacing w:val="4"/>
          <w:sz w:val="28"/>
          <w:szCs w:val="28"/>
        </w:rPr>
        <w:t>大；直立开挖后，边坡的稳定性主要受LX1外倾结构面控制。直立开挖后可能产生沿LX1外倾结构面滑动。取典型剖面6进行计算如下：</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29"/>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720"/>
        </w:trPr>
        <w:tc>
          <w:tcPr>
            <w:tcW w:w="5000" w:type="pct"/>
          </w:tcPr>
          <w:p w:rsidR="00092985">
            <w:pPr>
              <w:tabs>
                <w:tab w:val="left" w:leader="middleDot" w:pos="8222"/>
              </w:tabs>
              <w:snapToGrid w:val="0"/>
              <w:spacing w:line="360" w:lineRule="auto"/>
              <w:jc w:val="center"/>
              <w:rPr>
                <w:rFonts w:ascii="仿宋" w:eastAsia="仿宋" w:hAnsi="仿宋" w:cs="仿宋" w:hint="eastAsia"/>
                <w:b/>
                <w:sz w:val="24"/>
              </w:rPr>
            </w:pPr>
            <w:r>
              <w:rPr>
                <w:rFonts w:ascii="仿宋" w:eastAsia="仿宋" w:hAnsi="仿宋" w:cs="仿宋"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25" o:spid="_x0000_i1025" type="#_x0000_t75" style="width:344.94pt;height:225.29pt;mso-position-horizontal-relative:page;mso-position-vertical-relative:page" o:preferrelative="t" filled="f" stroked="f">
                  <v:fill o:detectmouseclick="t"/>
                  <v:imagedata r:id="rId21" o:title=""/>
                  <v:path o:extrusionok="f"/>
                  <o:lock v:ext="edit" aspectratio="t"/>
                </v:shape>
              </w:pict>
            </w:r>
          </w:p>
        </w:tc>
      </w:tr>
      <w:tr>
        <w:tblPrEx>
          <w:tblW w:w="5000" w:type="pct"/>
          <w:tblInd w:w="113" w:type="dxa"/>
          <w:tblLayout w:type="fixed"/>
          <w:tblLook w:val="0000"/>
        </w:tblPrEx>
        <w:trPr>
          <w:trHeight w:val="259"/>
        </w:trPr>
        <w:tc>
          <w:tcPr>
            <w:tcW w:w="5000" w:type="pct"/>
          </w:tcPr>
          <w:p w:rsidR="00092985">
            <w:pPr>
              <w:jc w:val="center"/>
              <w:rPr>
                <w:rFonts w:ascii="仿宋" w:eastAsia="仿宋" w:hAnsi="仿宋" w:cs="仿宋" w:hint="eastAsia"/>
                <w:b/>
                <w:sz w:val="24"/>
              </w:rPr>
            </w:pPr>
            <w:r>
              <w:rPr>
                <w:rFonts w:ascii="仿宋" w:eastAsia="仿宋" w:hAnsi="仿宋" w:cs="仿宋" w:hint="eastAsia"/>
                <w:sz w:val="28"/>
                <w:szCs w:val="28"/>
              </w:rPr>
              <w:t>道路右侧边坡沿LX1滑动计算(代表剖面6-6</w:t>
            </w:r>
            <w:r>
              <w:rPr>
                <w:rFonts w:ascii="仿宋" w:eastAsia="仿宋" w:hAnsi="仿宋" w:cs="仿宋" w:hint="eastAsia"/>
                <w:sz w:val="28"/>
                <w:szCs w:val="28"/>
              </w:rPr>
              <w:t>’</w:t>
            </w:r>
            <w:r>
              <w:rPr>
                <w:rFonts w:ascii="仿宋" w:eastAsia="仿宋" w:hAnsi="仿宋" w:cs="仿宋" w:hint="eastAsia"/>
                <w:sz w:val="28"/>
                <w:szCs w:val="28"/>
              </w:rPr>
              <w:t>)</w:t>
            </w:r>
          </w:p>
        </w:tc>
      </w:tr>
    </w:tbl>
    <w:p w:rsidR="00092985">
      <w:pPr>
        <w:spacing w:before="158" w:beforeLines="50"/>
        <w:ind w:firstLine="574" w:firstLineChars="205"/>
        <w:jc w:val="center"/>
        <w:rPr>
          <w:rFonts w:ascii="仿宋" w:eastAsia="仿宋" w:hAnsi="仿宋" w:cs="仿宋" w:hint="eastAsia"/>
          <w:sz w:val="28"/>
          <w:szCs w:val="28"/>
        </w:rPr>
      </w:pPr>
      <w:r>
        <w:rPr>
          <w:rFonts w:ascii="仿宋" w:eastAsia="仿宋" w:hAnsi="仿宋" w:cs="仿宋" w:hint="eastAsia"/>
          <w:sz w:val="28"/>
          <w:szCs w:val="28"/>
        </w:rPr>
        <w:t>6-6</w:t>
      </w:r>
      <w:r>
        <w:rPr>
          <w:rFonts w:ascii="仿宋" w:eastAsia="仿宋" w:hAnsi="仿宋" w:cs="仿宋" w:hint="eastAsia"/>
          <w:sz w:val="28"/>
          <w:szCs w:val="28"/>
        </w:rPr>
        <w:t>’</w:t>
      </w:r>
      <w:r>
        <w:rPr>
          <w:rFonts w:ascii="仿宋" w:eastAsia="仿宋" w:hAnsi="仿宋" w:cs="仿宋" w:hint="eastAsia"/>
          <w:sz w:val="28"/>
          <w:szCs w:val="28"/>
        </w:rPr>
        <w:t>剖面沿LX1滑动破坏稳定性计算表</w:t>
      </w:r>
    </w:p>
    <w:tbl>
      <w:tblPr>
        <w:tblStyle w:val="TableNormal"/>
        <w:tblW w:w="5000" w:type="pct"/>
        <w:tblInd w:w="0" w:type="dxa"/>
        <w:tblLook w:val="0000"/>
      </w:tblPr>
      <w:tblGrid>
        <w:gridCol w:w="881"/>
        <w:gridCol w:w="936"/>
        <w:gridCol w:w="1118"/>
        <w:gridCol w:w="1056"/>
        <w:gridCol w:w="869"/>
        <w:gridCol w:w="709"/>
        <w:gridCol w:w="1056"/>
        <w:gridCol w:w="696"/>
        <w:gridCol w:w="1056"/>
        <w:gridCol w:w="1056"/>
        <w:gridCol w:w="696"/>
      </w:tblGrid>
      <w:tr>
        <w:tblPrEx>
          <w:tblW w:w="5000" w:type="pct"/>
          <w:tblInd w:w="0" w:type="dxa"/>
          <w:tblLook w:val="0000"/>
        </w:tblPrEx>
        <w:trPr>
          <w:trHeight w:val="163"/>
        </w:trPr>
        <w:tc>
          <w:tcPr>
            <w:tcW w:w="5000" w:type="pct"/>
            <w:gridSpan w:val="11"/>
            <w:tcBorders>
              <w:top w:val="single" w:sz="4" w:space="0" w:color="auto"/>
              <w:left w:val="single" w:sz="4" w:space="0" w:color="auto"/>
              <w:bottom w:val="single" w:sz="4" w:space="0" w:color="auto"/>
              <w:right w:val="single" w:sz="4" w:space="0" w:color="auto"/>
            </w:tcBorders>
            <w:noWrap/>
            <w:vAlign w:val="center"/>
          </w:tcPr>
          <w:p w:rsidR="00092985">
            <w:pPr>
              <w:jc w:val="center"/>
              <w:rPr>
                <w:rFonts w:ascii="仿宋" w:eastAsia="仿宋" w:hAnsi="仿宋" w:cs="仿宋" w:hint="eastAsia"/>
                <w:kern w:val="0"/>
                <w:sz w:val="24"/>
              </w:rPr>
            </w:pPr>
            <w:r>
              <w:rPr>
                <w:rFonts w:ascii="仿宋" w:eastAsia="仿宋" w:hAnsi="仿宋" w:cs="仿宋" w:hint="eastAsia"/>
                <w:kern w:val="0"/>
                <w:sz w:val="24"/>
              </w:rPr>
              <w:t>平面滑动面边坡稳定性系数(Fs)计算（边坡规范[A.0.2]式）</w:t>
            </w:r>
          </w:p>
        </w:tc>
      </w:tr>
      <w:tr>
        <w:tblPrEx>
          <w:tblW w:w="5000" w:type="pct"/>
          <w:tblInd w:w="0" w:type="dxa"/>
          <w:tblLook w:val="0000"/>
        </w:tblPrEx>
        <w:trPr>
          <w:trHeight w:val="279"/>
        </w:trPr>
        <w:tc>
          <w:tcPr>
            <w:tcW w:w="510" w:type="pct"/>
            <w:tcBorders>
              <w:top w:val="nil"/>
              <w:left w:val="single" w:sz="4" w:space="0" w:color="auto"/>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编号</w:t>
            </w:r>
          </w:p>
        </w:tc>
        <w:tc>
          <w:tcPr>
            <w:tcW w:w="508"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A (m2)</w:t>
            </w:r>
          </w:p>
        </w:tc>
        <w:tc>
          <w:tcPr>
            <w:tcW w:w="653"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(kN/m3)</w:t>
            </w:r>
          </w:p>
        </w:tc>
        <w:tc>
          <w:tcPr>
            <w:tcW w:w="507"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G(kN/m)</w:t>
            </w:r>
          </w:p>
        </w:tc>
        <w:tc>
          <w:tcPr>
            <w:tcW w:w="504"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θ</w:t>
            </w:r>
            <w:r>
              <w:rPr>
                <w:rFonts w:ascii="仿宋" w:eastAsia="仿宋" w:hAnsi="仿宋" w:cs="仿宋" w:hint="eastAsia"/>
                <w:kern w:val="0"/>
                <w:sz w:val="24"/>
              </w:rPr>
              <w:t>(。)</w:t>
            </w:r>
          </w:p>
        </w:tc>
        <w:tc>
          <w:tcPr>
            <w:tcW w:w="425"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L(m)</w:t>
            </w:r>
          </w:p>
        </w:tc>
        <w:tc>
          <w:tcPr>
            <w:tcW w:w="381"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cs(kPa)</w:t>
            </w:r>
          </w:p>
        </w:tc>
        <w:tc>
          <w:tcPr>
            <w:tcW w:w="291"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w:t>
            </w:r>
          </w:p>
        </w:tc>
        <w:tc>
          <w:tcPr>
            <w:tcW w:w="508"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R(kN/m)</w:t>
            </w:r>
          </w:p>
        </w:tc>
        <w:tc>
          <w:tcPr>
            <w:tcW w:w="581"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T(kN/m)</w:t>
            </w:r>
          </w:p>
        </w:tc>
        <w:tc>
          <w:tcPr>
            <w:tcW w:w="127" w:type="pct"/>
            <w:tcBorders>
              <w:top w:val="nil"/>
              <w:left w:val="nil"/>
              <w:bottom w:val="single" w:sz="4" w:space="0" w:color="auto"/>
              <w:right w:val="single" w:sz="4" w:space="0" w:color="auto"/>
            </w:tcBorders>
            <w:vAlign w:val="center"/>
          </w:tcPr>
          <w:p w:rsidR="00092985">
            <w:pPr>
              <w:rPr>
                <w:rFonts w:ascii="仿宋" w:eastAsia="仿宋" w:hAnsi="仿宋" w:cs="仿宋" w:hint="eastAsia"/>
                <w:kern w:val="0"/>
                <w:sz w:val="24"/>
              </w:rPr>
            </w:pPr>
            <w:r>
              <w:rPr>
                <w:rFonts w:ascii="仿宋" w:eastAsia="仿宋" w:hAnsi="仿宋" w:cs="仿宋" w:hint="eastAsia"/>
                <w:kern w:val="0"/>
                <w:sz w:val="24"/>
              </w:rPr>
              <w:t>Fs</w:t>
            </w:r>
          </w:p>
        </w:tc>
      </w:tr>
      <w:tr>
        <w:tblPrEx>
          <w:tblW w:w="5000" w:type="pct"/>
          <w:tblInd w:w="0" w:type="dxa"/>
          <w:tblLook w:val="0000"/>
        </w:tblPrEx>
        <w:trPr>
          <w:trHeight w:val="142"/>
        </w:trPr>
        <w:tc>
          <w:tcPr>
            <w:tcW w:w="510" w:type="pct"/>
            <w:tcBorders>
              <w:top w:val="single" w:sz="4" w:space="0" w:color="auto"/>
              <w:left w:val="single" w:sz="4" w:space="0" w:color="auto"/>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6-6</w:t>
            </w:r>
          </w:p>
        </w:tc>
        <w:tc>
          <w:tcPr>
            <w:tcW w:w="508"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130.48</w:t>
            </w:r>
          </w:p>
        </w:tc>
        <w:tc>
          <w:tcPr>
            <w:tcW w:w="653"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25.1</w:t>
            </w:r>
          </w:p>
        </w:tc>
        <w:tc>
          <w:tcPr>
            <w:tcW w:w="507"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3275.48</w:t>
            </w:r>
          </w:p>
        </w:tc>
        <w:tc>
          <w:tcPr>
            <w:tcW w:w="504"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65</w:t>
            </w:r>
          </w:p>
        </w:tc>
        <w:tc>
          <w:tcPr>
            <w:tcW w:w="425"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26.9</w:t>
            </w:r>
          </w:p>
        </w:tc>
        <w:tc>
          <w:tcPr>
            <w:tcW w:w="381"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50</w:t>
            </w:r>
          </w:p>
        </w:tc>
        <w:tc>
          <w:tcPr>
            <w:tcW w:w="291"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18</w:t>
            </w:r>
          </w:p>
        </w:tc>
        <w:tc>
          <w:tcPr>
            <w:tcW w:w="508"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 xml:space="preserve">1794.72 </w:t>
            </w:r>
          </w:p>
        </w:tc>
        <w:tc>
          <w:tcPr>
            <w:tcW w:w="581"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 xml:space="preserve">2968.20 </w:t>
            </w:r>
          </w:p>
        </w:tc>
        <w:tc>
          <w:tcPr>
            <w:tcW w:w="127" w:type="pct"/>
            <w:tcBorders>
              <w:top w:val="single" w:sz="4" w:space="0" w:color="auto"/>
              <w:left w:val="nil"/>
              <w:bottom w:val="single" w:sz="4" w:space="0" w:color="auto"/>
              <w:right w:val="single" w:sz="4" w:space="0" w:color="auto"/>
            </w:tcBorders>
            <w:noWrap/>
            <w:vAlign w:val="center"/>
          </w:tcPr>
          <w:p w:rsidR="00092985">
            <w:pPr>
              <w:rPr>
                <w:rFonts w:ascii="仿宋" w:eastAsia="仿宋" w:hAnsi="仿宋" w:cs="仿宋" w:hint="eastAsia"/>
                <w:kern w:val="0"/>
                <w:sz w:val="24"/>
              </w:rPr>
            </w:pPr>
            <w:r>
              <w:rPr>
                <w:rFonts w:ascii="仿宋" w:eastAsia="仿宋" w:hAnsi="仿宋" w:cs="仿宋" w:hint="eastAsia"/>
                <w:kern w:val="0"/>
                <w:sz w:val="24"/>
              </w:rPr>
              <w:t>0.60</w:t>
            </w:r>
          </w:p>
        </w:tc>
      </w:tr>
    </w:tbl>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由表可知：边坡直立切坡后，边坡整体沿LX2滑动破坏的稳定性系数Fs=0.6，边坡整体将沿LX1滑动。</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z w:val="28"/>
        </w:rPr>
        <w:t>强风化段岩体类型为</w:t>
      </w:r>
      <w:r>
        <w:rPr>
          <w:rFonts w:ascii="仿宋" w:eastAsia="仿宋" w:hAnsi="仿宋" w:cs="仿宋" w:hint="eastAsia"/>
          <w:sz w:val="28"/>
        </w:rPr>
        <w:t>Ⅳ</w:t>
      </w:r>
      <w:r>
        <w:rPr>
          <w:rFonts w:ascii="仿宋" w:eastAsia="仿宋" w:hAnsi="仿宋" w:cs="仿宋" w:hint="eastAsia"/>
          <w:sz w:val="28"/>
        </w:rPr>
        <w:t>类，边坡破裂角取48</w:t>
      </w:r>
      <w:r>
        <w:rPr>
          <w:rFonts w:ascii="仿宋" w:eastAsia="仿宋" w:hAnsi="仿宋" w:cs="仿宋" w:hint="eastAsia"/>
          <w:sz w:val="28"/>
        </w:rPr>
        <w:t>°</w:t>
      </w:r>
      <w:r>
        <w:rPr>
          <w:rFonts w:ascii="仿宋" w:eastAsia="仿宋" w:hAnsi="仿宋" w:cs="仿宋" w:hint="eastAsia"/>
          <w:sz w:val="28"/>
        </w:rPr>
        <w:t>，岩体等效内摩擦角50</w:t>
      </w:r>
      <w:r>
        <w:rPr>
          <w:rFonts w:ascii="仿宋" w:eastAsia="仿宋" w:hAnsi="仿宋" w:cs="仿宋" w:hint="eastAsia"/>
          <w:sz w:val="28"/>
        </w:rPr>
        <w:t>°</w:t>
      </w:r>
      <w:r>
        <w:rPr>
          <w:rFonts w:ascii="仿宋" w:eastAsia="仿宋" w:hAnsi="仿宋" w:cs="仿宋" w:hint="eastAsia"/>
          <w:sz w:val="28"/>
        </w:rPr>
        <w:t>；中风化段岩体类型为</w:t>
      </w:r>
      <w:r>
        <w:rPr>
          <w:rFonts w:ascii="仿宋" w:eastAsia="仿宋" w:hAnsi="仿宋" w:cs="仿宋" w:hint="eastAsia"/>
          <w:sz w:val="28"/>
        </w:rPr>
        <w:t>Ⅲ</w:t>
      </w:r>
      <w:r>
        <w:rPr>
          <w:rFonts w:ascii="仿宋" w:eastAsia="仿宋" w:hAnsi="仿宋" w:cs="仿宋" w:hint="eastAsia"/>
          <w:sz w:val="28"/>
        </w:rPr>
        <w:t>类，边坡破裂角取45+</w:t>
      </w:r>
      <w:r>
        <w:rPr>
          <w:rFonts w:ascii="仿宋" w:eastAsia="仿宋" w:hAnsi="仿宋" w:cs="仿宋" w:hint="eastAsia"/>
          <w:i/>
          <w:sz w:val="28"/>
        </w:rPr>
        <w:t>φ</w:t>
      </w:r>
      <w:r>
        <w:rPr>
          <w:rFonts w:ascii="仿宋" w:eastAsia="仿宋" w:hAnsi="仿宋" w:cs="仿宋" w:hint="eastAsia"/>
          <w:sz w:val="28"/>
        </w:rPr>
        <w:t>/2与外倾结构面之间的较小值，即取60</w:t>
      </w:r>
      <w:r>
        <w:rPr>
          <w:rFonts w:ascii="仿宋" w:eastAsia="仿宋" w:hAnsi="仿宋" w:cs="仿宋" w:hint="eastAsia"/>
          <w:sz w:val="28"/>
        </w:rPr>
        <w:t>°</w:t>
      </w:r>
      <w:r>
        <w:rPr>
          <w:rFonts w:ascii="仿宋" w:eastAsia="仿宋" w:hAnsi="仿宋" w:cs="仿宋" w:hint="eastAsia"/>
          <w:sz w:val="28"/>
        </w:rPr>
        <w:t>；岩体等效内摩擦角55</w:t>
      </w:r>
      <w:r>
        <w:rPr>
          <w:rFonts w:ascii="仿宋" w:eastAsia="仿宋" w:hAnsi="仿宋" w:cs="仿宋" w:hint="eastAsia"/>
          <w:sz w:val="28"/>
        </w:rPr>
        <w:t>°</w:t>
      </w:r>
      <w:r>
        <w:rPr>
          <w:rFonts w:ascii="仿宋" w:eastAsia="仿宋" w:hAnsi="仿宋" w:cs="仿宋" w:hint="eastAsia"/>
          <w:spacing w:val="4"/>
          <w:sz w:val="28"/>
          <w:szCs w:val="28"/>
        </w:rPr>
        <w:t>。</w:t>
      </w:r>
    </w:p>
    <w:p w:rsidR="00092985">
      <w:pPr>
        <w:ind w:firstLine="560"/>
        <w:jc w:val="center"/>
        <w:rPr>
          <w:rFonts w:ascii="仿宋" w:eastAsia="仿宋" w:hAnsi="仿宋" w:cs="仿宋" w:hint="eastAsia"/>
          <w:spacing w:val="4"/>
          <w:sz w:val="28"/>
          <w:szCs w:val="28"/>
        </w:rPr>
      </w:pPr>
      <w:r>
        <w:rPr>
          <w:rFonts w:ascii="仿宋" w:eastAsia="仿宋" w:hAnsi="仿宋" w:cs="仿宋" w:hint="eastAsia"/>
        </w:rPr>
        <w:pict>
          <v:shape id="图片 226" o:spid="_x0000_i1026" type="#_x0000_t75" style="width:362.8pt;height:198.41pt;mso-position-horizontal-relative:page;mso-position-vertical-relative:page" filled="f" stroked="f">
            <v:imagedata r:id="rId22" o:title=""/>
            <v:path o:extrusionok="f"/>
            <o:lock v:ext="edit" aspectratio="t"/>
          </v:shape>
        </w:pict>
      </w:r>
    </w:p>
    <w:p w:rsidR="00092985">
      <w:pPr>
        <w:spacing w:after="158" w:afterLines="50"/>
        <w:jc w:val="center"/>
        <w:rPr>
          <w:rFonts w:ascii="仿宋" w:eastAsia="仿宋" w:hAnsi="仿宋" w:cs="仿宋" w:hint="eastAsia"/>
          <w:kern w:val="28"/>
          <w:sz w:val="28"/>
          <w:szCs w:val="28"/>
          <w:lang w:val="en-GB"/>
        </w:rPr>
      </w:pPr>
      <w:r>
        <w:rPr>
          <w:rFonts w:ascii="仿宋" w:eastAsia="仿宋" w:hAnsi="仿宋" w:cs="仿宋" w:hint="eastAsia"/>
          <w:kern w:val="28"/>
          <w:sz w:val="28"/>
          <w:szCs w:val="28"/>
          <w:lang w:val="en-GB"/>
        </w:rPr>
        <w:t>道路右侧边坡赤平投影图</w:t>
      </w:r>
    </w:p>
    <w:p w:rsidR="00092985">
      <w:pPr>
        <w:spacing w:line="560" w:lineRule="exact"/>
        <w:ind w:firstLine="560" w:firstLineChars="200"/>
        <w:rPr>
          <w:rFonts w:ascii="仿宋" w:eastAsia="仿宋" w:hAnsi="仿宋" w:cs="仿宋" w:hint="eastAsia"/>
          <w:kern w:val="28"/>
          <w:sz w:val="28"/>
          <w:szCs w:val="28"/>
        </w:rPr>
      </w:pPr>
      <w:bookmarkStart w:id="43" w:name="_Hlk135295891"/>
      <w:r>
        <w:rPr>
          <w:rFonts w:ascii="仿宋" w:eastAsia="仿宋" w:hAnsi="仿宋" w:cs="仿宋" w:hint="eastAsia"/>
          <w:b/>
          <w:spacing w:val="4"/>
          <w:sz w:val="28"/>
          <w:szCs w:val="28"/>
        </w:rPr>
        <w:t>支挡措施建议</w:t>
      </w:r>
      <w:bookmarkEnd w:id="43"/>
      <w:r>
        <w:rPr>
          <w:rFonts w:ascii="仿宋" w:eastAsia="仿宋" w:hAnsi="仿宋" w:cs="仿宋" w:hint="eastAsia"/>
          <w:b/>
          <w:spacing w:val="4"/>
          <w:sz w:val="28"/>
          <w:szCs w:val="28"/>
        </w:rPr>
        <w:t>：</w:t>
      </w:r>
      <w:r>
        <w:rPr>
          <w:rFonts w:ascii="仿宋" w:eastAsia="仿宋" w:hAnsi="仿宋" w:cs="仿宋" w:hint="eastAsia"/>
          <w:bCs/>
          <w:sz w:val="28"/>
          <w:szCs w:val="28"/>
        </w:rPr>
        <w:t>边坡后放坡条件较好，建议</w:t>
      </w:r>
      <w:r>
        <w:rPr>
          <w:rFonts w:ascii="仿宋" w:eastAsia="仿宋" w:hAnsi="仿宋" w:cs="仿宋" w:hint="eastAsia"/>
          <w:sz w:val="28"/>
        </w:rPr>
        <w:t>采用分阶放坡处理，每阶高度不宜超过8m，强风化段岩体坡率值取1:1.25，中风化岩体放坡</w:t>
      </w:r>
      <w:r>
        <w:rPr>
          <w:rFonts w:ascii="仿宋" w:eastAsia="仿宋" w:hAnsi="仿宋" w:cs="仿宋" w:hint="eastAsia"/>
          <w:bCs/>
          <w:sz w:val="28"/>
          <w:szCs w:val="28"/>
        </w:rPr>
        <w:t>坡率取破裂角60</w:t>
      </w:r>
      <w:r>
        <w:rPr>
          <w:rFonts w:ascii="仿宋" w:eastAsia="仿宋" w:hAnsi="仿宋" w:cs="仿宋" w:hint="eastAsia"/>
          <w:bCs/>
          <w:sz w:val="28"/>
          <w:szCs w:val="28"/>
        </w:rPr>
        <w:t>°</w:t>
      </w:r>
      <w:r>
        <w:rPr>
          <w:rFonts w:ascii="仿宋" w:eastAsia="仿宋" w:hAnsi="仿宋" w:cs="仿宋" w:hint="eastAsia"/>
          <w:bCs/>
          <w:sz w:val="28"/>
          <w:szCs w:val="28"/>
        </w:rPr>
        <w:t>，坡面</w:t>
      </w:r>
      <w:r>
        <w:rPr>
          <w:rFonts w:ascii="仿宋" w:eastAsia="仿宋" w:hAnsi="仿宋" w:cs="仿宋" w:hint="eastAsia"/>
          <w:sz w:val="28"/>
        </w:rPr>
        <w:t>采用防风化措施。边坡开挖即时清理坡面松动岩块，避面掉块或落石，并做好坡面、坡脚的排水措施和防冲刷措施</w:t>
      </w:r>
      <w:r>
        <w:rPr>
          <w:rFonts w:ascii="仿宋" w:eastAsia="仿宋" w:hAnsi="仿宋" w:cs="仿宋" w:hint="eastAsia"/>
          <w:kern w:val="28"/>
          <w:sz w:val="28"/>
          <w:szCs w:val="28"/>
        </w:rPr>
        <w:t>。</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路基建议</w:t>
      </w:r>
      <w:r>
        <w:rPr>
          <w:rFonts w:ascii="仿宋" w:eastAsia="仿宋" w:hAnsi="仿宋" w:cs="仿宋" w:hint="eastAsia"/>
          <w:spacing w:val="4"/>
          <w:sz w:val="28"/>
          <w:szCs w:val="28"/>
        </w:rPr>
        <w:t>：可以基岩作为道路基础持力层。</w:t>
      </w:r>
    </w:p>
    <w:p w:rsidR="00092985">
      <w:pPr>
        <w:spacing w:line="360" w:lineRule="auto"/>
        <w:ind w:firstLine="560"/>
        <w:rPr>
          <w:rFonts w:ascii="仿宋" w:eastAsia="仿宋" w:hAnsi="仿宋" w:cs="仿宋" w:hint="eastAsia"/>
          <w:sz w:val="28"/>
          <w:szCs w:val="28"/>
        </w:rPr>
      </w:pPr>
      <w:bookmarkStart w:id="44" w:name="_Toc12898"/>
      <w:r>
        <w:rPr>
          <w:rFonts w:ascii="仿宋" w:eastAsia="仿宋" w:hAnsi="仿宋" w:cs="仿宋" w:hint="eastAsia"/>
          <w:sz w:val="28"/>
          <w:szCs w:val="28"/>
        </w:rPr>
        <w:t>2、K0+025～K0+060道路段（代表剖面1）</w:t>
      </w:r>
      <w:bookmarkEnd w:id="44"/>
    </w:p>
    <w:p w:rsidR="00092985">
      <w:pPr>
        <w:spacing w:line="560" w:lineRule="exact"/>
        <w:ind w:firstLine="576"/>
        <w:rPr>
          <w:rFonts w:ascii="仿宋" w:eastAsia="仿宋" w:hAnsi="仿宋" w:cs="仿宋" w:hint="eastAsia"/>
          <w:spacing w:val="4"/>
          <w:sz w:val="28"/>
          <w:szCs w:val="28"/>
        </w:rPr>
      </w:pPr>
      <w:r>
        <w:rPr>
          <w:rFonts w:ascii="仿宋" w:eastAsia="仿宋" w:hAnsi="仿宋" w:cs="仿宋" w:hint="eastAsia"/>
          <w:spacing w:val="4"/>
          <w:sz w:val="28"/>
          <w:szCs w:val="28"/>
        </w:rPr>
        <w:t>该段道路沿线现状右高左低，根据设计方案：该段道路路面设计高程219.80～220m。为挖方道路段，左侧挖方高度较小，最大高度10m；右侧挖方高度较大，边坡高度12.0～18.0m。</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（1）左侧</w:t>
      </w:r>
      <w:r>
        <w:rPr>
          <w:rFonts w:ascii="仿宋" w:eastAsia="仿宋" w:hAnsi="仿宋" w:cs="仿宋" w:hint="eastAsia"/>
          <w:spacing w:val="4"/>
          <w:sz w:val="28"/>
          <w:szCs w:val="28"/>
        </w:rPr>
        <w:t>：根据设计方案：道路左侧形成最大高度为10m的岩土混合边坡(代表性剖面1)，该段边坡坡向约150</w:t>
      </w:r>
      <w:r>
        <w:rPr>
          <w:rFonts w:ascii="仿宋" w:eastAsia="仿宋" w:hAnsi="仿宋" w:cs="仿宋" w:hint="eastAsia"/>
          <w:spacing w:val="4"/>
          <w:sz w:val="28"/>
          <w:szCs w:val="28"/>
        </w:rPr>
        <w:t>°</w:t>
      </w:r>
      <w:r>
        <w:rPr>
          <w:rFonts w:ascii="仿宋" w:eastAsia="仿宋" w:hAnsi="仿宋" w:cs="仿宋" w:hint="eastAsia"/>
          <w:spacing w:val="4"/>
          <w:sz w:val="28"/>
          <w:szCs w:val="28"/>
        </w:rPr>
        <w:t>，边坡安全等级为二</w:t>
      </w:r>
      <w:r>
        <w:rPr>
          <w:rFonts w:ascii="仿宋" w:eastAsia="仿宋" w:hAnsi="仿宋" w:cs="仿宋" w:hint="eastAsia"/>
          <w:b/>
          <w:spacing w:val="4"/>
          <w:sz w:val="28"/>
          <w:szCs w:val="28"/>
        </w:rPr>
        <w:t>级</w:t>
      </w:r>
      <w:r>
        <w:rPr>
          <w:rFonts w:ascii="仿宋" w:eastAsia="仿宋" w:hAnsi="仿宋" w:cs="仿宋" w:hint="eastAsia"/>
          <w:spacing w:val="4"/>
          <w:sz w:val="28"/>
          <w:szCs w:val="28"/>
        </w:rPr>
        <w:t>，安全系数取</w:t>
      </w:r>
      <w:r>
        <w:rPr>
          <w:rFonts w:ascii="仿宋" w:eastAsia="仿宋" w:hAnsi="仿宋" w:cs="仿宋" w:hint="eastAsia"/>
          <w:b/>
          <w:spacing w:val="4"/>
          <w:sz w:val="28"/>
          <w:szCs w:val="28"/>
        </w:rPr>
        <w:t>1.30</w:t>
      </w:r>
      <w:r>
        <w:rPr>
          <w:rFonts w:ascii="仿宋" w:eastAsia="仿宋" w:hAnsi="仿宋" w:cs="仿宋" w:hint="eastAsia"/>
          <w:spacing w:val="4"/>
          <w:sz w:val="28"/>
          <w:szCs w:val="28"/>
        </w:rPr>
        <w:t>。</w:t>
      </w:r>
    </w:p>
    <w:p w:rsidR="00092985">
      <w:pPr>
        <w:spacing w:line="560" w:lineRule="exact"/>
        <w:ind w:firstLine="560" w:firstLineChars="200"/>
        <w:rPr>
          <w:rFonts w:ascii="仿宋" w:eastAsia="仿宋" w:hAnsi="仿宋" w:cs="仿宋" w:hint="eastAsia"/>
          <w:spacing w:val="4"/>
          <w:sz w:val="28"/>
          <w:szCs w:val="28"/>
        </w:rPr>
        <w:sectPr>
          <w:headerReference w:type="default" r:id="rId23"/>
          <w:footerReference w:type="default" r:id="rId24"/>
          <w:type w:val="nextPage"/>
          <w:pgSz w:w="23811" w:h="16838" w:orient="landscape"/>
          <w:pgMar w:top="1083" w:right="1440" w:bottom="1083" w:left="1440" w:header="850" w:footer="1417" w:gutter="680"/>
          <w:pgNumType w:start="7"/>
          <w:cols w:num="2" w:space="425" w:equalWidth="0">
            <w:col w:w="9913" w:space="425"/>
            <w:col w:w="9913" w:space="0"/>
          </w:cols>
          <w:titlePg w:val="0"/>
          <w:docGrid w:type="lines" w:linePitch="316"/>
        </w:sectPr>
      </w:pP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土层段：边坡直立开挖或开挖坡率过陡可能出现沿土体内部的圆弧滑动破坏。</w:t>
      </w:r>
    </w:p>
    <w:p w:rsidR="00092985">
      <w:pPr>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岩层段：根据赤平投影图分析可知，该段边坡为切向坡，LX1与边坡倾向大角度相交，LX2与边坡相交角度小，为外倾结构面，对边坡稳定影响较大；直立开挖后，边坡的稳定性主要受LX2控制。</w:t>
      </w:r>
    </w:p>
    <w:p w:rsidR="00092985">
      <w:pPr>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强风化段岩体类型为</w:t>
      </w:r>
      <w:r>
        <w:rPr>
          <w:rFonts w:ascii="仿宋" w:eastAsia="仿宋" w:hAnsi="仿宋" w:cs="仿宋" w:hint="eastAsia"/>
          <w:spacing w:val="4"/>
          <w:sz w:val="28"/>
          <w:szCs w:val="28"/>
        </w:rPr>
        <w:t>Ⅳ</w:t>
      </w:r>
      <w:r>
        <w:rPr>
          <w:rFonts w:ascii="仿宋" w:eastAsia="仿宋" w:hAnsi="仿宋" w:cs="仿宋" w:hint="eastAsia"/>
          <w:spacing w:val="4"/>
          <w:sz w:val="28"/>
          <w:szCs w:val="28"/>
        </w:rPr>
        <w:t>类，边坡破裂角取48</w:t>
      </w:r>
      <w:r>
        <w:rPr>
          <w:rFonts w:ascii="仿宋" w:eastAsia="仿宋" w:hAnsi="仿宋" w:cs="仿宋" w:hint="eastAsia"/>
          <w:spacing w:val="4"/>
          <w:sz w:val="28"/>
          <w:szCs w:val="28"/>
        </w:rPr>
        <w:t>°</w:t>
      </w:r>
      <w:r>
        <w:rPr>
          <w:rFonts w:ascii="仿宋" w:eastAsia="仿宋" w:hAnsi="仿宋" w:cs="仿宋" w:hint="eastAsia"/>
          <w:spacing w:val="4"/>
          <w:sz w:val="28"/>
          <w:szCs w:val="28"/>
        </w:rPr>
        <w:t>，岩体等效内摩擦角50</w:t>
      </w:r>
      <w:r>
        <w:rPr>
          <w:rFonts w:ascii="仿宋" w:eastAsia="仿宋" w:hAnsi="仿宋" w:cs="仿宋" w:hint="eastAsia"/>
          <w:spacing w:val="4"/>
          <w:sz w:val="28"/>
          <w:szCs w:val="28"/>
        </w:rPr>
        <w:t>°</w:t>
      </w:r>
      <w:r>
        <w:rPr>
          <w:rFonts w:ascii="仿宋" w:eastAsia="仿宋" w:hAnsi="仿宋" w:cs="仿宋" w:hint="eastAsia"/>
          <w:spacing w:val="4"/>
          <w:sz w:val="28"/>
          <w:szCs w:val="28"/>
        </w:rPr>
        <w:t>；中风化段岩体类型为</w:t>
      </w:r>
      <w:r>
        <w:rPr>
          <w:rFonts w:ascii="仿宋" w:eastAsia="仿宋" w:hAnsi="仿宋" w:cs="仿宋" w:hint="eastAsia"/>
          <w:spacing w:val="4"/>
          <w:sz w:val="28"/>
          <w:szCs w:val="28"/>
        </w:rPr>
        <w:t>Ⅲ</w:t>
      </w:r>
      <w:r>
        <w:rPr>
          <w:rFonts w:ascii="仿宋" w:eastAsia="仿宋" w:hAnsi="仿宋" w:cs="仿宋" w:hint="eastAsia"/>
          <w:spacing w:val="4"/>
          <w:sz w:val="28"/>
          <w:szCs w:val="28"/>
        </w:rPr>
        <w:t>类，边坡破裂角取60</w:t>
      </w:r>
      <w:r>
        <w:rPr>
          <w:rFonts w:ascii="仿宋" w:eastAsia="仿宋" w:hAnsi="仿宋" w:cs="仿宋" w:hint="eastAsia"/>
          <w:spacing w:val="4"/>
          <w:sz w:val="28"/>
          <w:szCs w:val="28"/>
        </w:rPr>
        <w:t>°</w:t>
      </w:r>
      <w:r>
        <w:rPr>
          <w:rFonts w:ascii="仿宋" w:eastAsia="仿宋" w:hAnsi="仿宋" w:cs="仿宋" w:hint="eastAsia"/>
          <w:spacing w:val="4"/>
          <w:sz w:val="28"/>
          <w:szCs w:val="28"/>
        </w:rPr>
        <w:t>，岩体等效内摩擦角55</w:t>
      </w:r>
      <w:r>
        <w:rPr>
          <w:rFonts w:ascii="仿宋" w:eastAsia="仿宋" w:hAnsi="仿宋" w:cs="仿宋" w:hint="eastAsia"/>
          <w:spacing w:val="4"/>
          <w:sz w:val="28"/>
          <w:szCs w:val="28"/>
        </w:rPr>
        <w:t>°</w:t>
      </w:r>
      <w:r>
        <w:rPr>
          <w:rFonts w:ascii="仿宋" w:eastAsia="仿宋" w:hAnsi="仿宋" w:cs="仿宋" w:hint="eastAsia"/>
          <w:spacing w:val="4"/>
          <w:sz w:val="28"/>
          <w:szCs w:val="28"/>
        </w:rPr>
        <w:t>。</w:t>
      </w:r>
    </w:p>
    <w:p w:rsidR="00092985">
      <w:pPr>
        <w:ind w:firstLine="560"/>
        <w:jc w:val="center"/>
        <w:rPr>
          <w:rFonts w:ascii="仿宋" w:eastAsia="仿宋" w:hAnsi="仿宋" w:cs="仿宋" w:hint="eastAsia"/>
          <w:spacing w:val="4"/>
          <w:sz w:val="28"/>
          <w:szCs w:val="28"/>
        </w:rPr>
      </w:pPr>
      <w:r>
        <w:rPr>
          <w:rFonts w:ascii="仿宋" w:eastAsia="仿宋" w:hAnsi="仿宋" w:cs="仿宋" w:hint="eastAsia"/>
        </w:rPr>
        <w:pict>
          <v:shape id="图片 227" o:spid="_x0000_i1027" type="#_x0000_t75" style="width:347.06pt;height:198.35pt;mso-position-horizontal-relative:page;mso-position-vertical-relative:page" filled="f" stroked="f">
            <v:imagedata r:id="rId25" o:title=""/>
            <v:path o:extrusionok="f"/>
            <o:lock v:ext="edit" aspectratio="t"/>
          </v:shape>
        </w:pict>
      </w:r>
    </w:p>
    <w:p w:rsidR="00092985">
      <w:pPr>
        <w:spacing w:after="158" w:afterLines="50"/>
        <w:jc w:val="center"/>
        <w:rPr>
          <w:rFonts w:ascii="仿宋" w:eastAsia="仿宋" w:hAnsi="仿宋" w:cs="仿宋" w:hint="eastAsia"/>
          <w:kern w:val="28"/>
          <w:sz w:val="28"/>
          <w:szCs w:val="28"/>
          <w:lang w:val="en-GB"/>
        </w:rPr>
      </w:pPr>
      <w:r>
        <w:rPr>
          <w:rFonts w:ascii="仿宋" w:eastAsia="仿宋" w:hAnsi="仿宋" w:cs="仿宋" w:hint="eastAsia"/>
          <w:kern w:val="28"/>
          <w:sz w:val="28"/>
          <w:szCs w:val="28"/>
          <w:lang w:val="en-GB"/>
        </w:rPr>
        <w:t>道路左侧边坡赤平投影图</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边坡支挡措施建议：</w:t>
      </w:r>
      <w:r>
        <w:rPr>
          <w:rFonts w:ascii="仿宋" w:eastAsia="仿宋" w:hAnsi="仿宋" w:cs="仿宋" w:hint="eastAsia"/>
          <w:spacing w:val="4"/>
          <w:sz w:val="28"/>
          <w:szCs w:val="28"/>
        </w:rPr>
        <w:t>采用分阶放坡处理，每阶高度不宜超过8m，土层段坡率值不大于1:1.5，强风化段岩体坡率值取1:1.25，中风化段岩体</w:t>
      </w:r>
      <w:r>
        <w:rPr>
          <w:rFonts w:ascii="仿宋" w:eastAsia="仿宋" w:hAnsi="仿宋" w:cs="仿宋" w:hint="eastAsia"/>
          <w:sz w:val="28"/>
        </w:rPr>
        <w:t>放坡</w:t>
      </w:r>
      <w:r>
        <w:rPr>
          <w:rFonts w:ascii="仿宋" w:eastAsia="仿宋" w:hAnsi="仿宋" w:cs="仿宋" w:hint="eastAsia"/>
          <w:bCs/>
          <w:sz w:val="28"/>
          <w:szCs w:val="28"/>
        </w:rPr>
        <w:t>坡率取破裂角60</w:t>
      </w:r>
      <w:r>
        <w:rPr>
          <w:rFonts w:ascii="仿宋" w:eastAsia="仿宋" w:hAnsi="仿宋" w:cs="仿宋" w:hint="eastAsia"/>
          <w:bCs/>
          <w:sz w:val="28"/>
          <w:szCs w:val="28"/>
        </w:rPr>
        <w:t>°</w:t>
      </w:r>
      <w:r>
        <w:rPr>
          <w:rFonts w:ascii="仿宋" w:eastAsia="仿宋" w:hAnsi="仿宋" w:cs="仿宋" w:hint="eastAsia"/>
          <w:spacing w:val="4"/>
          <w:sz w:val="28"/>
          <w:szCs w:val="28"/>
        </w:rPr>
        <w:t>；也可采用锚喷支护措施处理。边坡开挖即时清理坡面松动岩块，避面掉块或落石，并做好坡面、坡脚的排水措施和防冲刷措施。</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（2）右侧：</w:t>
      </w:r>
      <w:r>
        <w:rPr>
          <w:rFonts w:ascii="仿宋" w:eastAsia="仿宋" w:hAnsi="仿宋" w:cs="仿宋" w:hint="eastAsia"/>
          <w:spacing w:val="4"/>
          <w:sz w:val="28"/>
          <w:szCs w:val="28"/>
        </w:rPr>
        <w:t>根据设计方案：道路右侧形成最大高度为18m的岩质边坡(代表性剖面1)， 该段边坡坡向330</w:t>
      </w:r>
      <w:r>
        <w:rPr>
          <w:rFonts w:ascii="仿宋" w:eastAsia="仿宋" w:hAnsi="仿宋" w:cs="仿宋" w:hint="eastAsia"/>
          <w:spacing w:val="4"/>
          <w:sz w:val="28"/>
          <w:szCs w:val="28"/>
        </w:rPr>
        <w:t>°</w:t>
      </w:r>
      <w:r>
        <w:rPr>
          <w:rFonts w:ascii="仿宋" w:eastAsia="仿宋" w:hAnsi="仿宋" w:cs="仿宋" w:hint="eastAsia"/>
          <w:spacing w:val="4"/>
          <w:sz w:val="28"/>
          <w:szCs w:val="28"/>
        </w:rPr>
        <w:t>，边坡安全等级为二</w:t>
      </w:r>
      <w:r>
        <w:rPr>
          <w:rFonts w:ascii="仿宋" w:eastAsia="仿宋" w:hAnsi="仿宋" w:cs="仿宋" w:hint="eastAsia"/>
          <w:b/>
          <w:spacing w:val="4"/>
          <w:sz w:val="28"/>
          <w:szCs w:val="28"/>
        </w:rPr>
        <w:t>级</w:t>
      </w:r>
      <w:r>
        <w:rPr>
          <w:rFonts w:ascii="仿宋" w:eastAsia="仿宋" w:hAnsi="仿宋" w:cs="仿宋" w:hint="eastAsia"/>
          <w:spacing w:val="4"/>
          <w:sz w:val="28"/>
          <w:szCs w:val="28"/>
        </w:rPr>
        <w:t>，安全系数取</w:t>
      </w:r>
      <w:r>
        <w:rPr>
          <w:rFonts w:ascii="仿宋" w:eastAsia="仿宋" w:hAnsi="仿宋" w:cs="仿宋" w:hint="eastAsia"/>
          <w:b/>
          <w:spacing w:val="4"/>
          <w:sz w:val="28"/>
          <w:szCs w:val="28"/>
        </w:rPr>
        <w:t>1.30</w:t>
      </w:r>
      <w:r>
        <w:rPr>
          <w:rFonts w:ascii="仿宋" w:eastAsia="仿宋" w:hAnsi="仿宋" w:cs="仿宋" w:hint="eastAsia"/>
          <w:spacing w:val="4"/>
          <w:sz w:val="28"/>
          <w:szCs w:val="28"/>
        </w:rPr>
        <w:t>。边坡岩性为泥岩和砂岩。</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据赤平投影图分析可知，边坡为切向坡；LX1与边坡呈大角度相交，对边坡稳定影响较小；LX2与边坡反向，对边坡稳定影响小；直立开挖后，边坡的稳定性主要受岩体自身强度控制。</w:t>
      </w:r>
    </w:p>
    <w:p w:rsidR="00092985">
      <w:pPr>
        <w:ind w:firstLine="560"/>
        <w:jc w:val="center"/>
        <w:rPr>
          <w:rFonts w:ascii="仿宋" w:eastAsia="仿宋" w:hAnsi="仿宋" w:cs="仿宋" w:hint="eastAsia"/>
          <w:spacing w:val="4"/>
          <w:sz w:val="28"/>
          <w:szCs w:val="28"/>
        </w:rPr>
      </w:pPr>
      <w:r>
        <w:rPr>
          <w:rFonts w:ascii="仿宋" w:eastAsia="仿宋" w:hAnsi="仿宋" w:cs="仿宋" w:hint="eastAsia"/>
        </w:rPr>
        <w:pict>
          <v:shape id="图片 228" o:spid="_x0000_i1028" type="#_x0000_t75" style="width:347.55pt;height:198.47pt;mso-position-horizontal-relative:page;mso-position-vertical-relative:page" filled="f" stroked="f">
            <v:imagedata r:id="rId26" o:title=""/>
            <v:path o:extrusionok="f"/>
            <o:lock v:ext="edit" aspectratio="t"/>
          </v:shape>
        </w:pict>
      </w:r>
    </w:p>
    <w:p w:rsidR="00092985">
      <w:pPr>
        <w:spacing w:after="158" w:afterLines="50"/>
        <w:jc w:val="center"/>
        <w:rPr>
          <w:rFonts w:ascii="仿宋" w:eastAsia="仿宋" w:hAnsi="仿宋" w:cs="仿宋" w:hint="eastAsia"/>
          <w:kern w:val="28"/>
          <w:sz w:val="28"/>
          <w:szCs w:val="28"/>
          <w:lang w:val="en-GB"/>
        </w:rPr>
      </w:pPr>
      <w:r>
        <w:rPr>
          <w:rFonts w:ascii="仿宋" w:eastAsia="仿宋" w:hAnsi="仿宋" w:cs="仿宋" w:hint="eastAsia"/>
          <w:kern w:val="28"/>
          <w:sz w:val="28"/>
          <w:szCs w:val="28"/>
          <w:lang w:val="en-GB"/>
        </w:rPr>
        <w:t>道路右侧边坡赤平投影图</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边坡支挡措施建议：</w:t>
      </w:r>
      <w:r>
        <w:rPr>
          <w:rFonts w:ascii="仿宋" w:eastAsia="仿宋" w:hAnsi="仿宋" w:cs="仿宋" w:hint="eastAsia"/>
          <w:spacing w:val="4"/>
          <w:sz w:val="28"/>
          <w:szCs w:val="28"/>
        </w:rPr>
        <w:t>采用分阶放坡处理，每阶高度不宜超过8m，强风化段岩体坡率值取1:1.25，中风化段岩体</w:t>
      </w:r>
      <w:r>
        <w:rPr>
          <w:rFonts w:ascii="仿宋" w:eastAsia="仿宋" w:hAnsi="仿宋" w:cs="仿宋" w:hint="eastAsia"/>
          <w:sz w:val="28"/>
        </w:rPr>
        <w:t>放坡</w:t>
      </w:r>
      <w:r>
        <w:rPr>
          <w:rFonts w:ascii="仿宋" w:eastAsia="仿宋" w:hAnsi="仿宋" w:cs="仿宋" w:hint="eastAsia"/>
          <w:bCs/>
          <w:sz w:val="28"/>
          <w:szCs w:val="28"/>
        </w:rPr>
        <w:t>坡率取破裂角60</w:t>
      </w:r>
      <w:r>
        <w:rPr>
          <w:rFonts w:ascii="仿宋" w:eastAsia="仿宋" w:hAnsi="仿宋" w:cs="仿宋" w:hint="eastAsia"/>
          <w:bCs/>
          <w:sz w:val="28"/>
          <w:szCs w:val="28"/>
        </w:rPr>
        <w:t>°</w:t>
      </w:r>
      <w:r>
        <w:rPr>
          <w:rFonts w:ascii="仿宋" w:eastAsia="仿宋" w:hAnsi="仿宋" w:cs="仿宋" w:hint="eastAsia"/>
          <w:spacing w:val="4"/>
          <w:sz w:val="28"/>
          <w:szCs w:val="28"/>
        </w:rPr>
        <w:t>；也可采用锚喷支护措施处理。边坡开挖即时清理坡面松动岩块，避面掉块或落石，并做好坡面、坡脚的排水措施和防冲刷措施。</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路基建议</w:t>
      </w:r>
      <w:r>
        <w:rPr>
          <w:rFonts w:ascii="仿宋" w:eastAsia="仿宋" w:hAnsi="仿宋" w:cs="仿宋" w:hint="eastAsia"/>
          <w:spacing w:val="4"/>
          <w:sz w:val="28"/>
          <w:szCs w:val="28"/>
        </w:rPr>
        <w:t>：可以基岩作为道路基础持力层。</w:t>
      </w:r>
    </w:p>
    <w:p w:rsidR="00092985">
      <w:pPr>
        <w:spacing w:line="360" w:lineRule="auto"/>
        <w:ind w:firstLine="560"/>
        <w:rPr>
          <w:rFonts w:ascii="仿宋" w:eastAsia="仿宋" w:hAnsi="仿宋" w:cs="仿宋" w:hint="eastAsia"/>
          <w:sz w:val="28"/>
          <w:szCs w:val="28"/>
        </w:rPr>
      </w:pPr>
      <w:bookmarkStart w:id="45" w:name="_Toc6257"/>
      <w:r>
        <w:rPr>
          <w:rFonts w:ascii="仿宋" w:eastAsia="仿宋" w:hAnsi="仿宋" w:cs="仿宋" w:hint="eastAsia"/>
          <w:sz w:val="28"/>
          <w:szCs w:val="28"/>
        </w:rPr>
        <w:t>3、K0+060～K0+120道路段（代表剖面2、3）</w:t>
      </w:r>
      <w:bookmarkEnd w:id="45"/>
    </w:p>
    <w:p w:rsidR="00092985">
      <w:pPr>
        <w:spacing w:line="560" w:lineRule="exact"/>
        <w:ind w:firstLine="576"/>
        <w:rPr>
          <w:rFonts w:ascii="仿宋" w:eastAsia="仿宋" w:hAnsi="仿宋" w:cs="仿宋" w:hint="eastAsia"/>
          <w:spacing w:val="4"/>
          <w:sz w:val="28"/>
          <w:szCs w:val="28"/>
        </w:rPr>
      </w:pPr>
      <w:r>
        <w:rPr>
          <w:rFonts w:ascii="仿宋" w:eastAsia="仿宋" w:hAnsi="仿宋" w:cs="仿宋" w:hint="eastAsia"/>
          <w:spacing w:val="4"/>
          <w:sz w:val="28"/>
          <w:szCs w:val="28"/>
        </w:rPr>
        <w:t>该段为构造剥蚀丘陵地貌，现地面高程222～229m。该段道路大部分区域为已拆迁房屋和施工场地，根据设计方案：该段道路路面设计高程218.8～219.8m。为挖方路堑段，道路两侧均形成挖方土质边坡，左侧边坡高度3.5～8.0m；右侧边坡高度3.0～8.0m。边坡安全等级为二级，安全系数取1.30，边坡主要为素填土及强风化岩层。</w:t>
      </w:r>
    </w:p>
    <w:p w:rsidR="00092985">
      <w:pPr>
        <w:spacing w:line="560" w:lineRule="exact"/>
        <w:ind w:firstLine="576"/>
        <w:rPr>
          <w:rFonts w:ascii="仿宋" w:eastAsia="仿宋" w:hAnsi="仿宋" w:cs="仿宋" w:hint="eastAsia"/>
          <w:spacing w:val="4"/>
          <w:sz w:val="28"/>
          <w:szCs w:val="28"/>
        </w:rPr>
      </w:pPr>
      <w:r>
        <w:rPr>
          <w:rFonts w:ascii="仿宋" w:eastAsia="仿宋" w:hAnsi="仿宋" w:cs="仿宋" w:hint="eastAsia"/>
          <w:spacing w:val="4"/>
          <w:sz w:val="28"/>
          <w:szCs w:val="28"/>
        </w:rPr>
        <w:t>边坡直立开挖或开挖坡率过陡可能出现沿土体内部的圆弧滑动破坏。</w:t>
      </w:r>
    </w:p>
    <w:p w:rsidR="00092985">
      <w:pPr>
        <w:spacing w:line="560" w:lineRule="exact"/>
        <w:ind w:firstLine="560" w:firstLineChars="200"/>
        <w:rPr>
          <w:rFonts w:ascii="仿宋" w:eastAsia="仿宋" w:hAnsi="仿宋" w:cs="仿宋" w:hint="eastAsia"/>
          <w:spacing w:val="4"/>
          <w:sz w:val="28"/>
          <w:szCs w:val="28"/>
        </w:rPr>
        <w:sectPr>
          <w:headerReference w:type="default" r:id="rId27"/>
          <w:footerReference w:type="default" r:id="rId28"/>
          <w:type w:val="nextPage"/>
          <w:pgSz w:w="23811" w:h="16838" w:orient="landscape"/>
          <w:pgMar w:top="1083" w:right="1440" w:bottom="1083" w:left="1440" w:header="850" w:footer="1417" w:gutter="680"/>
          <w:pgNumType w:start="8"/>
          <w:cols w:num="2" w:space="425" w:equalWidth="0">
            <w:col w:w="9913" w:space="425"/>
            <w:col w:w="9913" w:space="0"/>
          </w:cols>
          <w:titlePg w:val="0"/>
          <w:docGrid w:type="lines" w:linePitch="316"/>
        </w:sectPr>
      </w:pPr>
      <w:r>
        <w:rPr>
          <w:rFonts w:ascii="仿宋" w:eastAsia="仿宋" w:hAnsi="仿宋" w:cs="仿宋" w:hint="eastAsia"/>
          <w:b/>
          <w:spacing w:val="4"/>
          <w:sz w:val="28"/>
          <w:szCs w:val="28"/>
        </w:rPr>
        <w:t>边坡支挡措施建议：</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采用分阶放坡处理，每阶高度不宜超过8m，土层段坡率值不大于1:1.75，强风化段岩体坡率值取1:1.25；也可采用锚喷支护措施处理。边坡开挖即时清理坡面松动岩块，避面掉块或落石，并做好坡面、坡脚的排水措施和防冲刷措施。</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路基建议</w:t>
      </w:r>
      <w:r>
        <w:rPr>
          <w:rFonts w:ascii="仿宋" w:eastAsia="仿宋" w:hAnsi="仿宋" w:cs="仿宋" w:hint="eastAsia"/>
          <w:spacing w:val="4"/>
          <w:sz w:val="28"/>
          <w:szCs w:val="28"/>
        </w:rPr>
        <w:t>：以压实填土或基岩为路基基础持力层，回填填土的压实度，承载力需要经过现场试验满足设计要求方可作为基础持力层。</w:t>
      </w:r>
    </w:p>
    <w:p w:rsidR="00092985">
      <w:pPr>
        <w:spacing w:line="360" w:lineRule="auto"/>
        <w:ind w:firstLine="560"/>
        <w:rPr>
          <w:rFonts w:ascii="仿宋" w:eastAsia="仿宋" w:hAnsi="仿宋" w:cs="仿宋" w:hint="eastAsia"/>
          <w:sz w:val="28"/>
          <w:szCs w:val="28"/>
        </w:rPr>
      </w:pPr>
      <w:bookmarkStart w:id="46" w:name="_Toc28575"/>
      <w:r>
        <w:rPr>
          <w:rFonts w:ascii="仿宋" w:eastAsia="仿宋" w:hAnsi="仿宋" w:cs="仿宋" w:hint="eastAsia"/>
          <w:sz w:val="28"/>
          <w:szCs w:val="28"/>
        </w:rPr>
        <w:t>4、K0+120～K0+209.241道路段（代表剖面4、5）</w:t>
      </w:r>
      <w:bookmarkEnd w:id="46"/>
    </w:p>
    <w:p w:rsidR="00092985">
      <w:pPr>
        <w:spacing w:line="560" w:lineRule="exact"/>
        <w:ind w:firstLine="576"/>
        <w:rPr>
          <w:rFonts w:ascii="仿宋" w:eastAsia="仿宋" w:hAnsi="仿宋" w:cs="仿宋" w:hint="eastAsia"/>
          <w:spacing w:val="4"/>
          <w:sz w:val="28"/>
          <w:szCs w:val="28"/>
        </w:rPr>
      </w:pPr>
      <w:r>
        <w:rPr>
          <w:rFonts w:ascii="仿宋" w:eastAsia="仿宋" w:hAnsi="仿宋" w:cs="仿宋" w:hint="eastAsia"/>
          <w:spacing w:val="4"/>
          <w:sz w:val="28"/>
          <w:szCs w:val="28"/>
        </w:rPr>
        <w:t>该段道路沿线现状右高左低，根据设计方案：该段道路路面设计高程217.75～218.80m。为挖方道路段，左侧挖方高度较小，最大高度5m；右侧挖方高度较大，最大高度16.0m。</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（1）左侧</w:t>
      </w:r>
      <w:r>
        <w:rPr>
          <w:rFonts w:ascii="仿宋" w:eastAsia="仿宋" w:hAnsi="仿宋" w:cs="仿宋" w:hint="eastAsia"/>
          <w:spacing w:val="4"/>
          <w:sz w:val="28"/>
          <w:szCs w:val="28"/>
        </w:rPr>
        <w:t>：根据设计方案：道路左侧形成最大高度为5m的岩土混合边坡(代表性剖面4、5)，该段边坡坡向约150</w:t>
      </w:r>
      <w:r>
        <w:rPr>
          <w:rFonts w:ascii="仿宋" w:eastAsia="仿宋" w:hAnsi="仿宋" w:cs="仿宋" w:hint="eastAsia"/>
          <w:spacing w:val="4"/>
          <w:sz w:val="28"/>
          <w:szCs w:val="28"/>
        </w:rPr>
        <w:t>°</w:t>
      </w:r>
      <w:r>
        <w:rPr>
          <w:rFonts w:ascii="仿宋" w:eastAsia="仿宋" w:hAnsi="仿宋" w:cs="仿宋" w:hint="eastAsia"/>
          <w:spacing w:val="4"/>
          <w:sz w:val="28"/>
          <w:szCs w:val="28"/>
        </w:rPr>
        <w:t>，边坡安全等级为三</w:t>
      </w:r>
      <w:r>
        <w:rPr>
          <w:rFonts w:ascii="仿宋" w:eastAsia="仿宋" w:hAnsi="仿宋" w:cs="仿宋" w:hint="eastAsia"/>
          <w:b/>
          <w:spacing w:val="4"/>
          <w:sz w:val="28"/>
          <w:szCs w:val="28"/>
        </w:rPr>
        <w:t>级</w:t>
      </w:r>
      <w:r>
        <w:rPr>
          <w:rFonts w:ascii="仿宋" w:eastAsia="仿宋" w:hAnsi="仿宋" w:cs="仿宋" w:hint="eastAsia"/>
          <w:spacing w:val="4"/>
          <w:sz w:val="28"/>
          <w:szCs w:val="28"/>
        </w:rPr>
        <w:t>，安全系数取</w:t>
      </w:r>
      <w:r>
        <w:rPr>
          <w:rFonts w:ascii="仿宋" w:eastAsia="仿宋" w:hAnsi="仿宋" w:cs="仿宋" w:hint="eastAsia"/>
          <w:b/>
          <w:spacing w:val="4"/>
          <w:sz w:val="28"/>
          <w:szCs w:val="28"/>
        </w:rPr>
        <w:t>1.25</w:t>
      </w:r>
      <w:r>
        <w:rPr>
          <w:rFonts w:ascii="仿宋" w:eastAsia="仿宋" w:hAnsi="仿宋" w:cs="仿宋" w:hint="eastAsia"/>
          <w:spacing w:val="4"/>
          <w:sz w:val="28"/>
          <w:szCs w:val="28"/>
        </w:rPr>
        <w:t>。</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土层段：边坡直立开挖或开挖坡率过陡可能出现沿土体内部的圆弧滑动破坏。</w:t>
      </w:r>
    </w:p>
    <w:p w:rsidR="00092985">
      <w:pPr>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岩层段：根据赤平投影图分析可知，该段边坡为切向坡，LX1与边坡倾向大角度相交，LX2与边坡相交角度小，为外倾结构面，对边坡稳定影响较大；直立开挖后，边坡的稳定性主要受LX2控制。</w:t>
      </w:r>
    </w:p>
    <w:p w:rsidR="00092985">
      <w:pPr>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强风化段岩体类型为</w:t>
      </w:r>
      <w:r>
        <w:rPr>
          <w:rFonts w:ascii="仿宋" w:eastAsia="仿宋" w:hAnsi="仿宋" w:cs="仿宋" w:hint="eastAsia"/>
          <w:spacing w:val="4"/>
          <w:sz w:val="28"/>
          <w:szCs w:val="28"/>
        </w:rPr>
        <w:t>Ⅳ</w:t>
      </w:r>
      <w:r>
        <w:rPr>
          <w:rFonts w:ascii="仿宋" w:eastAsia="仿宋" w:hAnsi="仿宋" w:cs="仿宋" w:hint="eastAsia"/>
          <w:spacing w:val="4"/>
          <w:sz w:val="28"/>
          <w:szCs w:val="28"/>
        </w:rPr>
        <w:t>类，边坡破裂角取48</w:t>
      </w:r>
      <w:r>
        <w:rPr>
          <w:rFonts w:ascii="仿宋" w:eastAsia="仿宋" w:hAnsi="仿宋" w:cs="仿宋" w:hint="eastAsia"/>
          <w:spacing w:val="4"/>
          <w:sz w:val="28"/>
          <w:szCs w:val="28"/>
        </w:rPr>
        <w:t>°</w:t>
      </w:r>
      <w:r>
        <w:rPr>
          <w:rFonts w:ascii="仿宋" w:eastAsia="仿宋" w:hAnsi="仿宋" w:cs="仿宋" w:hint="eastAsia"/>
          <w:spacing w:val="4"/>
          <w:sz w:val="28"/>
          <w:szCs w:val="28"/>
        </w:rPr>
        <w:t>，岩体等效内摩擦角50</w:t>
      </w:r>
      <w:r>
        <w:rPr>
          <w:rFonts w:ascii="仿宋" w:eastAsia="仿宋" w:hAnsi="仿宋" w:cs="仿宋" w:hint="eastAsia"/>
          <w:spacing w:val="4"/>
          <w:sz w:val="28"/>
          <w:szCs w:val="28"/>
        </w:rPr>
        <w:t>°</w:t>
      </w:r>
      <w:r>
        <w:rPr>
          <w:rFonts w:ascii="仿宋" w:eastAsia="仿宋" w:hAnsi="仿宋" w:cs="仿宋" w:hint="eastAsia"/>
          <w:spacing w:val="4"/>
          <w:sz w:val="28"/>
          <w:szCs w:val="28"/>
        </w:rPr>
        <w:t>；中风化段岩体类型为</w:t>
      </w:r>
      <w:r>
        <w:rPr>
          <w:rFonts w:ascii="仿宋" w:eastAsia="仿宋" w:hAnsi="仿宋" w:cs="仿宋" w:hint="eastAsia"/>
          <w:spacing w:val="4"/>
          <w:sz w:val="28"/>
          <w:szCs w:val="28"/>
        </w:rPr>
        <w:t>Ⅲ</w:t>
      </w:r>
      <w:r>
        <w:rPr>
          <w:rFonts w:ascii="仿宋" w:eastAsia="仿宋" w:hAnsi="仿宋" w:cs="仿宋" w:hint="eastAsia"/>
          <w:spacing w:val="4"/>
          <w:sz w:val="28"/>
          <w:szCs w:val="28"/>
        </w:rPr>
        <w:t>类，边坡破裂角取60</w:t>
      </w:r>
      <w:r>
        <w:rPr>
          <w:rFonts w:ascii="仿宋" w:eastAsia="仿宋" w:hAnsi="仿宋" w:cs="仿宋" w:hint="eastAsia"/>
          <w:spacing w:val="4"/>
          <w:sz w:val="28"/>
          <w:szCs w:val="28"/>
        </w:rPr>
        <w:t>°</w:t>
      </w:r>
      <w:r>
        <w:rPr>
          <w:rFonts w:ascii="仿宋" w:eastAsia="仿宋" w:hAnsi="仿宋" w:cs="仿宋" w:hint="eastAsia"/>
          <w:spacing w:val="4"/>
          <w:sz w:val="28"/>
          <w:szCs w:val="28"/>
        </w:rPr>
        <w:t>，岩体等效内摩擦角55</w:t>
      </w:r>
      <w:r>
        <w:rPr>
          <w:rFonts w:ascii="仿宋" w:eastAsia="仿宋" w:hAnsi="仿宋" w:cs="仿宋" w:hint="eastAsia"/>
          <w:spacing w:val="4"/>
          <w:sz w:val="28"/>
          <w:szCs w:val="28"/>
        </w:rPr>
        <w:t>°</w:t>
      </w:r>
      <w:r>
        <w:rPr>
          <w:rFonts w:ascii="仿宋" w:eastAsia="仿宋" w:hAnsi="仿宋" w:cs="仿宋" w:hint="eastAsia"/>
          <w:spacing w:val="4"/>
          <w:sz w:val="28"/>
          <w:szCs w:val="28"/>
        </w:rPr>
        <w:t>。</w:t>
      </w:r>
    </w:p>
    <w:p w:rsidR="00092985">
      <w:pPr>
        <w:ind w:firstLine="560"/>
        <w:jc w:val="center"/>
        <w:rPr>
          <w:rFonts w:ascii="仿宋" w:eastAsia="仿宋" w:hAnsi="仿宋" w:cs="仿宋" w:hint="eastAsia"/>
          <w:spacing w:val="4"/>
          <w:sz w:val="28"/>
          <w:szCs w:val="28"/>
        </w:rPr>
      </w:pPr>
      <w:r>
        <w:rPr>
          <w:rFonts w:ascii="仿宋" w:eastAsia="仿宋" w:hAnsi="仿宋" w:cs="仿宋" w:hint="eastAsia"/>
        </w:rPr>
        <w:pict>
          <v:shape id="图片 229" o:spid="_x0000_i1029" type="#_x0000_t75" style="width:347.06pt;height:198.35pt;mso-position-horizontal-relative:page;mso-position-vertical-relative:page" filled="f" stroked="f">
            <v:imagedata r:id="rId25" o:title=""/>
            <v:path o:extrusionok="f"/>
            <o:lock v:ext="edit" aspectratio="t"/>
          </v:shape>
        </w:pict>
      </w:r>
    </w:p>
    <w:p w:rsidR="00092985">
      <w:pPr>
        <w:spacing w:after="158" w:afterLines="50"/>
        <w:jc w:val="center"/>
        <w:rPr>
          <w:rFonts w:ascii="仿宋" w:eastAsia="仿宋" w:hAnsi="仿宋" w:cs="仿宋" w:hint="eastAsia"/>
          <w:kern w:val="28"/>
          <w:sz w:val="28"/>
          <w:szCs w:val="28"/>
          <w:lang w:val="en-GB"/>
        </w:rPr>
      </w:pPr>
      <w:r>
        <w:rPr>
          <w:rFonts w:ascii="仿宋" w:eastAsia="仿宋" w:hAnsi="仿宋" w:cs="仿宋" w:hint="eastAsia"/>
          <w:kern w:val="28"/>
          <w:sz w:val="28"/>
          <w:szCs w:val="28"/>
          <w:lang w:val="en-GB"/>
        </w:rPr>
        <w:t>道路左侧边坡赤平投影图</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边坡支挡措施建议：</w:t>
      </w:r>
      <w:r>
        <w:rPr>
          <w:rFonts w:ascii="仿宋" w:eastAsia="仿宋" w:hAnsi="仿宋" w:cs="仿宋" w:hint="eastAsia"/>
          <w:spacing w:val="4"/>
          <w:sz w:val="28"/>
          <w:szCs w:val="28"/>
        </w:rPr>
        <w:t>采用分阶放坡处理，每阶高度不宜超过8m，土层段坡率值不大于1:1.5，强风化段岩体坡率值取1:1.25，中风化段岩体</w:t>
      </w:r>
      <w:r>
        <w:rPr>
          <w:rFonts w:ascii="仿宋" w:eastAsia="仿宋" w:hAnsi="仿宋" w:cs="仿宋" w:hint="eastAsia"/>
          <w:sz w:val="28"/>
        </w:rPr>
        <w:t>放坡</w:t>
      </w:r>
      <w:r>
        <w:rPr>
          <w:rFonts w:ascii="仿宋" w:eastAsia="仿宋" w:hAnsi="仿宋" w:cs="仿宋" w:hint="eastAsia"/>
          <w:bCs/>
          <w:sz w:val="28"/>
          <w:szCs w:val="28"/>
        </w:rPr>
        <w:t>坡率取破裂角60</w:t>
      </w:r>
      <w:r>
        <w:rPr>
          <w:rFonts w:ascii="仿宋" w:eastAsia="仿宋" w:hAnsi="仿宋" w:cs="仿宋" w:hint="eastAsia"/>
          <w:bCs/>
          <w:sz w:val="28"/>
          <w:szCs w:val="28"/>
        </w:rPr>
        <w:t>°</w:t>
      </w:r>
      <w:r>
        <w:rPr>
          <w:rFonts w:ascii="仿宋" w:eastAsia="仿宋" w:hAnsi="仿宋" w:cs="仿宋" w:hint="eastAsia"/>
          <w:spacing w:val="4"/>
          <w:sz w:val="28"/>
          <w:szCs w:val="28"/>
        </w:rPr>
        <w:t>；也可采用锚喷支护措施处理。边坡开挖即时清理坡面松动岩块，避面掉块或落石，并做好坡面、坡脚的排水措施和防冲刷措施。</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b/>
          <w:spacing w:val="4"/>
          <w:sz w:val="28"/>
          <w:szCs w:val="28"/>
        </w:rPr>
        <w:t>（2）右侧：</w:t>
      </w:r>
      <w:r>
        <w:rPr>
          <w:rFonts w:ascii="仿宋" w:eastAsia="仿宋" w:hAnsi="仿宋" w:cs="仿宋" w:hint="eastAsia"/>
          <w:spacing w:val="4"/>
          <w:sz w:val="28"/>
          <w:szCs w:val="28"/>
        </w:rPr>
        <w:t>根据设计方案：道路右侧形成最大高度为16m的岩质边坡(代表性剖面4、5)， 该段边坡坡向330</w:t>
      </w:r>
      <w:r>
        <w:rPr>
          <w:rFonts w:ascii="仿宋" w:eastAsia="仿宋" w:hAnsi="仿宋" w:cs="仿宋" w:hint="eastAsia"/>
          <w:spacing w:val="4"/>
          <w:sz w:val="28"/>
          <w:szCs w:val="28"/>
        </w:rPr>
        <w:t>°</w:t>
      </w:r>
      <w:r>
        <w:rPr>
          <w:rFonts w:ascii="仿宋" w:eastAsia="仿宋" w:hAnsi="仿宋" w:cs="仿宋" w:hint="eastAsia"/>
          <w:spacing w:val="4"/>
          <w:sz w:val="28"/>
          <w:szCs w:val="28"/>
        </w:rPr>
        <w:t>，边坡安全等级为二</w:t>
      </w:r>
      <w:r>
        <w:rPr>
          <w:rFonts w:ascii="仿宋" w:eastAsia="仿宋" w:hAnsi="仿宋" w:cs="仿宋" w:hint="eastAsia"/>
          <w:b/>
          <w:spacing w:val="4"/>
          <w:sz w:val="28"/>
          <w:szCs w:val="28"/>
        </w:rPr>
        <w:t>级</w:t>
      </w:r>
      <w:r>
        <w:rPr>
          <w:rFonts w:ascii="仿宋" w:eastAsia="仿宋" w:hAnsi="仿宋" w:cs="仿宋" w:hint="eastAsia"/>
          <w:spacing w:val="4"/>
          <w:sz w:val="28"/>
          <w:szCs w:val="28"/>
        </w:rPr>
        <w:t>，安全系数取</w:t>
      </w:r>
      <w:r>
        <w:rPr>
          <w:rFonts w:ascii="仿宋" w:eastAsia="仿宋" w:hAnsi="仿宋" w:cs="仿宋" w:hint="eastAsia"/>
          <w:b/>
          <w:spacing w:val="4"/>
          <w:sz w:val="28"/>
          <w:szCs w:val="28"/>
        </w:rPr>
        <w:t>1.30</w:t>
      </w:r>
      <w:r>
        <w:rPr>
          <w:rFonts w:ascii="仿宋" w:eastAsia="仿宋" w:hAnsi="仿宋" w:cs="仿宋" w:hint="eastAsia"/>
          <w:spacing w:val="4"/>
          <w:sz w:val="28"/>
          <w:szCs w:val="28"/>
        </w:rPr>
        <w:t>。边坡岩性为泥岩和砂岩。</w:t>
      </w:r>
    </w:p>
    <w:p w:rsidR="00092985">
      <w:pPr>
        <w:spacing w:line="560" w:lineRule="exact"/>
        <w:ind w:firstLine="560" w:firstLineChars="200"/>
        <w:rPr>
          <w:rFonts w:ascii="仿宋" w:eastAsia="仿宋" w:hAnsi="仿宋" w:cs="仿宋" w:hint="eastAsia"/>
          <w:spacing w:val="4"/>
          <w:sz w:val="28"/>
          <w:szCs w:val="28"/>
        </w:rPr>
      </w:pPr>
      <w:r>
        <w:rPr>
          <w:rFonts w:ascii="仿宋" w:eastAsia="仿宋" w:hAnsi="仿宋" w:cs="仿宋" w:hint="eastAsia"/>
          <w:spacing w:val="4"/>
          <w:sz w:val="28"/>
          <w:szCs w:val="28"/>
        </w:rPr>
        <w:t>据赤平投影图分析可知，边坡为切向坡；LX1与边坡呈大角度相交，对边坡稳定影响较小；LX2与边坡反向，对边坡稳定影响小；直立开挖后，边坡的稳定性主要受岩体自身强度控制。</w:t>
      </w:r>
    </w:p>
    <w:p w:rsidR="00092985">
      <w:pPr>
        <w:ind w:firstLine="560"/>
        <w:jc w:val="center"/>
        <w:rPr>
          <w:rFonts w:ascii="仿宋" w:eastAsia="仿宋" w:hAnsi="仿宋" w:cs="仿宋" w:hint="eastAsia"/>
          <w:spacing w:val="4"/>
          <w:sz w:val="28"/>
          <w:szCs w:val="28"/>
        </w:rPr>
      </w:pPr>
      <w:r>
        <w:rPr>
          <w:rFonts w:ascii="仿宋" w:eastAsia="仿宋" w:hAnsi="仿宋" w:cs="仿宋" w:hint="eastAsia"/>
        </w:rPr>
        <w:pict>
          <v:shape id="图片 230" o:spid="_x0000_i1030" type="#_x0000_t75" style="width:347.55pt;height:198.47pt;mso-position-horizontal-relative:page;mso-position-vertical-relative:page" filled="f" stroked="f">
            <v:imagedata r:id="rId26" o:title=""/>
            <v:path o:extrusionok="f"/>
            <o:lock v:ext="edit" aspectratio="t"/>
          </v:shape>
        </w:pict>
      </w:r>
    </w:p>
    <w:p w:rsidR="00092985">
      <w:pPr>
        <w:spacing w:after="158" w:afterLines="50"/>
        <w:jc w:val="center"/>
        <w:rPr>
          <w:rFonts w:ascii="仿宋" w:eastAsia="仿宋" w:hAnsi="仿宋" w:cs="仿宋" w:hint="eastAsia"/>
          <w:kern w:val="28"/>
          <w:sz w:val="28"/>
          <w:szCs w:val="28"/>
          <w:lang w:val="en-GB"/>
        </w:rPr>
      </w:pPr>
      <w:r>
        <w:rPr>
          <w:rFonts w:ascii="仿宋" w:eastAsia="仿宋" w:hAnsi="仿宋" w:cs="仿宋" w:hint="eastAsia"/>
          <w:kern w:val="28"/>
          <w:sz w:val="28"/>
          <w:szCs w:val="28"/>
          <w:lang w:val="en-GB"/>
        </w:rPr>
        <w:t>道路右侧边坡赤平投影图</w:t>
      </w:r>
    </w:p>
    <w:p w:rsidR="00092985">
      <w:pPr>
        <w:spacing w:line="560" w:lineRule="exact"/>
        <w:ind w:firstLine="560" w:firstLineChars="200"/>
        <w:rPr>
          <w:rFonts w:ascii="仿宋" w:eastAsia="仿宋" w:hAnsi="仿宋" w:cs="仿宋" w:hint="eastAsia"/>
          <w:spacing w:val="4"/>
          <w:sz w:val="28"/>
          <w:szCs w:val="28"/>
        </w:rPr>
        <w:sectPr>
          <w:headerReference w:type="default" r:id="rId29"/>
          <w:footerReference w:type="default" r:id="rId30"/>
          <w:type w:val="nextPage"/>
          <w:pgSz w:w="23811" w:h="16838" w:orient="landscape"/>
          <w:pgMar w:top="1083" w:right="1440" w:bottom="1083" w:left="1440" w:header="850" w:footer="1417" w:gutter="680"/>
          <w:pgNumType w:start="9"/>
          <w:cols w:num="2" w:space="425" w:equalWidth="0">
            <w:col w:w="9913" w:space="425"/>
            <w:col w:w="9913" w:space="0"/>
          </w:cols>
          <w:titlePg w:val="0"/>
          <w:docGrid w:type="lines" w:linePitch="316"/>
        </w:sectPr>
      </w:pPr>
      <w:r>
        <w:rPr>
          <w:rFonts w:ascii="仿宋" w:eastAsia="仿宋" w:hAnsi="仿宋" w:cs="仿宋" w:hint="eastAsia"/>
          <w:b/>
          <w:spacing w:val="4"/>
          <w:sz w:val="28"/>
          <w:szCs w:val="28"/>
        </w:rPr>
        <w:t>边坡支挡措施建议：</w:t>
      </w:r>
      <w:r>
        <w:rPr>
          <w:rFonts w:ascii="仿宋" w:eastAsia="仿宋" w:hAnsi="仿宋" w:cs="仿宋" w:hint="eastAsia"/>
          <w:spacing w:val="4"/>
          <w:sz w:val="28"/>
          <w:szCs w:val="28"/>
        </w:rPr>
        <w:t>采用分阶放坡处理，每阶高度不宜超过8m，强风化段岩体坡率值取1:1.25，中风化段岩体</w:t>
      </w:r>
      <w:r>
        <w:rPr>
          <w:rFonts w:ascii="仿宋" w:eastAsia="仿宋" w:hAnsi="仿宋" w:cs="仿宋" w:hint="eastAsia"/>
          <w:sz w:val="28"/>
        </w:rPr>
        <w:t>放坡</w:t>
      </w:r>
      <w:r>
        <w:rPr>
          <w:rFonts w:ascii="仿宋" w:eastAsia="仿宋" w:hAnsi="仿宋" w:cs="仿宋" w:hint="eastAsia"/>
          <w:bCs/>
          <w:sz w:val="28"/>
          <w:szCs w:val="28"/>
        </w:rPr>
        <w:t>坡率取破裂角60</w:t>
      </w:r>
      <w:r>
        <w:rPr>
          <w:rFonts w:ascii="仿宋" w:eastAsia="仿宋" w:hAnsi="仿宋" w:cs="仿宋" w:hint="eastAsia"/>
          <w:bCs/>
          <w:sz w:val="28"/>
          <w:szCs w:val="28"/>
        </w:rPr>
        <w:t>°</w:t>
      </w:r>
      <w:r>
        <w:rPr>
          <w:rFonts w:ascii="仿宋" w:eastAsia="仿宋" w:hAnsi="仿宋" w:cs="仿宋" w:hint="eastAsia"/>
          <w:spacing w:val="4"/>
          <w:sz w:val="28"/>
          <w:szCs w:val="28"/>
        </w:rPr>
        <w:t>；也可采用锚喷支护措施处理。边坡开挖即时清理坡面松动岩块，避面掉块或落石，并做好坡面、坡脚的排水措施和防冲刷措施。</w:t>
      </w:r>
    </w:p>
    <w:p w:rsidR="00092985">
      <w:pPr>
        <w:spacing w:line="560" w:lineRule="exact"/>
        <w:ind w:firstLine="560" w:firstLineChars="200"/>
        <w:rPr>
          <w:rFonts w:hint="eastAsia"/>
        </w:rPr>
      </w:pPr>
      <w:r>
        <w:rPr>
          <w:rFonts w:ascii="仿宋" w:eastAsia="仿宋" w:hAnsi="仿宋" w:cs="仿宋" w:hint="eastAsia"/>
          <w:b/>
          <w:spacing w:val="4"/>
          <w:sz w:val="28"/>
          <w:szCs w:val="28"/>
        </w:rPr>
        <w:t>路基建议</w:t>
      </w:r>
      <w:r>
        <w:rPr>
          <w:rFonts w:ascii="仿宋" w:eastAsia="仿宋" w:hAnsi="仿宋" w:cs="仿宋" w:hint="eastAsia"/>
          <w:spacing w:val="4"/>
          <w:sz w:val="28"/>
          <w:szCs w:val="28"/>
        </w:rPr>
        <w:t>：可以基岩作为道路基础持力层。</w:t>
      </w:r>
    </w:p>
    <w:p w:rsidR="00092985">
      <w:pPr>
        <w:pStyle w:val="Heading2"/>
        <w:numPr>
          <w:ilvl w:val="1"/>
          <w:numId w:val="8"/>
        </w:numPr>
        <w:spacing w:before="0" w:after="0" w:line="360" w:lineRule="auto"/>
        <w:ind w:firstLine="73"/>
        <w:rPr>
          <w:rFonts w:ascii="仿宋" w:eastAsia="仿宋" w:hAnsi="仿宋" w:cs="仿宋" w:hint="eastAsia"/>
          <w:sz w:val="30"/>
          <w:szCs w:val="30"/>
        </w:rPr>
      </w:pPr>
      <w:bookmarkStart w:id="47" w:name="_Toc30635"/>
      <w:bookmarkStart w:id="48" w:name="_Toc10135"/>
      <w:r>
        <w:rPr>
          <w:rFonts w:ascii="仿宋" w:eastAsia="仿宋" w:hAnsi="仿宋" w:cs="仿宋" w:hint="eastAsia"/>
          <w:sz w:val="30"/>
          <w:szCs w:val="30"/>
        </w:rPr>
        <w:t>地基评价</w:t>
      </w:r>
      <w:bookmarkEnd w:id="47"/>
    </w:p>
    <w:p w:rsidR="00092985">
      <w:pPr>
        <w:pStyle w:val="Heading3"/>
        <w:numPr>
          <w:ilvl w:val="2"/>
          <w:numId w:val="8"/>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地基均匀性评价</w:t>
      </w:r>
      <w:bookmarkEnd w:id="48"/>
    </w:p>
    <w:p w:rsidR="00092985">
      <w:pPr>
        <w:spacing w:line="560" w:lineRule="exact"/>
        <w:ind w:firstLine="560"/>
        <w:rPr>
          <w:rFonts w:ascii="仿宋" w:eastAsia="仿宋" w:hAnsi="仿宋" w:cs="仿宋" w:hint="eastAsia"/>
          <w:sz w:val="28"/>
        </w:rPr>
      </w:pPr>
      <w:r>
        <w:rPr>
          <w:rFonts w:ascii="仿宋" w:eastAsia="仿宋" w:hAnsi="仿宋" w:cs="仿宋" w:hint="eastAsia"/>
          <w:sz w:val="28"/>
        </w:rPr>
        <w:t>场内出露土层为素填土及残坡积粉质粘土，下伏基岩为侏罗系中统沙溪庙组砂岩和泥岩。</w:t>
      </w:r>
    </w:p>
    <w:p w:rsidR="00092985">
      <w:pPr>
        <w:spacing w:line="560" w:lineRule="exact"/>
        <w:ind w:firstLine="560"/>
        <w:rPr>
          <w:rFonts w:ascii="仿宋" w:eastAsia="仿宋" w:hAnsi="仿宋" w:cs="仿宋" w:hint="eastAsia"/>
          <w:sz w:val="28"/>
        </w:rPr>
      </w:pPr>
      <w:r>
        <w:rPr>
          <w:rFonts w:ascii="仿宋" w:eastAsia="仿宋" w:hAnsi="仿宋" w:cs="仿宋" w:hint="eastAsia"/>
          <w:sz w:val="28"/>
        </w:rPr>
        <w:t>素填土拟建场地内主要分布于沿线的房屋建筑区地坝、施工区和已建村级公路的路基填土。该区域人工抛填厚度变化较，结构松散～稍密，均匀性较差。</w:t>
      </w:r>
    </w:p>
    <w:p w:rsidR="00092985">
      <w:pPr>
        <w:spacing w:line="560" w:lineRule="exact"/>
        <w:ind w:firstLine="560"/>
        <w:rPr>
          <w:rFonts w:ascii="仿宋" w:eastAsia="仿宋" w:hAnsi="仿宋" w:cs="仿宋" w:hint="eastAsia"/>
          <w:sz w:val="28"/>
        </w:rPr>
      </w:pPr>
      <w:r>
        <w:rPr>
          <w:rFonts w:ascii="仿宋" w:eastAsia="仿宋" w:hAnsi="仿宋" w:cs="仿宋" w:hint="eastAsia"/>
          <w:sz w:val="28"/>
        </w:rPr>
        <w:t>粉质粘土场地内局部分布，一般厚度小于3m，主要呈可塑状（表层0.4-0.8m深度范围内含较多的植物根系）。干强度中等，韧性中等，均匀性较差。</w:t>
      </w:r>
    </w:p>
    <w:p w:rsidR="00092985">
      <w:pPr>
        <w:spacing w:line="560" w:lineRule="exact"/>
        <w:ind w:firstLine="560"/>
        <w:rPr>
          <w:rFonts w:hint="eastAsia"/>
        </w:rPr>
      </w:pPr>
      <w:r>
        <w:rPr>
          <w:rFonts w:ascii="仿宋" w:eastAsia="仿宋" w:hAnsi="仿宋" w:cs="仿宋" w:hint="eastAsia"/>
          <w:sz w:val="28"/>
        </w:rPr>
        <w:t>下伏基岩主要为砂岩和泥岩互层，岩体较完整、连续，但各岩层之间的力学性质差异较大，场地内青灰色砂岩抗压强度较高，泥岩抗压强度相对较低。地基均匀性一般。</w:t>
      </w:r>
    </w:p>
    <w:p w:rsidR="00092985">
      <w:pPr>
        <w:pStyle w:val="Heading3"/>
        <w:numPr>
          <w:ilvl w:val="2"/>
          <w:numId w:val="8"/>
        </w:numPr>
        <w:spacing w:before="0" w:after="0" w:line="360" w:lineRule="auto"/>
        <w:ind w:hanging="69"/>
        <w:jc w:val="left"/>
        <w:rPr>
          <w:rFonts w:ascii="仿宋" w:eastAsia="仿宋" w:hAnsi="仿宋" w:cs="仿宋" w:hint="eastAsia"/>
          <w:sz w:val="28"/>
          <w:szCs w:val="28"/>
        </w:rPr>
      </w:pPr>
      <w:bookmarkStart w:id="49" w:name="_Toc455402659"/>
      <w:bookmarkStart w:id="50" w:name="_Toc116547218"/>
      <w:bookmarkStart w:id="51" w:name="_Toc29692"/>
      <w:bookmarkStart w:id="52" w:name="_Toc13561"/>
      <w:bookmarkEnd w:id="26"/>
      <w:bookmarkEnd w:id="27"/>
      <w:bookmarkEnd w:id="28"/>
      <w:r>
        <w:rPr>
          <w:rFonts w:ascii="仿宋" w:eastAsia="仿宋" w:hAnsi="仿宋" w:cs="仿宋" w:hint="eastAsia"/>
          <w:sz w:val="28"/>
          <w:szCs w:val="28"/>
        </w:rPr>
        <w:t>持力层及基础型式建议</w:t>
      </w:r>
      <w:bookmarkEnd w:id="52"/>
    </w:p>
    <w:p w:rsidR="00092985">
      <w:pPr>
        <w:spacing w:line="560" w:lineRule="exact"/>
        <w:ind w:firstLine="560" w:firstLineChars="200"/>
        <w:rPr>
          <w:rFonts w:ascii="仿宋" w:eastAsia="仿宋" w:hAnsi="仿宋" w:cs="仿宋" w:hint="eastAsia"/>
          <w:sz w:val="28"/>
        </w:rPr>
      </w:pPr>
      <w:r>
        <w:rPr>
          <w:rFonts w:ascii="仿宋" w:eastAsia="仿宋" w:hAnsi="仿宋" w:cs="仿宋" w:hint="eastAsia"/>
          <w:sz w:val="28"/>
        </w:rPr>
        <w:t>1、第四系土层总体厚度较薄，分布不均匀，承载力较低，压缩性较大，针对本工程特点，不宜直接作为重要结构的基础持力层，特别上斜坡区残坡积粉质粘土和素填土，现状低洼积水区、地表水体富集（地势低洼区）地带饱和土体应清除换填。</w:t>
      </w:r>
    </w:p>
    <w:p w:rsidR="00092985">
      <w:pPr>
        <w:spacing w:line="560" w:lineRule="exact"/>
        <w:ind w:firstLine="560"/>
        <w:rPr>
          <w:rFonts w:ascii="仿宋" w:eastAsia="仿宋" w:hAnsi="仿宋" w:cs="仿宋" w:hint="eastAsia"/>
          <w:sz w:val="28"/>
        </w:rPr>
      </w:pPr>
      <w:r>
        <w:rPr>
          <w:rFonts w:ascii="仿宋" w:eastAsia="仿宋" w:hAnsi="仿宋" w:cs="仿宋" w:hint="eastAsia"/>
          <w:sz w:val="28"/>
        </w:rPr>
        <w:t>2、基岩强风化层，分布厚度、结构变化大，均匀性较差，岩芯较破碎，承载力较低，针对本工程特点，可以作为路基及重要性较低的构筑物基础持力层，不能作为重要支挡结构的基础持力层。</w:t>
      </w:r>
    </w:p>
    <w:p w:rsidR="00092985">
      <w:pPr>
        <w:spacing w:line="560" w:lineRule="exact"/>
        <w:ind w:firstLine="560"/>
        <w:rPr>
          <w:rFonts w:ascii="仿宋" w:eastAsia="仿宋" w:hAnsi="仿宋" w:cs="仿宋" w:hint="eastAsia"/>
          <w:sz w:val="28"/>
          <w:szCs w:val="28"/>
        </w:rPr>
      </w:pPr>
      <w:r>
        <w:rPr>
          <w:rFonts w:ascii="仿宋" w:eastAsia="仿宋" w:hAnsi="仿宋" w:cs="仿宋" w:hint="eastAsia"/>
          <w:sz w:val="28"/>
        </w:rPr>
        <w:t>3、中风化基岩层分布厚度相对稳定，是路基，支挡结构的理想持力层。</w:t>
      </w:r>
    </w:p>
    <w:p w:rsidR="00092985">
      <w:pPr>
        <w:pStyle w:val="Heading3"/>
        <w:numPr>
          <w:ilvl w:val="2"/>
          <w:numId w:val="8"/>
        </w:numPr>
        <w:spacing w:before="0" w:after="0" w:line="360" w:lineRule="auto"/>
        <w:ind w:hanging="69"/>
        <w:jc w:val="left"/>
        <w:rPr>
          <w:rFonts w:ascii="仿宋" w:eastAsia="仿宋" w:hAnsi="仿宋" w:cs="仿宋" w:hint="eastAsia"/>
          <w:sz w:val="28"/>
          <w:szCs w:val="28"/>
        </w:rPr>
      </w:pPr>
      <w:bookmarkStart w:id="53" w:name="_Toc313719928"/>
      <w:bookmarkStart w:id="54" w:name="_Toc16644"/>
      <w:bookmarkStart w:id="55" w:name="_Toc116547219"/>
      <w:bookmarkStart w:id="56" w:name="_Toc15766"/>
      <w:bookmarkEnd w:id="49"/>
      <w:bookmarkEnd w:id="50"/>
      <w:bookmarkEnd w:id="51"/>
      <w:r>
        <w:rPr>
          <w:rFonts w:ascii="仿宋" w:eastAsia="仿宋" w:hAnsi="仿宋" w:cs="仿宋" w:hint="eastAsia"/>
          <w:sz w:val="28"/>
          <w:szCs w:val="28"/>
        </w:rPr>
        <w:t>路基建议</w:t>
      </w:r>
      <w:bookmarkEnd w:id="56"/>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rPr>
        <w:t>本场地道路设计标高低于现状地形标高，且基岩埋深较浅，建议采用基岩做路基；对于部分填方区，可考虑以压实填土为路基基础持力层，回填填土的压实度，承载力需要经过现场试验满足设计要求方可作为基础持力层。</w:t>
      </w:r>
    </w:p>
    <w:p w:rsidR="00092985">
      <w:pPr>
        <w:pStyle w:val="Heading3"/>
        <w:numPr>
          <w:ilvl w:val="2"/>
          <w:numId w:val="8"/>
        </w:numPr>
        <w:spacing w:before="0" w:after="0" w:line="360" w:lineRule="auto"/>
        <w:ind w:hanging="69"/>
        <w:jc w:val="left"/>
        <w:rPr>
          <w:rFonts w:ascii="仿宋" w:eastAsia="仿宋" w:hAnsi="仿宋" w:cs="仿宋" w:hint="eastAsia"/>
          <w:sz w:val="28"/>
          <w:szCs w:val="28"/>
        </w:rPr>
      </w:pPr>
      <w:bookmarkStart w:id="57" w:name="_Toc14563"/>
      <w:r>
        <w:rPr>
          <w:rFonts w:ascii="仿宋" w:eastAsia="仿宋" w:hAnsi="仿宋" w:cs="仿宋" w:hint="eastAsia"/>
          <w:sz w:val="28"/>
          <w:szCs w:val="28"/>
        </w:rPr>
        <w:t>特殊性岩土评价</w:t>
      </w:r>
      <w:bookmarkEnd w:id="57"/>
    </w:p>
    <w:p w:rsidR="00092985">
      <w:pPr>
        <w:spacing w:line="560" w:lineRule="exact"/>
        <w:ind w:firstLine="560" w:firstLineChars="200"/>
        <w:rPr>
          <w:rFonts w:ascii="仿宋" w:eastAsia="仿宋" w:hAnsi="仿宋" w:cs="仿宋" w:hint="eastAsia"/>
          <w:sz w:val="28"/>
        </w:rPr>
      </w:pPr>
      <w:r>
        <w:rPr>
          <w:rFonts w:ascii="仿宋" w:eastAsia="仿宋" w:hAnsi="仿宋" w:cs="仿宋" w:hint="eastAsia"/>
          <w:sz w:val="28"/>
        </w:rPr>
        <w:t>场地素填土、软塑状粉质粘土为特殊性土。</w:t>
      </w:r>
    </w:p>
    <w:p w:rsidR="00092985">
      <w:pPr>
        <w:spacing w:line="560" w:lineRule="exact"/>
        <w:ind w:firstLine="560" w:firstLineChars="200"/>
        <w:rPr>
          <w:rFonts w:ascii="仿宋" w:eastAsia="仿宋" w:hAnsi="仿宋" w:cs="仿宋" w:hint="eastAsia"/>
          <w:sz w:val="28"/>
        </w:rPr>
      </w:pPr>
      <w:r>
        <w:rPr>
          <w:rFonts w:ascii="仿宋" w:eastAsia="仿宋" w:hAnsi="仿宋" w:cs="仿宋" w:hint="eastAsia"/>
          <w:sz w:val="28"/>
        </w:rPr>
        <w:t>素填土在拟建场地内主要分布于沿线的房屋建筑区地坝、施工区和已建村级公路的路基填土。填土多由砂岩、泥岩碎块及其风化物夹粉质粘土组成，结构主要呈松散～稍密状，分布不均，不宜直接作为持力层，若需用填土作为持力层建议采用强夯进行压实，承载力应根据现场载荷试验确定。</w:t>
      </w:r>
    </w:p>
    <w:p w:rsidR="00092985">
      <w:pPr>
        <w:spacing w:line="560" w:lineRule="exact"/>
        <w:ind w:firstLine="560" w:firstLineChars="200"/>
        <w:rPr>
          <w:rFonts w:ascii="仿宋" w:eastAsia="仿宋" w:hAnsi="仿宋" w:cs="仿宋" w:hint="eastAsia"/>
          <w:sz w:val="28"/>
        </w:rPr>
      </w:pPr>
      <w:r>
        <w:rPr>
          <w:rFonts w:ascii="仿宋" w:eastAsia="仿宋" w:hAnsi="仿宋" w:cs="仿宋" w:hint="eastAsia"/>
          <w:sz w:val="28"/>
        </w:rPr>
        <w:t>软塑状粉质粘土多分布于场地表层，厚度小，干强度、韧性均低，无摇震反应，对场地影响较小。</w:t>
      </w:r>
    </w:p>
    <w:p w:rsidR="00092985">
      <w:pPr>
        <w:spacing w:line="560" w:lineRule="exact"/>
        <w:ind w:firstLine="560" w:firstLineChars="200"/>
        <w:rPr>
          <w:rFonts w:ascii="仿宋" w:eastAsia="仿宋" w:hAnsi="仿宋" w:cs="仿宋" w:hint="eastAsia"/>
          <w:sz w:val="28"/>
        </w:rPr>
      </w:pPr>
      <w:r>
        <w:rPr>
          <w:rFonts w:ascii="仿宋" w:eastAsia="仿宋" w:hAnsi="仿宋" w:cs="仿宋" w:hint="eastAsia"/>
          <w:sz w:val="28"/>
        </w:rPr>
        <w:t>粉质粘土：多分布于场地农田地带的表层，路基以下厚度较小，干强度中等、韧性中等，摇振无反应，需对表层土体进行换填，换填后对场地影响较小。</w:t>
      </w:r>
    </w:p>
    <w:p w:rsidR="00092985">
      <w:pPr>
        <w:spacing w:line="560" w:lineRule="exact"/>
        <w:ind w:firstLine="560" w:firstLineChars="200"/>
        <w:rPr>
          <w:rFonts w:ascii="仿宋" w:eastAsia="仿宋" w:hAnsi="仿宋" w:cs="仿宋" w:hint="eastAsia"/>
          <w:sz w:val="28"/>
        </w:rPr>
      </w:pPr>
      <w:r>
        <w:rPr>
          <w:rFonts w:ascii="仿宋" w:eastAsia="仿宋" w:hAnsi="仿宋" w:cs="仿宋" w:hint="eastAsia"/>
          <w:sz w:val="28"/>
        </w:rPr>
        <w:t>风化岩：本场地内强风化岩较为破碎，性质相对稳定，无特殊性质，厚度小，可不进行特殊处理。</w:t>
      </w:r>
    </w:p>
    <w:p w:rsidR="00092985">
      <w:pPr>
        <w:pStyle w:val="Heading3"/>
        <w:numPr>
          <w:ilvl w:val="2"/>
          <w:numId w:val="8"/>
        </w:numPr>
        <w:spacing w:before="0" w:after="0" w:line="360" w:lineRule="auto"/>
        <w:ind w:hanging="69"/>
        <w:jc w:val="left"/>
        <w:rPr>
          <w:rFonts w:ascii="仿宋" w:eastAsia="仿宋" w:hAnsi="仿宋" w:cs="仿宋" w:hint="eastAsia"/>
          <w:sz w:val="28"/>
          <w:szCs w:val="28"/>
        </w:rPr>
      </w:pPr>
      <w:bookmarkStart w:id="58" w:name="_Toc20792"/>
      <w:r>
        <w:rPr>
          <w:rFonts w:ascii="仿宋" w:eastAsia="仿宋" w:hAnsi="仿宋" w:cs="仿宋" w:hint="eastAsia"/>
          <w:sz w:val="28"/>
          <w:szCs w:val="28"/>
        </w:rPr>
        <w:t>场地土体及地下水腐蚀性评价</w:t>
      </w:r>
      <w:bookmarkEnd w:id="58"/>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土体腐蚀性：拟建场地及周边无污染源，根据邻近场地工程经验，判断土体对混凝土结构有微腐蚀；按地层渗透性，对混凝土结构在强透水土层有弱腐蚀。其他均为微腐蚀，在弱透水土层均为微腐蚀；对钢筋混凝土结构中钢筋有微腐蚀。</w:t>
      </w:r>
    </w:p>
    <w:p w:rsidR="00092985">
      <w:pPr>
        <w:spacing w:line="560" w:lineRule="exact"/>
        <w:ind w:firstLine="560"/>
        <w:rPr>
          <w:rFonts w:ascii="仿宋" w:eastAsia="仿宋" w:hAnsi="仿宋" w:cs="仿宋" w:hint="eastAsia"/>
          <w:sz w:val="28"/>
          <w:szCs w:val="28"/>
        </w:rPr>
      </w:pPr>
      <w:r>
        <w:rPr>
          <w:rFonts w:ascii="仿宋" w:eastAsia="仿宋" w:hAnsi="仿宋" w:cs="仿宋" w:hint="eastAsia"/>
          <w:sz w:val="28"/>
          <w:szCs w:val="28"/>
        </w:rPr>
        <w:t>地下水腐蚀性评价：结合周边工程建设经验，同时参考拟建建场地周边工地资料的结论：场地为</w:t>
      </w:r>
      <w:r>
        <w:rPr>
          <w:rFonts w:ascii="仿宋" w:eastAsia="仿宋" w:hAnsi="仿宋" w:cs="仿宋" w:hint="eastAsia"/>
          <w:sz w:val="28"/>
          <w:szCs w:val="28"/>
        </w:rPr>
        <w:t>Ⅲ</w:t>
      </w:r>
      <w:r>
        <w:rPr>
          <w:rFonts w:ascii="仿宋" w:eastAsia="仿宋" w:hAnsi="仿宋" w:cs="仿宋" w:hint="eastAsia"/>
          <w:sz w:val="28"/>
          <w:szCs w:val="28"/>
        </w:rPr>
        <w:t>类环境，该区域地下水对混凝土结构及钢筋混凝土结构中的钢筋具有微腐蚀；地下水对钢结构具有微腐蚀。</w:t>
      </w:r>
    </w:p>
    <w:p w:rsidR="00092985">
      <w:pPr>
        <w:pStyle w:val="Heading3"/>
        <w:numPr>
          <w:ilvl w:val="2"/>
          <w:numId w:val="8"/>
        </w:numPr>
        <w:spacing w:before="0" w:after="0" w:line="360" w:lineRule="auto"/>
        <w:ind w:hanging="69"/>
        <w:jc w:val="left"/>
        <w:rPr>
          <w:rFonts w:ascii="仿宋" w:eastAsia="仿宋" w:hAnsi="仿宋" w:cs="仿宋" w:hint="eastAsia"/>
          <w:sz w:val="28"/>
          <w:szCs w:val="28"/>
        </w:rPr>
      </w:pPr>
      <w:bookmarkStart w:id="59" w:name="_Toc19574"/>
      <w:r>
        <w:rPr>
          <w:rFonts w:ascii="仿宋" w:eastAsia="仿宋" w:hAnsi="仿宋" w:cs="仿宋" w:hint="eastAsia"/>
          <w:sz w:val="28"/>
          <w:szCs w:val="28"/>
        </w:rPr>
        <w:t>环境条件及相邻建构筑物影响评价</w:t>
      </w:r>
      <w:bookmarkEnd w:id="59"/>
    </w:p>
    <w:p w:rsidR="00092985">
      <w:pPr>
        <w:spacing w:line="560" w:lineRule="exact"/>
        <w:ind w:firstLine="560" w:firstLineChars="200"/>
        <w:rPr>
          <w:rFonts w:ascii="仿宋" w:eastAsia="仿宋" w:hAnsi="仿宋" w:cs="仿宋" w:hint="eastAsia"/>
          <w:sz w:val="28"/>
          <w:szCs w:val="28"/>
        </w:rPr>
        <w:sectPr>
          <w:headerReference w:type="default" r:id="rId31"/>
          <w:footerReference w:type="default" r:id="rId32"/>
          <w:type w:val="nextPage"/>
          <w:pgSz w:w="23811" w:h="16838" w:orient="landscape"/>
          <w:pgMar w:top="1083" w:right="1440" w:bottom="1083" w:left="1440" w:header="850" w:footer="1417" w:gutter="680"/>
          <w:pgNumType w:start="10"/>
          <w:cols w:num="2" w:space="425" w:equalWidth="0">
            <w:col w:w="9913" w:space="425"/>
            <w:col w:w="9913" w:space="0"/>
          </w:cols>
          <w:titlePg w:val="0"/>
          <w:docGrid w:type="lines" w:linePitch="316"/>
        </w:sectPr>
      </w:pPr>
      <w:r>
        <w:rPr>
          <w:rFonts w:ascii="仿宋" w:eastAsia="仿宋" w:hAnsi="仿宋" w:cs="仿宋" w:hint="eastAsia"/>
          <w:sz w:val="28"/>
          <w:szCs w:val="28"/>
        </w:rPr>
        <w:t>本项目道路沿线已有构筑物少，仅在道路K0+060～KO+130区间为现有施工区（含项目部），多为临时板房，在对该施工区进行搬迁后，拟建道路对相邻构筑物影响小。</w:t>
      </w:r>
    </w:p>
    <w:p w:rsidR="00092985">
      <w:pPr>
        <w:pStyle w:val="Heading3"/>
        <w:numPr>
          <w:ilvl w:val="2"/>
          <w:numId w:val="2"/>
        </w:numPr>
        <w:spacing w:before="0" w:after="0" w:line="360" w:lineRule="auto"/>
        <w:ind w:hanging="69"/>
        <w:jc w:val="left"/>
        <w:rPr>
          <w:rFonts w:ascii="仿宋" w:eastAsia="仿宋" w:hAnsi="仿宋" w:cs="仿宋" w:hint="eastAsia"/>
          <w:sz w:val="28"/>
          <w:szCs w:val="28"/>
        </w:rPr>
      </w:pPr>
      <w:bookmarkStart w:id="60" w:name="_Toc9530"/>
      <w:bookmarkStart w:id="61" w:name="_Toc135999548"/>
      <w:bookmarkStart w:id="62" w:name="_Toc9646346"/>
      <w:bookmarkStart w:id="63" w:name="_Toc481014388"/>
      <w:r>
        <w:rPr>
          <w:rFonts w:ascii="仿宋" w:eastAsia="仿宋" w:hAnsi="仿宋" w:cs="仿宋" w:hint="eastAsia"/>
          <w:sz w:val="28"/>
          <w:szCs w:val="28"/>
        </w:rPr>
        <w:t>路基干湿类型划分</w:t>
      </w:r>
      <w:bookmarkEnd w:id="60"/>
      <w:bookmarkEnd w:id="61"/>
      <w:bookmarkEnd w:id="62"/>
      <w:bookmarkEnd w:id="63"/>
    </w:p>
    <w:p w:rsidR="00092985">
      <w:pPr>
        <w:pStyle w:val="BodyTextIndent2"/>
        <w:spacing w:line="560" w:lineRule="exact"/>
        <w:rPr>
          <w:rFonts w:ascii="仿宋" w:eastAsia="仿宋" w:hAnsi="仿宋" w:cs="仿宋" w:hint="eastAsia"/>
          <w:szCs w:val="28"/>
        </w:rPr>
      </w:pPr>
      <w:r>
        <w:rPr>
          <w:rFonts w:ascii="仿宋" w:eastAsia="仿宋" w:hAnsi="仿宋" w:cs="仿宋" w:hint="eastAsia"/>
          <w:szCs w:val="28"/>
        </w:rPr>
        <w:t>根据钻探揭露的地表水和地下水揭露情况，结合地区经验，对拟建线路不同的工点类型，分段进行路基干湿类型划分。</w:t>
      </w:r>
    </w:p>
    <w:p w:rsidR="00092985">
      <w:pPr>
        <w:spacing w:before="158" w:beforeLines="50"/>
        <w:ind w:firstLine="574" w:firstLineChars="205"/>
        <w:jc w:val="center"/>
        <w:rPr>
          <w:rFonts w:ascii="仿宋" w:eastAsia="仿宋" w:hAnsi="仿宋" w:cs="仿宋" w:hint="eastAsia"/>
          <w:sz w:val="28"/>
          <w:szCs w:val="28"/>
        </w:rPr>
      </w:pPr>
      <w:r>
        <w:rPr>
          <w:rFonts w:ascii="仿宋" w:eastAsia="仿宋" w:hAnsi="仿宋" w:cs="仿宋" w:hint="eastAsia"/>
          <w:sz w:val="28"/>
          <w:szCs w:val="28"/>
        </w:rPr>
        <w:t>路基干湿类型划分表</w:t>
      </w:r>
    </w:p>
    <w:tbl>
      <w:tblPr>
        <w:tblStyle w:val="TableNormal"/>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88"/>
        <w:gridCol w:w="3003"/>
        <w:gridCol w:w="1768"/>
        <w:gridCol w:w="1577"/>
        <w:gridCol w:w="2189"/>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3"/>
          <w:jc w:val="center"/>
        </w:trPr>
        <w:tc>
          <w:tcPr>
            <w:tcW w:w="784" w:type="pct"/>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道路编号</w:t>
            </w:r>
          </w:p>
        </w:tc>
        <w:tc>
          <w:tcPr>
            <w:tcW w:w="1482" w:type="pct"/>
            <w:noWrap/>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里程桩号</w:t>
            </w:r>
          </w:p>
        </w:tc>
        <w:tc>
          <w:tcPr>
            <w:tcW w:w="872" w:type="pct"/>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路基岩性</w:t>
            </w:r>
          </w:p>
        </w:tc>
        <w:tc>
          <w:tcPr>
            <w:tcW w:w="779" w:type="pct"/>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工点类别</w:t>
            </w:r>
          </w:p>
        </w:tc>
        <w:tc>
          <w:tcPr>
            <w:tcW w:w="1080" w:type="pct"/>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路基干湿类型</w:t>
            </w:r>
          </w:p>
        </w:tc>
      </w:tr>
      <w:tr>
        <w:tblPrEx>
          <w:tblW w:w="4998" w:type="pct"/>
          <w:jc w:val="center"/>
          <w:tblInd w:w="0" w:type="dxa"/>
          <w:tblLook w:val="0000"/>
        </w:tblPrEx>
        <w:trPr>
          <w:trHeight w:val="254"/>
          <w:jc w:val="center"/>
        </w:trPr>
        <w:tc>
          <w:tcPr>
            <w:tcW w:w="784" w:type="pct"/>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沙湾路</w:t>
            </w:r>
          </w:p>
        </w:tc>
        <w:tc>
          <w:tcPr>
            <w:tcW w:w="1482" w:type="pct"/>
            <w:noWrap/>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K0+000～K0+209.241</w:t>
            </w:r>
          </w:p>
        </w:tc>
        <w:tc>
          <w:tcPr>
            <w:tcW w:w="872" w:type="pct"/>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填土/基岩</w:t>
            </w:r>
          </w:p>
        </w:tc>
        <w:tc>
          <w:tcPr>
            <w:tcW w:w="779" w:type="pct"/>
            <w:vAlign w:val="center"/>
          </w:tcPr>
          <w:p w:rsidR="00092985">
            <w:pPr>
              <w:rPr>
                <w:rFonts w:ascii="仿宋" w:eastAsia="仿宋" w:hAnsi="仿宋" w:cs="仿宋" w:hint="eastAsia"/>
                <w:kern w:val="0"/>
                <w:sz w:val="28"/>
                <w:szCs w:val="28"/>
              </w:rPr>
            </w:pPr>
            <w:r>
              <w:rPr>
                <w:rFonts w:ascii="仿宋" w:eastAsia="仿宋" w:hAnsi="仿宋" w:cs="仿宋" w:hint="eastAsia"/>
                <w:kern w:val="0"/>
                <w:sz w:val="28"/>
                <w:szCs w:val="28"/>
              </w:rPr>
              <w:t>挖方道路</w:t>
            </w:r>
          </w:p>
        </w:tc>
        <w:tc>
          <w:tcPr>
            <w:tcW w:w="1080" w:type="pct"/>
            <w:vAlign w:val="center"/>
          </w:tcPr>
          <w:p w:rsidR="00092985">
            <w:pPr>
              <w:jc w:val="center"/>
              <w:rPr>
                <w:rFonts w:ascii="仿宋" w:eastAsia="仿宋" w:hAnsi="仿宋" w:cs="仿宋" w:hint="eastAsia"/>
                <w:kern w:val="0"/>
                <w:sz w:val="28"/>
                <w:szCs w:val="28"/>
              </w:rPr>
            </w:pPr>
            <w:r>
              <w:rPr>
                <w:rFonts w:ascii="仿宋" w:eastAsia="仿宋" w:hAnsi="仿宋" w:cs="仿宋" w:hint="eastAsia"/>
                <w:kern w:val="0"/>
                <w:sz w:val="28"/>
                <w:szCs w:val="28"/>
              </w:rPr>
              <w:t>干燥</w:t>
            </w:r>
          </w:p>
        </w:tc>
      </w:tr>
    </w:tbl>
    <w:p w:rsidR="00092985">
      <w:pPr>
        <w:pStyle w:val="Heading3"/>
        <w:numPr>
          <w:ilvl w:val="2"/>
          <w:numId w:val="2"/>
        </w:numPr>
        <w:spacing w:before="0" w:after="0" w:line="360" w:lineRule="auto"/>
        <w:ind w:hanging="69"/>
        <w:jc w:val="left"/>
        <w:rPr>
          <w:rFonts w:ascii="仿宋" w:eastAsia="仿宋" w:hAnsi="仿宋" w:cs="仿宋" w:hint="eastAsia"/>
          <w:sz w:val="28"/>
          <w:szCs w:val="28"/>
        </w:rPr>
      </w:pPr>
      <w:bookmarkStart w:id="64" w:name="_Toc13802"/>
      <w:bookmarkStart w:id="65" w:name="_Toc135999549"/>
      <w:r>
        <w:rPr>
          <w:rFonts w:ascii="仿宋" w:eastAsia="仿宋" w:hAnsi="仿宋" w:cs="仿宋" w:hint="eastAsia"/>
          <w:sz w:val="28"/>
          <w:szCs w:val="28"/>
        </w:rPr>
        <w:t>地表水及地下水作用评价</w:t>
      </w:r>
      <w:bookmarkEnd w:id="64"/>
      <w:bookmarkEnd w:id="65"/>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场地素填土、软塑状粉质粘土为特殊性土。</w:t>
      </w:r>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场地内砂岩地质构造裂隙不发育，而泥岩为相对隔水层，不利于地下水赋存，仅在第四系土层中存在少量孔隙水和上层滞水，主要受大气降水补给，径流途径短，排泄快、顺坡分散排泄的特点。</w:t>
      </w:r>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拟建道路区域为主要为斜坡地段，地势较高，覆盖粉质粘土及填土，基岩面与现状地形一致，排泄条件好，仅雨天有少量地下水存在，对拟建工程影响不大。部分区域形成的挖方路堑边坡，应对其做好截排水措施，防止雨水对边坡的侵蚀破坏。该区域地下水整体匮乏。建议施工时完善排水措施，尤其是邻近低洼处桩基施工区域，配备抽水设备抽排桩内积水。</w:t>
      </w:r>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b/>
          <w:sz w:val="28"/>
          <w:szCs w:val="28"/>
        </w:rPr>
        <w:t>特别注意问题：</w:t>
      </w:r>
      <w:r>
        <w:rPr>
          <w:rFonts w:ascii="仿宋" w:eastAsia="仿宋" w:hAnsi="仿宋" w:cs="仿宋" w:hint="eastAsia"/>
          <w:sz w:val="28"/>
          <w:szCs w:val="28"/>
        </w:rPr>
        <w:t>拟建道路右侧边坡开挖高度较大，应做好</w:t>
      </w:r>
      <w:r>
        <w:rPr>
          <w:rFonts w:ascii="仿宋" w:eastAsia="仿宋" w:hAnsi="仿宋" w:cs="仿宋" w:hint="eastAsia"/>
          <w:b/>
          <w:sz w:val="28"/>
          <w:szCs w:val="28"/>
        </w:rPr>
        <w:t>坡面封闭和截排水措施</w:t>
      </w:r>
      <w:r>
        <w:rPr>
          <w:rFonts w:ascii="仿宋" w:eastAsia="仿宋" w:hAnsi="仿宋" w:cs="仿宋" w:hint="eastAsia"/>
          <w:sz w:val="28"/>
          <w:szCs w:val="28"/>
        </w:rPr>
        <w:t>。</w:t>
      </w:r>
    </w:p>
    <w:p w:rsidR="00092985">
      <w:pPr>
        <w:spacing w:line="560" w:lineRule="exact"/>
        <w:ind w:firstLine="560" w:firstLineChars="200"/>
        <w:rPr>
          <w:rFonts w:ascii="仿宋" w:eastAsia="仿宋" w:hAnsi="仿宋" w:cs="仿宋" w:hint="eastAsia"/>
          <w:b/>
          <w:sz w:val="28"/>
          <w:szCs w:val="28"/>
        </w:rPr>
      </w:pPr>
      <w:r>
        <w:rPr>
          <w:rFonts w:ascii="仿宋" w:eastAsia="仿宋" w:hAnsi="仿宋" w:cs="仿宋" w:hint="eastAsia"/>
          <w:sz w:val="28"/>
          <w:szCs w:val="28"/>
        </w:rPr>
        <w:t>根据本报告第</w:t>
      </w:r>
      <w:r>
        <w:rPr>
          <w:rFonts w:ascii="仿宋" w:eastAsia="仿宋" w:hAnsi="仿宋" w:cs="仿宋" w:hint="eastAsia"/>
          <w:sz w:val="28"/>
          <w:szCs w:val="28"/>
        </w:rPr>
        <w:t>“</w:t>
      </w:r>
      <w:r>
        <w:rPr>
          <w:rFonts w:ascii="仿宋" w:eastAsia="仿宋" w:hAnsi="仿宋" w:cs="仿宋" w:hint="eastAsia"/>
          <w:sz w:val="28"/>
          <w:szCs w:val="28"/>
        </w:rPr>
        <w:t>3.7</w:t>
      </w:r>
      <w:r>
        <w:rPr>
          <w:rFonts w:ascii="仿宋" w:eastAsia="仿宋" w:hAnsi="仿宋" w:cs="仿宋" w:hint="eastAsia"/>
          <w:sz w:val="28"/>
          <w:szCs w:val="28"/>
        </w:rPr>
        <w:t>”</w:t>
      </w:r>
      <w:r>
        <w:rPr>
          <w:rFonts w:ascii="仿宋" w:eastAsia="仿宋" w:hAnsi="仿宋" w:cs="仿宋" w:hint="eastAsia"/>
          <w:sz w:val="28"/>
          <w:szCs w:val="28"/>
        </w:rPr>
        <w:t>章节评价结论：场地为</w:t>
      </w:r>
      <w:r>
        <w:rPr>
          <w:rFonts w:ascii="仿宋" w:eastAsia="仿宋" w:hAnsi="仿宋" w:cs="仿宋" w:hint="eastAsia"/>
          <w:sz w:val="28"/>
          <w:szCs w:val="28"/>
        </w:rPr>
        <w:t>Ⅲ</w:t>
      </w:r>
      <w:r>
        <w:rPr>
          <w:rFonts w:ascii="仿宋" w:eastAsia="仿宋" w:hAnsi="仿宋" w:cs="仿宋" w:hint="eastAsia"/>
          <w:sz w:val="28"/>
          <w:szCs w:val="28"/>
        </w:rPr>
        <w:t>类环境，该区域地下水对混凝土结构及钢筋混凝土结构中的钢筋具有</w:t>
      </w:r>
      <w:r>
        <w:rPr>
          <w:rFonts w:ascii="仿宋" w:eastAsia="仿宋" w:hAnsi="仿宋" w:cs="仿宋" w:hint="eastAsia"/>
          <w:b/>
          <w:sz w:val="28"/>
          <w:szCs w:val="28"/>
        </w:rPr>
        <w:t>微腐蚀</w:t>
      </w:r>
      <w:r>
        <w:rPr>
          <w:rFonts w:ascii="仿宋" w:eastAsia="仿宋" w:hAnsi="仿宋" w:cs="仿宋" w:hint="eastAsia"/>
          <w:sz w:val="28"/>
          <w:szCs w:val="28"/>
        </w:rPr>
        <w:t>；地下水对钢结构具有</w:t>
      </w:r>
      <w:r>
        <w:rPr>
          <w:rFonts w:ascii="仿宋" w:eastAsia="仿宋" w:hAnsi="仿宋" w:cs="仿宋" w:hint="eastAsia"/>
          <w:b/>
          <w:sz w:val="28"/>
          <w:szCs w:val="28"/>
        </w:rPr>
        <w:t>微腐蚀</w:t>
      </w:r>
      <w:r>
        <w:rPr>
          <w:rFonts w:ascii="仿宋" w:eastAsia="仿宋" w:hAnsi="仿宋" w:cs="仿宋" w:hint="eastAsia"/>
          <w:sz w:val="28"/>
          <w:szCs w:val="28"/>
        </w:rPr>
        <w:t>。</w:t>
      </w:r>
    </w:p>
    <w:p w:rsidR="00092985">
      <w:pPr>
        <w:pStyle w:val="Heading3"/>
        <w:numPr>
          <w:ilvl w:val="2"/>
          <w:numId w:val="2"/>
        </w:numPr>
        <w:spacing w:before="0" w:after="0" w:line="360" w:lineRule="auto"/>
        <w:ind w:hanging="69"/>
        <w:jc w:val="left"/>
        <w:rPr>
          <w:rFonts w:ascii="仿宋" w:eastAsia="仿宋" w:hAnsi="仿宋" w:cs="仿宋" w:hint="eastAsia"/>
          <w:sz w:val="28"/>
          <w:szCs w:val="28"/>
        </w:rPr>
      </w:pPr>
      <w:bookmarkStart w:id="66" w:name="_Toc915"/>
      <w:bookmarkStart w:id="67" w:name="_Toc522453057"/>
      <w:bookmarkStart w:id="68" w:name="_Toc135999550"/>
      <w:r>
        <w:rPr>
          <w:rFonts w:ascii="仿宋" w:eastAsia="仿宋" w:hAnsi="仿宋" w:cs="仿宋" w:hint="eastAsia"/>
          <w:sz w:val="28"/>
          <w:szCs w:val="28"/>
        </w:rPr>
        <w:t>地质条件可能造成的工程风险分析</w:t>
      </w:r>
      <w:bookmarkEnd w:id="66"/>
      <w:bookmarkEnd w:id="67"/>
      <w:bookmarkEnd w:id="68"/>
    </w:p>
    <w:p w:rsidR="00092985">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根据《住房城乡建设部办公厅关于进一步加强危险性较大的分部分项工程安全管理的通知》建办质[2017]39号文</w:t>
      </w:r>
      <w:r>
        <w:rPr>
          <w:rFonts w:ascii="仿宋" w:eastAsia="仿宋" w:hAnsi="仿宋" w:cs="仿宋" w:hint="eastAsia"/>
          <w:sz w:val="28"/>
          <w:szCs w:val="28"/>
        </w:rPr>
        <w:t>“</w:t>
      </w:r>
      <w:r>
        <w:rPr>
          <w:rFonts w:ascii="仿宋" w:eastAsia="仿宋" w:hAnsi="仿宋" w:cs="仿宋" w:hint="eastAsia"/>
          <w:sz w:val="28"/>
          <w:szCs w:val="28"/>
        </w:rPr>
        <w:t>勘察单位应当针对工程实际，在勘察文件中说明地质条件可能造成的工程风险</w:t>
      </w:r>
      <w:r>
        <w:rPr>
          <w:rFonts w:ascii="仿宋" w:eastAsia="仿宋" w:hAnsi="仿宋" w:cs="仿宋" w:hint="eastAsia"/>
          <w:sz w:val="28"/>
          <w:szCs w:val="28"/>
        </w:rPr>
        <w:t>”</w:t>
      </w:r>
      <w:r>
        <w:rPr>
          <w:rFonts w:ascii="仿宋" w:eastAsia="仿宋" w:hAnsi="仿宋" w:cs="仿宋" w:hint="eastAsia"/>
          <w:sz w:val="28"/>
          <w:szCs w:val="28"/>
        </w:rPr>
        <w:t>的要求，本工程地质条件可能造成的工程风险，结合本报告工程地质评价章节：本建设工程主要的工程风险为：</w:t>
      </w:r>
    </w:p>
    <w:p w:rsidR="00092985">
      <w:pPr>
        <w:spacing w:line="560" w:lineRule="exact"/>
        <w:ind w:firstLine="560" w:firstLineChars="200"/>
        <w:rPr>
          <w:rFonts w:ascii="仿宋" w:eastAsia="仿宋" w:hAnsi="仿宋" w:cs="仿宋" w:hint="eastAsia"/>
          <w:b/>
          <w:sz w:val="28"/>
          <w:szCs w:val="28"/>
        </w:rPr>
      </w:pPr>
      <w:r>
        <w:rPr>
          <w:rFonts w:ascii="仿宋" w:eastAsia="仿宋" w:hAnsi="仿宋" w:cs="仿宋" w:hint="eastAsia"/>
          <w:b/>
          <w:sz w:val="28"/>
          <w:szCs w:val="28"/>
        </w:rPr>
        <w:t>1、边坡整体稳定性问题。</w:t>
      </w:r>
    </w:p>
    <w:p w:rsidR="00092985">
      <w:pPr>
        <w:spacing w:line="560" w:lineRule="exact"/>
        <w:ind w:firstLine="560"/>
        <w:rPr>
          <w:rFonts w:ascii="仿宋" w:eastAsia="仿宋" w:hAnsi="仿宋" w:cs="仿宋" w:hint="eastAsia"/>
          <w:sz w:val="28"/>
          <w:szCs w:val="28"/>
        </w:rPr>
      </w:pPr>
      <w:r>
        <w:rPr>
          <w:rFonts w:ascii="仿宋" w:eastAsia="仿宋" w:hAnsi="仿宋" w:cs="仿宋" w:hint="eastAsia"/>
          <w:sz w:val="28"/>
          <w:szCs w:val="28"/>
        </w:rPr>
        <w:t>道路沿线边坡，特别是道路右侧边坡高度大时，若施工方法不当，极易造成边坡失稳的工程问题，应采用动态化设计，逆作法施工，先设置支挡后再开挖。在施工时，应采用机械凿掘施工方式，避免爆破震动引起边坡失稳，禁止大断面开挖。同时，做好施工现场的截排水措施，施工期间加强对边坡影响范围内地面变形监测。</w:t>
      </w:r>
    </w:p>
    <w:p w:rsidR="00092985">
      <w:pPr>
        <w:pStyle w:val="Heading2"/>
        <w:numPr>
          <w:ilvl w:val="1"/>
          <w:numId w:val="2"/>
        </w:numPr>
        <w:spacing w:before="0" w:after="0" w:line="360" w:lineRule="auto"/>
        <w:ind w:firstLine="73"/>
        <w:rPr>
          <w:rFonts w:ascii="仿宋" w:eastAsia="仿宋" w:hAnsi="仿宋" w:cs="仿宋" w:hint="eastAsia"/>
          <w:sz w:val="30"/>
          <w:szCs w:val="30"/>
        </w:rPr>
      </w:pPr>
      <w:bookmarkStart w:id="69" w:name="_Toc26970"/>
      <w:r>
        <w:rPr>
          <w:rFonts w:ascii="仿宋" w:eastAsia="仿宋" w:hAnsi="仿宋" w:cs="仿宋" w:hint="eastAsia"/>
          <w:sz w:val="30"/>
          <w:szCs w:val="30"/>
        </w:rPr>
        <w:t>结论与建议</w:t>
      </w:r>
      <w:bookmarkEnd w:id="69"/>
    </w:p>
    <w:p w:rsidR="00092985">
      <w:pPr>
        <w:pStyle w:val="Heading3"/>
        <w:numPr>
          <w:ilvl w:val="2"/>
          <w:numId w:val="2"/>
        </w:numPr>
        <w:spacing w:before="0" w:after="0" w:line="360" w:lineRule="auto"/>
        <w:ind w:hanging="69"/>
        <w:jc w:val="left"/>
        <w:rPr>
          <w:rFonts w:ascii="仿宋" w:eastAsia="仿宋" w:hAnsi="仿宋" w:cs="仿宋" w:hint="eastAsia"/>
          <w:sz w:val="28"/>
          <w:szCs w:val="28"/>
        </w:rPr>
      </w:pPr>
      <w:bookmarkStart w:id="70" w:name="_Toc8693"/>
      <w:r>
        <w:rPr>
          <w:rFonts w:ascii="仿宋" w:eastAsia="仿宋" w:hAnsi="仿宋" w:cs="仿宋" w:hint="eastAsia"/>
          <w:sz w:val="28"/>
          <w:szCs w:val="28"/>
        </w:rPr>
        <w:t>结论</w:t>
      </w:r>
      <w:bookmarkEnd w:id="70"/>
    </w:p>
    <w:p w:rsidR="00092985">
      <w:pPr>
        <w:pStyle w:val="PlainText"/>
        <w:spacing w:line="560" w:lineRule="exact"/>
        <w:ind w:firstLine="560" w:firstLineChars="200"/>
        <w:rPr>
          <w:rFonts w:ascii="仿宋" w:eastAsia="仿宋" w:hAnsi="仿宋" w:cs="仿宋"/>
          <w:sz w:val="28"/>
        </w:rPr>
      </w:pPr>
      <w:r>
        <w:rPr>
          <w:rFonts w:ascii="仿宋" w:eastAsia="仿宋" w:hAnsi="仿宋" w:cs="仿宋"/>
          <w:sz w:val="28"/>
        </w:rPr>
        <w:t>1、根据现场地质调查，拟建道路范围内未发现滑坡、危岩、崩塌及泥石流以及地下不利埋藏物等不良地质现象。在对路堑边坡进行放坡或支挡等工程措施有效治理后，场地整体稳定，才适宜进行工程建设。</w:t>
      </w:r>
    </w:p>
    <w:p w:rsidR="00092985">
      <w:pPr>
        <w:pStyle w:val="PlainText"/>
        <w:spacing w:line="560" w:lineRule="exact"/>
        <w:ind w:firstLine="560"/>
        <w:rPr>
          <w:rFonts w:ascii="仿宋" w:eastAsia="仿宋" w:hAnsi="仿宋" w:cs="仿宋"/>
          <w:sz w:val="28"/>
        </w:rPr>
      </w:pPr>
      <w:r>
        <w:rPr>
          <w:rFonts w:ascii="仿宋" w:eastAsia="仿宋" w:hAnsi="仿宋" w:cs="仿宋"/>
          <w:sz w:val="28"/>
        </w:rPr>
        <w:t>2、拟建工程区水文地质条件简单，地下水贫乏，据该地区邻近场地类似工程取水、土样分析，以及场区周边无化学工业污染源，结合地区经验判定，地下水、土对混凝土和钢结构具有微腐蚀性。</w:t>
      </w:r>
    </w:p>
    <w:p w:rsidR="00092985">
      <w:pPr>
        <w:pStyle w:val="PlainText"/>
        <w:spacing w:line="560" w:lineRule="exact"/>
        <w:ind w:firstLine="560"/>
        <w:rPr>
          <w:rFonts w:ascii="仿宋" w:eastAsia="仿宋" w:hAnsi="仿宋" w:cs="仿宋"/>
          <w:sz w:val="28"/>
        </w:rPr>
      </w:pPr>
      <w:r>
        <w:rPr>
          <w:rFonts w:ascii="仿宋" w:eastAsia="仿宋" w:hAnsi="仿宋" w:cs="仿宋"/>
          <w:sz w:val="28"/>
        </w:rPr>
        <w:t>3、根据《中国地震动参数区划图》（GB18306-2015）和《建筑抗震设计规范》（GB50011-2010）（2016版）中的相关规定，该场地抗震设防烈度为6度，设计地震分组为第一组，设计基本加速度值取0.05g。拟建工各道路地震效应评价详见表5.1。</w:t>
      </w:r>
    </w:p>
    <w:p w:rsidR="00092985">
      <w:pPr>
        <w:pStyle w:val="PlainText"/>
        <w:spacing w:line="560" w:lineRule="exact"/>
        <w:ind w:firstLine="560"/>
        <w:rPr>
          <w:rFonts w:ascii="仿宋" w:eastAsia="仿宋" w:hAnsi="仿宋" w:cs="仿宋"/>
        </w:rPr>
      </w:pPr>
      <w:r>
        <w:rPr>
          <w:rFonts w:ascii="仿宋" w:eastAsia="仿宋" w:hAnsi="仿宋" w:cs="仿宋"/>
          <w:sz w:val="28"/>
        </w:rPr>
        <w:t>4、本工程岩土设计参数取值见详本报告表4.5-2。</w:t>
      </w:r>
    </w:p>
    <w:p w:rsidR="00092985">
      <w:pPr>
        <w:pStyle w:val="Heading3"/>
        <w:numPr>
          <w:ilvl w:val="2"/>
          <w:numId w:val="2"/>
        </w:numPr>
        <w:spacing w:before="0" w:after="0" w:line="360" w:lineRule="auto"/>
        <w:ind w:hanging="69"/>
        <w:jc w:val="left"/>
        <w:rPr>
          <w:rFonts w:ascii="仿宋" w:eastAsia="仿宋" w:hAnsi="仿宋" w:cs="仿宋" w:hint="eastAsia"/>
          <w:sz w:val="28"/>
          <w:szCs w:val="28"/>
        </w:rPr>
      </w:pPr>
      <w:bookmarkStart w:id="71" w:name="_Toc30658"/>
      <w:r>
        <w:rPr>
          <w:rFonts w:ascii="仿宋" w:eastAsia="仿宋" w:hAnsi="仿宋" w:cs="仿宋" w:hint="eastAsia"/>
          <w:sz w:val="28"/>
          <w:szCs w:val="28"/>
        </w:rPr>
        <w:t>建议</w:t>
      </w:r>
      <w:bookmarkEnd w:id="71"/>
    </w:p>
    <w:p w:rsidR="00092985">
      <w:pPr>
        <w:pStyle w:val="PlainText"/>
        <w:spacing w:line="560" w:lineRule="exact"/>
        <w:ind w:firstLine="560"/>
        <w:rPr>
          <w:rFonts w:ascii="仿宋" w:eastAsia="仿宋" w:hAnsi="仿宋" w:cs="仿宋"/>
          <w:sz w:val="28"/>
        </w:rPr>
      </w:pPr>
      <w:r>
        <w:rPr>
          <w:rFonts w:ascii="仿宋" w:eastAsia="仿宋" w:hAnsi="仿宋" w:cs="仿宋"/>
          <w:sz w:val="28"/>
        </w:rPr>
        <w:t>1、场地沿线的基岩可直接作为路基，新填土需经碾压夯实，满足现行规范及设计要求后方能作为路基。</w:t>
      </w:r>
    </w:p>
    <w:p w:rsidR="00092985">
      <w:pPr>
        <w:pStyle w:val="PlainText"/>
        <w:spacing w:line="560" w:lineRule="exact"/>
        <w:ind w:firstLine="560"/>
        <w:rPr>
          <w:rFonts w:ascii="仿宋" w:eastAsia="仿宋" w:hAnsi="仿宋" w:cs="仿宋"/>
          <w:sz w:val="28"/>
        </w:rPr>
        <w:sectPr>
          <w:headerReference w:type="default" r:id="rId33"/>
          <w:footerReference w:type="default" r:id="rId34"/>
          <w:type w:val="nextPage"/>
          <w:pgSz w:w="23811" w:h="16838" w:orient="landscape"/>
          <w:pgMar w:top="1083" w:right="1440" w:bottom="1083" w:left="1440" w:header="850" w:footer="1417" w:gutter="680"/>
          <w:pgNumType w:start="11"/>
          <w:cols w:num="2" w:space="425" w:equalWidth="0">
            <w:col w:w="9913" w:space="425"/>
            <w:col w:w="9913" w:space="0"/>
          </w:cols>
          <w:titlePg w:val="0"/>
          <w:docGrid w:type="lines" w:linePitch="316"/>
        </w:sectPr>
      </w:pPr>
    </w:p>
    <w:p w:rsidR="00092985">
      <w:pPr>
        <w:pStyle w:val="PlainText"/>
        <w:spacing w:line="560" w:lineRule="exact"/>
        <w:ind w:firstLine="560"/>
        <w:rPr>
          <w:rFonts w:ascii="仿宋" w:eastAsia="仿宋" w:hAnsi="仿宋" w:cs="仿宋"/>
          <w:sz w:val="28"/>
        </w:rPr>
      </w:pPr>
      <w:r>
        <w:rPr>
          <w:rFonts w:ascii="仿宋" w:eastAsia="仿宋" w:hAnsi="仿宋" w:cs="仿宋"/>
          <w:sz w:val="28"/>
        </w:rPr>
        <w:t>2、边坡应采用动态设计法，信息施工法。边坡开挖应采用逆作法由上至下分级开挖。</w:t>
      </w:r>
    </w:p>
    <w:p w:rsidR="00092985">
      <w:pPr>
        <w:pStyle w:val="PlainText"/>
        <w:spacing w:line="560" w:lineRule="exact"/>
        <w:ind w:firstLine="560"/>
        <w:rPr>
          <w:rFonts w:ascii="仿宋" w:eastAsia="仿宋" w:hAnsi="仿宋" w:cs="仿宋"/>
          <w:sz w:val="28"/>
        </w:rPr>
      </w:pPr>
      <w:r>
        <w:rPr>
          <w:rFonts w:ascii="仿宋" w:eastAsia="仿宋" w:hAnsi="仿宋" w:cs="仿宋"/>
          <w:sz w:val="28"/>
        </w:rPr>
        <w:t>放坡坡率：临时边坡放坡坡率：临时边坡放坡坡率：土层：1：1.5～1：1.75，强风化1：0.75，中风化1：0.5。</w:t>
      </w:r>
    </w:p>
    <w:p w:rsidR="00092985">
      <w:pPr>
        <w:pStyle w:val="PlainText"/>
        <w:spacing w:line="560" w:lineRule="exact"/>
        <w:ind w:firstLine="560"/>
        <w:rPr>
          <w:rFonts w:ascii="仿宋" w:eastAsia="仿宋" w:hAnsi="仿宋" w:cs="仿宋"/>
          <w:sz w:val="28"/>
        </w:rPr>
      </w:pPr>
      <w:r>
        <w:rPr>
          <w:rFonts w:ascii="仿宋" w:eastAsia="仿宋" w:hAnsi="仿宋" w:cs="仿宋"/>
          <w:sz w:val="28"/>
        </w:rPr>
        <w:t>永久性边坡坡率：按土层：1：1.50-1：2.0；强风化基岩：1：1.0；中风化基岩：1：0.75～1：1.0的坡率放坡，分级高度不宜大于8.0m，并在</w:t>
      </w:r>
      <w:r>
        <w:rPr>
          <w:rFonts w:ascii="仿宋" w:eastAsia="仿宋" w:hAnsi="仿宋" w:cs="仿宋"/>
          <w:sz w:val="28"/>
          <w:szCs w:val="28"/>
        </w:rPr>
        <w:t>边坡分阶处预留2m宽马道</w:t>
      </w:r>
      <w:r>
        <w:rPr>
          <w:rFonts w:ascii="仿宋" w:eastAsia="仿宋" w:hAnsi="仿宋" w:cs="仿宋"/>
          <w:sz w:val="28"/>
        </w:rPr>
        <w:t>。上述放坡坡率是指开挖边坡无外倾结构面，边坡稳定性受自身强度控制。如有外倾结构面的边坡，放坡坡率应与破裂角一致或采用部分放坡+支护的方式，详见各段边坡评价。</w:t>
      </w:r>
    </w:p>
    <w:p w:rsidR="00092985">
      <w:pPr>
        <w:pStyle w:val="PlainText"/>
        <w:spacing w:line="560" w:lineRule="exact"/>
        <w:ind w:firstLine="560"/>
        <w:rPr>
          <w:rFonts w:ascii="仿宋" w:eastAsia="仿宋" w:hAnsi="仿宋" w:cs="仿宋"/>
          <w:sz w:val="28"/>
        </w:rPr>
      </w:pPr>
      <w:r>
        <w:rPr>
          <w:rFonts w:ascii="仿宋" w:eastAsia="仿宋" w:hAnsi="仿宋" w:cs="仿宋"/>
          <w:sz w:val="28"/>
        </w:rPr>
        <w:t>若放坡受限，则建议边坡以红线为界，下部采用重力式或桩板式挡墙进行支挡处理。挖方路堑边坡施工时，应跳槽分段开挖，并尽量采用机械施工方式，避免爆破震动引起边坡失稳。按坡率法放坡处理的填土路堤边坡建议放坡处理后在坡角设置护脚挡墙。</w:t>
      </w:r>
      <w:r>
        <w:rPr>
          <w:rFonts w:ascii="仿宋" w:eastAsia="仿宋" w:hAnsi="仿宋" w:cs="仿宋"/>
          <w:b/>
          <w:sz w:val="28"/>
        </w:rPr>
        <w:t>施工时采用逆作法施工，禁止大断面开挖，应采用机械凿掘施工方式</w:t>
      </w:r>
      <w:r>
        <w:rPr>
          <w:rFonts w:ascii="仿宋" w:eastAsia="仿宋" w:hAnsi="仿宋" w:cs="仿宋"/>
          <w:sz w:val="28"/>
        </w:rPr>
        <w:t>。</w:t>
      </w:r>
    </w:p>
    <w:p w:rsidR="00092985">
      <w:pPr>
        <w:pStyle w:val="PlainText"/>
        <w:spacing w:line="560" w:lineRule="exact"/>
        <w:ind w:firstLine="560"/>
        <w:rPr>
          <w:rFonts w:ascii="仿宋" w:eastAsia="仿宋" w:hAnsi="仿宋" w:cs="仿宋"/>
          <w:sz w:val="28"/>
        </w:rPr>
      </w:pPr>
      <w:r>
        <w:rPr>
          <w:rFonts w:ascii="仿宋" w:eastAsia="仿宋" w:hAnsi="仿宋" w:cs="仿宋"/>
          <w:sz w:val="28"/>
        </w:rPr>
        <w:t>3、道路整平产生的填土做路基时，应进行分层碾压夯实，压实填土的压实度：上下路床≥0.96，上路堤≥0.94，下路堤≥0.93。压实填土承载力基本容许值应根据施工填料组成及λ值综合确定或在道路施工时作现场试验确定；场地粉质粘土及基岩可直接作为路基。</w:t>
      </w:r>
    </w:p>
    <w:p w:rsidR="00092985">
      <w:pPr>
        <w:pStyle w:val="PlainText"/>
        <w:spacing w:line="560" w:lineRule="exact"/>
        <w:ind w:firstLine="560"/>
        <w:rPr>
          <w:rFonts w:ascii="仿宋" w:eastAsia="仿宋" w:hAnsi="仿宋" w:cs="仿宋"/>
          <w:sz w:val="28"/>
        </w:rPr>
      </w:pPr>
      <w:r>
        <w:rPr>
          <w:rFonts w:ascii="仿宋" w:eastAsia="仿宋" w:hAnsi="仿宋" w:cs="仿宋"/>
          <w:sz w:val="28"/>
        </w:rPr>
        <w:t>4、本项目存在高边坡，应按照渝建发【2010】166号文的要求进行管理。</w:t>
      </w:r>
    </w:p>
    <w:p w:rsidR="00092985">
      <w:pPr>
        <w:pStyle w:val="PlainText"/>
        <w:spacing w:line="560" w:lineRule="exact"/>
        <w:ind w:firstLine="560"/>
        <w:rPr>
          <w:rFonts w:ascii="仿宋" w:eastAsia="仿宋" w:hAnsi="仿宋" w:cs="仿宋"/>
          <w:sz w:val="28"/>
        </w:rPr>
      </w:pPr>
      <w:r>
        <w:rPr>
          <w:rFonts w:ascii="仿宋" w:eastAsia="仿宋" w:hAnsi="仿宋" w:cs="仿宋"/>
          <w:sz w:val="28"/>
        </w:rPr>
        <w:t>5、建议加强施工验槽工作，如出现异常情况，应及时通知我公司及相关人员共同处理。</w:t>
      </w:r>
    </w:p>
    <w:p w:rsidR="00092985">
      <w:pPr>
        <w:pStyle w:val="Heading1"/>
        <w:numPr>
          <w:ilvl w:val="0"/>
          <w:numId w:val="9"/>
        </w:numPr>
        <w:tabs>
          <w:tab w:val="left" w:pos="-2120"/>
        </w:tabs>
        <w:spacing w:line="360" w:lineRule="auto"/>
        <w:ind w:left="640" w:firstLine="0"/>
        <w:jc w:val="both"/>
        <w:rPr>
          <w:rFonts w:ascii="仿宋" w:eastAsia="仿宋" w:hAnsi="仿宋" w:cs="仿宋" w:hint="eastAsia"/>
          <w:b/>
          <w:bCs/>
          <w:sz w:val="32"/>
          <w:szCs w:val="32"/>
        </w:rPr>
      </w:pPr>
      <w:bookmarkEnd w:id="53"/>
      <w:bookmarkEnd w:id="54"/>
      <w:bookmarkEnd w:id="55"/>
      <w:r>
        <w:rPr>
          <w:rFonts w:ascii="仿宋" w:eastAsia="仿宋" w:hAnsi="仿宋" w:cs="仿宋" w:hint="eastAsia"/>
          <w:b/>
          <w:bCs/>
          <w:sz w:val="32"/>
          <w:szCs w:val="32"/>
        </w:rPr>
        <w:t>计原则和技术指标</w:t>
      </w:r>
    </w:p>
    <w:p w:rsidR="00092985">
      <w:pPr>
        <w:pStyle w:val="Heading2"/>
        <w:numPr>
          <w:ilvl w:val="1"/>
          <w:numId w:val="9"/>
        </w:numPr>
        <w:spacing w:before="0" w:after="0" w:line="360" w:lineRule="auto"/>
        <w:ind w:firstLine="73"/>
        <w:rPr>
          <w:rFonts w:ascii="仿宋" w:eastAsia="仿宋" w:hAnsi="仿宋" w:cs="仿宋" w:hint="eastAsia"/>
          <w:sz w:val="30"/>
          <w:szCs w:val="30"/>
        </w:rPr>
      </w:pPr>
      <w:bookmarkStart w:id="72" w:name="_Toc13620"/>
      <w:r>
        <w:rPr>
          <w:rFonts w:ascii="仿宋" w:eastAsia="仿宋" w:hAnsi="仿宋" w:cs="仿宋" w:hint="eastAsia"/>
          <w:sz w:val="30"/>
          <w:szCs w:val="30"/>
        </w:rPr>
        <w:t>设计</w:t>
      </w:r>
      <w:bookmarkEnd w:id="72"/>
      <w:r>
        <w:rPr>
          <w:rFonts w:ascii="仿宋" w:eastAsia="仿宋" w:hAnsi="仿宋" w:cs="仿宋" w:hint="eastAsia"/>
          <w:sz w:val="30"/>
          <w:szCs w:val="30"/>
        </w:rPr>
        <w:t>原则</w:t>
      </w:r>
    </w:p>
    <w:p w:rsidR="00092985">
      <w:pPr>
        <w:spacing w:line="360" w:lineRule="auto"/>
        <w:ind w:firstLine="560" w:firstLineChars="200"/>
        <w:rPr>
          <w:rFonts w:ascii="仿宋" w:eastAsia="仿宋" w:hAnsi="仿宋" w:cs="仿宋" w:hint="eastAsia"/>
          <w:sz w:val="28"/>
          <w:szCs w:val="28"/>
        </w:rPr>
      </w:pPr>
      <w:bookmarkStart w:id="73" w:name="_Toc11818"/>
      <w:r>
        <w:rPr>
          <w:rFonts w:ascii="仿宋" w:eastAsia="仿宋" w:hAnsi="仿宋" w:cs="仿宋" w:hint="eastAsia"/>
          <w:sz w:val="28"/>
          <w:szCs w:val="28"/>
        </w:rPr>
        <w:t>在遵照</w:t>
      </w:r>
      <w:r>
        <w:rPr>
          <w:rFonts w:ascii="仿宋" w:eastAsia="仿宋" w:hAnsi="仿宋" w:cs="仿宋" w:hint="eastAsia"/>
          <w:sz w:val="28"/>
          <w:szCs w:val="28"/>
        </w:rPr>
        <w:t>“</w:t>
      </w:r>
      <w:r>
        <w:rPr>
          <w:rFonts w:ascii="仿宋" w:eastAsia="仿宋" w:hAnsi="仿宋" w:cs="仿宋" w:hint="eastAsia"/>
          <w:sz w:val="28"/>
          <w:szCs w:val="28"/>
        </w:rPr>
        <w:t>安全、实用、经济、美观</w:t>
      </w:r>
      <w:r>
        <w:rPr>
          <w:rFonts w:ascii="仿宋" w:eastAsia="仿宋" w:hAnsi="仿宋" w:cs="仿宋" w:hint="eastAsia"/>
          <w:sz w:val="28"/>
          <w:szCs w:val="28"/>
        </w:rPr>
        <w:t>”</w:t>
      </w:r>
      <w:r>
        <w:rPr>
          <w:rFonts w:ascii="仿宋" w:eastAsia="仿宋" w:hAnsi="仿宋" w:cs="仿宋" w:hint="eastAsia"/>
          <w:sz w:val="28"/>
          <w:szCs w:val="28"/>
        </w:rPr>
        <w:t>的总体原则下，遵循控制性详细规划路线走向基本不变的原则，保证道路满足城市发展需要，维护城市规划布局的合理性、完整性，坚持道路建设有利于带动沿线地块开发和经济发展的的原则。在满足道路交通功能的前提下，结合周边规划区域路网及土地开发的需要，尽可能为周边土地开发服务，带动经济发展。</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以人为本</w:t>
      </w:r>
      <w:r>
        <w:rPr>
          <w:rFonts w:ascii="仿宋" w:eastAsia="仿宋" w:hAnsi="仿宋" w:cs="仿宋" w:hint="eastAsia"/>
          <w:sz w:val="28"/>
          <w:szCs w:val="28"/>
        </w:rPr>
        <w:t>”——</w:t>
      </w:r>
      <w:r>
        <w:rPr>
          <w:rFonts w:ascii="仿宋" w:eastAsia="仿宋" w:hAnsi="仿宋" w:cs="仿宋" w:hint="eastAsia"/>
          <w:sz w:val="28"/>
          <w:szCs w:val="28"/>
        </w:rPr>
        <w:t>整体设计基于人性化考虑，站在使用者角度出发，将以人为本的理念贯穿到整个设计之中。</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（2）准确把握功能定位，充分体现道路功能。</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（3）重视地质、环保选线，避开不良地质地段。</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（4）线路与地形环境相结合。</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（5）线路与城市风貌相结合。</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（6）纵断面设计时，本着安全、经济、视觉平顺连续、与环境相协调的原则，根据各路段的特点分段进行纵断面设计，并进行多方案比选论证。</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（7）结合建设条件，充分论证和合理选择横断面建设形式。</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（8）合理衔接周边路网，处理好与相交道路的交叉关系。</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（9）处理好重点片区的交通组织。</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（10）减少对已发件用地的影响。</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（11）近远期结合，处理好局部与整体的关系。</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（12）控制建设规模，尽量减少占地，降低工程造价</w:t>
      </w:r>
    </w:p>
    <w:p w:rsidR="00092985">
      <w:pPr>
        <w:pStyle w:val="Heading2"/>
        <w:numPr>
          <w:ilvl w:val="1"/>
          <w:numId w:val="9"/>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主要技术指标</w:t>
      </w:r>
      <w:bookmarkEnd w:id="73"/>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根据本项目交通量预测分析结果，结合《城市道路工程设计规范》（CJJ37-2012）（2016版）及《城市道路路线设计规范》（CJJ193-2012）等相关规范，确定本项目主要技术标准（道路工程部分）如下：</w:t>
      </w:r>
    </w:p>
    <w:p w:rsidR="00092985">
      <w:pPr>
        <w:spacing w:line="360" w:lineRule="auto"/>
        <w:ind w:firstLine="560" w:firstLineChars="200"/>
        <w:jc w:val="center"/>
        <w:rPr>
          <w:rFonts w:ascii="仿宋" w:eastAsia="仿宋" w:hAnsi="仿宋" w:cs="仿宋" w:hint="eastAsia"/>
          <w:sz w:val="28"/>
          <w:szCs w:val="28"/>
        </w:rPr>
        <w:sectPr>
          <w:headerReference w:type="default" r:id="rId35"/>
          <w:footerReference w:type="default" r:id="rId36"/>
          <w:type w:val="nextPage"/>
          <w:pgSz w:w="23811" w:h="16838" w:orient="landscape"/>
          <w:pgMar w:top="1083" w:right="1440" w:bottom="1083" w:left="1440" w:header="850" w:footer="1417" w:gutter="680"/>
          <w:pgNumType w:start="12"/>
          <w:cols w:num="2" w:space="425" w:equalWidth="0">
            <w:col w:w="9913" w:space="425"/>
            <w:col w:w="9913" w:space="0"/>
          </w:cols>
          <w:titlePg w:val="0"/>
          <w:docGrid w:type="lines" w:linePitch="316"/>
        </w:sectPr>
      </w:pPr>
    </w:p>
    <w:p w:rsidR="00092985">
      <w:pPr>
        <w:spacing w:line="360" w:lineRule="auto"/>
        <w:ind w:firstLine="560" w:firstLineChars="200"/>
        <w:jc w:val="center"/>
        <w:rPr>
          <w:rFonts w:ascii="仿宋" w:eastAsia="仿宋" w:hAnsi="仿宋" w:cs="仿宋" w:hint="eastAsia"/>
          <w:sz w:val="28"/>
          <w:szCs w:val="28"/>
        </w:rPr>
      </w:pPr>
      <w:r>
        <w:rPr>
          <w:rFonts w:ascii="仿宋" w:eastAsia="仿宋" w:hAnsi="仿宋" w:cs="仿宋" w:hint="eastAsia"/>
          <w:sz w:val="28"/>
          <w:szCs w:val="28"/>
        </w:rPr>
        <w:t>主要技术指标表（支路）</w:t>
      </w:r>
    </w:p>
    <w:tbl>
      <w:tblPr>
        <w:tblStyle w:val="TableNormal"/>
        <w:tblW w:w="4999" w:type="pct"/>
        <w:jc w:val="center"/>
        <w:tblInd w:w="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CellMar>
          <w:left w:w="0" w:type="dxa"/>
          <w:right w:w="0" w:type="dxa"/>
        </w:tblCellMar>
        <w:tblLook w:val="0000"/>
      </w:tblPr>
      <w:tblGrid>
        <w:gridCol w:w="900"/>
        <w:gridCol w:w="4707"/>
        <w:gridCol w:w="2167"/>
        <w:gridCol w:w="2167"/>
      </w:tblGrid>
      <w:tr>
        <w:tblPrEx>
          <w:tblW w:w="4999" w:type="pct"/>
          <w:jc w:val="center"/>
          <w:tblInd w:w="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CellMar>
            <w:left w:w="0" w:type="dxa"/>
            <w:right w:w="0" w:type="dxa"/>
          </w:tblCellMar>
          <w:tblLook w:val="0000"/>
        </w:tblPrEx>
        <w:trPr>
          <w:trHeight w:val="600"/>
          <w:jc w:val="center"/>
        </w:trPr>
        <w:tc>
          <w:tcPr>
            <w:tcW w:w="452" w:type="pct"/>
            <w:tcBorders>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序号</w:t>
            </w:r>
          </w:p>
        </w:tc>
        <w:tc>
          <w:tcPr>
            <w:tcW w:w="2367" w:type="pct"/>
            <w:tcBorders>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项目名称</w:t>
            </w:r>
          </w:p>
        </w:tc>
        <w:tc>
          <w:tcPr>
            <w:tcW w:w="1090" w:type="pct"/>
            <w:tcBorders>
              <w:left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设计采用值</w:t>
            </w:r>
          </w:p>
        </w:tc>
        <w:tc>
          <w:tcPr>
            <w:tcW w:w="1090" w:type="pct"/>
            <w:tcBorders>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规范值</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道路等级</w:t>
            </w:r>
          </w:p>
        </w:tc>
        <w:tc>
          <w:tcPr>
            <w:tcW w:w="2180" w:type="pct"/>
            <w:gridSpan w:val="2"/>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支路</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2</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交通量饱和设计工作年限</w:t>
            </w:r>
          </w:p>
        </w:tc>
        <w:tc>
          <w:tcPr>
            <w:tcW w:w="1090" w:type="pct"/>
            <w:tcBorders>
              <w:top w:val="nil"/>
              <w:left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15年</w:t>
            </w:r>
          </w:p>
        </w:tc>
        <w:tc>
          <w:tcPr>
            <w:tcW w:w="1090" w:type="pct"/>
            <w:tcBorders>
              <w:top w:val="single" w:sz="8" w:space="0" w:color="000000"/>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15年</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3</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路面结构设计工作年限</w:t>
            </w:r>
          </w:p>
        </w:tc>
        <w:tc>
          <w:tcPr>
            <w:tcW w:w="1090" w:type="pct"/>
            <w:tcBorders>
              <w:top w:val="nil"/>
              <w:left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10年</w:t>
            </w:r>
          </w:p>
        </w:tc>
        <w:tc>
          <w:tcPr>
            <w:tcW w:w="1090" w:type="pct"/>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10年</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4</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设计行车速度</w:t>
            </w:r>
          </w:p>
        </w:tc>
        <w:tc>
          <w:tcPr>
            <w:tcW w:w="1090" w:type="pct"/>
            <w:tcBorders>
              <w:top w:val="nil"/>
              <w:left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30km/h</w:t>
            </w:r>
          </w:p>
        </w:tc>
        <w:tc>
          <w:tcPr>
            <w:tcW w:w="1090" w:type="pct"/>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20～40km/h</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4" w:space="0" w:color="auto"/>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5</w:t>
            </w:r>
          </w:p>
        </w:tc>
        <w:tc>
          <w:tcPr>
            <w:tcW w:w="2367" w:type="pct"/>
            <w:tcBorders>
              <w:top w:val="nil"/>
              <w:left w:val="nil"/>
              <w:bottom w:val="single" w:sz="4" w:space="0" w:color="auto"/>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标准路幅宽度</w:t>
            </w:r>
          </w:p>
        </w:tc>
        <w:tc>
          <w:tcPr>
            <w:tcW w:w="2180" w:type="pct"/>
            <w:gridSpan w:val="2"/>
            <w:tcBorders>
              <w:top w:val="nil"/>
              <w:left w:val="nil"/>
              <w:bottom w:val="single" w:sz="4" w:space="0" w:color="auto"/>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16m</w:t>
            </w:r>
          </w:p>
        </w:tc>
      </w:tr>
      <w:tr>
        <w:tblPrEx>
          <w:tblW w:w="4999" w:type="pct"/>
          <w:jc w:val="center"/>
          <w:tblInd w:w="0" w:type="dxa"/>
          <w:tblCellMar>
            <w:left w:w="0" w:type="dxa"/>
            <w:right w:w="0" w:type="dxa"/>
          </w:tblCellMar>
          <w:tblLook w:val="0000"/>
        </w:tblPrEx>
        <w:trPr>
          <w:trHeight w:val="600"/>
          <w:jc w:val="center"/>
        </w:trPr>
        <w:tc>
          <w:tcPr>
            <w:tcW w:w="452" w:type="pct"/>
            <w:tcBorders>
              <w:top w:val="single" w:sz="4" w:space="0" w:color="auto"/>
              <w:bottom w:val="single" w:sz="4" w:space="0" w:color="auto"/>
              <w:right w:val="single" w:sz="4" w:space="0" w:color="auto"/>
            </w:tcBorders>
            <w:tcMar>
              <w:top w:w="15" w:type="dxa"/>
              <w:left w:w="15" w:type="dxa"/>
              <w:right w:w="15" w:type="dxa"/>
            </w:tcMar>
            <w:vAlign w:val="center"/>
          </w:tcPr>
          <w:p w:rsidR="00092985">
            <w:pPr>
              <w:pStyle w:val="a23"/>
              <w:rPr>
                <w:rFonts w:cs="仿宋" w:hint="eastAsia"/>
              </w:rPr>
            </w:pPr>
            <w:r>
              <w:rPr>
                <w:rFonts w:cs="仿宋" w:hint="eastAsia"/>
              </w:rPr>
              <w:t>6</w:t>
            </w:r>
          </w:p>
        </w:tc>
        <w:tc>
          <w:tcPr>
            <w:tcW w:w="2367" w:type="pct"/>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092985">
            <w:pPr>
              <w:pStyle w:val="a23"/>
              <w:rPr>
                <w:rFonts w:cs="仿宋" w:hint="eastAsia"/>
              </w:rPr>
            </w:pPr>
            <w:r>
              <w:rPr>
                <w:rFonts w:cs="仿宋" w:hint="eastAsia"/>
              </w:rPr>
              <w:t>最大纵坡度</w:t>
            </w:r>
          </w:p>
        </w:tc>
        <w:tc>
          <w:tcPr>
            <w:tcW w:w="1090" w:type="pc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092985">
            <w:pPr>
              <w:pStyle w:val="a23"/>
              <w:rPr>
                <w:rFonts w:cs="仿宋" w:hint="eastAsia"/>
                <w:color w:val="FF0000"/>
              </w:rPr>
            </w:pPr>
            <w:r>
              <w:rPr>
                <w:rFonts w:cs="仿宋" w:hint="eastAsia"/>
                <w:color w:val="FF0000"/>
              </w:rPr>
              <w:t>1.73%</w:t>
            </w:r>
          </w:p>
        </w:tc>
        <w:tc>
          <w:tcPr>
            <w:tcW w:w="1090" w:type="pct"/>
            <w:tcBorders>
              <w:top w:val="single" w:sz="4" w:space="0" w:color="auto"/>
              <w:left w:val="single" w:sz="4" w:space="0" w:color="auto"/>
              <w:bottom w:val="single" w:sz="4" w:space="0" w:color="auto"/>
            </w:tcBorders>
            <w:tcMar>
              <w:top w:w="15" w:type="dxa"/>
              <w:left w:w="15" w:type="dxa"/>
              <w:right w:w="15" w:type="dxa"/>
            </w:tcMar>
            <w:vAlign w:val="center"/>
          </w:tcPr>
          <w:p w:rsidR="00092985">
            <w:pPr>
              <w:pStyle w:val="a23"/>
              <w:rPr>
                <w:rFonts w:cs="仿宋" w:hint="eastAsia"/>
              </w:rPr>
            </w:pPr>
            <w:r>
              <w:rPr>
                <w:rFonts w:cs="仿宋" w:hint="eastAsia"/>
              </w:rPr>
              <w:t>≤</w:t>
            </w:r>
            <w:r>
              <w:rPr>
                <w:rFonts w:cs="仿宋" w:hint="eastAsia"/>
              </w:rPr>
              <w:t>8.0%</w:t>
            </w:r>
          </w:p>
        </w:tc>
      </w:tr>
      <w:tr>
        <w:tblPrEx>
          <w:tblW w:w="4999" w:type="pct"/>
          <w:jc w:val="center"/>
          <w:tblInd w:w="0" w:type="dxa"/>
          <w:tblCellMar>
            <w:left w:w="0" w:type="dxa"/>
            <w:right w:w="0" w:type="dxa"/>
          </w:tblCellMar>
          <w:tblLook w:val="0000"/>
        </w:tblPrEx>
        <w:trPr>
          <w:trHeight w:val="600"/>
          <w:jc w:val="center"/>
        </w:trPr>
        <w:tc>
          <w:tcPr>
            <w:tcW w:w="452" w:type="pct"/>
            <w:tcBorders>
              <w:top w:val="single" w:sz="4" w:space="0" w:color="auto"/>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7</w:t>
            </w:r>
          </w:p>
        </w:tc>
        <w:tc>
          <w:tcPr>
            <w:tcW w:w="2367" w:type="pct"/>
            <w:tcBorders>
              <w:top w:val="single" w:sz="4" w:space="0" w:color="auto"/>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最小纵坡度</w:t>
            </w:r>
          </w:p>
        </w:tc>
        <w:tc>
          <w:tcPr>
            <w:tcW w:w="1090" w:type="pct"/>
            <w:tcBorders>
              <w:top w:val="single" w:sz="4" w:space="0" w:color="auto"/>
              <w:left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color w:val="FF0000"/>
              </w:rPr>
            </w:pPr>
            <w:r>
              <w:rPr>
                <w:rFonts w:cs="仿宋" w:hint="eastAsia"/>
                <w:color w:val="FF0000"/>
              </w:rPr>
              <w:t>1.50%</w:t>
            </w:r>
          </w:p>
        </w:tc>
        <w:tc>
          <w:tcPr>
            <w:tcW w:w="1090" w:type="pct"/>
            <w:tcBorders>
              <w:top w:val="single" w:sz="4" w:space="0" w:color="auto"/>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w:t>
            </w:r>
            <w:r>
              <w:rPr>
                <w:rFonts w:cs="仿宋" w:hint="eastAsia"/>
              </w:rPr>
              <w:t>0.3%</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8</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最小圆曲线半径</w:t>
            </w:r>
          </w:p>
        </w:tc>
        <w:tc>
          <w:tcPr>
            <w:tcW w:w="1090" w:type="pct"/>
            <w:tcBorders>
              <w:top w:val="nil"/>
              <w:left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color w:val="FF0000"/>
              </w:rPr>
            </w:pPr>
            <w:r>
              <w:rPr>
                <w:rFonts w:cs="仿宋" w:hint="eastAsia"/>
                <w:color w:val="FF0000"/>
              </w:rPr>
              <w:t>/</w:t>
            </w:r>
          </w:p>
        </w:tc>
        <w:tc>
          <w:tcPr>
            <w:tcW w:w="1090" w:type="pct"/>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w:t>
            </w:r>
            <w:r>
              <w:rPr>
                <w:rFonts w:cs="仿宋" w:hint="eastAsia"/>
              </w:rPr>
              <w:t>40m</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9</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最小竖曲线半径</w:t>
            </w:r>
          </w:p>
        </w:tc>
        <w:tc>
          <w:tcPr>
            <w:tcW w:w="1090" w:type="pct"/>
            <w:tcBorders>
              <w:top w:val="nil"/>
              <w:left w:val="nil"/>
              <w:bottom w:val="single" w:sz="8" w:space="0" w:color="000000"/>
              <w:right w:val="single" w:sz="8" w:space="0" w:color="000000"/>
            </w:tcBorders>
            <w:tcMar>
              <w:top w:w="15" w:type="dxa"/>
              <w:left w:w="15" w:type="dxa"/>
              <w:right w:w="15" w:type="dxa"/>
            </w:tcMar>
            <w:vAlign w:val="center"/>
          </w:tcPr>
          <w:p w:rsidR="00092985">
            <w:pPr>
              <w:pStyle w:val="a23"/>
              <w:rPr>
                <w:rFonts w:cs="仿宋"/>
                <w:color w:val="FF0000"/>
              </w:rPr>
            </w:pPr>
            <w:r>
              <w:rPr>
                <w:rFonts w:cs="仿宋" w:hint="eastAsia"/>
                <w:color w:val="FF0000"/>
              </w:rPr>
              <w:t>1550</w:t>
            </w:r>
          </w:p>
        </w:tc>
        <w:tc>
          <w:tcPr>
            <w:tcW w:w="1090" w:type="pct"/>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w:t>
            </w:r>
            <w:r>
              <w:rPr>
                <w:rFonts w:cs="仿宋" w:hint="eastAsia"/>
              </w:rPr>
              <w:t>250m</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10</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停车视距</w:t>
            </w:r>
          </w:p>
        </w:tc>
        <w:tc>
          <w:tcPr>
            <w:tcW w:w="1090" w:type="pct"/>
            <w:tcBorders>
              <w:top w:val="nil"/>
              <w:left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w:t>
            </w:r>
            <w:r>
              <w:rPr>
                <w:rFonts w:cs="仿宋" w:hint="eastAsia"/>
              </w:rPr>
              <w:t>30m</w:t>
            </w:r>
          </w:p>
        </w:tc>
        <w:tc>
          <w:tcPr>
            <w:tcW w:w="1090" w:type="pct"/>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w:t>
            </w:r>
            <w:r>
              <w:rPr>
                <w:rFonts w:cs="仿宋" w:hint="eastAsia"/>
              </w:rPr>
              <w:t>30m</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11</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路面结构设计荷载</w:t>
            </w:r>
          </w:p>
        </w:tc>
        <w:tc>
          <w:tcPr>
            <w:tcW w:w="2180" w:type="pct"/>
            <w:gridSpan w:val="2"/>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BZZ-100型标准车</w:t>
            </w:r>
          </w:p>
        </w:tc>
      </w:tr>
      <w:tr>
        <w:tblPrEx>
          <w:tblW w:w="4999" w:type="pct"/>
          <w:jc w:val="center"/>
          <w:tblInd w:w="0" w:type="dxa"/>
          <w:tblCellMar>
            <w:left w:w="0" w:type="dxa"/>
            <w:right w:w="0" w:type="dxa"/>
          </w:tblCellMar>
          <w:tblLook w:val="0000"/>
        </w:tblPrEx>
        <w:trPr>
          <w:trHeight w:val="600"/>
          <w:jc w:val="center"/>
        </w:trPr>
        <w:tc>
          <w:tcPr>
            <w:tcW w:w="452" w:type="pct"/>
            <w:tcBorders>
              <w:top w:val="nil"/>
              <w:bottom w:val="single" w:sz="8" w:space="0" w:color="000000"/>
              <w:right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12</w:t>
            </w:r>
          </w:p>
        </w:tc>
        <w:tc>
          <w:tcPr>
            <w:tcW w:w="2367" w:type="pct"/>
            <w:tcBorders>
              <w:top w:val="nil"/>
              <w:left w:val="nil"/>
              <w:bottom w:val="single" w:sz="8" w:space="0" w:color="000000"/>
              <w:right w:val="single" w:sz="8" w:space="0" w:color="000000"/>
            </w:tcBorders>
            <w:noWrap/>
            <w:tcMar>
              <w:top w:w="15" w:type="dxa"/>
              <w:left w:w="15" w:type="dxa"/>
              <w:right w:w="15" w:type="dxa"/>
            </w:tcMar>
            <w:vAlign w:val="center"/>
          </w:tcPr>
          <w:p w:rsidR="00092985">
            <w:pPr>
              <w:pStyle w:val="a23"/>
              <w:rPr>
                <w:rFonts w:cs="仿宋" w:hint="eastAsia"/>
              </w:rPr>
            </w:pPr>
            <w:r>
              <w:rPr>
                <w:rFonts w:cs="仿宋" w:hint="eastAsia"/>
              </w:rPr>
              <w:t>最小净空高度</w:t>
            </w:r>
          </w:p>
        </w:tc>
        <w:tc>
          <w:tcPr>
            <w:tcW w:w="1090" w:type="pct"/>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w:t>
            </w:r>
            <w:r>
              <w:rPr>
                <w:rFonts w:cs="仿宋" w:hint="eastAsia"/>
              </w:rPr>
              <w:t>4.5m</w:t>
            </w:r>
          </w:p>
        </w:tc>
        <w:tc>
          <w:tcPr>
            <w:tcW w:w="1090" w:type="pct"/>
            <w:tcBorders>
              <w:top w:val="nil"/>
              <w:left w:val="nil"/>
              <w:bottom w:val="single" w:sz="8" w:space="0" w:color="000000"/>
            </w:tcBorders>
            <w:tcMar>
              <w:top w:w="15" w:type="dxa"/>
              <w:left w:w="15" w:type="dxa"/>
              <w:right w:w="15" w:type="dxa"/>
            </w:tcMar>
            <w:vAlign w:val="center"/>
          </w:tcPr>
          <w:p w:rsidR="00092985">
            <w:pPr>
              <w:pStyle w:val="a23"/>
              <w:rPr>
                <w:rFonts w:cs="仿宋" w:hint="eastAsia"/>
              </w:rPr>
            </w:pPr>
            <w:r>
              <w:rPr>
                <w:rFonts w:cs="仿宋" w:hint="eastAsia"/>
              </w:rPr>
              <w:t>≥</w:t>
            </w:r>
            <w:r>
              <w:rPr>
                <w:rFonts w:cs="仿宋" w:hint="eastAsia"/>
              </w:rPr>
              <w:t>4.5m</w:t>
            </w:r>
          </w:p>
        </w:tc>
      </w:tr>
    </w:tbl>
    <w:p w:rsidR="00092985">
      <w:pPr>
        <w:pStyle w:val="BodyTextFirstIndent"/>
        <w:ind w:firstLine="210"/>
        <w:rPr>
          <w:rFonts w:hint="eastAsia"/>
        </w:rPr>
      </w:pPr>
    </w:p>
    <w:p w:rsidR="00092985">
      <w:pPr>
        <w:pStyle w:val="Heading1"/>
        <w:numPr>
          <w:ilvl w:val="0"/>
          <w:numId w:val="10"/>
        </w:numPr>
        <w:tabs>
          <w:tab w:val="left" w:pos="-2120"/>
        </w:tabs>
        <w:spacing w:line="360" w:lineRule="auto"/>
        <w:ind w:left="640" w:firstLine="0"/>
        <w:jc w:val="both"/>
        <w:rPr>
          <w:rFonts w:ascii="仿宋" w:eastAsia="仿宋" w:hAnsi="仿宋" w:cs="仿宋" w:hint="eastAsia"/>
          <w:b/>
          <w:bCs/>
          <w:sz w:val="32"/>
          <w:szCs w:val="32"/>
        </w:rPr>
      </w:pPr>
      <w:r>
        <w:rPr>
          <w:rFonts w:ascii="仿宋" w:eastAsia="仿宋" w:hAnsi="仿宋" w:cs="仿宋" w:hint="eastAsia"/>
          <w:b/>
          <w:bCs/>
          <w:sz w:val="32"/>
          <w:szCs w:val="32"/>
        </w:rPr>
        <w:t xml:space="preserve"> 道路设计</w:t>
      </w:r>
    </w:p>
    <w:p w:rsidR="00092985">
      <w:pPr>
        <w:pStyle w:val="Heading3"/>
        <w:numPr>
          <w:ilvl w:val="2"/>
          <w:numId w:val="10"/>
        </w:numPr>
        <w:spacing w:before="0" w:after="0" w:line="360" w:lineRule="auto"/>
        <w:ind w:hanging="69"/>
        <w:jc w:val="left"/>
        <w:rPr>
          <w:rFonts w:ascii="仿宋" w:eastAsia="仿宋" w:hAnsi="仿宋" w:cs="仿宋" w:hint="eastAsia"/>
          <w:kern w:val="0"/>
          <w:sz w:val="28"/>
          <w:szCs w:val="28"/>
        </w:rPr>
      </w:pPr>
      <w:r>
        <w:rPr>
          <w:rFonts w:ascii="仿宋" w:eastAsia="仿宋" w:hAnsi="仿宋" w:cs="仿宋" w:hint="eastAsia"/>
          <w:bCs w:val="0"/>
          <w:kern w:val="0"/>
          <w:sz w:val="28"/>
          <w:szCs w:val="28"/>
        </w:rPr>
        <w:t>平面设计</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沙湾路本次设计起点与规划道路相接，终点与现状南海大道顺接，道路设计全长209.241m，建设标准为双向两车道城市支路，设计速度30km/h，道路线形由一条直线构成，全线不设置平曲线，道路平面线形指标满足城市支路（设计速度30km/h）标准的要求</w:t>
      </w:r>
    </w:p>
    <w:p w:rsidR="00092985">
      <w:pPr>
        <w:pStyle w:val="BodyTextFirstIndent"/>
        <w:ind w:firstLine="0" w:firstLineChars="0"/>
        <w:jc w:val="center"/>
      </w:pPr>
      <w:r>
        <w:pict>
          <v:shape id="图片 238" o:spid="_x0000_i1031" type="#_x0000_t75" style="width:495.34pt;height:213.46pt;mso-position-horizontal-relative:page;mso-position-vertical-relative:page" o:preferrelative="t" filled="f" stroked="t">
            <v:fill o:detectmouseclick="t"/>
            <v:imagedata r:id="rId37" o:title=""/>
            <v:path o:extrusionok="f"/>
            <o:lock v:ext="edit" aspectratio="t"/>
          </v:shape>
        </w:pict>
      </w:r>
    </w:p>
    <w:p w:rsidR="00092985">
      <w:pPr>
        <w:spacing w:line="360" w:lineRule="auto"/>
        <w:ind w:firstLine="560" w:firstLineChars="200"/>
        <w:jc w:val="center"/>
        <w:rPr>
          <w:rFonts w:ascii="仿宋" w:eastAsia="仿宋" w:hAnsi="仿宋" w:cs="仿宋" w:hint="eastAsia"/>
          <w:sz w:val="28"/>
          <w:szCs w:val="28"/>
        </w:rPr>
      </w:pPr>
      <w:r>
        <w:rPr>
          <w:rFonts w:ascii="仿宋" w:eastAsia="仿宋" w:hAnsi="仿宋" w:cs="仿宋" w:hint="eastAsia"/>
          <w:sz w:val="28"/>
          <w:szCs w:val="28"/>
        </w:rPr>
        <w:t>道路总平面图</w:t>
      </w:r>
    </w:p>
    <w:p w:rsidR="00092985">
      <w:pPr>
        <w:pStyle w:val="Heading3"/>
        <w:numPr>
          <w:ilvl w:val="2"/>
          <w:numId w:val="10"/>
        </w:numPr>
        <w:spacing w:before="0" w:after="0" w:line="360" w:lineRule="auto"/>
        <w:ind w:hanging="69"/>
        <w:jc w:val="left"/>
        <w:rPr>
          <w:rFonts w:ascii="仿宋" w:eastAsia="仿宋" w:hAnsi="仿宋" w:cs="仿宋" w:hint="eastAsia"/>
          <w:kern w:val="0"/>
          <w:sz w:val="28"/>
          <w:szCs w:val="28"/>
        </w:rPr>
      </w:pPr>
      <w:r>
        <w:rPr>
          <w:rFonts w:ascii="仿宋" w:eastAsia="仿宋" w:hAnsi="仿宋" w:cs="仿宋" w:hint="eastAsia"/>
          <w:bCs w:val="0"/>
          <w:kern w:val="0"/>
          <w:sz w:val="28"/>
          <w:szCs w:val="28"/>
        </w:rPr>
        <w:t>纵断面设计</w:t>
      </w:r>
    </w:p>
    <w:p w:rsidR="00092985">
      <w:pPr>
        <w:ind w:firstLine="560" w:firstLineChars="200"/>
        <w:rPr>
          <w:rFonts w:ascii="仿宋" w:eastAsia="仿宋" w:hAnsi="仿宋" w:cs="仿宋" w:hint="eastAsia"/>
          <w:color w:val="FF0000"/>
          <w:sz w:val="28"/>
          <w:szCs w:val="28"/>
        </w:rPr>
      </w:pPr>
      <w:r>
        <w:rPr>
          <w:rFonts w:ascii="仿宋" w:eastAsia="仿宋" w:hAnsi="仿宋" w:cs="仿宋" w:hint="eastAsia"/>
          <w:color w:val="FF0000"/>
          <w:sz w:val="28"/>
          <w:szCs w:val="28"/>
        </w:rPr>
        <w:t>纵断面设计起点接规划道路，起点标高为220.300m；自西向东走向，设计终点接南海大道，终点标高217.650m，全程共设置1个变坡点，最大纵坡为-1.73%，坡长为179.241m；最小纵坡为1.50 %，坡长为30米。该道路起终点均以1.5%坡平接交叉口，道路纵坡平顺。</w:t>
      </w:r>
    </w:p>
    <w:p w:rsidR="00092985">
      <w:pPr>
        <w:spacing w:line="360" w:lineRule="auto"/>
        <w:ind w:firstLine="560" w:firstLineChars="200"/>
        <w:rPr>
          <w:rFonts w:ascii="仿宋" w:eastAsia="仿宋" w:hAnsi="仿宋" w:cs="仿宋" w:hint="eastAsia"/>
          <w:sz w:val="28"/>
          <w:szCs w:val="28"/>
        </w:rPr>
        <w:sectPr>
          <w:headerReference w:type="default" r:id="rId38"/>
          <w:footerReference w:type="default" r:id="rId39"/>
          <w:type w:val="nextPage"/>
          <w:pgSz w:w="23811" w:h="16838" w:orient="landscape"/>
          <w:pgMar w:top="1083" w:right="1440" w:bottom="1083" w:left="1440" w:header="850" w:footer="1417" w:gutter="680"/>
          <w:pgNumType w:start="13"/>
          <w:cols w:num="2" w:space="425" w:equalWidth="0">
            <w:col w:w="9913" w:space="425"/>
            <w:col w:w="9913" w:space="0"/>
          </w:cols>
          <w:titlePg w:val="0"/>
          <w:docGrid w:type="lines" w:linePitch="316"/>
        </w:sectPr>
      </w:pPr>
      <w:r>
        <w:rPr>
          <w:rFonts w:ascii="仿宋" w:eastAsia="仿宋" w:hAnsi="仿宋" w:cs="仿宋" w:hint="eastAsia"/>
          <w:sz w:val="28"/>
          <w:szCs w:val="28"/>
        </w:rPr>
        <w:t>道路线形由一条直线构成，全线不设置平曲线，道路平面线形指标满足城市支路（设计速度30km/h）标准的要求。</w:t>
      </w:r>
    </w:p>
    <w:p w:rsidR="00092985">
      <w:pPr>
        <w:spacing w:line="360" w:lineRule="auto"/>
        <w:jc w:val="center"/>
        <w:rPr>
          <w:rFonts w:ascii="仿宋" w:eastAsia="仿宋" w:hAnsi="仿宋" w:cs="仿宋" w:hint="eastAsia"/>
          <w:sz w:val="28"/>
          <w:szCs w:val="28"/>
        </w:rPr>
      </w:pPr>
      <w:r>
        <w:pict>
          <v:shape id="图片 239" o:spid="_x0000_i1032" type="#_x0000_t75" style="width:495.21pt;height:359.94pt;mso-position-horizontal-relative:page;mso-position-vertical-relative:page" o:preferrelative="t" filled="f" stroked="t">
            <v:fill o:detectmouseclick="t"/>
            <v:imagedata r:id="rId40" o:title=""/>
            <v:path o:extrusionok="f"/>
            <o:lock v:ext="edit" aspectratio="t"/>
          </v:shape>
        </w:pict>
      </w:r>
    </w:p>
    <w:p w:rsidR="00092985">
      <w:pPr>
        <w:spacing w:line="360" w:lineRule="auto"/>
        <w:jc w:val="center"/>
        <w:rPr>
          <w:rFonts w:ascii="仿宋" w:eastAsia="仿宋" w:hAnsi="仿宋" w:cs="仿宋" w:hint="eastAsia"/>
          <w:kern w:val="0"/>
          <w:sz w:val="28"/>
          <w:szCs w:val="28"/>
        </w:rPr>
      </w:pPr>
      <w:r>
        <w:rPr>
          <w:rFonts w:ascii="仿宋" w:eastAsia="仿宋" w:hAnsi="仿宋" w:cs="仿宋" w:hint="eastAsia"/>
          <w:sz w:val="28"/>
          <w:szCs w:val="28"/>
        </w:rPr>
        <w:t>纵断面设计图</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道路纵断面各项指标满足城市支路（设计速度30km/h）标准的要求。</w:t>
      </w:r>
    </w:p>
    <w:p w:rsidR="00092985">
      <w:pPr>
        <w:pStyle w:val="Heading3"/>
        <w:numPr>
          <w:ilvl w:val="2"/>
          <w:numId w:val="11"/>
        </w:numPr>
        <w:spacing w:before="0" w:after="0" w:line="360" w:lineRule="auto"/>
        <w:ind w:hanging="69"/>
        <w:jc w:val="left"/>
        <w:rPr>
          <w:rFonts w:ascii="仿宋" w:eastAsia="仿宋" w:hAnsi="仿宋" w:cs="仿宋" w:hint="eastAsia"/>
          <w:kern w:val="0"/>
          <w:sz w:val="28"/>
          <w:szCs w:val="28"/>
        </w:rPr>
      </w:pPr>
      <w:r>
        <w:rPr>
          <w:rFonts w:ascii="仿宋" w:eastAsia="仿宋" w:hAnsi="仿宋" w:cs="仿宋" w:hint="eastAsia"/>
          <w:bCs w:val="0"/>
          <w:kern w:val="0"/>
          <w:sz w:val="28"/>
          <w:szCs w:val="28"/>
        </w:rPr>
        <w:t>横断面设计</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（1）路幅分配：4米（人行道）+0.25米（路缘带）+3.75米（车行道）+3.75米+0.25米（路缘带）+4米（人行道）=16米</w:t>
      </w:r>
    </w:p>
    <w:p w:rsidR="00092985">
      <w:pPr>
        <w:spacing w:line="360" w:lineRule="auto"/>
        <w:ind w:firstLine="560" w:firstLineChars="200"/>
        <w:rPr>
          <w:rFonts w:ascii="仿宋" w:eastAsia="仿宋" w:hAnsi="仿宋" w:cs="仿宋" w:hint="eastAsia"/>
          <w:sz w:val="28"/>
          <w:szCs w:val="28"/>
        </w:rPr>
      </w:pPr>
    </w:p>
    <w:p w:rsidR="00092985">
      <w:pPr>
        <w:pStyle w:val="BodyTextFirstIndent"/>
        <w:ind w:firstLine="210"/>
        <w:jc w:val="center"/>
      </w:pPr>
    </w:p>
    <w:p w:rsidR="00092985">
      <w:pPr>
        <w:spacing w:line="360" w:lineRule="auto"/>
        <w:ind w:firstLine="420" w:firstLineChars="200"/>
        <w:jc w:val="center"/>
        <w:rPr>
          <w:rFonts w:ascii="仿宋" w:eastAsia="仿宋" w:hAnsi="仿宋" w:cs="仿宋" w:hint="eastAsia"/>
          <w:sz w:val="28"/>
          <w:szCs w:val="28"/>
        </w:rPr>
      </w:pPr>
      <w:r>
        <w:rPr>
          <w:rFonts w:ascii="仿宋" w:eastAsia="仿宋" w:hAnsi="仿宋" w:cs="仿宋" w:hint="eastAsia"/>
        </w:rPr>
        <w:pict>
          <v:shape id="图片 233" o:spid="_x0000_i1033" type="#_x0000_t75" style="width:464.35pt;height:288.66pt;mso-position-horizontal-relative:page;mso-position-vertical-relative:page" o:preferrelative="t" filled="f" stroked="t">
            <v:imagedata r:id="rId41" o:title=""/>
            <v:path o:extrusionok="f"/>
            <o:lock v:ext="edit" aspectratio="t"/>
          </v:shape>
        </w:pict>
      </w:r>
    </w:p>
    <w:p w:rsidR="00092985">
      <w:pPr>
        <w:spacing w:line="360" w:lineRule="auto"/>
        <w:ind w:firstLine="560" w:firstLineChars="200"/>
        <w:jc w:val="center"/>
        <w:rPr>
          <w:rFonts w:ascii="仿宋" w:eastAsia="仿宋" w:hAnsi="仿宋" w:cs="仿宋" w:hint="eastAsia"/>
          <w:sz w:val="28"/>
          <w:szCs w:val="28"/>
        </w:rPr>
      </w:pPr>
      <w:r>
        <w:rPr>
          <w:rFonts w:ascii="仿宋" w:eastAsia="仿宋" w:hAnsi="仿宋" w:cs="仿宋" w:hint="eastAsia"/>
          <w:sz w:val="28"/>
          <w:szCs w:val="28"/>
        </w:rPr>
        <w:t>道路标准横断图</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（2）路拱横坡</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本项目车行道路拱横坡度采用双向向外1.5%，横坡路缘石高出车行道路面的可视高度为20cm，人行道采用与车行道反向的2%的横坡。</w:t>
      </w:r>
    </w:p>
    <w:p w:rsidR="00092985">
      <w:pPr>
        <w:pStyle w:val="Heading3"/>
        <w:numPr>
          <w:ilvl w:val="2"/>
          <w:numId w:val="11"/>
        </w:numPr>
        <w:spacing w:before="0" w:after="0" w:line="360" w:lineRule="auto"/>
        <w:ind w:hanging="69"/>
        <w:jc w:val="left"/>
        <w:rPr>
          <w:rFonts w:ascii="仿宋" w:eastAsia="仿宋" w:hAnsi="仿宋" w:cs="仿宋" w:hint="eastAsia"/>
          <w:kern w:val="0"/>
          <w:sz w:val="28"/>
          <w:szCs w:val="28"/>
        </w:rPr>
      </w:pPr>
      <w:r>
        <w:rPr>
          <w:rFonts w:ascii="仿宋" w:eastAsia="仿宋" w:hAnsi="仿宋" w:cs="仿宋" w:hint="eastAsia"/>
          <w:bCs w:val="0"/>
          <w:kern w:val="0"/>
          <w:sz w:val="28"/>
          <w:szCs w:val="28"/>
        </w:rPr>
        <w:t>超高、加宽设计</w:t>
      </w:r>
    </w:p>
    <w:p w:rsidR="00092985">
      <w:pPr>
        <w:spacing w:line="360" w:lineRule="auto"/>
        <w:ind w:firstLine="560" w:firstLineChars="200"/>
        <w:rPr>
          <w:rFonts w:ascii="仿宋" w:eastAsia="仿宋" w:hAnsi="仿宋" w:cs="仿宋" w:hint="eastAsia"/>
          <w:sz w:val="28"/>
          <w:szCs w:val="28"/>
        </w:rPr>
      </w:pPr>
      <w:bookmarkStart w:id="74" w:name="_Toc25007724"/>
      <w:r>
        <w:rPr>
          <w:rFonts w:ascii="仿宋" w:eastAsia="仿宋" w:hAnsi="仿宋" w:cs="仿宋" w:hint="eastAsia"/>
          <w:sz w:val="28"/>
          <w:szCs w:val="28"/>
        </w:rPr>
        <w:t>（1）超高、加宽</w:t>
      </w:r>
    </w:p>
    <w:p w:rsidR="00092985">
      <w:pPr>
        <w:spacing w:line="360" w:lineRule="auto"/>
        <w:ind w:firstLine="560" w:firstLineChars="200"/>
        <w:rPr>
          <w:rFonts w:ascii="仿宋" w:eastAsia="仿宋" w:hAnsi="仿宋" w:cs="仿宋" w:hint="eastAsia"/>
        </w:rPr>
      </w:pPr>
      <w:r>
        <w:rPr>
          <w:rFonts w:ascii="仿宋" w:eastAsia="仿宋" w:hAnsi="仿宋" w:cs="仿宋" w:hint="eastAsia"/>
          <w:sz w:val="28"/>
          <w:szCs w:val="28"/>
        </w:rPr>
        <w:t>本次设计道路为一直线，不设平曲线，故无超高加宽设计。</w:t>
      </w:r>
    </w:p>
    <w:p w:rsidR="00092985">
      <w:pPr>
        <w:pStyle w:val="Heading2"/>
        <w:numPr>
          <w:ilvl w:val="1"/>
          <w:numId w:val="11"/>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道路交叉口设计</w:t>
      </w:r>
      <w:bookmarkEnd w:id="74"/>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lang w:val="zh-CN"/>
        </w:rPr>
        <w:t>本次设计的交叉口均为平面交叉口。</w:t>
      </w:r>
      <w:r>
        <w:rPr>
          <w:rFonts w:ascii="仿宋" w:eastAsia="仿宋" w:hAnsi="仿宋" w:cs="仿宋" w:hint="eastAsia"/>
          <w:sz w:val="28"/>
          <w:szCs w:val="28"/>
        </w:rPr>
        <w:t>根据《城市道路交叉口设计规范》和《重庆市城镇道路平面交叉口设计规范》相关要求，设置交叉口形式，具体</w:t>
      </w:r>
      <w:r>
        <w:rPr>
          <w:rFonts w:ascii="仿宋" w:eastAsia="仿宋" w:hAnsi="仿宋" w:cs="仿宋" w:hint="eastAsia"/>
          <w:sz w:val="28"/>
          <w:szCs w:val="28"/>
          <w:lang w:val="zh-CN"/>
        </w:rPr>
        <w:t>形式</w:t>
      </w:r>
      <w:r>
        <w:rPr>
          <w:rFonts w:ascii="仿宋" w:eastAsia="仿宋" w:hAnsi="仿宋" w:cs="仿宋" w:hint="eastAsia"/>
          <w:sz w:val="28"/>
          <w:szCs w:val="28"/>
        </w:rPr>
        <w:t>如下：</w:t>
      </w:r>
    </w:p>
    <w:p w:rsidR="00092985">
      <w:pPr>
        <w:spacing w:line="360" w:lineRule="auto"/>
        <w:ind w:firstLine="560" w:firstLineChars="200"/>
        <w:jc w:val="center"/>
        <w:rPr>
          <w:rFonts w:ascii="仿宋" w:eastAsia="仿宋" w:hAnsi="仿宋" w:cs="仿宋" w:hint="eastAsia"/>
          <w:sz w:val="28"/>
          <w:lang w:val="zh-CN"/>
        </w:rPr>
      </w:pPr>
      <w:r>
        <w:rPr>
          <w:rFonts w:ascii="仿宋" w:eastAsia="仿宋" w:hAnsi="仿宋" w:cs="仿宋" w:hint="eastAsia"/>
          <w:sz w:val="28"/>
          <w:lang w:val="zh-CN"/>
        </w:rPr>
        <w:t>交叉口一览表</w:t>
      </w:r>
    </w:p>
    <w:tbl>
      <w:tblPr>
        <w:tblStyle w:val="TableNormal"/>
        <w:tblW w:w="789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89"/>
        <w:gridCol w:w="4710"/>
      </w:tblGrid>
      <w:tr>
        <w:tblPrEx>
          <w:tblW w:w="789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429"/>
          <w:jc w:val="center"/>
        </w:trPr>
        <w:tc>
          <w:tcPr>
            <w:tcW w:w="3189" w:type="dxa"/>
            <w:vAlign w:val="center"/>
          </w:tcPr>
          <w:p w:rsidR="00092985">
            <w:pPr>
              <w:adjustRightInd w:val="0"/>
              <w:snapToGrid w:val="0"/>
              <w:contextualSpacing/>
              <w:jc w:val="center"/>
              <w:rPr>
                <w:rFonts w:ascii="仿宋" w:eastAsia="仿宋" w:hAnsi="仿宋" w:cs="仿宋" w:hint="eastAsia"/>
                <w:sz w:val="24"/>
              </w:rPr>
            </w:pPr>
            <w:r>
              <w:rPr>
                <w:rFonts w:ascii="仿宋" w:eastAsia="仿宋" w:hAnsi="仿宋" w:cs="仿宋" w:hint="eastAsia"/>
                <w:sz w:val="24"/>
              </w:rPr>
              <w:t>相交道路名称</w:t>
            </w:r>
          </w:p>
        </w:tc>
        <w:tc>
          <w:tcPr>
            <w:tcW w:w="4710" w:type="dxa"/>
            <w:vAlign w:val="center"/>
          </w:tcPr>
          <w:p w:rsidR="00092985">
            <w:pPr>
              <w:adjustRightInd w:val="0"/>
              <w:snapToGrid w:val="0"/>
              <w:contextualSpacing/>
              <w:jc w:val="center"/>
              <w:rPr>
                <w:rFonts w:ascii="仿宋" w:eastAsia="仿宋" w:hAnsi="仿宋" w:cs="仿宋"/>
                <w:sz w:val="24"/>
              </w:rPr>
            </w:pPr>
            <w:r>
              <w:rPr>
                <w:rFonts w:ascii="仿宋" w:eastAsia="仿宋" w:hAnsi="仿宋" w:cs="仿宋" w:hint="eastAsia"/>
                <w:sz w:val="24"/>
              </w:rPr>
              <w:t>终点现在南海大道</w:t>
            </w:r>
          </w:p>
        </w:tc>
      </w:tr>
      <w:tr>
        <w:tblPrEx>
          <w:tblW w:w="7899" w:type="dxa"/>
          <w:jc w:val="center"/>
          <w:tblInd w:w="0" w:type="dxa"/>
          <w:tblLayout w:type="fixed"/>
          <w:tblLook w:val="0000"/>
        </w:tblPrEx>
        <w:trPr>
          <w:trHeight w:hRule="exact" w:val="429"/>
          <w:jc w:val="center"/>
        </w:trPr>
        <w:tc>
          <w:tcPr>
            <w:tcW w:w="3189" w:type="dxa"/>
            <w:vAlign w:val="center"/>
          </w:tcPr>
          <w:p w:rsidR="00092985">
            <w:pPr>
              <w:adjustRightInd w:val="0"/>
              <w:snapToGrid w:val="0"/>
              <w:contextualSpacing/>
              <w:jc w:val="center"/>
              <w:rPr>
                <w:rFonts w:ascii="仿宋" w:eastAsia="仿宋" w:hAnsi="仿宋" w:cs="仿宋" w:hint="eastAsia"/>
                <w:sz w:val="24"/>
              </w:rPr>
            </w:pPr>
            <w:r>
              <w:rPr>
                <w:rFonts w:ascii="仿宋" w:eastAsia="仿宋" w:hAnsi="仿宋" w:cs="仿宋" w:hint="eastAsia"/>
                <w:sz w:val="24"/>
              </w:rPr>
              <w:t>道路等级</w:t>
            </w:r>
          </w:p>
        </w:tc>
        <w:tc>
          <w:tcPr>
            <w:tcW w:w="4710" w:type="dxa"/>
            <w:vAlign w:val="center"/>
          </w:tcPr>
          <w:p w:rsidR="00092985">
            <w:pPr>
              <w:adjustRightInd w:val="0"/>
              <w:snapToGrid w:val="0"/>
              <w:contextualSpacing/>
              <w:jc w:val="center"/>
              <w:rPr>
                <w:rFonts w:ascii="仿宋" w:eastAsia="仿宋" w:hAnsi="仿宋" w:cs="仿宋" w:hint="eastAsia"/>
                <w:sz w:val="24"/>
              </w:rPr>
            </w:pPr>
            <w:r>
              <w:rPr>
                <w:rFonts w:ascii="仿宋" w:eastAsia="仿宋" w:hAnsi="仿宋" w:cs="仿宋" w:hint="eastAsia"/>
                <w:sz w:val="24"/>
              </w:rPr>
              <w:t>支路</w:t>
            </w:r>
          </w:p>
        </w:tc>
      </w:tr>
    </w:tbl>
    <w:p>
      <w:pPr>
        <w:sectPr>
          <w:headerReference w:type="default" r:id="rId42"/>
          <w:footerReference w:type="default" r:id="rId43"/>
          <w:type w:val="nextPage"/>
          <w:pgSz w:w="23811" w:h="16838" w:orient="landscape"/>
          <w:pgMar w:top="1083" w:right="1440" w:bottom="1083" w:left="1440" w:header="850" w:footer="1417" w:gutter="680"/>
          <w:pgNumType w:start="14"/>
          <w:cols w:num="2" w:space="425" w:equalWidth="0">
            <w:col w:w="9913" w:space="425"/>
            <w:col w:w="9913" w:space="0"/>
          </w:cols>
          <w:titlePg w:val="0"/>
          <w:docGrid w:type="lines" w:linePitch="316"/>
        </w:sectPr>
      </w:pPr>
    </w:p>
    <w:tbl>
      <w:tblPr>
        <w:tblStyle w:val="TableNormal"/>
        <w:tblW w:w="789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89"/>
        <w:gridCol w:w="4710"/>
      </w:tblGrid>
      <w:tr>
        <w:tblPrEx>
          <w:tblW w:w="789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429"/>
          <w:jc w:val="center"/>
        </w:trPr>
        <w:tc>
          <w:tcPr>
            <w:tcW w:w="3189" w:type="dxa"/>
            <w:vAlign w:val="center"/>
          </w:tcPr>
          <w:p w:rsidR="00092985">
            <w:pPr>
              <w:adjustRightInd w:val="0"/>
              <w:snapToGrid w:val="0"/>
              <w:contextualSpacing/>
              <w:jc w:val="center"/>
              <w:rPr>
                <w:rFonts w:ascii="仿宋" w:eastAsia="仿宋" w:hAnsi="仿宋" w:cs="仿宋" w:hint="eastAsia"/>
                <w:sz w:val="24"/>
              </w:rPr>
            </w:pPr>
            <w:r>
              <w:rPr>
                <w:rFonts w:ascii="仿宋" w:eastAsia="仿宋" w:hAnsi="仿宋" w:cs="仿宋" w:hint="eastAsia"/>
                <w:sz w:val="24"/>
              </w:rPr>
              <w:t>道路宽度</w:t>
            </w:r>
          </w:p>
        </w:tc>
        <w:tc>
          <w:tcPr>
            <w:tcW w:w="4710" w:type="dxa"/>
            <w:vAlign w:val="center"/>
          </w:tcPr>
          <w:p w:rsidR="00092985">
            <w:pPr>
              <w:adjustRightInd w:val="0"/>
              <w:snapToGrid w:val="0"/>
              <w:contextualSpacing/>
              <w:jc w:val="center"/>
              <w:rPr>
                <w:rFonts w:ascii="仿宋" w:eastAsia="仿宋" w:hAnsi="仿宋" w:cs="仿宋" w:hint="eastAsia"/>
                <w:sz w:val="24"/>
              </w:rPr>
            </w:pPr>
            <w:r>
              <w:rPr>
                <w:rFonts w:ascii="仿宋" w:eastAsia="仿宋" w:hAnsi="仿宋" w:cs="仿宋" w:hint="eastAsia"/>
                <w:sz w:val="24"/>
              </w:rPr>
              <w:t>15m</w:t>
            </w:r>
          </w:p>
        </w:tc>
      </w:tr>
      <w:tr>
        <w:tblPrEx>
          <w:tblW w:w="7899" w:type="dxa"/>
          <w:jc w:val="center"/>
          <w:tblInd w:w="0" w:type="dxa"/>
          <w:tblLayout w:type="fixed"/>
          <w:tblLook w:val="0000"/>
        </w:tblPrEx>
        <w:trPr>
          <w:trHeight w:hRule="exact" w:val="542"/>
          <w:jc w:val="center"/>
        </w:trPr>
        <w:tc>
          <w:tcPr>
            <w:tcW w:w="3189" w:type="dxa"/>
            <w:vAlign w:val="center"/>
          </w:tcPr>
          <w:p w:rsidR="00092985">
            <w:pPr>
              <w:adjustRightInd w:val="0"/>
              <w:snapToGrid w:val="0"/>
              <w:contextualSpacing/>
              <w:jc w:val="center"/>
              <w:rPr>
                <w:rFonts w:ascii="仿宋" w:eastAsia="仿宋" w:hAnsi="仿宋" w:cs="仿宋" w:hint="eastAsia"/>
                <w:sz w:val="24"/>
              </w:rPr>
            </w:pPr>
            <w:r>
              <w:rPr>
                <w:rFonts w:ascii="仿宋" w:eastAsia="仿宋" w:hAnsi="仿宋" w:cs="仿宋" w:hint="eastAsia"/>
                <w:sz w:val="24"/>
              </w:rPr>
              <w:t>交叉口形式</w:t>
            </w:r>
          </w:p>
        </w:tc>
        <w:tc>
          <w:tcPr>
            <w:tcW w:w="4710" w:type="dxa"/>
            <w:vAlign w:val="center"/>
          </w:tcPr>
          <w:p w:rsidR="00092985">
            <w:pPr>
              <w:adjustRightInd w:val="0"/>
              <w:snapToGrid w:val="0"/>
              <w:contextualSpacing/>
              <w:jc w:val="center"/>
              <w:rPr>
                <w:rFonts w:ascii="仿宋" w:eastAsia="仿宋" w:hAnsi="仿宋" w:cs="仿宋" w:hint="eastAsia"/>
                <w:sz w:val="24"/>
              </w:rPr>
            </w:pPr>
            <w:r>
              <w:rPr>
                <w:rFonts w:ascii="仿宋" w:eastAsia="仿宋" w:hAnsi="仿宋" w:cs="仿宋" w:hint="eastAsia"/>
                <w:sz w:val="24"/>
              </w:rPr>
              <w:t>平B</w:t>
            </w:r>
            <w:r>
              <w:rPr>
                <w:rFonts w:ascii="仿宋" w:eastAsia="仿宋" w:hAnsi="仿宋" w:cs="仿宋" w:hint="eastAsia"/>
                <w:sz w:val="24"/>
                <w:vertAlign w:val="subscript"/>
              </w:rPr>
              <w:t>2</w:t>
            </w:r>
            <w:r>
              <w:rPr>
                <w:rFonts w:ascii="仿宋" w:eastAsia="仿宋" w:hAnsi="仿宋" w:cs="仿宋" w:hint="eastAsia"/>
                <w:sz w:val="24"/>
              </w:rPr>
              <w:t>类</w:t>
            </w:r>
          </w:p>
        </w:tc>
      </w:tr>
    </w:tbl>
    <w:p w:rsidR="00092985">
      <w:pPr>
        <w:spacing w:line="360" w:lineRule="auto"/>
        <w:ind w:firstLine="560" w:firstLineChars="200"/>
        <w:rPr>
          <w:rFonts w:ascii="仿宋" w:eastAsia="仿宋" w:hAnsi="仿宋" w:cs="仿宋" w:hint="eastAsia"/>
          <w:sz w:val="28"/>
          <w:szCs w:val="28"/>
        </w:rPr>
      </w:pPr>
      <w:bookmarkStart w:id="75" w:name="_Toc457743736"/>
      <w:bookmarkStart w:id="76" w:name="_Toc31930"/>
      <w:bookmarkStart w:id="77" w:name="_Toc449455221"/>
      <w:bookmarkStart w:id="78" w:name="_Toc28492"/>
      <w:bookmarkStart w:id="79" w:name="_Toc427017697"/>
      <w:bookmarkEnd w:id="2"/>
      <w:bookmarkEnd w:id="3"/>
      <w:bookmarkEnd w:id="4"/>
      <w:bookmarkEnd w:id="5"/>
      <w:bookmarkEnd w:id="6"/>
      <w:bookmarkEnd w:id="7"/>
      <w:bookmarkEnd w:id="8"/>
      <w:bookmarkEnd w:id="9"/>
      <w:bookmarkEnd w:id="10"/>
      <w:bookmarkEnd w:id="11"/>
      <w:bookmarkEnd w:id="12"/>
      <w:bookmarkEnd w:id="13"/>
      <w:bookmarkEnd w:id="14"/>
      <w:r>
        <w:rPr>
          <w:rFonts w:ascii="仿宋" w:eastAsia="仿宋" w:hAnsi="仿宋" w:cs="仿宋" w:hint="eastAsia"/>
          <w:sz w:val="28"/>
          <w:szCs w:val="28"/>
        </w:rPr>
        <w:t>本次设计交叉口已形成，交叉口范围内标高控制以现状标高为准。</w:t>
      </w:r>
    </w:p>
    <w:p w:rsidR="00092985">
      <w:pPr>
        <w:pStyle w:val="Heading2"/>
        <w:numPr>
          <w:ilvl w:val="1"/>
          <w:numId w:val="12"/>
        </w:numPr>
        <w:spacing w:before="0" w:after="0" w:line="360" w:lineRule="auto"/>
        <w:ind w:firstLine="73"/>
        <w:rPr>
          <w:rFonts w:ascii="仿宋" w:eastAsia="仿宋" w:hAnsi="仿宋" w:cs="仿宋" w:hint="eastAsia"/>
          <w:sz w:val="30"/>
          <w:szCs w:val="30"/>
        </w:rPr>
      </w:pPr>
      <w:r>
        <w:rPr>
          <w:rFonts w:ascii="仿宋" w:eastAsia="仿宋" w:hAnsi="仿宋" w:cs="仿宋" w:hint="eastAsia"/>
          <w:sz w:val="30"/>
          <w:szCs w:val="30"/>
        </w:rPr>
        <w:t>路基设计</w:t>
      </w:r>
      <w:bookmarkEnd w:id="75"/>
      <w:bookmarkEnd w:id="76"/>
      <w:bookmarkEnd w:id="77"/>
      <w:bookmarkEnd w:id="78"/>
      <w:bookmarkEnd w:id="79"/>
    </w:p>
    <w:p w:rsidR="00092985">
      <w:pPr>
        <w:pStyle w:val="Heading3"/>
        <w:numPr>
          <w:ilvl w:val="2"/>
          <w:numId w:val="12"/>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路基设计原则</w:t>
      </w:r>
    </w:p>
    <w:p w:rsidR="00092985">
      <w:pPr>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szCs w:val="28"/>
          <w:lang w:val="zh-CN"/>
        </w:rPr>
        <w:t>（1）路基内的树根、草根、生活垃圾和建筑垃圾等必须清除，路基不得用腐殖土、垃圾土或淤泥填筑。填土不得有杂草、树根等杂质,在路基填筑前，须先清除</w:t>
      </w:r>
      <w:r>
        <w:rPr>
          <w:rFonts w:ascii="仿宋" w:eastAsia="仿宋" w:hAnsi="仿宋" w:cs="仿宋" w:hint="eastAsia"/>
          <w:sz w:val="28"/>
          <w:szCs w:val="28"/>
        </w:rPr>
        <w:t>3</w:t>
      </w:r>
      <w:r>
        <w:rPr>
          <w:rFonts w:ascii="仿宋" w:eastAsia="仿宋" w:hAnsi="仿宋" w:cs="仿宋" w:hint="eastAsia"/>
          <w:sz w:val="28"/>
          <w:szCs w:val="28"/>
          <w:lang w:val="zh-CN"/>
        </w:rPr>
        <w:t>0cm厚的表层土。</w:t>
      </w:r>
    </w:p>
    <w:p w:rsidR="00092985">
      <w:pPr>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szCs w:val="28"/>
          <w:lang w:val="zh-CN"/>
        </w:rPr>
        <w:t>（2）道路经过需要填埋的河道、水塘等的时候，路基施工须挖尽淤泥后，然后分层回填至路基顶面。</w:t>
      </w:r>
    </w:p>
    <w:p w:rsidR="00092985">
      <w:pPr>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szCs w:val="28"/>
          <w:lang w:val="zh-CN"/>
        </w:rPr>
        <w:t>（3）填土地段的表面不得有积水，并应保持适当干燥，填土层应分层夯实。</w:t>
      </w:r>
    </w:p>
    <w:p w:rsidR="00092985">
      <w:pPr>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szCs w:val="28"/>
          <w:lang w:val="zh-CN"/>
        </w:rPr>
        <w:t>（4）路基压实首先采用城市道路工程设计规范要求的击实标准。</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本次设计要求道路范围需满足道路路基填料要求以及路基压实度要求。</w:t>
      </w:r>
    </w:p>
    <w:p w:rsidR="00092985">
      <w:pPr>
        <w:spacing w:line="360" w:lineRule="auto"/>
        <w:jc w:val="center"/>
        <w:rPr>
          <w:rFonts w:ascii="仿宋" w:eastAsia="仿宋" w:hAnsi="仿宋" w:cs="仿宋" w:hint="eastAsia"/>
          <w:bCs/>
          <w:sz w:val="28"/>
          <w:szCs w:val="28"/>
        </w:rPr>
      </w:pPr>
      <w:r>
        <w:rPr>
          <w:rFonts w:ascii="仿宋" w:eastAsia="仿宋" w:hAnsi="仿宋" w:cs="仿宋" w:hint="eastAsia"/>
          <w:bCs/>
          <w:sz w:val="28"/>
          <w:szCs w:val="28"/>
        </w:rPr>
        <w:t>路基压实度强度要求</w:t>
      </w:r>
    </w:p>
    <w:tbl>
      <w:tblPr>
        <w:tblStyle w:val="TableNormal"/>
        <w:tblW w:w="899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56"/>
        <w:gridCol w:w="2258"/>
        <w:gridCol w:w="1904"/>
        <w:gridCol w:w="1918"/>
        <w:gridCol w:w="1362"/>
      </w:tblGrid>
      <w:tr>
        <w:tblPrEx>
          <w:tblW w:w="899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27"/>
          <w:jc w:val="center"/>
        </w:trPr>
        <w:tc>
          <w:tcPr>
            <w:tcW w:w="1556" w:type="dxa"/>
            <w:vMerge w:val="restart"/>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填挖类别</w:t>
            </w:r>
          </w:p>
        </w:tc>
        <w:tc>
          <w:tcPr>
            <w:tcW w:w="4162" w:type="dxa"/>
            <w:gridSpan w:val="2"/>
            <w:vMerge w:val="restart"/>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路面底面以下深度（cm）</w:t>
            </w:r>
          </w:p>
        </w:tc>
        <w:tc>
          <w:tcPr>
            <w:tcW w:w="3280" w:type="dxa"/>
            <w:gridSpan w:val="2"/>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压实度（%）</w:t>
            </w:r>
          </w:p>
        </w:tc>
      </w:tr>
      <w:tr>
        <w:tblPrEx>
          <w:tblW w:w="8998" w:type="dxa"/>
          <w:jc w:val="center"/>
          <w:tblInd w:w="0" w:type="dxa"/>
          <w:tblLayout w:type="fixed"/>
          <w:tblLook w:val="0000"/>
        </w:tblPrEx>
        <w:trPr>
          <w:cantSplit/>
          <w:trHeight w:val="527"/>
          <w:jc w:val="center"/>
        </w:trPr>
        <w:tc>
          <w:tcPr>
            <w:tcW w:w="1556" w:type="dxa"/>
            <w:vMerge/>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p>
        </w:tc>
        <w:tc>
          <w:tcPr>
            <w:tcW w:w="4162" w:type="dxa"/>
            <w:gridSpan w:val="2"/>
            <w:vMerge/>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p>
        </w:tc>
        <w:tc>
          <w:tcPr>
            <w:tcW w:w="1918"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次干路</w:t>
            </w:r>
          </w:p>
        </w:tc>
        <w:tc>
          <w:tcPr>
            <w:tcW w:w="1362"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支路</w:t>
            </w:r>
          </w:p>
        </w:tc>
      </w:tr>
      <w:tr>
        <w:tblPrEx>
          <w:tblW w:w="8998" w:type="dxa"/>
          <w:jc w:val="center"/>
          <w:tblInd w:w="0" w:type="dxa"/>
          <w:tblLayout w:type="fixed"/>
          <w:tblLook w:val="0000"/>
        </w:tblPrEx>
        <w:trPr>
          <w:cantSplit/>
          <w:trHeight w:val="527"/>
          <w:jc w:val="center"/>
        </w:trPr>
        <w:tc>
          <w:tcPr>
            <w:tcW w:w="1556" w:type="dxa"/>
            <w:vMerge w:val="restart"/>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填方路基</w:t>
            </w:r>
          </w:p>
        </w:tc>
        <w:tc>
          <w:tcPr>
            <w:tcW w:w="2258"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上下路床</w:t>
            </w:r>
          </w:p>
        </w:tc>
        <w:tc>
          <w:tcPr>
            <w:tcW w:w="1904"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0～80</w:t>
            </w:r>
          </w:p>
        </w:tc>
        <w:tc>
          <w:tcPr>
            <w:tcW w:w="1918"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w:t>
            </w:r>
            <w:r>
              <w:rPr>
                <w:rFonts w:ascii="仿宋" w:eastAsia="仿宋" w:hAnsi="仿宋" w:cs="仿宋" w:hint="eastAsia"/>
                <w:color w:val="auto"/>
                <w:szCs w:val="28"/>
              </w:rPr>
              <w:t>95</w:t>
            </w:r>
          </w:p>
        </w:tc>
        <w:tc>
          <w:tcPr>
            <w:tcW w:w="1362"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w:t>
            </w:r>
            <w:r>
              <w:rPr>
                <w:rFonts w:ascii="仿宋" w:eastAsia="仿宋" w:hAnsi="仿宋" w:cs="仿宋" w:hint="eastAsia"/>
                <w:color w:val="auto"/>
                <w:szCs w:val="28"/>
              </w:rPr>
              <w:t>94</w:t>
            </w:r>
          </w:p>
        </w:tc>
      </w:tr>
      <w:tr>
        <w:tblPrEx>
          <w:tblW w:w="8998" w:type="dxa"/>
          <w:jc w:val="center"/>
          <w:tblInd w:w="0" w:type="dxa"/>
          <w:tblLayout w:type="fixed"/>
          <w:tblLook w:val="0000"/>
        </w:tblPrEx>
        <w:trPr>
          <w:cantSplit/>
          <w:trHeight w:val="527"/>
          <w:jc w:val="center"/>
        </w:trPr>
        <w:tc>
          <w:tcPr>
            <w:tcW w:w="1556" w:type="dxa"/>
            <w:vMerge/>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p>
        </w:tc>
        <w:tc>
          <w:tcPr>
            <w:tcW w:w="2258"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上路堤</w:t>
            </w:r>
          </w:p>
        </w:tc>
        <w:tc>
          <w:tcPr>
            <w:tcW w:w="1904"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80～150</w:t>
            </w:r>
          </w:p>
        </w:tc>
        <w:tc>
          <w:tcPr>
            <w:tcW w:w="1918"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w:t>
            </w:r>
            <w:r>
              <w:rPr>
                <w:rFonts w:ascii="仿宋" w:eastAsia="仿宋" w:hAnsi="仿宋" w:cs="仿宋" w:hint="eastAsia"/>
                <w:color w:val="auto"/>
                <w:szCs w:val="28"/>
              </w:rPr>
              <w:t>94</w:t>
            </w:r>
          </w:p>
        </w:tc>
        <w:tc>
          <w:tcPr>
            <w:tcW w:w="1362"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w:t>
            </w:r>
            <w:r>
              <w:rPr>
                <w:rFonts w:ascii="仿宋" w:eastAsia="仿宋" w:hAnsi="仿宋" w:cs="仿宋" w:hint="eastAsia"/>
                <w:color w:val="auto"/>
                <w:szCs w:val="28"/>
              </w:rPr>
              <w:t>93</w:t>
            </w:r>
          </w:p>
        </w:tc>
      </w:tr>
      <w:tr>
        <w:tblPrEx>
          <w:tblW w:w="8998" w:type="dxa"/>
          <w:jc w:val="center"/>
          <w:tblInd w:w="0" w:type="dxa"/>
          <w:tblLayout w:type="fixed"/>
          <w:tblLook w:val="0000"/>
        </w:tblPrEx>
        <w:trPr>
          <w:cantSplit/>
          <w:trHeight w:val="527"/>
          <w:jc w:val="center"/>
        </w:trPr>
        <w:tc>
          <w:tcPr>
            <w:tcW w:w="1556" w:type="dxa"/>
            <w:vMerge/>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p>
        </w:tc>
        <w:tc>
          <w:tcPr>
            <w:tcW w:w="2258"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下路堤</w:t>
            </w:r>
          </w:p>
        </w:tc>
        <w:tc>
          <w:tcPr>
            <w:tcW w:w="1904"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150以下</w:t>
            </w:r>
          </w:p>
        </w:tc>
        <w:tc>
          <w:tcPr>
            <w:tcW w:w="1918"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w:t>
            </w:r>
            <w:r>
              <w:rPr>
                <w:rFonts w:ascii="仿宋" w:eastAsia="仿宋" w:hAnsi="仿宋" w:cs="仿宋" w:hint="eastAsia"/>
                <w:color w:val="auto"/>
                <w:szCs w:val="28"/>
              </w:rPr>
              <w:t>92</w:t>
            </w:r>
          </w:p>
        </w:tc>
        <w:tc>
          <w:tcPr>
            <w:tcW w:w="1362"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w:t>
            </w:r>
            <w:r>
              <w:rPr>
                <w:rFonts w:ascii="仿宋" w:eastAsia="仿宋" w:hAnsi="仿宋" w:cs="仿宋" w:hint="eastAsia"/>
                <w:color w:val="auto"/>
                <w:szCs w:val="28"/>
              </w:rPr>
              <w:t>90</w:t>
            </w:r>
          </w:p>
        </w:tc>
      </w:tr>
      <w:tr>
        <w:tblPrEx>
          <w:tblW w:w="8998" w:type="dxa"/>
          <w:jc w:val="center"/>
          <w:tblInd w:w="0" w:type="dxa"/>
          <w:tblLayout w:type="fixed"/>
          <w:tblLook w:val="0000"/>
        </w:tblPrEx>
        <w:trPr>
          <w:cantSplit/>
          <w:trHeight w:val="565"/>
          <w:jc w:val="center"/>
        </w:trPr>
        <w:tc>
          <w:tcPr>
            <w:tcW w:w="3814" w:type="dxa"/>
            <w:gridSpan w:val="2"/>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零填及路堑路床</w:t>
            </w:r>
          </w:p>
        </w:tc>
        <w:tc>
          <w:tcPr>
            <w:tcW w:w="1904"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0～30</w:t>
            </w:r>
          </w:p>
        </w:tc>
        <w:tc>
          <w:tcPr>
            <w:tcW w:w="1918"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w:t>
            </w:r>
            <w:r>
              <w:rPr>
                <w:rFonts w:ascii="仿宋" w:eastAsia="仿宋" w:hAnsi="仿宋" w:cs="仿宋" w:hint="eastAsia"/>
                <w:color w:val="auto"/>
                <w:szCs w:val="28"/>
              </w:rPr>
              <w:t>95</w:t>
            </w:r>
          </w:p>
        </w:tc>
        <w:tc>
          <w:tcPr>
            <w:tcW w:w="1362" w:type="dxa"/>
            <w:tcBorders>
              <w:tl2br w:val="nil"/>
              <w:tr2bl w:val="nil"/>
            </w:tcBorders>
            <w:vAlign w:val="center"/>
          </w:tcPr>
          <w:p w:rsidR="00092985">
            <w:pPr>
              <w:pStyle w:val="-xu"/>
              <w:spacing w:line="276" w:lineRule="auto"/>
              <w:ind w:firstLine="0" w:firstLineChars="0"/>
              <w:jc w:val="center"/>
              <w:rPr>
                <w:rFonts w:ascii="仿宋" w:eastAsia="仿宋" w:hAnsi="仿宋" w:cs="仿宋" w:hint="eastAsia"/>
                <w:color w:val="auto"/>
                <w:szCs w:val="28"/>
              </w:rPr>
            </w:pPr>
            <w:r>
              <w:rPr>
                <w:rFonts w:ascii="仿宋" w:eastAsia="仿宋" w:hAnsi="仿宋" w:cs="仿宋" w:hint="eastAsia"/>
                <w:color w:val="auto"/>
                <w:szCs w:val="28"/>
              </w:rPr>
              <w:t>≥</w:t>
            </w:r>
            <w:r>
              <w:rPr>
                <w:rFonts w:ascii="仿宋" w:eastAsia="仿宋" w:hAnsi="仿宋" w:cs="仿宋" w:hint="eastAsia"/>
                <w:color w:val="auto"/>
                <w:szCs w:val="28"/>
              </w:rPr>
              <w:t>94</w:t>
            </w:r>
          </w:p>
        </w:tc>
      </w:tr>
    </w:tbl>
    <w:p w:rsidR="00092985">
      <w:pPr>
        <w:spacing w:line="360" w:lineRule="auto"/>
        <w:ind w:firstLine="480"/>
        <w:rPr>
          <w:rFonts w:ascii="仿宋" w:eastAsia="仿宋" w:hAnsi="仿宋" w:cs="仿宋" w:hint="eastAsia"/>
          <w:sz w:val="24"/>
        </w:rPr>
      </w:pPr>
      <w:r>
        <w:rPr>
          <w:rFonts w:ascii="仿宋" w:eastAsia="仿宋" w:hAnsi="仿宋" w:cs="仿宋" w:hint="eastAsia"/>
          <w:sz w:val="24"/>
        </w:rPr>
        <w:t>注：按照《重庆市城市道路工程施工质量验收规范》（DBJ50/T</w:t>
      </w:r>
      <w:r>
        <w:rPr>
          <w:rFonts w:ascii="仿宋" w:eastAsia="仿宋" w:hAnsi="仿宋" w:cs="仿宋" w:hint="eastAsia"/>
          <w:sz w:val="24"/>
          <w:u w:val="dotted"/>
        </w:rPr>
        <w:t>-078-</w:t>
      </w:r>
      <w:r>
        <w:rPr>
          <w:rFonts w:ascii="仿宋" w:eastAsia="仿宋" w:hAnsi="仿宋" w:cs="仿宋" w:hint="eastAsia"/>
          <w:sz w:val="24"/>
        </w:rPr>
        <w:t>2016）取值，压实度采用重型压实标准。</w:t>
      </w:r>
      <w:bookmarkStart w:id="80" w:name="_Toc18099"/>
      <w:bookmarkStart w:id="81" w:name="_Toc390434836"/>
      <w:bookmarkStart w:id="82" w:name="_Toc427017699"/>
      <w:bookmarkStart w:id="83" w:name="_Toc449455223"/>
      <w:bookmarkStart w:id="84" w:name="_Toc457743738"/>
    </w:p>
    <w:p w:rsidR="00092985">
      <w:pPr>
        <w:pStyle w:val="Heading3"/>
        <w:numPr>
          <w:ilvl w:val="2"/>
          <w:numId w:val="12"/>
        </w:numPr>
        <w:spacing w:before="0" w:after="0" w:line="360" w:lineRule="auto"/>
        <w:ind w:hanging="69"/>
        <w:jc w:val="left"/>
        <w:rPr>
          <w:rFonts w:ascii="仿宋" w:eastAsia="仿宋" w:hAnsi="仿宋" w:cs="仿宋"/>
          <w:sz w:val="28"/>
          <w:szCs w:val="28"/>
        </w:rPr>
      </w:pPr>
      <w:r>
        <w:rPr>
          <w:rFonts w:ascii="仿宋" w:eastAsia="仿宋" w:hAnsi="仿宋" w:cs="仿宋" w:hint="eastAsia"/>
          <w:sz w:val="28"/>
          <w:szCs w:val="28"/>
        </w:rPr>
        <w:t>路基设计概况</w:t>
      </w:r>
    </w:p>
    <w:p w:rsidR="00092985">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整条道路基本为一般挖方路基，道路最大挖方边坡高度均为10m。本次路基必须做压实、均匀、稳定。路槽底面土基在不利季节应达到干湿或中湿状态，其土基设计回弹模量值应不小于30Mpa，不能满足上述要求时应采取措施提高土基强度。</w:t>
      </w:r>
    </w:p>
    <w:p w:rsidR="00092985">
      <w:pPr>
        <w:pStyle w:val="Heading3"/>
        <w:numPr>
          <w:ilvl w:val="2"/>
          <w:numId w:val="12"/>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一般路基设计</w:t>
      </w:r>
      <w:bookmarkEnd w:id="80"/>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lang w:val="zh-CN"/>
        </w:rPr>
        <w:t>（</w:t>
      </w:r>
      <w:r>
        <w:rPr>
          <w:rFonts w:ascii="仿宋" w:eastAsia="仿宋" w:hAnsi="仿宋" w:cs="仿宋" w:hint="eastAsia"/>
          <w:sz w:val="28"/>
          <w:szCs w:val="28"/>
        </w:rPr>
        <w:t>1</w:t>
      </w:r>
      <w:r>
        <w:rPr>
          <w:rFonts w:ascii="仿宋" w:eastAsia="仿宋" w:hAnsi="仿宋" w:cs="仿宋" w:hint="eastAsia"/>
          <w:sz w:val="28"/>
          <w:szCs w:val="28"/>
          <w:lang w:val="zh-CN"/>
        </w:rPr>
        <w:t>）</w:t>
      </w:r>
      <w:r>
        <w:rPr>
          <w:rFonts w:ascii="仿宋" w:eastAsia="仿宋" w:hAnsi="仿宋" w:cs="仿宋" w:hint="eastAsia"/>
          <w:sz w:val="28"/>
          <w:szCs w:val="28"/>
        </w:rPr>
        <w:t>填方边坡</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本次项目无填方边坡。</w:t>
      </w:r>
    </w:p>
    <w:p w:rsidR="00092985">
      <w:pPr>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szCs w:val="28"/>
          <w:lang w:val="zh-CN"/>
        </w:rPr>
        <w:t>（2）挖方边坡</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结合地勘和道路范围内场平资料，本路段实施范围挖方边坡高度最大高度10m，边坡安全等级为二级，安全系数取1.30。本项目挖方边坡采用每8m一级，第一级边坡坡率1:1.25，第二级边坡坡率1:1.5或1:1.75，第一级和第二级之间设2m边坡平台，为保证排水顺畅，平台设3%外倾横坡。挖方边坡坡顶外5米范围内设截水沟，顺地势通过跌水或急流槽接入涵洞，排出路基范围。</w:t>
      </w:r>
    </w:p>
    <w:p w:rsidR="00092985">
      <w:pPr>
        <w:ind w:firstLine="560"/>
        <w:rPr>
          <w:rFonts w:hint="eastAsia"/>
          <w:b/>
          <w:bCs/>
        </w:rPr>
      </w:pPr>
      <w:r>
        <w:rPr>
          <w:rFonts w:ascii="仿宋" w:eastAsia="仿宋" w:hAnsi="仿宋" w:cs="仿宋" w:hint="eastAsia"/>
          <w:b/>
          <w:bCs/>
          <w:sz w:val="28"/>
          <w:szCs w:val="28"/>
        </w:rPr>
        <w:t>路堑长度为</w:t>
      </w:r>
      <w:r>
        <w:rPr>
          <w:rFonts w:ascii="仿宋" w:eastAsia="仿宋" w:hAnsi="仿宋" w:cs="仿宋" w:hint="eastAsia"/>
          <w:b/>
          <w:bCs/>
          <w:color w:val="FF0000"/>
          <w:sz w:val="28"/>
          <w:szCs w:val="28"/>
        </w:rPr>
        <w:t>39.42</w:t>
      </w:r>
      <w:r>
        <w:rPr>
          <w:rFonts w:ascii="仿宋" w:eastAsia="仿宋" w:hAnsi="仿宋" w:cs="仿宋" w:hint="eastAsia"/>
          <w:b/>
          <w:bCs/>
          <w:sz w:val="28"/>
          <w:szCs w:val="28"/>
        </w:rPr>
        <w:t>m，边坡最大挖方高度为10m。</w:t>
      </w:r>
    </w:p>
    <w:p w:rsidR="00092985">
      <w:pPr>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szCs w:val="28"/>
          <w:lang w:val="zh-CN"/>
        </w:rPr>
        <w:t>（</w:t>
      </w:r>
      <w:r>
        <w:rPr>
          <w:rFonts w:ascii="仿宋" w:eastAsia="仿宋" w:hAnsi="仿宋" w:cs="仿宋" w:hint="eastAsia"/>
          <w:sz w:val="28"/>
          <w:szCs w:val="28"/>
        </w:rPr>
        <w:t>3</w:t>
      </w:r>
      <w:r>
        <w:rPr>
          <w:rFonts w:ascii="仿宋" w:eastAsia="仿宋" w:hAnsi="仿宋" w:cs="仿宋" w:hint="eastAsia"/>
          <w:sz w:val="28"/>
          <w:szCs w:val="28"/>
          <w:lang w:val="zh-CN"/>
        </w:rPr>
        <w:t>）</w:t>
      </w:r>
      <w:r>
        <w:rPr>
          <w:rFonts w:ascii="仿宋" w:eastAsia="仿宋" w:hAnsi="仿宋" w:cs="仿宋" w:hint="eastAsia"/>
          <w:sz w:val="28"/>
          <w:szCs w:val="28"/>
        </w:rPr>
        <w:t>路基防护设计</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1）边坡防护设计</w:t>
      </w:r>
    </w:p>
    <w:p w:rsidR="00092985">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考虑到道路两侧为规划用地。因此，在本项目中一般路基防护均考虑喷播植草防护。</w:t>
      </w:r>
    </w:p>
    <w:p w:rsidR="00092985">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绿化植物种子配比为草种高羊茅草：早熟禾：黑麦草＝6：3：1；密度30g/m2。</w:t>
      </w:r>
    </w:p>
    <w:p w:rsidR="00092985">
      <w:pPr>
        <w:pStyle w:val="Heading3"/>
        <w:numPr>
          <w:ilvl w:val="2"/>
          <w:numId w:val="12"/>
        </w:numPr>
        <w:spacing w:before="0" w:after="0" w:line="360" w:lineRule="auto"/>
        <w:ind w:hanging="69"/>
        <w:jc w:val="left"/>
        <w:rPr>
          <w:rFonts w:ascii="仿宋" w:eastAsia="仿宋" w:hAnsi="仿宋" w:cs="仿宋" w:hint="eastAsia"/>
          <w:sz w:val="28"/>
          <w:szCs w:val="28"/>
        </w:rPr>
      </w:pPr>
      <w:bookmarkStart w:id="85" w:name="_Toc19787"/>
      <w:bookmarkStart w:id="86" w:name="_Toc26253"/>
      <w:r>
        <w:rPr>
          <w:rFonts w:ascii="仿宋" w:eastAsia="仿宋" w:hAnsi="仿宋" w:cs="仿宋" w:hint="eastAsia"/>
          <w:sz w:val="28"/>
          <w:szCs w:val="28"/>
        </w:rPr>
        <w:t>特殊路基设计</w:t>
      </w:r>
      <w:bookmarkEnd w:id="81"/>
      <w:bookmarkEnd w:id="82"/>
      <w:bookmarkEnd w:id="83"/>
      <w:bookmarkEnd w:id="84"/>
      <w:bookmarkEnd w:id="85"/>
      <w:bookmarkEnd w:id="86"/>
    </w:p>
    <w:p w:rsidR="00092985">
      <w:pPr>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szCs w:val="28"/>
          <w:lang w:val="zh-CN"/>
        </w:rPr>
        <w:t>（1）零填挖路段</w:t>
      </w:r>
    </w:p>
    <w:p w:rsidR="00092985">
      <w:pPr>
        <w:spacing w:line="360" w:lineRule="auto"/>
        <w:ind w:firstLine="560" w:firstLineChars="200"/>
        <w:rPr>
          <w:rFonts w:ascii="仿宋" w:eastAsia="仿宋" w:hAnsi="仿宋" w:cs="仿宋" w:hint="eastAsia"/>
          <w:kern w:val="0"/>
          <w:sz w:val="28"/>
          <w:szCs w:val="28"/>
        </w:rPr>
      </w:pPr>
      <w:r>
        <w:rPr>
          <w:rFonts w:ascii="仿宋" w:eastAsia="仿宋" w:hAnsi="仿宋" w:cs="仿宋" w:hint="eastAsia"/>
          <w:kern w:val="0"/>
          <w:sz w:val="28"/>
          <w:szCs w:val="28"/>
        </w:rPr>
        <w:br/>
      </w:r>
      <w:r>
        <w:rPr>
          <w:rFonts w:ascii="仿宋" w:eastAsia="仿宋" w:hAnsi="仿宋" w:cs="仿宋" w:hint="eastAsia"/>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 w:history="1">
        <w:r>
          <w:rPr>
            <w:rFonts w:ascii="SimSun" w:eastAsia="SimSun" w:hAnsi="SimSun" w:cs="SimSun"/>
            <w:b/>
            <w:bCs/>
            <w:color w:val="0000EE"/>
            <w:kern w:val="0"/>
            <w:sz w:val="30"/>
            <w:szCs w:val="30"/>
            <w:u w:val="single" w:color="0000EE"/>
          </w:rPr>
          <w:t>https://d.book118.com/978064132011006042</w:t>
        </w:r>
      </w:hyperlink>
    </w:p>
    <w:p w:rsidR="00092985">
      <w:pPr>
        <w:spacing w:line="360" w:lineRule="auto"/>
        <w:ind w:firstLine="560" w:firstLineChars="200"/>
        <w:rPr>
          <w:rFonts w:ascii="仿宋" w:eastAsia="仿宋" w:hAnsi="仿宋" w:cs="仿宋" w:hint="eastAsia"/>
          <w:kern w:val="0"/>
          <w:sz w:val="28"/>
          <w:szCs w:val="28"/>
        </w:rPr>
      </w:pPr>
    </w:p>
    <w:sectPr>
      <w:headerReference w:type="default" r:id="rId45"/>
      <w:footerReference w:type="default" r:id="rId46"/>
      <w:type w:val="nextPage"/>
      <w:pgSz w:w="23811" w:h="16838" w:orient="landscape"/>
      <w:pgMar w:top="1083" w:right="1440" w:bottom="1083" w:left="1440" w:header="850" w:footer="1417" w:gutter="680"/>
      <w:pgNumType w:start="15"/>
      <w:cols w:num="2" w:space="425" w:equalWidth="0">
        <w:col w:w="9913" w:space="425"/>
        <w:col w:w="9913" w:space="0"/>
      </w:cols>
      <w:titlePg w:val="0"/>
      <w:docGrid w:type="lines" w:linePitch="31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楷体_GB2312">
    <w:altName w:val="楷体"/>
    <w:panose1 w:val="02010609030101010101"/>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Footer"/>
      <w:ind w:right="360"/>
      <w:rPr>
        <w:rFonts w:ascii="宋体" w:hAnsi="宋体" w:hint="eastAsia"/>
        <w:sz w:val="21"/>
        <w:szCs w:val="21"/>
      </w:rPr>
    </w:pPr>
    <w:r>
      <w:rPr>
        <w:rFonts w:hint="eastAsia"/>
      </w:rPr>
      <w:t xml:space="preserve">                                                         </w:t>
    </w:r>
    <w:r>
      <w:rPr>
        <w:rFonts w:ascii="宋体" w:hAnsi="宋体" w:hint="eastAsia"/>
        <w:b/>
      </w:rPr>
      <w:t xml:space="preserve">            </w:t>
    </w:r>
    <w:r>
      <w:rPr>
        <w:rFonts w:ascii="宋体" w:hAnsi="宋体" w:hint="eastAsia"/>
      </w:rPr>
      <w:t xml:space="preserve">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49" type="#_x0000_t202" style="width:109.15pt;height:17.2pt;margin-top:-16.75pt;margin-left:933.25pt;mso-position-horizontal-relative:margin;position:absolute;z-index:251658240"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0" type="#_x0000_t202" style="width:109.15pt;height:17.2pt;margin-top:-16.75pt;margin-left:933.25pt;mso-position-horizontal-relative:margin;position:absolute;z-index:251659264"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33</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33</w:t>
                </w:r>
                <w:r>
                  <w:rPr>
                    <w:rFonts w:ascii="仿宋" w:eastAsia="仿宋" w:hAnsi="仿宋" w:cs="仿宋" w:hint="eastAsia"/>
                    <w:b/>
                    <w:bCs/>
                    <w:sz w:val="24"/>
                    <w:szCs w:val="24"/>
                  </w:rPr>
                  <w:fldChar w:fldCharType="end"/>
                </w:r>
              </w:p>
            </w:txbxContent>
          </v:textbox>
          <w10:wrap anchorx="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1" type="#_x0000_t202" style="width:109.15pt;height:17.2pt;margin-top:-16.75pt;margin-left:933.25pt;mso-position-horizontal-relative:margin;position:absolute;z-index:251660288"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33</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33</w:t>
                </w:r>
                <w:r>
                  <w:rPr>
                    <w:rFonts w:ascii="仿宋" w:eastAsia="仿宋" w:hAnsi="仿宋" w:cs="仿宋" w:hint="eastAsia"/>
                    <w:b/>
                    <w:bCs/>
                    <w:sz w:val="24"/>
                    <w:szCs w:val="24"/>
                  </w:rPr>
                  <w:fldChar w:fldCharType="end"/>
                </w:r>
              </w:p>
            </w:txbxContent>
          </v:textbox>
          <w10:wrap anchorx="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2" type="#_x0000_t202" style="width:109.15pt;height:17.2pt;margin-top:-16.75pt;margin-left:933.25pt;mso-position-horizontal-relative:margin;position:absolute;z-index:251661312"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3</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3" type="#_x0000_t202" style="width:109.15pt;height:17.2pt;margin-top:-16.75pt;margin-left:933.25pt;mso-position-horizontal-relative:margin;position:absolute;z-index:251662336"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4</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4" type="#_x0000_t202" style="width:109.15pt;height:17.2pt;margin-top:-16.75pt;margin-left:933.25pt;mso-position-horizontal-relative:margin;position:absolute;z-index:251663360"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5</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5" type="#_x0000_t202" style="width:109.15pt;height:17.2pt;margin-top:-16.75pt;margin-left:933.25pt;mso-position-horizontal-relative:margin;position:absolute;z-index:251664384"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7</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6" type="#_x0000_t202" style="width:109.15pt;height:17.2pt;margin-top:-16.75pt;margin-left:933.25pt;mso-position-horizontal-relative:margin;position:absolute;z-index:251665408"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7</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7" type="#_x0000_t202" style="width:109.15pt;height:17.2pt;margin-top:-16.75pt;margin-left:933.25pt;mso-position-horizontal-relative:margin;position:absolute;z-index:251666432"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8</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8" type="#_x0000_t202" style="width:109.15pt;height:17.2pt;margin-top:-16.75pt;margin-left:933.25pt;mso-position-horizontal-relative:margin;position:absolute;z-index:251667456"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10</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59" type="#_x0000_t202" style="width:109.15pt;height:17.2pt;margin-top:-16.75pt;margin-left:933.25pt;mso-position-horizontal-relative:margin;position:absolute;z-index:251668480"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10</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60" type="#_x0000_t202" style="width:109.15pt;height:17.2pt;margin-top:-16.75pt;margin-left:933.25pt;mso-position-horizontal-relative:margin;position:absolute;z-index:251669504"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11</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61" type="#_x0000_t202" style="width:109.15pt;height:17.2pt;margin-top:-16.75pt;margin-left:933.25pt;mso-position-horizontal-relative:margin;position:absolute;z-index:251670528"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12</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62" type="#_x0000_t202" style="width:109.15pt;height:17.2pt;margin-top:-16.75pt;margin-left:933.25pt;mso-position-horizontal-relative:margin;position:absolute;z-index:251671552"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13</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63" type="#_x0000_t202" style="width:109.15pt;height:17.2pt;margin-top:-16.75pt;margin-left:933.25pt;mso-position-horizontal-relative:margin;position:absolute;z-index:251672576"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14</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985">
    <w:pPr>
      <w:pStyle w:val="Header"/>
      <w:pBdr>
        <w:bottom w:val="none" w:sz="0" w:space="1" w:color="auto"/>
      </w:pBdr>
      <w:rPr>
        <w:rFonts w:hint="eastAsia"/>
      </w:rPr>
    </w:pPr>
    <w:r>
      <w:pict>
        <v:shapetype id="_x0000_t202" coordsize="21600,21600" o:spt="202" path="m,l,21600r21600,l21600,xe">
          <v:stroke joinstyle="miter"/>
          <v:path gradientshapeok="t" o:connecttype="rect"/>
        </v:shapetype>
        <v:shape id="文本框 2" o:spid="_x0000_s2064" type="#_x0000_t202" style="width:109.15pt;height:17.2pt;margin-top:-16.75pt;margin-left:933.25pt;mso-position-horizontal-relative:margin;position:absolute;z-index:251673600" filled="f" stroked="f" strokeweight="0.5pt">
          <v:fill o:detectmouseclick="t"/>
          <o:lock v:ext="edit" aspectratio="f"/>
          <v:textbox inset="0,0,0,0">
            <w:txbxContent>
              <w:p w:rsidR="00092985">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15</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00EB1FC0">
                  <w:rPr>
                    <w:rFonts w:ascii="仿宋" w:eastAsia="仿宋" w:hAnsi="仿宋" w:cs="仿宋"/>
                    <w:b/>
                    <w:bCs/>
                    <w:noProof/>
                    <w:sz w:val="24"/>
                    <w:szCs w:val="24"/>
                  </w:rPr>
                  <w:t>16</w:t>
                </w:r>
                <w:r>
                  <w:rPr>
                    <w:rFonts w:ascii="仿宋" w:eastAsia="仿宋" w:hAnsi="仿宋" w:cs="仿宋" w:hint="eastAsia"/>
                    <w:b/>
                    <w:bCs/>
                    <w:sz w:val="24"/>
                    <w:szCs w:val="24"/>
                  </w:rPr>
                  <w:fldChar w:fldCharType="end"/>
                </w:r>
              </w:p>
            </w:txbxContent>
          </v:textbox>
          <w10:wrap anchorx="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E46EA8"/>
    <w:multiLevelType w:val="singleLevel"/>
    <w:tmpl w:val="91E46EA8"/>
    <w:lvl w:ilvl="0">
      <w:start w:val="1"/>
      <w:numFmt w:val="decimal"/>
      <w:suff w:val="nothing"/>
      <w:lvlText w:val="（%1）"/>
      <w:lvlJc w:val="left"/>
      <w:pPr>
        <w:tabs>
          <w:tab w:val="num" w:pos="0"/>
        </w:tabs>
        <w:ind w:left="0" w:firstLine="403"/>
      </w:pPr>
      <w:rPr>
        <w:rFonts w:ascii="仿宋" w:eastAsia="仿宋" w:hAnsi="仿宋" w:cs="仿宋" w:hint="default"/>
      </w:rPr>
    </w:lvl>
  </w:abstractNum>
  <w:abstractNum w:abstractNumId="1">
    <w:nsid w:val="FFFFFF89"/>
    <w:multiLevelType w:val="singleLevel"/>
    <w:tmpl w:val="FFFFFF89"/>
    <w:lvl w:ilvl="0">
      <w:start w:val="1"/>
      <w:numFmt w:val="bullet"/>
      <w:lvlText w:val=""/>
      <w:lvlJc w:val="left"/>
      <w:pPr>
        <w:tabs>
          <w:tab w:val="num" w:pos="360"/>
        </w:tabs>
        <w:ind w:left="360" w:hanging="360"/>
      </w:pPr>
      <w:rPr>
        <w:rFonts w:ascii="Wingdings" w:hAnsi="Wingdings" w:hint="default"/>
      </w:rPr>
    </w:lvl>
  </w:abstractNum>
  <w:abstractNum w:abstractNumId="2">
    <w:nsid w:val="03A3D63F"/>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
    <w:nsid w:val="100A123D"/>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4">
    <w:nsid w:val="1863EC48"/>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5">
    <w:nsid w:val="1960B238"/>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6">
    <w:nsid w:val="1EDC46B2"/>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7">
    <w:nsid w:val="24983FC9"/>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8">
    <w:nsid w:val="4B348F30"/>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9">
    <w:nsid w:val="50CE212F"/>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0">
    <w:nsid w:val="625D285C"/>
    <w:multiLevelType w:val="multilevel"/>
    <w:tmpl w:val="625D285C"/>
    <w:lvl w:ilvl="0">
      <w:start w:val="1"/>
      <w:numFmt w:val="decimal"/>
      <w:lvlText w:val="(%1)"/>
      <w:lvlJc w:val="left"/>
      <w:pPr>
        <w:tabs>
          <w:tab w:val="num" w:pos="420"/>
        </w:tabs>
        <w:ind w:left="845" w:hanging="425"/>
      </w:pPr>
      <w:rPr>
        <w:rFonts w:hint="default"/>
      </w:rPr>
    </w:lvl>
    <w:lvl w:ilvl="1">
      <w:start w:val="1"/>
      <w:numFmt w:val="decimalEnclosedCircleChinese"/>
      <w:lvlText w:val="%2"/>
      <w:lvlJc w:val="left"/>
      <w:pPr>
        <w:tabs>
          <w:tab w:val="num" w:pos="840"/>
        </w:tabs>
        <w:ind w:left="1260" w:hanging="420"/>
      </w:pPr>
      <w:rPr>
        <w:rFonts w:hint="default"/>
      </w:rPr>
    </w:lvl>
    <w:lvl w:ilvl="2">
      <w:start w:val="1"/>
      <w:numFmt w:val="decimal"/>
      <w:lvlText w:val="%3)"/>
      <w:lvlJc w:val="left"/>
      <w:pPr>
        <w:tabs>
          <w:tab w:val="num" w:pos="1260"/>
        </w:tabs>
        <w:ind w:left="1680" w:hanging="420"/>
      </w:pPr>
      <w:rPr>
        <w:rFonts w:hint="default"/>
      </w:rPr>
    </w:lvl>
    <w:lvl w:ilvl="3">
      <w:start w:val="1"/>
      <w:numFmt w:val="lowerLetter"/>
      <w:lvlText w:val="%4."/>
      <w:lvlJc w:val="left"/>
      <w:pPr>
        <w:tabs>
          <w:tab w:val="num" w:pos="1680"/>
        </w:tabs>
        <w:ind w:left="2100" w:hanging="420"/>
      </w:pPr>
      <w:rPr>
        <w:rFonts w:hint="default"/>
      </w:rPr>
    </w:lvl>
    <w:lvl w:ilvl="4">
      <w:start w:val="1"/>
      <w:numFmt w:val="lowerLetter"/>
      <w:lvlText w:val="%5)"/>
      <w:lvlJc w:val="left"/>
      <w:pPr>
        <w:tabs>
          <w:tab w:val="num" w:pos="2100"/>
        </w:tabs>
        <w:ind w:left="2520" w:hanging="420"/>
      </w:pPr>
      <w:rPr>
        <w:rFonts w:hint="default"/>
      </w:rPr>
    </w:lvl>
    <w:lvl w:ilvl="5">
      <w:start w:val="1"/>
      <w:numFmt w:val="lowerRoman"/>
      <w:lvlText w:val="%6."/>
      <w:lvlJc w:val="left"/>
      <w:pPr>
        <w:tabs>
          <w:tab w:val="num" w:pos="2520"/>
        </w:tabs>
        <w:ind w:left="2940" w:hanging="420"/>
      </w:pPr>
      <w:rPr>
        <w:rFonts w:hint="default"/>
      </w:rPr>
    </w:lvl>
    <w:lvl w:ilvl="6">
      <w:start w:val="1"/>
      <w:numFmt w:val="lowerRoman"/>
      <w:lvlText w:val="%7)"/>
      <w:lvlJc w:val="left"/>
      <w:pPr>
        <w:tabs>
          <w:tab w:val="num" w:pos="2940"/>
        </w:tabs>
        <w:ind w:left="3360" w:hanging="420"/>
      </w:pPr>
      <w:rPr>
        <w:rFonts w:hint="default"/>
      </w:rPr>
    </w:lvl>
    <w:lvl w:ilvl="7">
      <w:start w:val="1"/>
      <w:numFmt w:val="lowerLetter"/>
      <w:lvlText w:val="%8."/>
      <w:lvlJc w:val="left"/>
      <w:pPr>
        <w:tabs>
          <w:tab w:val="num" w:pos="3360"/>
        </w:tabs>
        <w:ind w:left="3780" w:hanging="420"/>
      </w:pPr>
      <w:rPr>
        <w:rFonts w:hint="default"/>
      </w:rPr>
    </w:lvl>
    <w:lvl w:ilvl="8">
      <w:start w:val="1"/>
      <w:numFmt w:val="lowerLetter"/>
      <w:lvlText w:val="%9)"/>
      <w:lvlJc w:val="left"/>
      <w:pPr>
        <w:tabs>
          <w:tab w:val="num" w:pos="3780"/>
        </w:tabs>
        <w:ind w:left="4200" w:hanging="420"/>
      </w:pPr>
      <w:rPr>
        <w:rFonts w:hint="default"/>
      </w:rPr>
    </w:lvl>
  </w:abstractNum>
  <w:abstractNum w:abstractNumId="11">
    <w:nsid w:val="76507442"/>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num w:numId="1">
    <w:abstractNumId w:val="1"/>
  </w:num>
  <w:num w:numId="2">
    <w:abstractNumId w:val="6"/>
  </w:num>
  <w:num w:numId="3">
    <w:abstractNumId w:val="0"/>
  </w:num>
  <w:num w:numId="4">
    <w:abstractNumId w:val="10"/>
  </w:num>
  <w:num w:numId="5">
    <w:abstractNumId w:val="4"/>
  </w:num>
  <w:num w:numId="6">
    <w:abstractNumId w:val="5"/>
  </w:num>
  <w:num w:numId="7">
    <w:abstractNumId w:val="9"/>
  </w:num>
  <w:num w:numId="8">
    <w:abstractNumId w:val="7"/>
  </w:num>
  <w:num w:numId="9">
    <w:abstractNumId w:val="8"/>
  </w:num>
  <w:num w:numId="10">
    <w:abstractNumId w:val="11"/>
  </w:num>
  <w:num w:numId="11">
    <w:abstractNumId w:val="3"/>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oNotTrackMoves/>
  <w:defaultTabStop w:val="420"/>
  <w:drawingGridHorizontalSpacing w:val="210"/>
  <w:drawingGridVerticalSpacing w:val="158"/>
  <w:noPunctuationKerning/>
  <w:characterSpacingControl w:val="compressPunctuation"/>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C16"/>
    <w:rsid w:val="00001860"/>
    <w:rsid w:val="000022C4"/>
    <w:rsid w:val="000023E4"/>
    <w:rsid w:val="00003D2C"/>
    <w:rsid w:val="000044DC"/>
    <w:rsid w:val="00004833"/>
    <w:rsid w:val="00004A5D"/>
    <w:rsid w:val="000062C0"/>
    <w:rsid w:val="00006F7B"/>
    <w:rsid w:val="000071A2"/>
    <w:rsid w:val="00011601"/>
    <w:rsid w:val="00011833"/>
    <w:rsid w:val="0001341F"/>
    <w:rsid w:val="00014983"/>
    <w:rsid w:val="0001498F"/>
    <w:rsid w:val="0001585C"/>
    <w:rsid w:val="000161B1"/>
    <w:rsid w:val="000161F2"/>
    <w:rsid w:val="000162A7"/>
    <w:rsid w:val="0002033B"/>
    <w:rsid w:val="00020437"/>
    <w:rsid w:val="0002181F"/>
    <w:rsid w:val="00021C27"/>
    <w:rsid w:val="00023219"/>
    <w:rsid w:val="00024B3A"/>
    <w:rsid w:val="00024FF1"/>
    <w:rsid w:val="000250D1"/>
    <w:rsid w:val="000255B5"/>
    <w:rsid w:val="000260D6"/>
    <w:rsid w:val="000262A6"/>
    <w:rsid w:val="000271C6"/>
    <w:rsid w:val="00027BAE"/>
    <w:rsid w:val="00030110"/>
    <w:rsid w:val="000304B3"/>
    <w:rsid w:val="0003057A"/>
    <w:rsid w:val="000354FE"/>
    <w:rsid w:val="00035EC8"/>
    <w:rsid w:val="00037527"/>
    <w:rsid w:val="000404D1"/>
    <w:rsid w:val="000408F1"/>
    <w:rsid w:val="00042EDA"/>
    <w:rsid w:val="00043715"/>
    <w:rsid w:val="00043FC2"/>
    <w:rsid w:val="00044A24"/>
    <w:rsid w:val="00044D77"/>
    <w:rsid w:val="000451D3"/>
    <w:rsid w:val="000452E4"/>
    <w:rsid w:val="0005159B"/>
    <w:rsid w:val="000520BE"/>
    <w:rsid w:val="00053365"/>
    <w:rsid w:val="00053995"/>
    <w:rsid w:val="00054C27"/>
    <w:rsid w:val="000558B1"/>
    <w:rsid w:val="00061485"/>
    <w:rsid w:val="00062C29"/>
    <w:rsid w:val="000637CA"/>
    <w:rsid w:val="00064DC2"/>
    <w:rsid w:val="00065E54"/>
    <w:rsid w:val="0006617C"/>
    <w:rsid w:val="0006710F"/>
    <w:rsid w:val="00067184"/>
    <w:rsid w:val="00067F8E"/>
    <w:rsid w:val="00070EDE"/>
    <w:rsid w:val="00071FDE"/>
    <w:rsid w:val="000721E1"/>
    <w:rsid w:val="000726DC"/>
    <w:rsid w:val="0007343F"/>
    <w:rsid w:val="000748AC"/>
    <w:rsid w:val="000762F8"/>
    <w:rsid w:val="00076318"/>
    <w:rsid w:val="000765EF"/>
    <w:rsid w:val="0007661C"/>
    <w:rsid w:val="0007766E"/>
    <w:rsid w:val="000776E0"/>
    <w:rsid w:val="00077EED"/>
    <w:rsid w:val="00080B5C"/>
    <w:rsid w:val="00080BC8"/>
    <w:rsid w:val="00082622"/>
    <w:rsid w:val="00082A44"/>
    <w:rsid w:val="00082BF8"/>
    <w:rsid w:val="000833C6"/>
    <w:rsid w:val="00085242"/>
    <w:rsid w:val="00086362"/>
    <w:rsid w:val="00086C59"/>
    <w:rsid w:val="00087B2D"/>
    <w:rsid w:val="000907E1"/>
    <w:rsid w:val="00091078"/>
    <w:rsid w:val="0009168B"/>
    <w:rsid w:val="00091908"/>
    <w:rsid w:val="0009241F"/>
    <w:rsid w:val="00092985"/>
    <w:rsid w:val="00092DEA"/>
    <w:rsid w:val="00093F42"/>
    <w:rsid w:val="00095A62"/>
    <w:rsid w:val="000968B1"/>
    <w:rsid w:val="00096A15"/>
    <w:rsid w:val="00096FC8"/>
    <w:rsid w:val="0009746E"/>
    <w:rsid w:val="000A079D"/>
    <w:rsid w:val="000A1479"/>
    <w:rsid w:val="000A33DC"/>
    <w:rsid w:val="000A34C1"/>
    <w:rsid w:val="000A504D"/>
    <w:rsid w:val="000A548E"/>
    <w:rsid w:val="000A650F"/>
    <w:rsid w:val="000A7E27"/>
    <w:rsid w:val="000B0D62"/>
    <w:rsid w:val="000B1252"/>
    <w:rsid w:val="000B42FB"/>
    <w:rsid w:val="000B7FF0"/>
    <w:rsid w:val="000C07D4"/>
    <w:rsid w:val="000C0EA9"/>
    <w:rsid w:val="000C0FDA"/>
    <w:rsid w:val="000C16EB"/>
    <w:rsid w:val="000C29AD"/>
    <w:rsid w:val="000C5465"/>
    <w:rsid w:val="000C5943"/>
    <w:rsid w:val="000C5BA4"/>
    <w:rsid w:val="000C62BB"/>
    <w:rsid w:val="000C6838"/>
    <w:rsid w:val="000C69D7"/>
    <w:rsid w:val="000C7341"/>
    <w:rsid w:val="000C77C0"/>
    <w:rsid w:val="000C7B85"/>
    <w:rsid w:val="000D0B14"/>
    <w:rsid w:val="000D1741"/>
    <w:rsid w:val="000D1EA8"/>
    <w:rsid w:val="000D24D6"/>
    <w:rsid w:val="000D4E75"/>
    <w:rsid w:val="000D6ABA"/>
    <w:rsid w:val="000D70DA"/>
    <w:rsid w:val="000E05BA"/>
    <w:rsid w:val="000E11B3"/>
    <w:rsid w:val="000E14A5"/>
    <w:rsid w:val="000E1AAD"/>
    <w:rsid w:val="000E1DFA"/>
    <w:rsid w:val="000E242A"/>
    <w:rsid w:val="000E38E8"/>
    <w:rsid w:val="000E3A59"/>
    <w:rsid w:val="000E3EE4"/>
    <w:rsid w:val="000E465D"/>
    <w:rsid w:val="000E482D"/>
    <w:rsid w:val="000E6CCA"/>
    <w:rsid w:val="000F0C79"/>
    <w:rsid w:val="000F0CBA"/>
    <w:rsid w:val="000F1867"/>
    <w:rsid w:val="000F1AB4"/>
    <w:rsid w:val="000F1F2D"/>
    <w:rsid w:val="000F4723"/>
    <w:rsid w:val="000F53BE"/>
    <w:rsid w:val="000F5999"/>
    <w:rsid w:val="000F61F8"/>
    <w:rsid w:val="000F6A46"/>
    <w:rsid w:val="000F6FE7"/>
    <w:rsid w:val="0010004F"/>
    <w:rsid w:val="00100ED6"/>
    <w:rsid w:val="00102E1A"/>
    <w:rsid w:val="0010339B"/>
    <w:rsid w:val="00103A39"/>
    <w:rsid w:val="00104ECD"/>
    <w:rsid w:val="00106BBD"/>
    <w:rsid w:val="00107494"/>
    <w:rsid w:val="0010786A"/>
    <w:rsid w:val="00110C6C"/>
    <w:rsid w:val="00111B83"/>
    <w:rsid w:val="001130DB"/>
    <w:rsid w:val="00114A2A"/>
    <w:rsid w:val="001167B7"/>
    <w:rsid w:val="001172F6"/>
    <w:rsid w:val="00122D0F"/>
    <w:rsid w:val="00122F5D"/>
    <w:rsid w:val="001232F4"/>
    <w:rsid w:val="0012360C"/>
    <w:rsid w:val="00125285"/>
    <w:rsid w:val="00125312"/>
    <w:rsid w:val="001256A4"/>
    <w:rsid w:val="00125CDF"/>
    <w:rsid w:val="00125E0C"/>
    <w:rsid w:val="001272A6"/>
    <w:rsid w:val="00130623"/>
    <w:rsid w:val="00130B78"/>
    <w:rsid w:val="00130FCB"/>
    <w:rsid w:val="001315F6"/>
    <w:rsid w:val="00137175"/>
    <w:rsid w:val="00137B07"/>
    <w:rsid w:val="001409F7"/>
    <w:rsid w:val="00143720"/>
    <w:rsid w:val="00143D1D"/>
    <w:rsid w:val="001460FB"/>
    <w:rsid w:val="0014622A"/>
    <w:rsid w:val="001478E7"/>
    <w:rsid w:val="0014795D"/>
    <w:rsid w:val="00147B08"/>
    <w:rsid w:val="00151929"/>
    <w:rsid w:val="001529B8"/>
    <w:rsid w:val="00155DE0"/>
    <w:rsid w:val="00156222"/>
    <w:rsid w:val="00156377"/>
    <w:rsid w:val="00157E21"/>
    <w:rsid w:val="0016175B"/>
    <w:rsid w:val="00162C80"/>
    <w:rsid w:val="00164372"/>
    <w:rsid w:val="00164841"/>
    <w:rsid w:val="001676F8"/>
    <w:rsid w:val="0017003C"/>
    <w:rsid w:val="001706C7"/>
    <w:rsid w:val="001719B8"/>
    <w:rsid w:val="001719F9"/>
    <w:rsid w:val="00172F90"/>
    <w:rsid w:val="001737CA"/>
    <w:rsid w:val="00173B04"/>
    <w:rsid w:val="00175A25"/>
    <w:rsid w:val="00175ADC"/>
    <w:rsid w:val="00175BF9"/>
    <w:rsid w:val="00176D22"/>
    <w:rsid w:val="001772D6"/>
    <w:rsid w:val="00177898"/>
    <w:rsid w:val="00180A0B"/>
    <w:rsid w:val="00180BDB"/>
    <w:rsid w:val="00181859"/>
    <w:rsid w:val="001823DC"/>
    <w:rsid w:val="001823F6"/>
    <w:rsid w:val="00183D52"/>
    <w:rsid w:val="001841CD"/>
    <w:rsid w:val="00184A8B"/>
    <w:rsid w:val="00186CEC"/>
    <w:rsid w:val="00186D08"/>
    <w:rsid w:val="00191361"/>
    <w:rsid w:val="001918D3"/>
    <w:rsid w:val="0019299A"/>
    <w:rsid w:val="00194191"/>
    <w:rsid w:val="0019656D"/>
    <w:rsid w:val="001970A6"/>
    <w:rsid w:val="001A038F"/>
    <w:rsid w:val="001A209A"/>
    <w:rsid w:val="001A31A8"/>
    <w:rsid w:val="001A37FE"/>
    <w:rsid w:val="001A3EB7"/>
    <w:rsid w:val="001A4DE8"/>
    <w:rsid w:val="001A6124"/>
    <w:rsid w:val="001A6157"/>
    <w:rsid w:val="001B129E"/>
    <w:rsid w:val="001B2DCE"/>
    <w:rsid w:val="001B3446"/>
    <w:rsid w:val="001B46D6"/>
    <w:rsid w:val="001B7060"/>
    <w:rsid w:val="001B7FB0"/>
    <w:rsid w:val="001C06F3"/>
    <w:rsid w:val="001C0E9B"/>
    <w:rsid w:val="001C1344"/>
    <w:rsid w:val="001C6EFD"/>
    <w:rsid w:val="001C76DF"/>
    <w:rsid w:val="001D05E2"/>
    <w:rsid w:val="001D1093"/>
    <w:rsid w:val="001D2D36"/>
    <w:rsid w:val="001D373C"/>
    <w:rsid w:val="001D45E7"/>
    <w:rsid w:val="001D4AF7"/>
    <w:rsid w:val="001D5BA7"/>
    <w:rsid w:val="001D67FA"/>
    <w:rsid w:val="001D6DBE"/>
    <w:rsid w:val="001E0941"/>
    <w:rsid w:val="001E10C7"/>
    <w:rsid w:val="001E25B5"/>
    <w:rsid w:val="001E4656"/>
    <w:rsid w:val="001E7101"/>
    <w:rsid w:val="001E76D5"/>
    <w:rsid w:val="001E7B9E"/>
    <w:rsid w:val="001F04DD"/>
    <w:rsid w:val="001F0842"/>
    <w:rsid w:val="001F1E39"/>
    <w:rsid w:val="001F46C4"/>
    <w:rsid w:val="001F50BF"/>
    <w:rsid w:val="001F519A"/>
    <w:rsid w:val="001F52E3"/>
    <w:rsid w:val="001F58D9"/>
    <w:rsid w:val="001F6044"/>
    <w:rsid w:val="001F642F"/>
    <w:rsid w:val="001F7D06"/>
    <w:rsid w:val="001F7DFE"/>
    <w:rsid w:val="0020084B"/>
    <w:rsid w:val="002009A9"/>
    <w:rsid w:val="00201A5C"/>
    <w:rsid w:val="00201C84"/>
    <w:rsid w:val="0020285C"/>
    <w:rsid w:val="00202D33"/>
    <w:rsid w:val="0020398E"/>
    <w:rsid w:val="00204716"/>
    <w:rsid w:val="00205230"/>
    <w:rsid w:val="00205508"/>
    <w:rsid w:val="002101FA"/>
    <w:rsid w:val="00210F13"/>
    <w:rsid w:val="00211683"/>
    <w:rsid w:val="00213139"/>
    <w:rsid w:val="00213885"/>
    <w:rsid w:val="00214FBE"/>
    <w:rsid w:val="002157E4"/>
    <w:rsid w:val="00216881"/>
    <w:rsid w:val="00220AAB"/>
    <w:rsid w:val="00221A4F"/>
    <w:rsid w:val="00222116"/>
    <w:rsid w:val="00222BC6"/>
    <w:rsid w:val="00223913"/>
    <w:rsid w:val="00223E4C"/>
    <w:rsid w:val="00226E2E"/>
    <w:rsid w:val="0022711F"/>
    <w:rsid w:val="00230A00"/>
    <w:rsid w:val="002348ED"/>
    <w:rsid w:val="0023557D"/>
    <w:rsid w:val="00236F5D"/>
    <w:rsid w:val="00237FB1"/>
    <w:rsid w:val="00240B57"/>
    <w:rsid w:val="00240C8A"/>
    <w:rsid w:val="0024218A"/>
    <w:rsid w:val="0024533C"/>
    <w:rsid w:val="002478B9"/>
    <w:rsid w:val="00250D75"/>
    <w:rsid w:val="00251657"/>
    <w:rsid w:val="00252899"/>
    <w:rsid w:val="0025468C"/>
    <w:rsid w:val="002559BD"/>
    <w:rsid w:val="00256CA8"/>
    <w:rsid w:val="00260359"/>
    <w:rsid w:val="0026179A"/>
    <w:rsid w:val="00261C83"/>
    <w:rsid w:val="002621A8"/>
    <w:rsid w:val="00262632"/>
    <w:rsid w:val="00263B6D"/>
    <w:rsid w:val="002658C1"/>
    <w:rsid w:val="00266641"/>
    <w:rsid w:val="00267057"/>
    <w:rsid w:val="00267512"/>
    <w:rsid w:val="00267613"/>
    <w:rsid w:val="00273222"/>
    <w:rsid w:val="0027488C"/>
    <w:rsid w:val="00276CE3"/>
    <w:rsid w:val="0027719C"/>
    <w:rsid w:val="00280729"/>
    <w:rsid w:val="002807E6"/>
    <w:rsid w:val="00280889"/>
    <w:rsid w:val="00280B6D"/>
    <w:rsid w:val="00280B8A"/>
    <w:rsid w:val="00280B8D"/>
    <w:rsid w:val="00280F76"/>
    <w:rsid w:val="00283543"/>
    <w:rsid w:val="00283CD2"/>
    <w:rsid w:val="00283ED1"/>
    <w:rsid w:val="0028536C"/>
    <w:rsid w:val="002856A9"/>
    <w:rsid w:val="00285DBF"/>
    <w:rsid w:val="00286316"/>
    <w:rsid w:val="002866BC"/>
    <w:rsid w:val="00286F39"/>
    <w:rsid w:val="00290E70"/>
    <w:rsid w:val="0029246B"/>
    <w:rsid w:val="0029541E"/>
    <w:rsid w:val="002A04D0"/>
    <w:rsid w:val="002A174A"/>
    <w:rsid w:val="002A2324"/>
    <w:rsid w:val="002A31D1"/>
    <w:rsid w:val="002A495D"/>
    <w:rsid w:val="002A5846"/>
    <w:rsid w:val="002A5D46"/>
    <w:rsid w:val="002A76D4"/>
    <w:rsid w:val="002A7AA0"/>
    <w:rsid w:val="002B1614"/>
    <w:rsid w:val="002B1931"/>
    <w:rsid w:val="002B1B27"/>
    <w:rsid w:val="002B374A"/>
    <w:rsid w:val="002B397D"/>
    <w:rsid w:val="002B3B7B"/>
    <w:rsid w:val="002B4264"/>
    <w:rsid w:val="002B4CD8"/>
    <w:rsid w:val="002B4F15"/>
    <w:rsid w:val="002B6229"/>
    <w:rsid w:val="002C0226"/>
    <w:rsid w:val="002C14A5"/>
    <w:rsid w:val="002C1A47"/>
    <w:rsid w:val="002C1CC9"/>
    <w:rsid w:val="002C35D4"/>
    <w:rsid w:val="002C3EBA"/>
    <w:rsid w:val="002C54AA"/>
    <w:rsid w:val="002C6CAC"/>
    <w:rsid w:val="002C6E8C"/>
    <w:rsid w:val="002D05CA"/>
    <w:rsid w:val="002D05DF"/>
    <w:rsid w:val="002D1289"/>
    <w:rsid w:val="002D31E5"/>
    <w:rsid w:val="002D32E3"/>
    <w:rsid w:val="002D33C8"/>
    <w:rsid w:val="002D49B1"/>
    <w:rsid w:val="002D57D9"/>
    <w:rsid w:val="002D5E26"/>
    <w:rsid w:val="002E03C6"/>
    <w:rsid w:val="002E18A6"/>
    <w:rsid w:val="002E1BF9"/>
    <w:rsid w:val="002E1CF1"/>
    <w:rsid w:val="002E271D"/>
    <w:rsid w:val="002E2D0F"/>
    <w:rsid w:val="002E4190"/>
    <w:rsid w:val="002E59EE"/>
    <w:rsid w:val="002E7AD8"/>
    <w:rsid w:val="002F0DFF"/>
    <w:rsid w:val="002F146C"/>
    <w:rsid w:val="002F14B0"/>
    <w:rsid w:val="002F1B20"/>
    <w:rsid w:val="002F47AF"/>
    <w:rsid w:val="002F7363"/>
    <w:rsid w:val="003008B7"/>
    <w:rsid w:val="00300B07"/>
    <w:rsid w:val="00301D8D"/>
    <w:rsid w:val="00302E6F"/>
    <w:rsid w:val="00302E9E"/>
    <w:rsid w:val="00303753"/>
    <w:rsid w:val="00303E66"/>
    <w:rsid w:val="0030618C"/>
    <w:rsid w:val="003062D1"/>
    <w:rsid w:val="00306CEC"/>
    <w:rsid w:val="0030798A"/>
    <w:rsid w:val="0031059D"/>
    <w:rsid w:val="00310ADA"/>
    <w:rsid w:val="003113F1"/>
    <w:rsid w:val="003116DE"/>
    <w:rsid w:val="00311FE0"/>
    <w:rsid w:val="003126C8"/>
    <w:rsid w:val="00313376"/>
    <w:rsid w:val="0031371E"/>
    <w:rsid w:val="003138DD"/>
    <w:rsid w:val="00313CEF"/>
    <w:rsid w:val="003143B6"/>
    <w:rsid w:val="00314E9A"/>
    <w:rsid w:val="00316ACE"/>
    <w:rsid w:val="00317276"/>
    <w:rsid w:val="003175C3"/>
    <w:rsid w:val="00320409"/>
    <w:rsid w:val="00320BC4"/>
    <w:rsid w:val="00321939"/>
    <w:rsid w:val="00321F16"/>
    <w:rsid w:val="00322999"/>
    <w:rsid w:val="00324850"/>
    <w:rsid w:val="003255A6"/>
    <w:rsid w:val="0032568F"/>
    <w:rsid w:val="00330E4F"/>
    <w:rsid w:val="003314B7"/>
    <w:rsid w:val="003338D3"/>
    <w:rsid w:val="00333AF5"/>
    <w:rsid w:val="00334B38"/>
    <w:rsid w:val="00335814"/>
    <w:rsid w:val="00336307"/>
    <w:rsid w:val="00336329"/>
    <w:rsid w:val="003367A1"/>
    <w:rsid w:val="00337589"/>
    <w:rsid w:val="00341EDA"/>
    <w:rsid w:val="0034441B"/>
    <w:rsid w:val="00345CA8"/>
    <w:rsid w:val="003478D8"/>
    <w:rsid w:val="00351F25"/>
    <w:rsid w:val="003534C9"/>
    <w:rsid w:val="00353746"/>
    <w:rsid w:val="00354B26"/>
    <w:rsid w:val="00355400"/>
    <w:rsid w:val="00356E07"/>
    <w:rsid w:val="00357355"/>
    <w:rsid w:val="00360DE0"/>
    <w:rsid w:val="0036132E"/>
    <w:rsid w:val="003639C0"/>
    <w:rsid w:val="003640C2"/>
    <w:rsid w:val="00365A57"/>
    <w:rsid w:val="003678E1"/>
    <w:rsid w:val="00367F09"/>
    <w:rsid w:val="00370773"/>
    <w:rsid w:val="00370BC7"/>
    <w:rsid w:val="0037491F"/>
    <w:rsid w:val="00375306"/>
    <w:rsid w:val="00375B2C"/>
    <w:rsid w:val="00377412"/>
    <w:rsid w:val="00377ADB"/>
    <w:rsid w:val="00377D5F"/>
    <w:rsid w:val="00377E94"/>
    <w:rsid w:val="0038007D"/>
    <w:rsid w:val="00380162"/>
    <w:rsid w:val="003809BC"/>
    <w:rsid w:val="00383BC2"/>
    <w:rsid w:val="003844A6"/>
    <w:rsid w:val="003860B6"/>
    <w:rsid w:val="0038657A"/>
    <w:rsid w:val="00386CFB"/>
    <w:rsid w:val="003900D9"/>
    <w:rsid w:val="00394A12"/>
    <w:rsid w:val="00395D44"/>
    <w:rsid w:val="0039732B"/>
    <w:rsid w:val="00397E91"/>
    <w:rsid w:val="003A0653"/>
    <w:rsid w:val="003A0D38"/>
    <w:rsid w:val="003A1E69"/>
    <w:rsid w:val="003A3FB2"/>
    <w:rsid w:val="003A4F4F"/>
    <w:rsid w:val="003A755B"/>
    <w:rsid w:val="003B08F6"/>
    <w:rsid w:val="003B2763"/>
    <w:rsid w:val="003B2DFF"/>
    <w:rsid w:val="003B2F03"/>
    <w:rsid w:val="003B3512"/>
    <w:rsid w:val="003B4DB7"/>
    <w:rsid w:val="003B5236"/>
    <w:rsid w:val="003B79A5"/>
    <w:rsid w:val="003C0997"/>
    <w:rsid w:val="003C2618"/>
    <w:rsid w:val="003C363E"/>
    <w:rsid w:val="003C5150"/>
    <w:rsid w:val="003C5278"/>
    <w:rsid w:val="003C622F"/>
    <w:rsid w:val="003C7204"/>
    <w:rsid w:val="003C792B"/>
    <w:rsid w:val="003D232E"/>
    <w:rsid w:val="003D29A5"/>
    <w:rsid w:val="003D2EEF"/>
    <w:rsid w:val="003D3AD4"/>
    <w:rsid w:val="003D3B9A"/>
    <w:rsid w:val="003D4ABC"/>
    <w:rsid w:val="003D5914"/>
    <w:rsid w:val="003D6B09"/>
    <w:rsid w:val="003D77C9"/>
    <w:rsid w:val="003E03F1"/>
    <w:rsid w:val="003E1A36"/>
    <w:rsid w:val="003E20BF"/>
    <w:rsid w:val="003E49C0"/>
    <w:rsid w:val="003E5058"/>
    <w:rsid w:val="003E516A"/>
    <w:rsid w:val="003E56AD"/>
    <w:rsid w:val="003E64A4"/>
    <w:rsid w:val="003E6C0F"/>
    <w:rsid w:val="003E6CA1"/>
    <w:rsid w:val="003E7F95"/>
    <w:rsid w:val="003F04A7"/>
    <w:rsid w:val="003F0A52"/>
    <w:rsid w:val="003F0D4D"/>
    <w:rsid w:val="003F3C1E"/>
    <w:rsid w:val="003F3FAF"/>
    <w:rsid w:val="003F410F"/>
    <w:rsid w:val="003F4F08"/>
    <w:rsid w:val="003F5C0A"/>
    <w:rsid w:val="003F7F6C"/>
    <w:rsid w:val="00400AB2"/>
    <w:rsid w:val="00401CEF"/>
    <w:rsid w:val="004021AA"/>
    <w:rsid w:val="0040255F"/>
    <w:rsid w:val="00402D78"/>
    <w:rsid w:val="00403620"/>
    <w:rsid w:val="0040364F"/>
    <w:rsid w:val="00404F41"/>
    <w:rsid w:val="00405F9C"/>
    <w:rsid w:val="00406853"/>
    <w:rsid w:val="00411AA1"/>
    <w:rsid w:val="00412F6C"/>
    <w:rsid w:val="00414D5F"/>
    <w:rsid w:val="00414D74"/>
    <w:rsid w:val="004161FE"/>
    <w:rsid w:val="0041652D"/>
    <w:rsid w:val="00421241"/>
    <w:rsid w:val="0042258D"/>
    <w:rsid w:val="004245F4"/>
    <w:rsid w:val="0042750E"/>
    <w:rsid w:val="00430A66"/>
    <w:rsid w:val="004333E5"/>
    <w:rsid w:val="004343F9"/>
    <w:rsid w:val="004352FD"/>
    <w:rsid w:val="00435977"/>
    <w:rsid w:val="00435BBF"/>
    <w:rsid w:val="00436ECC"/>
    <w:rsid w:val="004409FD"/>
    <w:rsid w:val="00440B14"/>
    <w:rsid w:val="00440BCB"/>
    <w:rsid w:val="00440EC7"/>
    <w:rsid w:val="00442DD7"/>
    <w:rsid w:val="004432E9"/>
    <w:rsid w:val="00445932"/>
    <w:rsid w:val="0044627D"/>
    <w:rsid w:val="00446281"/>
    <w:rsid w:val="00447CA7"/>
    <w:rsid w:val="00447D0D"/>
    <w:rsid w:val="0045171F"/>
    <w:rsid w:val="00451A5E"/>
    <w:rsid w:val="004522AE"/>
    <w:rsid w:val="00452B13"/>
    <w:rsid w:val="0045379B"/>
    <w:rsid w:val="00453F99"/>
    <w:rsid w:val="00454DE7"/>
    <w:rsid w:val="00456909"/>
    <w:rsid w:val="00456ADD"/>
    <w:rsid w:val="00457BF1"/>
    <w:rsid w:val="00461372"/>
    <w:rsid w:val="0046147E"/>
    <w:rsid w:val="004649BD"/>
    <w:rsid w:val="0046554B"/>
    <w:rsid w:val="00465ADE"/>
    <w:rsid w:val="00466718"/>
    <w:rsid w:val="00466B32"/>
    <w:rsid w:val="004715A2"/>
    <w:rsid w:val="00471772"/>
    <w:rsid w:val="0047464D"/>
    <w:rsid w:val="0047524B"/>
    <w:rsid w:val="004759D8"/>
    <w:rsid w:val="004800AF"/>
    <w:rsid w:val="0048245D"/>
    <w:rsid w:val="004829E0"/>
    <w:rsid w:val="00483AE9"/>
    <w:rsid w:val="00483C16"/>
    <w:rsid w:val="00484E72"/>
    <w:rsid w:val="00487C6E"/>
    <w:rsid w:val="004902EE"/>
    <w:rsid w:val="0049094C"/>
    <w:rsid w:val="00490A4D"/>
    <w:rsid w:val="004911D6"/>
    <w:rsid w:val="00491314"/>
    <w:rsid w:val="00491AE4"/>
    <w:rsid w:val="0049283F"/>
    <w:rsid w:val="00493028"/>
    <w:rsid w:val="004944BD"/>
    <w:rsid w:val="00495886"/>
    <w:rsid w:val="004977FB"/>
    <w:rsid w:val="00497EA0"/>
    <w:rsid w:val="004A057E"/>
    <w:rsid w:val="004A0CD1"/>
    <w:rsid w:val="004A124E"/>
    <w:rsid w:val="004A1DF2"/>
    <w:rsid w:val="004A469F"/>
    <w:rsid w:val="004A54D2"/>
    <w:rsid w:val="004A5ADA"/>
    <w:rsid w:val="004A6DE4"/>
    <w:rsid w:val="004A6E52"/>
    <w:rsid w:val="004A7C24"/>
    <w:rsid w:val="004B0723"/>
    <w:rsid w:val="004B1135"/>
    <w:rsid w:val="004B245C"/>
    <w:rsid w:val="004B282C"/>
    <w:rsid w:val="004B3AC9"/>
    <w:rsid w:val="004B3CDD"/>
    <w:rsid w:val="004B52AE"/>
    <w:rsid w:val="004B7664"/>
    <w:rsid w:val="004C0723"/>
    <w:rsid w:val="004C214F"/>
    <w:rsid w:val="004C3F87"/>
    <w:rsid w:val="004C4810"/>
    <w:rsid w:val="004C5307"/>
    <w:rsid w:val="004C56F2"/>
    <w:rsid w:val="004C5864"/>
    <w:rsid w:val="004C7AFB"/>
    <w:rsid w:val="004C7DA9"/>
    <w:rsid w:val="004D004B"/>
    <w:rsid w:val="004D0B07"/>
    <w:rsid w:val="004D10A0"/>
    <w:rsid w:val="004D1328"/>
    <w:rsid w:val="004D1AD2"/>
    <w:rsid w:val="004D2F59"/>
    <w:rsid w:val="004D3CB7"/>
    <w:rsid w:val="004D4400"/>
    <w:rsid w:val="004D4BE7"/>
    <w:rsid w:val="004D5749"/>
    <w:rsid w:val="004D6BCA"/>
    <w:rsid w:val="004D78AE"/>
    <w:rsid w:val="004D7C1D"/>
    <w:rsid w:val="004E0C77"/>
    <w:rsid w:val="004E1FE2"/>
    <w:rsid w:val="004E2D9D"/>
    <w:rsid w:val="004E2E08"/>
    <w:rsid w:val="004E3FD1"/>
    <w:rsid w:val="004E5312"/>
    <w:rsid w:val="004E5482"/>
    <w:rsid w:val="004E651F"/>
    <w:rsid w:val="004E65E4"/>
    <w:rsid w:val="004E68A6"/>
    <w:rsid w:val="004E76FE"/>
    <w:rsid w:val="004F23D1"/>
    <w:rsid w:val="004F5852"/>
    <w:rsid w:val="004F6DF2"/>
    <w:rsid w:val="004F7703"/>
    <w:rsid w:val="004F7983"/>
    <w:rsid w:val="004F7C01"/>
    <w:rsid w:val="00501154"/>
    <w:rsid w:val="00502364"/>
    <w:rsid w:val="00502D46"/>
    <w:rsid w:val="005049C4"/>
    <w:rsid w:val="005058C7"/>
    <w:rsid w:val="0050683A"/>
    <w:rsid w:val="00511F79"/>
    <w:rsid w:val="0051217C"/>
    <w:rsid w:val="00512757"/>
    <w:rsid w:val="00514F12"/>
    <w:rsid w:val="00515333"/>
    <w:rsid w:val="00516652"/>
    <w:rsid w:val="005237A4"/>
    <w:rsid w:val="00523E5D"/>
    <w:rsid w:val="005254EB"/>
    <w:rsid w:val="005270EF"/>
    <w:rsid w:val="005272ED"/>
    <w:rsid w:val="00527B8C"/>
    <w:rsid w:val="005352A4"/>
    <w:rsid w:val="00535B2D"/>
    <w:rsid w:val="005362B8"/>
    <w:rsid w:val="00541473"/>
    <w:rsid w:val="00541F2F"/>
    <w:rsid w:val="00542084"/>
    <w:rsid w:val="00543858"/>
    <w:rsid w:val="00547379"/>
    <w:rsid w:val="00550A98"/>
    <w:rsid w:val="00552FC3"/>
    <w:rsid w:val="00556202"/>
    <w:rsid w:val="00556E19"/>
    <w:rsid w:val="00560837"/>
    <w:rsid w:val="00561D87"/>
    <w:rsid w:val="005629B0"/>
    <w:rsid w:val="00563AD1"/>
    <w:rsid w:val="00565A6B"/>
    <w:rsid w:val="00565F7B"/>
    <w:rsid w:val="00566E4A"/>
    <w:rsid w:val="00567C34"/>
    <w:rsid w:val="00571B7B"/>
    <w:rsid w:val="005731BF"/>
    <w:rsid w:val="00575294"/>
    <w:rsid w:val="00575FD7"/>
    <w:rsid w:val="0057673D"/>
    <w:rsid w:val="005807A4"/>
    <w:rsid w:val="005817F8"/>
    <w:rsid w:val="00581BB6"/>
    <w:rsid w:val="00582BAF"/>
    <w:rsid w:val="005865F3"/>
    <w:rsid w:val="00587945"/>
    <w:rsid w:val="00590AF0"/>
    <w:rsid w:val="00590BC5"/>
    <w:rsid w:val="00591B7E"/>
    <w:rsid w:val="0059230F"/>
    <w:rsid w:val="005925AA"/>
    <w:rsid w:val="00593083"/>
    <w:rsid w:val="00593632"/>
    <w:rsid w:val="00594301"/>
    <w:rsid w:val="005944BC"/>
    <w:rsid w:val="00594606"/>
    <w:rsid w:val="00597387"/>
    <w:rsid w:val="005973E9"/>
    <w:rsid w:val="005A045F"/>
    <w:rsid w:val="005A18F0"/>
    <w:rsid w:val="005A1FD1"/>
    <w:rsid w:val="005A2D6A"/>
    <w:rsid w:val="005A2F3A"/>
    <w:rsid w:val="005A4A7D"/>
    <w:rsid w:val="005A4DC2"/>
    <w:rsid w:val="005A63AB"/>
    <w:rsid w:val="005A6564"/>
    <w:rsid w:val="005A6F52"/>
    <w:rsid w:val="005A7011"/>
    <w:rsid w:val="005A7ACE"/>
    <w:rsid w:val="005B0421"/>
    <w:rsid w:val="005B31D1"/>
    <w:rsid w:val="005B34DD"/>
    <w:rsid w:val="005B4BC3"/>
    <w:rsid w:val="005B69DC"/>
    <w:rsid w:val="005B71F6"/>
    <w:rsid w:val="005B77DB"/>
    <w:rsid w:val="005B7B74"/>
    <w:rsid w:val="005C04B4"/>
    <w:rsid w:val="005C14B6"/>
    <w:rsid w:val="005C4BC4"/>
    <w:rsid w:val="005C5F0C"/>
    <w:rsid w:val="005C6DE0"/>
    <w:rsid w:val="005D1403"/>
    <w:rsid w:val="005D1AC2"/>
    <w:rsid w:val="005D1F36"/>
    <w:rsid w:val="005D233B"/>
    <w:rsid w:val="005D2A02"/>
    <w:rsid w:val="005D4A49"/>
    <w:rsid w:val="005D5205"/>
    <w:rsid w:val="005D5768"/>
    <w:rsid w:val="005D597F"/>
    <w:rsid w:val="005D5EAF"/>
    <w:rsid w:val="005E0596"/>
    <w:rsid w:val="005E167C"/>
    <w:rsid w:val="005E29D4"/>
    <w:rsid w:val="005E2ED3"/>
    <w:rsid w:val="005E34FE"/>
    <w:rsid w:val="005E37D6"/>
    <w:rsid w:val="005E4769"/>
    <w:rsid w:val="005E5E14"/>
    <w:rsid w:val="005E62CB"/>
    <w:rsid w:val="005E6CD5"/>
    <w:rsid w:val="005E6F99"/>
    <w:rsid w:val="005E783D"/>
    <w:rsid w:val="005F073D"/>
    <w:rsid w:val="005F07F7"/>
    <w:rsid w:val="005F09AE"/>
    <w:rsid w:val="005F0DD2"/>
    <w:rsid w:val="005F0EBF"/>
    <w:rsid w:val="005F15DC"/>
    <w:rsid w:val="005F20C9"/>
    <w:rsid w:val="005F2A9F"/>
    <w:rsid w:val="005F5395"/>
    <w:rsid w:val="005F58B1"/>
    <w:rsid w:val="005F63B5"/>
    <w:rsid w:val="005F7078"/>
    <w:rsid w:val="005F7427"/>
    <w:rsid w:val="006009B1"/>
    <w:rsid w:val="006010E0"/>
    <w:rsid w:val="00601D8B"/>
    <w:rsid w:val="006023D1"/>
    <w:rsid w:val="00605296"/>
    <w:rsid w:val="006052E4"/>
    <w:rsid w:val="00605BE6"/>
    <w:rsid w:val="00606590"/>
    <w:rsid w:val="006066B7"/>
    <w:rsid w:val="00607482"/>
    <w:rsid w:val="00611E32"/>
    <w:rsid w:val="00613827"/>
    <w:rsid w:val="0061451D"/>
    <w:rsid w:val="00616788"/>
    <w:rsid w:val="00617575"/>
    <w:rsid w:val="006179CD"/>
    <w:rsid w:val="00617C5A"/>
    <w:rsid w:val="00617C86"/>
    <w:rsid w:val="00620223"/>
    <w:rsid w:val="00620C30"/>
    <w:rsid w:val="00621434"/>
    <w:rsid w:val="006226DC"/>
    <w:rsid w:val="00622730"/>
    <w:rsid w:val="0062347E"/>
    <w:rsid w:val="0062374F"/>
    <w:rsid w:val="00625E95"/>
    <w:rsid w:val="00626234"/>
    <w:rsid w:val="00626C80"/>
    <w:rsid w:val="006303FC"/>
    <w:rsid w:val="00630B27"/>
    <w:rsid w:val="00630E66"/>
    <w:rsid w:val="00631252"/>
    <w:rsid w:val="00633D04"/>
    <w:rsid w:val="00634501"/>
    <w:rsid w:val="00635CA5"/>
    <w:rsid w:val="0063792C"/>
    <w:rsid w:val="00640A2D"/>
    <w:rsid w:val="00640CBB"/>
    <w:rsid w:val="006413F3"/>
    <w:rsid w:val="00641DF1"/>
    <w:rsid w:val="0064350E"/>
    <w:rsid w:val="00643703"/>
    <w:rsid w:val="00645384"/>
    <w:rsid w:val="00647808"/>
    <w:rsid w:val="00651201"/>
    <w:rsid w:val="00652A11"/>
    <w:rsid w:val="006540C7"/>
    <w:rsid w:val="006544AD"/>
    <w:rsid w:val="006558FC"/>
    <w:rsid w:val="00655977"/>
    <w:rsid w:val="006570AA"/>
    <w:rsid w:val="006573E7"/>
    <w:rsid w:val="00657918"/>
    <w:rsid w:val="00663AE0"/>
    <w:rsid w:val="0066499E"/>
    <w:rsid w:val="006656B9"/>
    <w:rsid w:val="00665FB4"/>
    <w:rsid w:val="006665B7"/>
    <w:rsid w:val="00666B84"/>
    <w:rsid w:val="00667BA4"/>
    <w:rsid w:val="00667F07"/>
    <w:rsid w:val="00670316"/>
    <w:rsid w:val="00670C32"/>
    <w:rsid w:val="00670F60"/>
    <w:rsid w:val="00672A00"/>
    <w:rsid w:val="00672B33"/>
    <w:rsid w:val="0067326B"/>
    <w:rsid w:val="00673798"/>
    <w:rsid w:val="00674A9F"/>
    <w:rsid w:val="00675089"/>
    <w:rsid w:val="00676A78"/>
    <w:rsid w:val="00677E50"/>
    <w:rsid w:val="0068026D"/>
    <w:rsid w:val="006811F6"/>
    <w:rsid w:val="00681EDA"/>
    <w:rsid w:val="00682FC5"/>
    <w:rsid w:val="0068347F"/>
    <w:rsid w:val="00683ADC"/>
    <w:rsid w:val="00685735"/>
    <w:rsid w:val="00686967"/>
    <w:rsid w:val="00686B0A"/>
    <w:rsid w:val="00690956"/>
    <w:rsid w:val="00690C63"/>
    <w:rsid w:val="00690FB1"/>
    <w:rsid w:val="006926B4"/>
    <w:rsid w:val="00693B1A"/>
    <w:rsid w:val="006947E7"/>
    <w:rsid w:val="00694BCB"/>
    <w:rsid w:val="00695E58"/>
    <w:rsid w:val="00696C29"/>
    <w:rsid w:val="006970BB"/>
    <w:rsid w:val="006A2164"/>
    <w:rsid w:val="006A2E4A"/>
    <w:rsid w:val="006A32B3"/>
    <w:rsid w:val="006A6ABF"/>
    <w:rsid w:val="006B36E1"/>
    <w:rsid w:val="006B3CEB"/>
    <w:rsid w:val="006B4903"/>
    <w:rsid w:val="006B4AEC"/>
    <w:rsid w:val="006B4CCB"/>
    <w:rsid w:val="006B58F9"/>
    <w:rsid w:val="006B69AE"/>
    <w:rsid w:val="006C2F0E"/>
    <w:rsid w:val="006C31CC"/>
    <w:rsid w:val="006C3E75"/>
    <w:rsid w:val="006C54C2"/>
    <w:rsid w:val="006C57E4"/>
    <w:rsid w:val="006C6728"/>
    <w:rsid w:val="006C6824"/>
    <w:rsid w:val="006D1991"/>
    <w:rsid w:val="006D1D7D"/>
    <w:rsid w:val="006D2BB7"/>
    <w:rsid w:val="006D2D9B"/>
    <w:rsid w:val="006D44C1"/>
    <w:rsid w:val="006D5292"/>
    <w:rsid w:val="006D630F"/>
    <w:rsid w:val="006D70EB"/>
    <w:rsid w:val="006E0158"/>
    <w:rsid w:val="006E04AC"/>
    <w:rsid w:val="006E1F41"/>
    <w:rsid w:val="006E2C42"/>
    <w:rsid w:val="006E4FE1"/>
    <w:rsid w:val="006E5E9E"/>
    <w:rsid w:val="006E7204"/>
    <w:rsid w:val="006F0D17"/>
    <w:rsid w:val="006F2D3E"/>
    <w:rsid w:val="006F37CC"/>
    <w:rsid w:val="006F4570"/>
    <w:rsid w:val="006F4B31"/>
    <w:rsid w:val="006F5471"/>
    <w:rsid w:val="006F54D3"/>
    <w:rsid w:val="006F5B54"/>
    <w:rsid w:val="006F68BF"/>
    <w:rsid w:val="006F78A2"/>
    <w:rsid w:val="007009AE"/>
    <w:rsid w:val="00701739"/>
    <w:rsid w:val="00705345"/>
    <w:rsid w:val="00705C0E"/>
    <w:rsid w:val="00706D9B"/>
    <w:rsid w:val="00707055"/>
    <w:rsid w:val="007075BC"/>
    <w:rsid w:val="00707B94"/>
    <w:rsid w:val="00710280"/>
    <w:rsid w:val="00710C9E"/>
    <w:rsid w:val="00713E0E"/>
    <w:rsid w:val="00713FC6"/>
    <w:rsid w:val="0071404A"/>
    <w:rsid w:val="007145D7"/>
    <w:rsid w:val="00716041"/>
    <w:rsid w:val="00716444"/>
    <w:rsid w:val="00717345"/>
    <w:rsid w:val="00717F32"/>
    <w:rsid w:val="00720CBC"/>
    <w:rsid w:val="00721661"/>
    <w:rsid w:val="00721DC6"/>
    <w:rsid w:val="00724644"/>
    <w:rsid w:val="00727DB6"/>
    <w:rsid w:val="007300D4"/>
    <w:rsid w:val="00734EE3"/>
    <w:rsid w:val="00735683"/>
    <w:rsid w:val="00736AF6"/>
    <w:rsid w:val="00737687"/>
    <w:rsid w:val="00737987"/>
    <w:rsid w:val="007407B7"/>
    <w:rsid w:val="00740C06"/>
    <w:rsid w:val="0074163B"/>
    <w:rsid w:val="0074578F"/>
    <w:rsid w:val="00745862"/>
    <w:rsid w:val="00745F21"/>
    <w:rsid w:val="00746DE0"/>
    <w:rsid w:val="00751D53"/>
    <w:rsid w:val="00751F63"/>
    <w:rsid w:val="00752F52"/>
    <w:rsid w:val="007531CC"/>
    <w:rsid w:val="00753E7C"/>
    <w:rsid w:val="00757217"/>
    <w:rsid w:val="0076153E"/>
    <w:rsid w:val="00761DE8"/>
    <w:rsid w:val="0076318B"/>
    <w:rsid w:val="0076437E"/>
    <w:rsid w:val="007651F5"/>
    <w:rsid w:val="00765908"/>
    <w:rsid w:val="007669BD"/>
    <w:rsid w:val="00767103"/>
    <w:rsid w:val="00770CCF"/>
    <w:rsid w:val="00771170"/>
    <w:rsid w:val="00771A7C"/>
    <w:rsid w:val="00771C1E"/>
    <w:rsid w:val="0077322F"/>
    <w:rsid w:val="00774AA9"/>
    <w:rsid w:val="007767FE"/>
    <w:rsid w:val="007821C5"/>
    <w:rsid w:val="007843DB"/>
    <w:rsid w:val="007849E6"/>
    <w:rsid w:val="007852D1"/>
    <w:rsid w:val="00791188"/>
    <w:rsid w:val="00791CA6"/>
    <w:rsid w:val="00793772"/>
    <w:rsid w:val="00794DC4"/>
    <w:rsid w:val="00794F95"/>
    <w:rsid w:val="0079565B"/>
    <w:rsid w:val="00795CFB"/>
    <w:rsid w:val="00796DFB"/>
    <w:rsid w:val="00797B2F"/>
    <w:rsid w:val="007A042F"/>
    <w:rsid w:val="007A0E00"/>
    <w:rsid w:val="007A10CD"/>
    <w:rsid w:val="007A1C38"/>
    <w:rsid w:val="007A33EC"/>
    <w:rsid w:val="007A3C5A"/>
    <w:rsid w:val="007A3D0B"/>
    <w:rsid w:val="007A3FD1"/>
    <w:rsid w:val="007A44E5"/>
    <w:rsid w:val="007A495A"/>
    <w:rsid w:val="007A538D"/>
    <w:rsid w:val="007A5FF2"/>
    <w:rsid w:val="007A67B6"/>
    <w:rsid w:val="007B155B"/>
    <w:rsid w:val="007B1B9A"/>
    <w:rsid w:val="007B4E42"/>
    <w:rsid w:val="007B53FF"/>
    <w:rsid w:val="007B57CF"/>
    <w:rsid w:val="007C0341"/>
    <w:rsid w:val="007C0B83"/>
    <w:rsid w:val="007C1860"/>
    <w:rsid w:val="007C2D01"/>
    <w:rsid w:val="007C3994"/>
    <w:rsid w:val="007C45F1"/>
    <w:rsid w:val="007D0918"/>
    <w:rsid w:val="007D0BF3"/>
    <w:rsid w:val="007D1208"/>
    <w:rsid w:val="007D2B9C"/>
    <w:rsid w:val="007D4228"/>
    <w:rsid w:val="007D56D1"/>
    <w:rsid w:val="007D69A8"/>
    <w:rsid w:val="007D71A9"/>
    <w:rsid w:val="007E055B"/>
    <w:rsid w:val="007E130F"/>
    <w:rsid w:val="007E200B"/>
    <w:rsid w:val="007E25E7"/>
    <w:rsid w:val="007E36BA"/>
    <w:rsid w:val="007E41F6"/>
    <w:rsid w:val="007E4798"/>
    <w:rsid w:val="007E4F22"/>
    <w:rsid w:val="007E53D6"/>
    <w:rsid w:val="007E625A"/>
    <w:rsid w:val="007E6547"/>
    <w:rsid w:val="007E6A77"/>
    <w:rsid w:val="007E7651"/>
    <w:rsid w:val="007F01D7"/>
    <w:rsid w:val="007F03E6"/>
    <w:rsid w:val="007F09E7"/>
    <w:rsid w:val="007F0E2D"/>
    <w:rsid w:val="007F0F44"/>
    <w:rsid w:val="007F23AE"/>
    <w:rsid w:val="007F4422"/>
    <w:rsid w:val="007F5EAD"/>
    <w:rsid w:val="007F7227"/>
    <w:rsid w:val="007F77A7"/>
    <w:rsid w:val="007F7A81"/>
    <w:rsid w:val="007F7C25"/>
    <w:rsid w:val="00802A29"/>
    <w:rsid w:val="00804333"/>
    <w:rsid w:val="00804514"/>
    <w:rsid w:val="00804E14"/>
    <w:rsid w:val="0080646C"/>
    <w:rsid w:val="008068C5"/>
    <w:rsid w:val="00806F5D"/>
    <w:rsid w:val="0080726D"/>
    <w:rsid w:val="00807460"/>
    <w:rsid w:val="00810938"/>
    <w:rsid w:val="008109C5"/>
    <w:rsid w:val="0081178F"/>
    <w:rsid w:val="0081179F"/>
    <w:rsid w:val="00812490"/>
    <w:rsid w:val="0081383D"/>
    <w:rsid w:val="00813EA6"/>
    <w:rsid w:val="00814286"/>
    <w:rsid w:val="00814436"/>
    <w:rsid w:val="00814D75"/>
    <w:rsid w:val="008157B3"/>
    <w:rsid w:val="00817358"/>
    <w:rsid w:val="00817949"/>
    <w:rsid w:val="0082029C"/>
    <w:rsid w:val="0082053C"/>
    <w:rsid w:val="00820624"/>
    <w:rsid w:val="00821918"/>
    <w:rsid w:val="00825306"/>
    <w:rsid w:val="00825D39"/>
    <w:rsid w:val="00833736"/>
    <w:rsid w:val="008339F6"/>
    <w:rsid w:val="0083570C"/>
    <w:rsid w:val="00835CFC"/>
    <w:rsid w:val="00841574"/>
    <w:rsid w:val="00841A8C"/>
    <w:rsid w:val="00841B3D"/>
    <w:rsid w:val="00843FAE"/>
    <w:rsid w:val="008451BD"/>
    <w:rsid w:val="00845E00"/>
    <w:rsid w:val="00847153"/>
    <w:rsid w:val="00847B20"/>
    <w:rsid w:val="00847E43"/>
    <w:rsid w:val="00847F5A"/>
    <w:rsid w:val="008503A4"/>
    <w:rsid w:val="008508F3"/>
    <w:rsid w:val="008511C6"/>
    <w:rsid w:val="00856D31"/>
    <w:rsid w:val="008570C5"/>
    <w:rsid w:val="00857AEB"/>
    <w:rsid w:val="00864AC3"/>
    <w:rsid w:val="00865E00"/>
    <w:rsid w:val="008660EA"/>
    <w:rsid w:val="008662F9"/>
    <w:rsid w:val="008675EF"/>
    <w:rsid w:val="008700A4"/>
    <w:rsid w:val="00870BF1"/>
    <w:rsid w:val="008715FF"/>
    <w:rsid w:val="00872422"/>
    <w:rsid w:val="008727F4"/>
    <w:rsid w:val="00872B99"/>
    <w:rsid w:val="0087300E"/>
    <w:rsid w:val="00875227"/>
    <w:rsid w:val="00875626"/>
    <w:rsid w:val="00875F55"/>
    <w:rsid w:val="008767A5"/>
    <w:rsid w:val="008778E6"/>
    <w:rsid w:val="00880503"/>
    <w:rsid w:val="00880EAB"/>
    <w:rsid w:val="00880ECB"/>
    <w:rsid w:val="0088229A"/>
    <w:rsid w:val="0088268A"/>
    <w:rsid w:val="008828EF"/>
    <w:rsid w:val="008846AC"/>
    <w:rsid w:val="008847FD"/>
    <w:rsid w:val="008859AC"/>
    <w:rsid w:val="00886F1E"/>
    <w:rsid w:val="008912B1"/>
    <w:rsid w:val="00892533"/>
    <w:rsid w:val="008937AB"/>
    <w:rsid w:val="00893C5E"/>
    <w:rsid w:val="00893C85"/>
    <w:rsid w:val="00893F3B"/>
    <w:rsid w:val="008967BA"/>
    <w:rsid w:val="008A10CB"/>
    <w:rsid w:val="008A41B4"/>
    <w:rsid w:val="008A4465"/>
    <w:rsid w:val="008A4E16"/>
    <w:rsid w:val="008A6FE5"/>
    <w:rsid w:val="008A727B"/>
    <w:rsid w:val="008A7F15"/>
    <w:rsid w:val="008B1FA5"/>
    <w:rsid w:val="008B38B3"/>
    <w:rsid w:val="008B3FD4"/>
    <w:rsid w:val="008B4E75"/>
    <w:rsid w:val="008B52FF"/>
    <w:rsid w:val="008B63B9"/>
    <w:rsid w:val="008C4186"/>
    <w:rsid w:val="008C4A3F"/>
    <w:rsid w:val="008C51D4"/>
    <w:rsid w:val="008C7751"/>
    <w:rsid w:val="008D14C4"/>
    <w:rsid w:val="008D1DDC"/>
    <w:rsid w:val="008D2AA8"/>
    <w:rsid w:val="008D2B46"/>
    <w:rsid w:val="008D2FC3"/>
    <w:rsid w:val="008D3757"/>
    <w:rsid w:val="008D3959"/>
    <w:rsid w:val="008D3FD8"/>
    <w:rsid w:val="008D4D2D"/>
    <w:rsid w:val="008D7428"/>
    <w:rsid w:val="008D7E68"/>
    <w:rsid w:val="008E0973"/>
    <w:rsid w:val="008E280B"/>
    <w:rsid w:val="008E2F21"/>
    <w:rsid w:val="008E3ECE"/>
    <w:rsid w:val="008E4578"/>
    <w:rsid w:val="008E4C56"/>
    <w:rsid w:val="008E6ED3"/>
    <w:rsid w:val="008E73D7"/>
    <w:rsid w:val="008F02B7"/>
    <w:rsid w:val="008F23B4"/>
    <w:rsid w:val="008F30BC"/>
    <w:rsid w:val="008F3300"/>
    <w:rsid w:val="008F39B1"/>
    <w:rsid w:val="008F65F6"/>
    <w:rsid w:val="008F728E"/>
    <w:rsid w:val="008F72A2"/>
    <w:rsid w:val="00900052"/>
    <w:rsid w:val="00902169"/>
    <w:rsid w:val="00903D85"/>
    <w:rsid w:val="009058AD"/>
    <w:rsid w:val="009065C2"/>
    <w:rsid w:val="0090763C"/>
    <w:rsid w:val="00910007"/>
    <w:rsid w:val="00910B43"/>
    <w:rsid w:val="0091298F"/>
    <w:rsid w:val="009160B6"/>
    <w:rsid w:val="009160F7"/>
    <w:rsid w:val="0091652B"/>
    <w:rsid w:val="00916E48"/>
    <w:rsid w:val="00921C65"/>
    <w:rsid w:val="00923009"/>
    <w:rsid w:val="00924314"/>
    <w:rsid w:val="00924BAB"/>
    <w:rsid w:val="00926CED"/>
    <w:rsid w:val="0092736A"/>
    <w:rsid w:val="009274AC"/>
    <w:rsid w:val="009275A4"/>
    <w:rsid w:val="009276FA"/>
    <w:rsid w:val="00927A19"/>
    <w:rsid w:val="00931390"/>
    <w:rsid w:val="00931928"/>
    <w:rsid w:val="00935C7F"/>
    <w:rsid w:val="00941961"/>
    <w:rsid w:val="0094221C"/>
    <w:rsid w:val="00943316"/>
    <w:rsid w:val="00943994"/>
    <w:rsid w:val="00943A79"/>
    <w:rsid w:val="009441C4"/>
    <w:rsid w:val="009477EB"/>
    <w:rsid w:val="00947B93"/>
    <w:rsid w:val="00947C37"/>
    <w:rsid w:val="00950377"/>
    <w:rsid w:val="0095093A"/>
    <w:rsid w:val="00950E61"/>
    <w:rsid w:val="00951FD0"/>
    <w:rsid w:val="00952CD7"/>
    <w:rsid w:val="00952E00"/>
    <w:rsid w:val="00955D00"/>
    <w:rsid w:val="00957297"/>
    <w:rsid w:val="009575FE"/>
    <w:rsid w:val="00960726"/>
    <w:rsid w:val="00961DE6"/>
    <w:rsid w:val="009630E5"/>
    <w:rsid w:val="00965F8C"/>
    <w:rsid w:val="00966488"/>
    <w:rsid w:val="0096693F"/>
    <w:rsid w:val="00967B64"/>
    <w:rsid w:val="009705A9"/>
    <w:rsid w:val="00970B9F"/>
    <w:rsid w:val="00971594"/>
    <w:rsid w:val="00971650"/>
    <w:rsid w:val="00974BFD"/>
    <w:rsid w:val="00975DD6"/>
    <w:rsid w:val="009779D4"/>
    <w:rsid w:val="00977C67"/>
    <w:rsid w:val="00981413"/>
    <w:rsid w:val="00981809"/>
    <w:rsid w:val="009829B3"/>
    <w:rsid w:val="009831B0"/>
    <w:rsid w:val="00983B6C"/>
    <w:rsid w:val="00984167"/>
    <w:rsid w:val="009844E6"/>
    <w:rsid w:val="00984A6A"/>
    <w:rsid w:val="00984E3B"/>
    <w:rsid w:val="009865E1"/>
    <w:rsid w:val="00987449"/>
    <w:rsid w:val="009909E2"/>
    <w:rsid w:val="00990D2B"/>
    <w:rsid w:val="009910DF"/>
    <w:rsid w:val="009914C9"/>
    <w:rsid w:val="00993F15"/>
    <w:rsid w:val="00994B9B"/>
    <w:rsid w:val="00996D6F"/>
    <w:rsid w:val="009977F0"/>
    <w:rsid w:val="00997BF4"/>
    <w:rsid w:val="00997E88"/>
    <w:rsid w:val="009A15CA"/>
    <w:rsid w:val="009A25D9"/>
    <w:rsid w:val="009A37B7"/>
    <w:rsid w:val="009B0767"/>
    <w:rsid w:val="009B2C3E"/>
    <w:rsid w:val="009B3C7C"/>
    <w:rsid w:val="009B479A"/>
    <w:rsid w:val="009B5085"/>
    <w:rsid w:val="009B5614"/>
    <w:rsid w:val="009B5F9D"/>
    <w:rsid w:val="009B70C2"/>
    <w:rsid w:val="009B7BED"/>
    <w:rsid w:val="009C017E"/>
    <w:rsid w:val="009C0777"/>
    <w:rsid w:val="009C10F2"/>
    <w:rsid w:val="009C2719"/>
    <w:rsid w:val="009C2A4F"/>
    <w:rsid w:val="009C2DC6"/>
    <w:rsid w:val="009C2F45"/>
    <w:rsid w:val="009C5AE7"/>
    <w:rsid w:val="009C72C5"/>
    <w:rsid w:val="009C7379"/>
    <w:rsid w:val="009D1422"/>
    <w:rsid w:val="009D16F7"/>
    <w:rsid w:val="009D2EE0"/>
    <w:rsid w:val="009D4606"/>
    <w:rsid w:val="009D6143"/>
    <w:rsid w:val="009D6604"/>
    <w:rsid w:val="009D683F"/>
    <w:rsid w:val="009D701D"/>
    <w:rsid w:val="009D71B7"/>
    <w:rsid w:val="009D765E"/>
    <w:rsid w:val="009E188B"/>
    <w:rsid w:val="009E2699"/>
    <w:rsid w:val="009E3A32"/>
    <w:rsid w:val="009E4066"/>
    <w:rsid w:val="009E5694"/>
    <w:rsid w:val="009E7034"/>
    <w:rsid w:val="009F2528"/>
    <w:rsid w:val="009F2DB2"/>
    <w:rsid w:val="009F2E2E"/>
    <w:rsid w:val="009F42E5"/>
    <w:rsid w:val="009F4580"/>
    <w:rsid w:val="009F5EB7"/>
    <w:rsid w:val="009F6383"/>
    <w:rsid w:val="009F7716"/>
    <w:rsid w:val="009F7877"/>
    <w:rsid w:val="00A003AB"/>
    <w:rsid w:val="00A0056D"/>
    <w:rsid w:val="00A00F0F"/>
    <w:rsid w:val="00A0100D"/>
    <w:rsid w:val="00A01080"/>
    <w:rsid w:val="00A01291"/>
    <w:rsid w:val="00A01932"/>
    <w:rsid w:val="00A04141"/>
    <w:rsid w:val="00A04DAF"/>
    <w:rsid w:val="00A055DE"/>
    <w:rsid w:val="00A057A9"/>
    <w:rsid w:val="00A0592F"/>
    <w:rsid w:val="00A0639A"/>
    <w:rsid w:val="00A0666C"/>
    <w:rsid w:val="00A06AFA"/>
    <w:rsid w:val="00A07509"/>
    <w:rsid w:val="00A11269"/>
    <w:rsid w:val="00A11B18"/>
    <w:rsid w:val="00A12F4F"/>
    <w:rsid w:val="00A141F4"/>
    <w:rsid w:val="00A14F1B"/>
    <w:rsid w:val="00A15227"/>
    <w:rsid w:val="00A15C80"/>
    <w:rsid w:val="00A1717F"/>
    <w:rsid w:val="00A20385"/>
    <w:rsid w:val="00A20A61"/>
    <w:rsid w:val="00A20E17"/>
    <w:rsid w:val="00A20EB8"/>
    <w:rsid w:val="00A21B10"/>
    <w:rsid w:val="00A22114"/>
    <w:rsid w:val="00A2236D"/>
    <w:rsid w:val="00A22E2A"/>
    <w:rsid w:val="00A239FD"/>
    <w:rsid w:val="00A27FA2"/>
    <w:rsid w:val="00A303CA"/>
    <w:rsid w:val="00A308C7"/>
    <w:rsid w:val="00A32217"/>
    <w:rsid w:val="00A33394"/>
    <w:rsid w:val="00A33D2C"/>
    <w:rsid w:val="00A34A95"/>
    <w:rsid w:val="00A34F6A"/>
    <w:rsid w:val="00A3587C"/>
    <w:rsid w:val="00A36907"/>
    <w:rsid w:val="00A3790E"/>
    <w:rsid w:val="00A40212"/>
    <w:rsid w:val="00A40A89"/>
    <w:rsid w:val="00A41878"/>
    <w:rsid w:val="00A423A5"/>
    <w:rsid w:val="00A4259F"/>
    <w:rsid w:val="00A42CFF"/>
    <w:rsid w:val="00A43009"/>
    <w:rsid w:val="00A439F2"/>
    <w:rsid w:val="00A43D13"/>
    <w:rsid w:val="00A43E86"/>
    <w:rsid w:val="00A4411E"/>
    <w:rsid w:val="00A4525F"/>
    <w:rsid w:val="00A45633"/>
    <w:rsid w:val="00A46D56"/>
    <w:rsid w:val="00A50109"/>
    <w:rsid w:val="00A51358"/>
    <w:rsid w:val="00A525D4"/>
    <w:rsid w:val="00A54B34"/>
    <w:rsid w:val="00A5751B"/>
    <w:rsid w:val="00A57914"/>
    <w:rsid w:val="00A60204"/>
    <w:rsid w:val="00A61A33"/>
    <w:rsid w:val="00A6308B"/>
    <w:rsid w:val="00A6329D"/>
    <w:rsid w:val="00A63DE4"/>
    <w:rsid w:val="00A703CA"/>
    <w:rsid w:val="00A70D6E"/>
    <w:rsid w:val="00A70FDD"/>
    <w:rsid w:val="00A72146"/>
    <w:rsid w:val="00A72F4E"/>
    <w:rsid w:val="00A732B5"/>
    <w:rsid w:val="00A735AE"/>
    <w:rsid w:val="00A73AF0"/>
    <w:rsid w:val="00A74B6D"/>
    <w:rsid w:val="00A81029"/>
    <w:rsid w:val="00A8148C"/>
    <w:rsid w:val="00A82B23"/>
    <w:rsid w:val="00A82E12"/>
    <w:rsid w:val="00A83260"/>
    <w:rsid w:val="00A83F67"/>
    <w:rsid w:val="00A8506D"/>
    <w:rsid w:val="00A853D1"/>
    <w:rsid w:val="00A85C36"/>
    <w:rsid w:val="00A8789B"/>
    <w:rsid w:val="00A907F6"/>
    <w:rsid w:val="00A9135D"/>
    <w:rsid w:val="00A9155A"/>
    <w:rsid w:val="00A92073"/>
    <w:rsid w:val="00A934E2"/>
    <w:rsid w:val="00A93ECE"/>
    <w:rsid w:val="00A945C3"/>
    <w:rsid w:val="00A9530B"/>
    <w:rsid w:val="00A95AFF"/>
    <w:rsid w:val="00A96746"/>
    <w:rsid w:val="00A97343"/>
    <w:rsid w:val="00A97396"/>
    <w:rsid w:val="00A9788C"/>
    <w:rsid w:val="00A97C1D"/>
    <w:rsid w:val="00AA025F"/>
    <w:rsid w:val="00AA0EDC"/>
    <w:rsid w:val="00AA35EA"/>
    <w:rsid w:val="00AA3691"/>
    <w:rsid w:val="00AA4323"/>
    <w:rsid w:val="00AA5E66"/>
    <w:rsid w:val="00AA74A8"/>
    <w:rsid w:val="00AB16C2"/>
    <w:rsid w:val="00AB188B"/>
    <w:rsid w:val="00AB22C7"/>
    <w:rsid w:val="00AB4283"/>
    <w:rsid w:val="00AB461A"/>
    <w:rsid w:val="00AB52E6"/>
    <w:rsid w:val="00AB63CD"/>
    <w:rsid w:val="00AB6AA9"/>
    <w:rsid w:val="00AB6AEE"/>
    <w:rsid w:val="00AB6FB5"/>
    <w:rsid w:val="00AB76BB"/>
    <w:rsid w:val="00AC1553"/>
    <w:rsid w:val="00AC184A"/>
    <w:rsid w:val="00AC2AF2"/>
    <w:rsid w:val="00AC2CA5"/>
    <w:rsid w:val="00AC4ED2"/>
    <w:rsid w:val="00AC5201"/>
    <w:rsid w:val="00AC65F6"/>
    <w:rsid w:val="00AC6621"/>
    <w:rsid w:val="00AC6A37"/>
    <w:rsid w:val="00AD26AB"/>
    <w:rsid w:val="00AD598F"/>
    <w:rsid w:val="00AD6A43"/>
    <w:rsid w:val="00AD6B5D"/>
    <w:rsid w:val="00AD6EA5"/>
    <w:rsid w:val="00AD70FA"/>
    <w:rsid w:val="00AD7237"/>
    <w:rsid w:val="00AD7FCB"/>
    <w:rsid w:val="00AE14A4"/>
    <w:rsid w:val="00AE189D"/>
    <w:rsid w:val="00AE29E8"/>
    <w:rsid w:val="00AE3EDC"/>
    <w:rsid w:val="00AE3F24"/>
    <w:rsid w:val="00AE434C"/>
    <w:rsid w:val="00AE4CC9"/>
    <w:rsid w:val="00AE4EBA"/>
    <w:rsid w:val="00AE5345"/>
    <w:rsid w:val="00AE56D0"/>
    <w:rsid w:val="00AE615B"/>
    <w:rsid w:val="00AE67BC"/>
    <w:rsid w:val="00AF0796"/>
    <w:rsid w:val="00AF0B4F"/>
    <w:rsid w:val="00AF2CCA"/>
    <w:rsid w:val="00AF480F"/>
    <w:rsid w:val="00AF6D90"/>
    <w:rsid w:val="00AF6EF1"/>
    <w:rsid w:val="00AF7964"/>
    <w:rsid w:val="00B0004B"/>
    <w:rsid w:val="00B0023B"/>
    <w:rsid w:val="00B00C73"/>
    <w:rsid w:val="00B00EE2"/>
    <w:rsid w:val="00B02544"/>
    <w:rsid w:val="00B03436"/>
    <w:rsid w:val="00B03BA1"/>
    <w:rsid w:val="00B03E55"/>
    <w:rsid w:val="00B0412C"/>
    <w:rsid w:val="00B04429"/>
    <w:rsid w:val="00B0530A"/>
    <w:rsid w:val="00B0783E"/>
    <w:rsid w:val="00B12EE0"/>
    <w:rsid w:val="00B14507"/>
    <w:rsid w:val="00B15F39"/>
    <w:rsid w:val="00B209A2"/>
    <w:rsid w:val="00B22377"/>
    <w:rsid w:val="00B22C93"/>
    <w:rsid w:val="00B231F1"/>
    <w:rsid w:val="00B23593"/>
    <w:rsid w:val="00B258DC"/>
    <w:rsid w:val="00B25D43"/>
    <w:rsid w:val="00B264E1"/>
    <w:rsid w:val="00B266A8"/>
    <w:rsid w:val="00B279BC"/>
    <w:rsid w:val="00B30DA2"/>
    <w:rsid w:val="00B316E5"/>
    <w:rsid w:val="00B334BE"/>
    <w:rsid w:val="00B33ADC"/>
    <w:rsid w:val="00B33BCF"/>
    <w:rsid w:val="00B33E8B"/>
    <w:rsid w:val="00B33E95"/>
    <w:rsid w:val="00B33F93"/>
    <w:rsid w:val="00B34575"/>
    <w:rsid w:val="00B3531B"/>
    <w:rsid w:val="00B360B1"/>
    <w:rsid w:val="00B36193"/>
    <w:rsid w:val="00B3731C"/>
    <w:rsid w:val="00B4028C"/>
    <w:rsid w:val="00B41C52"/>
    <w:rsid w:val="00B41ED6"/>
    <w:rsid w:val="00B41F78"/>
    <w:rsid w:val="00B42D76"/>
    <w:rsid w:val="00B437A2"/>
    <w:rsid w:val="00B44DC7"/>
    <w:rsid w:val="00B45518"/>
    <w:rsid w:val="00B46AE3"/>
    <w:rsid w:val="00B47459"/>
    <w:rsid w:val="00B47904"/>
    <w:rsid w:val="00B47CCA"/>
    <w:rsid w:val="00B47FF1"/>
    <w:rsid w:val="00B50F27"/>
    <w:rsid w:val="00B5146A"/>
    <w:rsid w:val="00B52BFF"/>
    <w:rsid w:val="00B55083"/>
    <w:rsid w:val="00B55372"/>
    <w:rsid w:val="00B559E7"/>
    <w:rsid w:val="00B56501"/>
    <w:rsid w:val="00B56A27"/>
    <w:rsid w:val="00B6071D"/>
    <w:rsid w:val="00B60D11"/>
    <w:rsid w:val="00B61C87"/>
    <w:rsid w:val="00B628D6"/>
    <w:rsid w:val="00B64055"/>
    <w:rsid w:val="00B64F5E"/>
    <w:rsid w:val="00B6605B"/>
    <w:rsid w:val="00B67838"/>
    <w:rsid w:val="00B71A9E"/>
    <w:rsid w:val="00B737AA"/>
    <w:rsid w:val="00B768B5"/>
    <w:rsid w:val="00B7696E"/>
    <w:rsid w:val="00B773B3"/>
    <w:rsid w:val="00B8038E"/>
    <w:rsid w:val="00B8097F"/>
    <w:rsid w:val="00B826BB"/>
    <w:rsid w:val="00B8292D"/>
    <w:rsid w:val="00B82965"/>
    <w:rsid w:val="00B82E85"/>
    <w:rsid w:val="00B863E5"/>
    <w:rsid w:val="00B87522"/>
    <w:rsid w:val="00B87C13"/>
    <w:rsid w:val="00B90E97"/>
    <w:rsid w:val="00B91843"/>
    <w:rsid w:val="00B9328C"/>
    <w:rsid w:val="00B94B45"/>
    <w:rsid w:val="00B95A5C"/>
    <w:rsid w:val="00B95EC2"/>
    <w:rsid w:val="00B972F6"/>
    <w:rsid w:val="00BA5914"/>
    <w:rsid w:val="00BA6696"/>
    <w:rsid w:val="00BA747D"/>
    <w:rsid w:val="00BA7E79"/>
    <w:rsid w:val="00BB005E"/>
    <w:rsid w:val="00BB1B64"/>
    <w:rsid w:val="00BB2146"/>
    <w:rsid w:val="00BB328C"/>
    <w:rsid w:val="00BB32D8"/>
    <w:rsid w:val="00BB4011"/>
    <w:rsid w:val="00BB5406"/>
    <w:rsid w:val="00BB54C8"/>
    <w:rsid w:val="00BB5A00"/>
    <w:rsid w:val="00BB694A"/>
    <w:rsid w:val="00BC0236"/>
    <w:rsid w:val="00BC0578"/>
    <w:rsid w:val="00BC0864"/>
    <w:rsid w:val="00BC2407"/>
    <w:rsid w:val="00BC27F5"/>
    <w:rsid w:val="00BC2BF2"/>
    <w:rsid w:val="00BC453A"/>
    <w:rsid w:val="00BC4562"/>
    <w:rsid w:val="00BC4625"/>
    <w:rsid w:val="00BC5015"/>
    <w:rsid w:val="00BC6BC2"/>
    <w:rsid w:val="00BC758F"/>
    <w:rsid w:val="00BD10F8"/>
    <w:rsid w:val="00BD2F57"/>
    <w:rsid w:val="00BD353A"/>
    <w:rsid w:val="00BD3718"/>
    <w:rsid w:val="00BD38B6"/>
    <w:rsid w:val="00BD3F80"/>
    <w:rsid w:val="00BD4C5B"/>
    <w:rsid w:val="00BD4F3E"/>
    <w:rsid w:val="00BD796B"/>
    <w:rsid w:val="00BE0DA1"/>
    <w:rsid w:val="00BE23A2"/>
    <w:rsid w:val="00BE3266"/>
    <w:rsid w:val="00BE3CA1"/>
    <w:rsid w:val="00BE5052"/>
    <w:rsid w:val="00BE6DAC"/>
    <w:rsid w:val="00BE7C99"/>
    <w:rsid w:val="00BF0726"/>
    <w:rsid w:val="00BF132F"/>
    <w:rsid w:val="00BF1967"/>
    <w:rsid w:val="00BF1BD3"/>
    <w:rsid w:val="00BF2F0F"/>
    <w:rsid w:val="00BF34CF"/>
    <w:rsid w:val="00BF38DC"/>
    <w:rsid w:val="00BF38F1"/>
    <w:rsid w:val="00BF585D"/>
    <w:rsid w:val="00BF7930"/>
    <w:rsid w:val="00C00DD6"/>
    <w:rsid w:val="00C00E8A"/>
    <w:rsid w:val="00C00F63"/>
    <w:rsid w:val="00C018D8"/>
    <w:rsid w:val="00C07437"/>
    <w:rsid w:val="00C0774C"/>
    <w:rsid w:val="00C14BBE"/>
    <w:rsid w:val="00C14C99"/>
    <w:rsid w:val="00C14DF1"/>
    <w:rsid w:val="00C15FB1"/>
    <w:rsid w:val="00C16AE7"/>
    <w:rsid w:val="00C17B12"/>
    <w:rsid w:val="00C20DD8"/>
    <w:rsid w:val="00C217BE"/>
    <w:rsid w:val="00C24DB0"/>
    <w:rsid w:val="00C24E7E"/>
    <w:rsid w:val="00C2601A"/>
    <w:rsid w:val="00C2648D"/>
    <w:rsid w:val="00C27E8E"/>
    <w:rsid w:val="00C32569"/>
    <w:rsid w:val="00C3273C"/>
    <w:rsid w:val="00C33066"/>
    <w:rsid w:val="00C3360C"/>
    <w:rsid w:val="00C34E31"/>
    <w:rsid w:val="00C35848"/>
    <w:rsid w:val="00C3595C"/>
    <w:rsid w:val="00C35BB0"/>
    <w:rsid w:val="00C3640D"/>
    <w:rsid w:val="00C36611"/>
    <w:rsid w:val="00C3682A"/>
    <w:rsid w:val="00C36FE4"/>
    <w:rsid w:val="00C4186F"/>
    <w:rsid w:val="00C41CEF"/>
    <w:rsid w:val="00C4327D"/>
    <w:rsid w:val="00C43A9B"/>
    <w:rsid w:val="00C4745F"/>
    <w:rsid w:val="00C5002C"/>
    <w:rsid w:val="00C50B72"/>
    <w:rsid w:val="00C5136C"/>
    <w:rsid w:val="00C52E96"/>
    <w:rsid w:val="00C54921"/>
    <w:rsid w:val="00C55B73"/>
    <w:rsid w:val="00C55F18"/>
    <w:rsid w:val="00C56820"/>
    <w:rsid w:val="00C57663"/>
    <w:rsid w:val="00C613D1"/>
    <w:rsid w:val="00C6339C"/>
    <w:rsid w:val="00C63506"/>
    <w:rsid w:val="00C64EAE"/>
    <w:rsid w:val="00C655BC"/>
    <w:rsid w:val="00C65776"/>
    <w:rsid w:val="00C660A1"/>
    <w:rsid w:val="00C66215"/>
    <w:rsid w:val="00C662B6"/>
    <w:rsid w:val="00C67824"/>
    <w:rsid w:val="00C7161E"/>
    <w:rsid w:val="00C72100"/>
    <w:rsid w:val="00C72CD7"/>
    <w:rsid w:val="00C73A3C"/>
    <w:rsid w:val="00C74FE1"/>
    <w:rsid w:val="00C7508D"/>
    <w:rsid w:val="00C76205"/>
    <w:rsid w:val="00C80316"/>
    <w:rsid w:val="00C81122"/>
    <w:rsid w:val="00C81918"/>
    <w:rsid w:val="00C83338"/>
    <w:rsid w:val="00C84919"/>
    <w:rsid w:val="00C87396"/>
    <w:rsid w:val="00C9055A"/>
    <w:rsid w:val="00C905F6"/>
    <w:rsid w:val="00C92009"/>
    <w:rsid w:val="00C94AF6"/>
    <w:rsid w:val="00C94FD4"/>
    <w:rsid w:val="00C95348"/>
    <w:rsid w:val="00C96B04"/>
    <w:rsid w:val="00CA1413"/>
    <w:rsid w:val="00CA1A3A"/>
    <w:rsid w:val="00CA2477"/>
    <w:rsid w:val="00CA3334"/>
    <w:rsid w:val="00CA41BE"/>
    <w:rsid w:val="00CA44FB"/>
    <w:rsid w:val="00CA55E6"/>
    <w:rsid w:val="00CA6A65"/>
    <w:rsid w:val="00CB11CA"/>
    <w:rsid w:val="00CB12C6"/>
    <w:rsid w:val="00CB2673"/>
    <w:rsid w:val="00CB3CD4"/>
    <w:rsid w:val="00CB4809"/>
    <w:rsid w:val="00CB508E"/>
    <w:rsid w:val="00CB6A16"/>
    <w:rsid w:val="00CB77ED"/>
    <w:rsid w:val="00CC00FB"/>
    <w:rsid w:val="00CC01B6"/>
    <w:rsid w:val="00CC0427"/>
    <w:rsid w:val="00CC113D"/>
    <w:rsid w:val="00CC196F"/>
    <w:rsid w:val="00CC2140"/>
    <w:rsid w:val="00CC3033"/>
    <w:rsid w:val="00CC306B"/>
    <w:rsid w:val="00CC450C"/>
    <w:rsid w:val="00CC534F"/>
    <w:rsid w:val="00CC65ED"/>
    <w:rsid w:val="00CD11F7"/>
    <w:rsid w:val="00CD143D"/>
    <w:rsid w:val="00CD19F0"/>
    <w:rsid w:val="00CD30DC"/>
    <w:rsid w:val="00CD3AED"/>
    <w:rsid w:val="00CD4258"/>
    <w:rsid w:val="00CD4F7C"/>
    <w:rsid w:val="00CD7A3A"/>
    <w:rsid w:val="00CD7FC5"/>
    <w:rsid w:val="00CE0681"/>
    <w:rsid w:val="00CE1E0B"/>
    <w:rsid w:val="00CE4403"/>
    <w:rsid w:val="00CF23A9"/>
    <w:rsid w:val="00CF2D49"/>
    <w:rsid w:val="00CF3061"/>
    <w:rsid w:val="00CF32A3"/>
    <w:rsid w:val="00CF35CD"/>
    <w:rsid w:val="00CF43D8"/>
    <w:rsid w:val="00CF484A"/>
    <w:rsid w:val="00CF530B"/>
    <w:rsid w:val="00CF6428"/>
    <w:rsid w:val="00CF6C61"/>
    <w:rsid w:val="00CF73A1"/>
    <w:rsid w:val="00D014C7"/>
    <w:rsid w:val="00D01B72"/>
    <w:rsid w:val="00D02E31"/>
    <w:rsid w:val="00D043BD"/>
    <w:rsid w:val="00D04EDB"/>
    <w:rsid w:val="00D05A90"/>
    <w:rsid w:val="00D05FDD"/>
    <w:rsid w:val="00D06755"/>
    <w:rsid w:val="00D06C14"/>
    <w:rsid w:val="00D07FFC"/>
    <w:rsid w:val="00D119C3"/>
    <w:rsid w:val="00D132F2"/>
    <w:rsid w:val="00D168C7"/>
    <w:rsid w:val="00D16EC3"/>
    <w:rsid w:val="00D208FF"/>
    <w:rsid w:val="00D20DDD"/>
    <w:rsid w:val="00D20FD6"/>
    <w:rsid w:val="00D22670"/>
    <w:rsid w:val="00D23645"/>
    <w:rsid w:val="00D245B7"/>
    <w:rsid w:val="00D26D08"/>
    <w:rsid w:val="00D27EA7"/>
    <w:rsid w:val="00D30FD2"/>
    <w:rsid w:val="00D31DA2"/>
    <w:rsid w:val="00D345C9"/>
    <w:rsid w:val="00D403FD"/>
    <w:rsid w:val="00D4244A"/>
    <w:rsid w:val="00D441C3"/>
    <w:rsid w:val="00D44365"/>
    <w:rsid w:val="00D443B3"/>
    <w:rsid w:val="00D4469D"/>
    <w:rsid w:val="00D44D2A"/>
    <w:rsid w:val="00D45DB0"/>
    <w:rsid w:val="00D4760C"/>
    <w:rsid w:val="00D50435"/>
    <w:rsid w:val="00D5176F"/>
    <w:rsid w:val="00D52F17"/>
    <w:rsid w:val="00D539BF"/>
    <w:rsid w:val="00D55D0A"/>
    <w:rsid w:val="00D55E1B"/>
    <w:rsid w:val="00D566C2"/>
    <w:rsid w:val="00D57E3C"/>
    <w:rsid w:val="00D60A46"/>
    <w:rsid w:val="00D60C9E"/>
    <w:rsid w:val="00D621F3"/>
    <w:rsid w:val="00D62A2F"/>
    <w:rsid w:val="00D64794"/>
    <w:rsid w:val="00D650AB"/>
    <w:rsid w:val="00D652C3"/>
    <w:rsid w:val="00D652F5"/>
    <w:rsid w:val="00D6556F"/>
    <w:rsid w:val="00D665B4"/>
    <w:rsid w:val="00D67AD6"/>
    <w:rsid w:val="00D7082A"/>
    <w:rsid w:val="00D714A8"/>
    <w:rsid w:val="00D72458"/>
    <w:rsid w:val="00D73D5A"/>
    <w:rsid w:val="00D73E20"/>
    <w:rsid w:val="00D74690"/>
    <w:rsid w:val="00D75D74"/>
    <w:rsid w:val="00D7683F"/>
    <w:rsid w:val="00D76DE2"/>
    <w:rsid w:val="00D80185"/>
    <w:rsid w:val="00D81727"/>
    <w:rsid w:val="00D82CF4"/>
    <w:rsid w:val="00D83423"/>
    <w:rsid w:val="00D8369B"/>
    <w:rsid w:val="00D90E0D"/>
    <w:rsid w:val="00D920BA"/>
    <w:rsid w:val="00D92B79"/>
    <w:rsid w:val="00D95BC5"/>
    <w:rsid w:val="00D97652"/>
    <w:rsid w:val="00DA2084"/>
    <w:rsid w:val="00DA33AA"/>
    <w:rsid w:val="00DA37E8"/>
    <w:rsid w:val="00DA3EAA"/>
    <w:rsid w:val="00DA5500"/>
    <w:rsid w:val="00DA6021"/>
    <w:rsid w:val="00DA6917"/>
    <w:rsid w:val="00DA7F4A"/>
    <w:rsid w:val="00DB2634"/>
    <w:rsid w:val="00DB2877"/>
    <w:rsid w:val="00DB3390"/>
    <w:rsid w:val="00DB3730"/>
    <w:rsid w:val="00DB4336"/>
    <w:rsid w:val="00DB52F4"/>
    <w:rsid w:val="00DB6042"/>
    <w:rsid w:val="00DB77AF"/>
    <w:rsid w:val="00DC0239"/>
    <w:rsid w:val="00DC09E5"/>
    <w:rsid w:val="00DC0FDD"/>
    <w:rsid w:val="00DC1185"/>
    <w:rsid w:val="00DC1553"/>
    <w:rsid w:val="00DC19A1"/>
    <w:rsid w:val="00DC2909"/>
    <w:rsid w:val="00DC2F1F"/>
    <w:rsid w:val="00DC3091"/>
    <w:rsid w:val="00DC3D63"/>
    <w:rsid w:val="00DC73B6"/>
    <w:rsid w:val="00DD1A3D"/>
    <w:rsid w:val="00DD2B22"/>
    <w:rsid w:val="00DD5B3C"/>
    <w:rsid w:val="00DD6AF2"/>
    <w:rsid w:val="00DD761A"/>
    <w:rsid w:val="00DE0196"/>
    <w:rsid w:val="00DE3746"/>
    <w:rsid w:val="00DE4B51"/>
    <w:rsid w:val="00DE5BAE"/>
    <w:rsid w:val="00DE72AC"/>
    <w:rsid w:val="00DE7D12"/>
    <w:rsid w:val="00DF2B0F"/>
    <w:rsid w:val="00DF39D5"/>
    <w:rsid w:val="00DF4282"/>
    <w:rsid w:val="00DF4454"/>
    <w:rsid w:val="00DF4538"/>
    <w:rsid w:val="00DF4DA1"/>
    <w:rsid w:val="00DF510B"/>
    <w:rsid w:val="00DF58DF"/>
    <w:rsid w:val="00DF6B5E"/>
    <w:rsid w:val="00DF6F8F"/>
    <w:rsid w:val="00E0098F"/>
    <w:rsid w:val="00E0199B"/>
    <w:rsid w:val="00E028F1"/>
    <w:rsid w:val="00E02906"/>
    <w:rsid w:val="00E04D1E"/>
    <w:rsid w:val="00E06DC2"/>
    <w:rsid w:val="00E11366"/>
    <w:rsid w:val="00E126DF"/>
    <w:rsid w:val="00E129C9"/>
    <w:rsid w:val="00E129E0"/>
    <w:rsid w:val="00E12C01"/>
    <w:rsid w:val="00E142CD"/>
    <w:rsid w:val="00E143C1"/>
    <w:rsid w:val="00E14F4A"/>
    <w:rsid w:val="00E1509C"/>
    <w:rsid w:val="00E201C0"/>
    <w:rsid w:val="00E21682"/>
    <w:rsid w:val="00E22532"/>
    <w:rsid w:val="00E23689"/>
    <w:rsid w:val="00E23F82"/>
    <w:rsid w:val="00E245FF"/>
    <w:rsid w:val="00E24F4B"/>
    <w:rsid w:val="00E26BDA"/>
    <w:rsid w:val="00E26FBA"/>
    <w:rsid w:val="00E3162E"/>
    <w:rsid w:val="00E316C6"/>
    <w:rsid w:val="00E31C69"/>
    <w:rsid w:val="00E32D93"/>
    <w:rsid w:val="00E32E6B"/>
    <w:rsid w:val="00E33B57"/>
    <w:rsid w:val="00E36706"/>
    <w:rsid w:val="00E403C4"/>
    <w:rsid w:val="00E403E7"/>
    <w:rsid w:val="00E41D40"/>
    <w:rsid w:val="00E42770"/>
    <w:rsid w:val="00E4294B"/>
    <w:rsid w:val="00E444D5"/>
    <w:rsid w:val="00E451DD"/>
    <w:rsid w:val="00E458E3"/>
    <w:rsid w:val="00E4592E"/>
    <w:rsid w:val="00E45C28"/>
    <w:rsid w:val="00E47538"/>
    <w:rsid w:val="00E51085"/>
    <w:rsid w:val="00E51440"/>
    <w:rsid w:val="00E530EF"/>
    <w:rsid w:val="00E531ED"/>
    <w:rsid w:val="00E54855"/>
    <w:rsid w:val="00E548E1"/>
    <w:rsid w:val="00E555FF"/>
    <w:rsid w:val="00E56AC6"/>
    <w:rsid w:val="00E56EBA"/>
    <w:rsid w:val="00E5732E"/>
    <w:rsid w:val="00E57706"/>
    <w:rsid w:val="00E57C38"/>
    <w:rsid w:val="00E6139A"/>
    <w:rsid w:val="00E616FE"/>
    <w:rsid w:val="00E61D70"/>
    <w:rsid w:val="00E626E9"/>
    <w:rsid w:val="00E64B4A"/>
    <w:rsid w:val="00E65861"/>
    <w:rsid w:val="00E65A6E"/>
    <w:rsid w:val="00E65B8E"/>
    <w:rsid w:val="00E66433"/>
    <w:rsid w:val="00E667C6"/>
    <w:rsid w:val="00E67011"/>
    <w:rsid w:val="00E70A30"/>
    <w:rsid w:val="00E713CB"/>
    <w:rsid w:val="00E71874"/>
    <w:rsid w:val="00E72372"/>
    <w:rsid w:val="00E73D27"/>
    <w:rsid w:val="00E750F7"/>
    <w:rsid w:val="00E75EAE"/>
    <w:rsid w:val="00E75EBD"/>
    <w:rsid w:val="00E761A5"/>
    <w:rsid w:val="00E76BC0"/>
    <w:rsid w:val="00E77749"/>
    <w:rsid w:val="00E8019D"/>
    <w:rsid w:val="00E80EEA"/>
    <w:rsid w:val="00E84658"/>
    <w:rsid w:val="00E84884"/>
    <w:rsid w:val="00E84DA6"/>
    <w:rsid w:val="00E8513D"/>
    <w:rsid w:val="00E8726F"/>
    <w:rsid w:val="00E878FF"/>
    <w:rsid w:val="00E87E74"/>
    <w:rsid w:val="00E90D3B"/>
    <w:rsid w:val="00E911F8"/>
    <w:rsid w:val="00E923E6"/>
    <w:rsid w:val="00E92403"/>
    <w:rsid w:val="00E93A4E"/>
    <w:rsid w:val="00E96A2A"/>
    <w:rsid w:val="00E978BF"/>
    <w:rsid w:val="00E97B21"/>
    <w:rsid w:val="00EA27F6"/>
    <w:rsid w:val="00EA3525"/>
    <w:rsid w:val="00EA3AB9"/>
    <w:rsid w:val="00EA492C"/>
    <w:rsid w:val="00EA6744"/>
    <w:rsid w:val="00EB08CE"/>
    <w:rsid w:val="00EB103D"/>
    <w:rsid w:val="00EB1A78"/>
    <w:rsid w:val="00EB1AAB"/>
    <w:rsid w:val="00EB1FC0"/>
    <w:rsid w:val="00EB2C51"/>
    <w:rsid w:val="00EB36FF"/>
    <w:rsid w:val="00EB4A40"/>
    <w:rsid w:val="00EB50AF"/>
    <w:rsid w:val="00EB6825"/>
    <w:rsid w:val="00EB6862"/>
    <w:rsid w:val="00EB69BC"/>
    <w:rsid w:val="00EB6CD6"/>
    <w:rsid w:val="00EB727B"/>
    <w:rsid w:val="00EC1F71"/>
    <w:rsid w:val="00EC2D32"/>
    <w:rsid w:val="00EC3173"/>
    <w:rsid w:val="00EC38F6"/>
    <w:rsid w:val="00EC62D9"/>
    <w:rsid w:val="00EC7B13"/>
    <w:rsid w:val="00ED4FEC"/>
    <w:rsid w:val="00ED588B"/>
    <w:rsid w:val="00ED5D70"/>
    <w:rsid w:val="00EE01D8"/>
    <w:rsid w:val="00EE106A"/>
    <w:rsid w:val="00EE3A13"/>
    <w:rsid w:val="00EE3C3C"/>
    <w:rsid w:val="00EE3CF2"/>
    <w:rsid w:val="00EE724E"/>
    <w:rsid w:val="00EF11D2"/>
    <w:rsid w:val="00EF2A02"/>
    <w:rsid w:val="00EF2DD0"/>
    <w:rsid w:val="00EF4ED3"/>
    <w:rsid w:val="00EF527C"/>
    <w:rsid w:val="00EF6BC5"/>
    <w:rsid w:val="00F012DA"/>
    <w:rsid w:val="00F02ECB"/>
    <w:rsid w:val="00F0343C"/>
    <w:rsid w:val="00F05523"/>
    <w:rsid w:val="00F0573B"/>
    <w:rsid w:val="00F06D60"/>
    <w:rsid w:val="00F11343"/>
    <w:rsid w:val="00F11F15"/>
    <w:rsid w:val="00F11FCC"/>
    <w:rsid w:val="00F123F9"/>
    <w:rsid w:val="00F12AAB"/>
    <w:rsid w:val="00F13BAC"/>
    <w:rsid w:val="00F150F8"/>
    <w:rsid w:val="00F156A9"/>
    <w:rsid w:val="00F16ADE"/>
    <w:rsid w:val="00F20159"/>
    <w:rsid w:val="00F201E6"/>
    <w:rsid w:val="00F2079E"/>
    <w:rsid w:val="00F21C52"/>
    <w:rsid w:val="00F23AE8"/>
    <w:rsid w:val="00F24377"/>
    <w:rsid w:val="00F24C86"/>
    <w:rsid w:val="00F25B05"/>
    <w:rsid w:val="00F25EE9"/>
    <w:rsid w:val="00F269F1"/>
    <w:rsid w:val="00F27AE2"/>
    <w:rsid w:val="00F30DA6"/>
    <w:rsid w:val="00F33165"/>
    <w:rsid w:val="00F335A0"/>
    <w:rsid w:val="00F3368A"/>
    <w:rsid w:val="00F34BBB"/>
    <w:rsid w:val="00F359B4"/>
    <w:rsid w:val="00F35E8E"/>
    <w:rsid w:val="00F371A7"/>
    <w:rsid w:val="00F37FB5"/>
    <w:rsid w:val="00F42928"/>
    <w:rsid w:val="00F434FD"/>
    <w:rsid w:val="00F46F9B"/>
    <w:rsid w:val="00F509FD"/>
    <w:rsid w:val="00F51D45"/>
    <w:rsid w:val="00F5487A"/>
    <w:rsid w:val="00F54FED"/>
    <w:rsid w:val="00F555E3"/>
    <w:rsid w:val="00F55DEB"/>
    <w:rsid w:val="00F56C5C"/>
    <w:rsid w:val="00F56F2D"/>
    <w:rsid w:val="00F5725C"/>
    <w:rsid w:val="00F60081"/>
    <w:rsid w:val="00F600FD"/>
    <w:rsid w:val="00F60D7A"/>
    <w:rsid w:val="00F61FFC"/>
    <w:rsid w:val="00F63A9D"/>
    <w:rsid w:val="00F6426F"/>
    <w:rsid w:val="00F651C8"/>
    <w:rsid w:val="00F654AD"/>
    <w:rsid w:val="00F6569B"/>
    <w:rsid w:val="00F66995"/>
    <w:rsid w:val="00F6754C"/>
    <w:rsid w:val="00F67B92"/>
    <w:rsid w:val="00F70349"/>
    <w:rsid w:val="00F72ABC"/>
    <w:rsid w:val="00F73CA3"/>
    <w:rsid w:val="00F74083"/>
    <w:rsid w:val="00F7496D"/>
    <w:rsid w:val="00F74D86"/>
    <w:rsid w:val="00F754B6"/>
    <w:rsid w:val="00F75B97"/>
    <w:rsid w:val="00F76AED"/>
    <w:rsid w:val="00F7759B"/>
    <w:rsid w:val="00F7778A"/>
    <w:rsid w:val="00F77D6B"/>
    <w:rsid w:val="00F80DB1"/>
    <w:rsid w:val="00F83D79"/>
    <w:rsid w:val="00F874C0"/>
    <w:rsid w:val="00F87DE2"/>
    <w:rsid w:val="00F9042B"/>
    <w:rsid w:val="00F90518"/>
    <w:rsid w:val="00F9185C"/>
    <w:rsid w:val="00F92174"/>
    <w:rsid w:val="00F94142"/>
    <w:rsid w:val="00F95477"/>
    <w:rsid w:val="00F959C6"/>
    <w:rsid w:val="00F97051"/>
    <w:rsid w:val="00FA0A14"/>
    <w:rsid w:val="00FA0E93"/>
    <w:rsid w:val="00FA2B28"/>
    <w:rsid w:val="00FA5BB8"/>
    <w:rsid w:val="00FB016E"/>
    <w:rsid w:val="00FB0201"/>
    <w:rsid w:val="00FB03D6"/>
    <w:rsid w:val="00FB17DC"/>
    <w:rsid w:val="00FB25CA"/>
    <w:rsid w:val="00FB43A8"/>
    <w:rsid w:val="00FB52A2"/>
    <w:rsid w:val="00FC08E5"/>
    <w:rsid w:val="00FC216E"/>
    <w:rsid w:val="00FC2BA0"/>
    <w:rsid w:val="00FC2FA9"/>
    <w:rsid w:val="00FC5735"/>
    <w:rsid w:val="00FC57D9"/>
    <w:rsid w:val="00FC6140"/>
    <w:rsid w:val="00FC7CC7"/>
    <w:rsid w:val="00FD1A1C"/>
    <w:rsid w:val="00FD1E1E"/>
    <w:rsid w:val="00FD1EF6"/>
    <w:rsid w:val="00FD4344"/>
    <w:rsid w:val="00FD4BA1"/>
    <w:rsid w:val="00FD586C"/>
    <w:rsid w:val="00FD5F3D"/>
    <w:rsid w:val="00FD6E97"/>
    <w:rsid w:val="00FE0025"/>
    <w:rsid w:val="00FE138A"/>
    <w:rsid w:val="00FE15C1"/>
    <w:rsid w:val="00FE3284"/>
    <w:rsid w:val="00FE4777"/>
    <w:rsid w:val="00FE4D2A"/>
    <w:rsid w:val="00FE4D90"/>
    <w:rsid w:val="00FE532C"/>
    <w:rsid w:val="00FE5751"/>
    <w:rsid w:val="00FE5B3D"/>
    <w:rsid w:val="00FE70E1"/>
    <w:rsid w:val="00FE798C"/>
    <w:rsid w:val="00FF08E8"/>
    <w:rsid w:val="00FF2359"/>
    <w:rsid w:val="00FF3681"/>
    <w:rsid w:val="00FF3EC6"/>
    <w:rsid w:val="00FF655B"/>
    <w:rsid w:val="00FF6B2A"/>
    <w:rsid w:val="00FF6D41"/>
    <w:rsid w:val="00FF6FF3"/>
    <w:rsid w:val="01151A16"/>
    <w:rsid w:val="011A18D2"/>
    <w:rsid w:val="011E6F25"/>
    <w:rsid w:val="01486CC0"/>
    <w:rsid w:val="015B6EB7"/>
    <w:rsid w:val="015D3AA3"/>
    <w:rsid w:val="01887FEB"/>
    <w:rsid w:val="01BB1887"/>
    <w:rsid w:val="01BC7183"/>
    <w:rsid w:val="01E5677D"/>
    <w:rsid w:val="01F85198"/>
    <w:rsid w:val="0207479C"/>
    <w:rsid w:val="022B00DF"/>
    <w:rsid w:val="02392712"/>
    <w:rsid w:val="02554A4B"/>
    <w:rsid w:val="0256293F"/>
    <w:rsid w:val="026521E4"/>
    <w:rsid w:val="02757C17"/>
    <w:rsid w:val="02A36C44"/>
    <w:rsid w:val="02AF2F06"/>
    <w:rsid w:val="02B110BE"/>
    <w:rsid w:val="02C42770"/>
    <w:rsid w:val="02C51969"/>
    <w:rsid w:val="02C5503A"/>
    <w:rsid w:val="02EE30FE"/>
    <w:rsid w:val="02FE6917"/>
    <w:rsid w:val="03093BA5"/>
    <w:rsid w:val="03220B0D"/>
    <w:rsid w:val="034A43E9"/>
    <w:rsid w:val="034E0643"/>
    <w:rsid w:val="03707D3F"/>
    <w:rsid w:val="03726216"/>
    <w:rsid w:val="03765BC0"/>
    <w:rsid w:val="038576F6"/>
    <w:rsid w:val="03B1713F"/>
    <w:rsid w:val="03B5050F"/>
    <w:rsid w:val="03CF75C5"/>
    <w:rsid w:val="03D64D9F"/>
    <w:rsid w:val="03D6508F"/>
    <w:rsid w:val="04073203"/>
    <w:rsid w:val="040C25C7"/>
    <w:rsid w:val="043E66E5"/>
    <w:rsid w:val="04667710"/>
    <w:rsid w:val="046723D5"/>
    <w:rsid w:val="04773549"/>
    <w:rsid w:val="048B68FC"/>
    <w:rsid w:val="04954A5B"/>
    <w:rsid w:val="049D4098"/>
    <w:rsid w:val="04C76514"/>
    <w:rsid w:val="04D97512"/>
    <w:rsid w:val="04FC0740"/>
    <w:rsid w:val="050F7FBC"/>
    <w:rsid w:val="0521388A"/>
    <w:rsid w:val="05395C7F"/>
    <w:rsid w:val="05654FC9"/>
    <w:rsid w:val="056B4B14"/>
    <w:rsid w:val="057B7C6F"/>
    <w:rsid w:val="057C7AB7"/>
    <w:rsid w:val="05C52804"/>
    <w:rsid w:val="05D804D2"/>
    <w:rsid w:val="05FD71F9"/>
    <w:rsid w:val="060D0F8E"/>
    <w:rsid w:val="0617188B"/>
    <w:rsid w:val="0621777F"/>
    <w:rsid w:val="0639341C"/>
    <w:rsid w:val="063A7939"/>
    <w:rsid w:val="063C70E5"/>
    <w:rsid w:val="064A2682"/>
    <w:rsid w:val="064D2E76"/>
    <w:rsid w:val="066A7A79"/>
    <w:rsid w:val="066E3EF9"/>
    <w:rsid w:val="06707081"/>
    <w:rsid w:val="067A3724"/>
    <w:rsid w:val="068F3857"/>
    <w:rsid w:val="06A13FBF"/>
    <w:rsid w:val="06A75381"/>
    <w:rsid w:val="06B42B2E"/>
    <w:rsid w:val="06EB767C"/>
    <w:rsid w:val="06F2652C"/>
    <w:rsid w:val="0700640C"/>
    <w:rsid w:val="07063798"/>
    <w:rsid w:val="07395EC4"/>
    <w:rsid w:val="073A569E"/>
    <w:rsid w:val="0757254E"/>
    <w:rsid w:val="075D0D6D"/>
    <w:rsid w:val="075F6415"/>
    <w:rsid w:val="076F41ED"/>
    <w:rsid w:val="078425CC"/>
    <w:rsid w:val="079F04F5"/>
    <w:rsid w:val="07B42D2F"/>
    <w:rsid w:val="07CA622C"/>
    <w:rsid w:val="07CB1531"/>
    <w:rsid w:val="0833118E"/>
    <w:rsid w:val="083B1537"/>
    <w:rsid w:val="084319E4"/>
    <w:rsid w:val="084D632F"/>
    <w:rsid w:val="08513EFA"/>
    <w:rsid w:val="0868426A"/>
    <w:rsid w:val="08C6368D"/>
    <w:rsid w:val="08D86F1C"/>
    <w:rsid w:val="08DD0D68"/>
    <w:rsid w:val="08E3536A"/>
    <w:rsid w:val="08E73DC9"/>
    <w:rsid w:val="08E80BFE"/>
    <w:rsid w:val="090B1012"/>
    <w:rsid w:val="09156BD9"/>
    <w:rsid w:val="091D13DB"/>
    <w:rsid w:val="09273A00"/>
    <w:rsid w:val="09347071"/>
    <w:rsid w:val="093D3223"/>
    <w:rsid w:val="09473C71"/>
    <w:rsid w:val="098A5679"/>
    <w:rsid w:val="09AA196E"/>
    <w:rsid w:val="09B93BAC"/>
    <w:rsid w:val="09BE5A1C"/>
    <w:rsid w:val="09C535F0"/>
    <w:rsid w:val="09CB1644"/>
    <w:rsid w:val="09D80472"/>
    <w:rsid w:val="09D90204"/>
    <w:rsid w:val="09DA66FE"/>
    <w:rsid w:val="09DE7729"/>
    <w:rsid w:val="0A0E7C0B"/>
    <w:rsid w:val="0A142163"/>
    <w:rsid w:val="0A143CF8"/>
    <w:rsid w:val="0A144EF9"/>
    <w:rsid w:val="0A462D63"/>
    <w:rsid w:val="0A502702"/>
    <w:rsid w:val="0A540EFA"/>
    <w:rsid w:val="0A5C130A"/>
    <w:rsid w:val="0A900371"/>
    <w:rsid w:val="0A9137E3"/>
    <w:rsid w:val="0AC909A7"/>
    <w:rsid w:val="0AEC6776"/>
    <w:rsid w:val="0AFF43A0"/>
    <w:rsid w:val="0B02738D"/>
    <w:rsid w:val="0B065FC2"/>
    <w:rsid w:val="0B067E3C"/>
    <w:rsid w:val="0B15553C"/>
    <w:rsid w:val="0B21104E"/>
    <w:rsid w:val="0B3C3DDC"/>
    <w:rsid w:val="0B451AF4"/>
    <w:rsid w:val="0B4A6560"/>
    <w:rsid w:val="0B4E3956"/>
    <w:rsid w:val="0B52270F"/>
    <w:rsid w:val="0B7218AA"/>
    <w:rsid w:val="0B754EF6"/>
    <w:rsid w:val="0B964BEA"/>
    <w:rsid w:val="0B967692"/>
    <w:rsid w:val="0B9F5128"/>
    <w:rsid w:val="0BA63302"/>
    <w:rsid w:val="0BB0551B"/>
    <w:rsid w:val="0BB46B01"/>
    <w:rsid w:val="0BCE6993"/>
    <w:rsid w:val="0BD87907"/>
    <w:rsid w:val="0BDC6D23"/>
    <w:rsid w:val="0BE30821"/>
    <w:rsid w:val="0BE72D95"/>
    <w:rsid w:val="0BF07918"/>
    <w:rsid w:val="0C012C2E"/>
    <w:rsid w:val="0C0F74C2"/>
    <w:rsid w:val="0C144118"/>
    <w:rsid w:val="0C1A184C"/>
    <w:rsid w:val="0C3C618F"/>
    <w:rsid w:val="0C5E7618"/>
    <w:rsid w:val="0C5F61CD"/>
    <w:rsid w:val="0C6221E7"/>
    <w:rsid w:val="0C7F5558"/>
    <w:rsid w:val="0C803B53"/>
    <w:rsid w:val="0C884F1C"/>
    <w:rsid w:val="0C9E047D"/>
    <w:rsid w:val="0CA740AB"/>
    <w:rsid w:val="0CA81087"/>
    <w:rsid w:val="0CB2562B"/>
    <w:rsid w:val="0CD93810"/>
    <w:rsid w:val="0CDD124A"/>
    <w:rsid w:val="0CE35107"/>
    <w:rsid w:val="0D056E0C"/>
    <w:rsid w:val="0D235E83"/>
    <w:rsid w:val="0D325CAA"/>
    <w:rsid w:val="0D4D3446"/>
    <w:rsid w:val="0D5C6017"/>
    <w:rsid w:val="0D6B0069"/>
    <w:rsid w:val="0D6F77FF"/>
    <w:rsid w:val="0D7832AB"/>
    <w:rsid w:val="0D7E793A"/>
    <w:rsid w:val="0D837766"/>
    <w:rsid w:val="0D91690E"/>
    <w:rsid w:val="0D931BF6"/>
    <w:rsid w:val="0DA00331"/>
    <w:rsid w:val="0DA5148B"/>
    <w:rsid w:val="0DCE37A3"/>
    <w:rsid w:val="0DD00EDC"/>
    <w:rsid w:val="0DDA0FD6"/>
    <w:rsid w:val="0DF230E3"/>
    <w:rsid w:val="0DF94840"/>
    <w:rsid w:val="0E06688E"/>
    <w:rsid w:val="0E0B401E"/>
    <w:rsid w:val="0E1928AB"/>
    <w:rsid w:val="0E2543A1"/>
    <w:rsid w:val="0E293E51"/>
    <w:rsid w:val="0E337E0E"/>
    <w:rsid w:val="0E3C619F"/>
    <w:rsid w:val="0E676C43"/>
    <w:rsid w:val="0E7418A9"/>
    <w:rsid w:val="0E8B5E34"/>
    <w:rsid w:val="0ECA37AB"/>
    <w:rsid w:val="0ECF326B"/>
    <w:rsid w:val="0EFC0FE6"/>
    <w:rsid w:val="0F081EC3"/>
    <w:rsid w:val="0F1467D4"/>
    <w:rsid w:val="0F1A6F6F"/>
    <w:rsid w:val="0F213162"/>
    <w:rsid w:val="0F3D0E0C"/>
    <w:rsid w:val="0F7E2538"/>
    <w:rsid w:val="0F993142"/>
    <w:rsid w:val="0F9D69F3"/>
    <w:rsid w:val="0FA8417C"/>
    <w:rsid w:val="0FA97C31"/>
    <w:rsid w:val="0FB20399"/>
    <w:rsid w:val="0FB33A4F"/>
    <w:rsid w:val="0FB90E1B"/>
    <w:rsid w:val="0FC357C0"/>
    <w:rsid w:val="0FCB1589"/>
    <w:rsid w:val="0FF07241"/>
    <w:rsid w:val="0FF56238"/>
    <w:rsid w:val="100D1BA4"/>
    <w:rsid w:val="1010343F"/>
    <w:rsid w:val="102612D3"/>
    <w:rsid w:val="103132D2"/>
    <w:rsid w:val="10512601"/>
    <w:rsid w:val="1079536C"/>
    <w:rsid w:val="107C4534"/>
    <w:rsid w:val="108D0A44"/>
    <w:rsid w:val="109D309E"/>
    <w:rsid w:val="10A017FB"/>
    <w:rsid w:val="10A263DD"/>
    <w:rsid w:val="10CC4CEE"/>
    <w:rsid w:val="10E3071A"/>
    <w:rsid w:val="10ED4672"/>
    <w:rsid w:val="111D4C3C"/>
    <w:rsid w:val="112E242B"/>
    <w:rsid w:val="113E5916"/>
    <w:rsid w:val="116973E7"/>
    <w:rsid w:val="11853B39"/>
    <w:rsid w:val="119333A6"/>
    <w:rsid w:val="119A3F6A"/>
    <w:rsid w:val="11BF2CA7"/>
    <w:rsid w:val="11C02BC7"/>
    <w:rsid w:val="11CB1BAE"/>
    <w:rsid w:val="11CC15E8"/>
    <w:rsid w:val="11DB7CBD"/>
    <w:rsid w:val="11FF60F1"/>
    <w:rsid w:val="120B3076"/>
    <w:rsid w:val="12215F5F"/>
    <w:rsid w:val="125454A2"/>
    <w:rsid w:val="12646202"/>
    <w:rsid w:val="12744159"/>
    <w:rsid w:val="12A83E03"/>
    <w:rsid w:val="12C549B5"/>
    <w:rsid w:val="12C57ADB"/>
    <w:rsid w:val="12CB71E3"/>
    <w:rsid w:val="12D113D6"/>
    <w:rsid w:val="12D52F71"/>
    <w:rsid w:val="12D706D7"/>
    <w:rsid w:val="12D76496"/>
    <w:rsid w:val="12D81C3D"/>
    <w:rsid w:val="12EF1AFE"/>
    <w:rsid w:val="13082AF4"/>
    <w:rsid w:val="130C4E02"/>
    <w:rsid w:val="130D2D29"/>
    <w:rsid w:val="130D51D1"/>
    <w:rsid w:val="13171144"/>
    <w:rsid w:val="131A6BB9"/>
    <w:rsid w:val="132427F6"/>
    <w:rsid w:val="132B41A5"/>
    <w:rsid w:val="136B0E5D"/>
    <w:rsid w:val="137B2645"/>
    <w:rsid w:val="13882A90"/>
    <w:rsid w:val="139232C9"/>
    <w:rsid w:val="13937138"/>
    <w:rsid w:val="13A7230D"/>
    <w:rsid w:val="13C025F8"/>
    <w:rsid w:val="13C81B05"/>
    <w:rsid w:val="13DB0F96"/>
    <w:rsid w:val="13E4681F"/>
    <w:rsid w:val="140544F4"/>
    <w:rsid w:val="14387284"/>
    <w:rsid w:val="143B4CB3"/>
    <w:rsid w:val="144431FE"/>
    <w:rsid w:val="145A6075"/>
    <w:rsid w:val="145A7830"/>
    <w:rsid w:val="14660730"/>
    <w:rsid w:val="14693378"/>
    <w:rsid w:val="14764BC2"/>
    <w:rsid w:val="148D2F21"/>
    <w:rsid w:val="14DC7969"/>
    <w:rsid w:val="14F54596"/>
    <w:rsid w:val="14FB26F4"/>
    <w:rsid w:val="150273F6"/>
    <w:rsid w:val="150F166E"/>
    <w:rsid w:val="151B1FDF"/>
    <w:rsid w:val="15783C7C"/>
    <w:rsid w:val="15904A0B"/>
    <w:rsid w:val="15910B7E"/>
    <w:rsid w:val="15A703A2"/>
    <w:rsid w:val="15A92455"/>
    <w:rsid w:val="15BC7BF0"/>
    <w:rsid w:val="162B20F5"/>
    <w:rsid w:val="162F321C"/>
    <w:rsid w:val="165C2B02"/>
    <w:rsid w:val="16653413"/>
    <w:rsid w:val="1695070E"/>
    <w:rsid w:val="16B93750"/>
    <w:rsid w:val="16C115F6"/>
    <w:rsid w:val="16D46B5F"/>
    <w:rsid w:val="16DB4668"/>
    <w:rsid w:val="16DE05B7"/>
    <w:rsid w:val="16DE5C06"/>
    <w:rsid w:val="17051824"/>
    <w:rsid w:val="17091628"/>
    <w:rsid w:val="170B09B3"/>
    <w:rsid w:val="171E2ABD"/>
    <w:rsid w:val="175443CC"/>
    <w:rsid w:val="175F449E"/>
    <w:rsid w:val="17877795"/>
    <w:rsid w:val="179D733F"/>
    <w:rsid w:val="17AB477B"/>
    <w:rsid w:val="17C0399D"/>
    <w:rsid w:val="17C266F8"/>
    <w:rsid w:val="17CC40F0"/>
    <w:rsid w:val="17E13486"/>
    <w:rsid w:val="17E75173"/>
    <w:rsid w:val="17EA7EE4"/>
    <w:rsid w:val="17FC7AD4"/>
    <w:rsid w:val="18062F44"/>
    <w:rsid w:val="18220956"/>
    <w:rsid w:val="182C32B1"/>
    <w:rsid w:val="182D37C4"/>
    <w:rsid w:val="184A767B"/>
    <w:rsid w:val="184F72FA"/>
    <w:rsid w:val="18877A6E"/>
    <w:rsid w:val="188B1E04"/>
    <w:rsid w:val="18A01A0A"/>
    <w:rsid w:val="18A33D9A"/>
    <w:rsid w:val="18BB04C0"/>
    <w:rsid w:val="18C354F3"/>
    <w:rsid w:val="18D93A36"/>
    <w:rsid w:val="18E07B8F"/>
    <w:rsid w:val="197750F0"/>
    <w:rsid w:val="197E58BE"/>
    <w:rsid w:val="19A215AC"/>
    <w:rsid w:val="19FB57FB"/>
    <w:rsid w:val="1A1D50D7"/>
    <w:rsid w:val="1A1E67DF"/>
    <w:rsid w:val="1A253F8B"/>
    <w:rsid w:val="1A2B3662"/>
    <w:rsid w:val="1A3F6DFB"/>
    <w:rsid w:val="1A4302E8"/>
    <w:rsid w:val="1A4A4DC0"/>
    <w:rsid w:val="1A4F1839"/>
    <w:rsid w:val="1A53173F"/>
    <w:rsid w:val="1A583C04"/>
    <w:rsid w:val="1A677E44"/>
    <w:rsid w:val="1A6C207E"/>
    <w:rsid w:val="1A757C98"/>
    <w:rsid w:val="1A8669B7"/>
    <w:rsid w:val="1A960D9F"/>
    <w:rsid w:val="1A981576"/>
    <w:rsid w:val="1A9A72C9"/>
    <w:rsid w:val="1AA90718"/>
    <w:rsid w:val="1AB82555"/>
    <w:rsid w:val="1AE60457"/>
    <w:rsid w:val="1AE86B63"/>
    <w:rsid w:val="1AF32643"/>
    <w:rsid w:val="1AF804C1"/>
    <w:rsid w:val="1B0C31EF"/>
    <w:rsid w:val="1B463EE5"/>
    <w:rsid w:val="1B505038"/>
    <w:rsid w:val="1BA33F02"/>
    <w:rsid w:val="1BA87DA2"/>
    <w:rsid w:val="1BBB266D"/>
    <w:rsid w:val="1BC57356"/>
    <w:rsid w:val="1BC66D20"/>
    <w:rsid w:val="1BEA2D97"/>
    <w:rsid w:val="1BF40EB6"/>
    <w:rsid w:val="1BF956CF"/>
    <w:rsid w:val="1BFD7175"/>
    <w:rsid w:val="1BFE5E0E"/>
    <w:rsid w:val="1C114932"/>
    <w:rsid w:val="1C2D4B9F"/>
    <w:rsid w:val="1C465AAD"/>
    <w:rsid w:val="1C5D7A0C"/>
    <w:rsid w:val="1C8C5260"/>
    <w:rsid w:val="1CAD0994"/>
    <w:rsid w:val="1CBA7DE6"/>
    <w:rsid w:val="1CD52D9D"/>
    <w:rsid w:val="1CE77700"/>
    <w:rsid w:val="1CF420B6"/>
    <w:rsid w:val="1D3050F1"/>
    <w:rsid w:val="1D3E6AB8"/>
    <w:rsid w:val="1D446CB3"/>
    <w:rsid w:val="1D5A03F0"/>
    <w:rsid w:val="1D6429D0"/>
    <w:rsid w:val="1D8A134A"/>
    <w:rsid w:val="1DA5776A"/>
    <w:rsid w:val="1DAF4298"/>
    <w:rsid w:val="1DB82738"/>
    <w:rsid w:val="1DE026A3"/>
    <w:rsid w:val="1DE51690"/>
    <w:rsid w:val="1DF65EA9"/>
    <w:rsid w:val="1DFD29DF"/>
    <w:rsid w:val="1E1B48E7"/>
    <w:rsid w:val="1E230B3E"/>
    <w:rsid w:val="1E3573B7"/>
    <w:rsid w:val="1E3F4CC5"/>
    <w:rsid w:val="1E7829B1"/>
    <w:rsid w:val="1E7B07AA"/>
    <w:rsid w:val="1EAF5DDD"/>
    <w:rsid w:val="1EF42A38"/>
    <w:rsid w:val="1F243588"/>
    <w:rsid w:val="1F4C3137"/>
    <w:rsid w:val="1F7444BF"/>
    <w:rsid w:val="1F9A20B2"/>
    <w:rsid w:val="1F9D2E77"/>
    <w:rsid w:val="1FB12D96"/>
    <w:rsid w:val="1FF60D63"/>
    <w:rsid w:val="200C7AB5"/>
    <w:rsid w:val="201F088E"/>
    <w:rsid w:val="20380F57"/>
    <w:rsid w:val="204A5AEB"/>
    <w:rsid w:val="20615237"/>
    <w:rsid w:val="209D0711"/>
    <w:rsid w:val="20AC4ABE"/>
    <w:rsid w:val="20B324A6"/>
    <w:rsid w:val="20FE22F3"/>
    <w:rsid w:val="214B2529"/>
    <w:rsid w:val="21535AA8"/>
    <w:rsid w:val="21780E44"/>
    <w:rsid w:val="218C6166"/>
    <w:rsid w:val="21A434BD"/>
    <w:rsid w:val="21B56914"/>
    <w:rsid w:val="21C33222"/>
    <w:rsid w:val="21E337E4"/>
    <w:rsid w:val="21E50F78"/>
    <w:rsid w:val="21F6253F"/>
    <w:rsid w:val="22047BAE"/>
    <w:rsid w:val="22230DB0"/>
    <w:rsid w:val="22321BA7"/>
    <w:rsid w:val="22517CDE"/>
    <w:rsid w:val="22622BF7"/>
    <w:rsid w:val="22714E17"/>
    <w:rsid w:val="22B5233A"/>
    <w:rsid w:val="22B861CC"/>
    <w:rsid w:val="22E41EB2"/>
    <w:rsid w:val="22EF2CDE"/>
    <w:rsid w:val="232442AC"/>
    <w:rsid w:val="23461FDF"/>
    <w:rsid w:val="234E00AF"/>
    <w:rsid w:val="234E3448"/>
    <w:rsid w:val="2378337E"/>
    <w:rsid w:val="23830E37"/>
    <w:rsid w:val="23956D22"/>
    <w:rsid w:val="239774AD"/>
    <w:rsid w:val="23AF6A7F"/>
    <w:rsid w:val="23B13564"/>
    <w:rsid w:val="23B65D48"/>
    <w:rsid w:val="23D81018"/>
    <w:rsid w:val="240E2D54"/>
    <w:rsid w:val="24507E57"/>
    <w:rsid w:val="24572693"/>
    <w:rsid w:val="2460794D"/>
    <w:rsid w:val="246A0F18"/>
    <w:rsid w:val="24750BCE"/>
    <w:rsid w:val="247C0B6D"/>
    <w:rsid w:val="249A7F64"/>
    <w:rsid w:val="24AC0A0A"/>
    <w:rsid w:val="24BA53A3"/>
    <w:rsid w:val="24BA7BA1"/>
    <w:rsid w:val="24D15CCC"/>
    <w:rsid w:val="25080E0D"/>
    <w:rsid w:val="251C5CC9"/>
    <w:rsid w:val="252717F0"/>
    <w:rsid w:val="253202E6"/>
    <w:rsid w:val="253543CE"/>
    <w:rsid w:val="253669AD"/>
    <w:rsid w:val="254D2286"/>
    <w:rsid w:val="2573510A"/>
    <w:rsid w:val="25746F5D"/>
    <w:rsid w:val="258313DD"/>
    <w:rsid w:val="25AA020F"/>
    <w:rsid w:val="25CB62F9"/>
    <w:rsid w:val="25D02D8D"/>
    <w:rsid w:val="25F11324"/>
    <w:rsid w:val="25F26A6C"/>
    <w:rsid w:val="26036D22"/>
    <w:rsid w:val="260A6BD9"/>
    <w:rsid w:val="263B731F"/>
    <w:rsid w:val="26532FC2"/>
    <w:rsid w:val="266C121B"/>
    <w:rsid w:val="26864004"/>
    <w:rsid w:val="268D59FB"/>
    <w:rsid w:val="269B5938"/>
    <w:rsid w:val="26AD1474"/>
    <w:rsid w:val="26F84B92"/>
    <w:rsid w:val="27180F9D"/>
    <w:rsid w:val="272607B7"/>
    <w:rsid w:val="27483940"/>
    <w:rsid w:val="27532135"/>
    <w:rsid w:val="2785323B"/>
    <w:rsid w:val="2786250D"/>
    <w:rsid w:val="27883643"/>
    <w:rsid w:val="27894850"/>
    <w:rsid w:val="27943BE7"/>
    <w:rsid w:val="27C073BD"/>
    <w:rsid w:val="27CB7112"/>
    <w:rsid w:val="27FA54A9"/>
    <w:rsid w:val="280173DA"/>
    <w:rsid w:val="28214285"/>
    <w:rsid w:val="28401360"/>
    <w:rsid w:val="28552009"/>
    <w:rsid w:val="28607233"/>
    <w:rsid w:val="28671B85"/>
    <w:rsid w:val="286E0343"/>
    <w:rsid w:val="286E7213"/>
    <w:rsid w:val="2875471D"/>
    <w:rsid w:val="287700A8"/>
    <w:rsid w:val="28820507"/>
    <w:rsid w:val="28893961"/>
    <w:rsid w:val="288962B4"/>
    <w:rsid w:val="28AA1042"/>
    <w:rsid w:val="28C07D79"/>
    <w:rsid w:val="28C71F7E"/>
    <w:rsid w:val="28D91F05"/>
    <w:rsid w:val="28EC3C12"/>
    <w:rsid w:val="28FA244F"/>
    <w:rsid w:val="28FF5A0F"/>
    <w:rsid w:val="29037B8D"/>
    <w:rsid w:val="29086F3D"/>
    <w:rsid w:val="290D4568"/>
    <w:rsid w:val="29104E65"/>
    <w:rsid w:val="291A379C"/>
    <w:rsid w:val="2957593B"/>
    <w:rsid w:val="295D517D"/>
    <w:rsid w:val="29604C03"/>
    <w:rsid w:val="29656152"/>
    <w:rsid w:val="29673E93"/>
    <w:rsid w:val="29730549"/>
    <w:rsid w:val="298E09B4"/>
    <w:rsid w:val="29A1219F"/>
    <w:rsid w:val="29CE4607"/>
    <w:rsid w:val="29DC7CD9"/>
    <w:rsid w:val="29FB7176"/>
    <w:rsid w:val="2A077209"/>
    <w:rsid w:val="2A1D3F79"/>
    <w:rsid w:val="2A2A26E0"/>
    <w:rsid w:val="2A322550"/>
    <w:rsid w:val="2A3D10B1"/>
    <w:rsid w:val="2A476690"/>
    <w:rsid w:val="2A4A02DC"/>
    <w:rsid w:val="2A4C0F16"/>
    <w:rsid w:val="2A60561B"/>
    <w:rsid w:val="2A7725E1"/>
    <w:rsid w:val="2A8270E5"/>
    <w:rsid w:val="2AC1254F"/>
    <w:rsid w:val="2AF974EB"/>
    <w:rsid w:val="2AFD4E50"/>
    <w:rsid w:val="2B1F5DF7"/>
    <w:rsid w:val="2B2D0EF2"/>
    <w:rsid w:val="2B2F3A9F"/>
    <w:rsid w:val="2B3352F6"/>
    <w:rsid w:val="2B3E0644"/>
    <w:rsid w:val="2B416C4F"/>
    <w:rsid w:val="2B442FB9"/>
    <w:rsid w:val="2B484684"/>
    <w:rsid w:val="2B487614"/>
    <w:rsid w:val="2B494DD6"/>
    <w:rsid w:val="2B664DC5"/>
    <w:rsid w:val="2B6E412C"/>
    <w:rsid w:val="2B762CB7"/>
    <w:rsid w:val="2B767BFB"/>
    <w:rsid w:val="2B7E06E4"/>
    <w:rsid w:val="2BAB049D"/>
    <w:rsid w:val="2BB43475"/>
    <w:rsid w:val="2BE01296"/>
    <w:rsid w:val="2BF73E46"/>
    <w:rsid w:val="2BFD40F0"/>
    <w:rsid w:val="2BFD4700"/>
    <w:rsid w:val="2C170A5B"/>
    <w:rsid w:val="2C22657D"/>
    <w:rsid w:val="2C596FCF"/>
    <w:rsid w:val="2C5D65FF"/>
    <w:rsid w:val="2C964B34"/>
    <w:rsid w:val="2CA35EA5"/>
    <w:rsid w:val="2CDA4699"/>
    <w:rsid w:val="2CDE2741"/>
    <w:rsid w:val="2CE130CD"/>
    <w:rsid w:val="2CEE6BA3"/>
    <w:rsid w:val="2CF3469A"/>
    <w:rsid w:val="2D053ED4"/>
    <w:rsid w:val="2D246176"/>
    <w:rsid w:val="2D4A50AD"/>
    <w:rsid w:val="2D4B5236"/>
    <w:rsid w:val="2D566973"/>
    <w:rsid w:val="2D781FCA"/>
    <w:rsid w:val="2D7C03DD"/>
    <w:rsid w:val="2D852232"/>
    <w:rsid w:val="2D9162E7"/>
    <w:rsid w:val="2D9E4459"/>
    <w:rsid w:val="2DA20179"/>
    <w:rsid w:val="2DC81CA2"/>
    <w:rsid w:val="2DD35901"/>
    <w:rsid w:val="2E065893"/>
    <w:rsid w:val="2E2363B3"/>
    <w:rsid w:val="2E287958"/>
    <w:rsid w:val="2E321246"/>
    <w:rsid w:val="2E394668"/>
    <w:rsid w:val="2E411DB4"/>
    <w:rsid w:val="2E452C3B"/>
    <w:rsid w:val="2E46349F"/>
    <w:rsid w:val="2E61554C"/>
    <w:rsid w:val="2E763755"/>
    <w:rsid w:val="2EAA54B6"/>
    <w:rsid w:val="2EB14933"/>
    <w:rsid w:val="2ECA2D13"/>
    <w:rsid w:val="2EE7311D"/>
    <w:rsid w:val="2EE738A3"/>
    <w:rsid w:val="2EF57F78"/>
    <w:rsid w:val="2EF62F70"/>
    <w:rsid w:val="2F007C9C"/>
    <w:rsid w:val="2F0B3F74"/>
    <w:rsid w:val="2F1B3E37"/>
    <w:rsid w:val="2F292EC7"/>
    <w:rsid w:val="2F3353FD"/>
    <w:rsid w:val="2F337EE7"/>
    <w:rsid w:val="2F393523"/>
    <w:rsid w:val="2F5164C7"/>
    <w:rsid w:val="2F711442"/>
    <w:rsid w:val="2F8877DE"/>
    <w:rsid w:val="2F9B0A28"/>
    <w:rsid w:val="2F9C4AFF"/>
    <w:rsid w:val="2FA04FED"/>
    <w:rsid w:val="2FCA4DA7"/>
    <w:rsid w:val="2FD302BA"/>
    <w:rsid w:val="2FE020A0"/>
    <w:rsid w:val="30036788"/>
    <w:rsid w:val="30083EAC"/>
    <w:rsid w:val="300E5D8E"/>
    <w:rsid w:val="302F3BDC"/>
    <w:rsid w:val="30514619"/>
    <w:rsid w:val="30686C08"/>
    <w:rsid w:val="306A0AFC"/>
    <w:rsid w:val="30933587"/>
    <w:rsid w:val="309A2B85"/>
    <w:rsid w:val="30AC0AC3"/>
    <w:rsid w:val="30C11C59"/>
    <w:rsid w:val="30C53D54"/>
    <w:rsid w:val="30D21409"/>
    <w:rsid w:val="30DC319E"/>
    <w:rsid w:val="30DC6BDE"/>
    <w:rsid w:val="30DE7000"/>
    <w:rsid w:val="30E74D12"/>
    <w:rsid w:val="30F46739"/>
    <w:rsid w:val="30F5600E"/>
    <w:rsid w:val="31137C6B"/>
    <w:rsid w:val="31167C85"/>
    <w:rsid w:val="314A6A26"/>
    <w:rsid w:val="3154197C"/>
    <w:rsid w:val="31617C89"/>
    <w:rsid w:val="31782244"/>
    <w:rsid w:val="319340FC"/>
    <w:rsid w:val="31A361A8"/>
    <w:rsid w:val="31BF6330"/>
    <w:rsid w:val="31D7235A"/>
    <w:rsid w:val="31E82CBA"/>
    <w:rsid w:val="31F769F6"/>
    <w:rsid w:val="31F941F8"/>
    <w:rsid w:val="31FE5B3B"/>
    <w:rsid w:val="320D42E9"/>
    <w:rsid w:val="32263F21"/>
    <w:rsid w:val="322C7E74"/>
    <w:rsid w:val="32366F3D"/>
    <w:rsid w:val="324407C4"/>
    <w:rsid w:val="32494083"/>
    <w:rsid w:val="326A0A6B"/>
    <w:rsid w:val="32870A8F"/>
    <w:rsid w:val="32B47E7A"/>
    <w:rsid w:val="32C30BB9"/>
    <w:rsid w:val="32C75988"/>
    <w:rsid w:val="32D565DA"/>
    <w:rsid w:val="32F2045E"/>
    <w:rsid w:val="32F438C2"/>
    <w:rsid w:val="32F82A3E"/>
    <w:rsid w:val="33064502"/>
    <w:rsid w:val="33226E62"/>
    <w:rsid w:val="33243DAA"/>
    <w:rsid w:val="33380E0B"/>
    <w:rsid w:val="3340703A"/>
    <w:rsid w:val="33492AA8"/>
    <w:rsid w:val="3364209D"/>
    <w:rsid w:val="336B4174"/>
    <w:rsid w:val="337264DE"/>
    <w:rsid w:val="338B2FAB"/>
    <w:rsid w:val="339947B5"/>
    <w:rsid w:val="33AE59E3"/>
    <w:rsid w:val="33B20B94"/>
    <w:rsid w:val="33BD1119"/>
    <w:rsid w:val="33BE4421"/>
    <w:rsid w:val="33E73943"/>
    <w:rsid w:val="33F310B3"/>
    <w:rsid w:val="340B6666"/>
    <w:rsid w:val="34261927"/>
    <w:rsid w:val="346447E1"/>
    <w:rsid w:val="34AA5361"/>
    <w:rsid w:val="34B108DF"/>
    <w:rsid w:val="34C277AF"/>
    <w:rsid w:val="34E12AB0"/>
    <w:rsid w:val="35284BC2"/>
    <w:rsid w:val="35383B75"/>
    <w:rsid w:val="35431A3E"/>
    <w:rsid w:val="35493905"/>
    <w:rsid w:val="354B4BB7"/>
    <w:rsid w:val="357A79CB"/>
    <w:rsid w:val="358466A1"/>
    <w:rsid w:val="358C1DBB"/>
    <w:rsid w:val="358D3F6A"/>
    <w:rsid w:val="35926F15"/>
    <w:rsid w:val="35AC1DF8"/>
    <w:rsid w:val="35BD5AB1"/>
    <w:rsid w:val="35C1575E"/>
    <w:rsid w:val="35D420E5"/>
    <w:rsid w:val="35DC09CF"/>
    <w:rsid w:val="35DC4AB3"/>
    <w:rsid w:val="35F20311"/>
    <w:rsid w:val="35FF0CA8"/>
    <w:rsid w:val="3615517C"/>
    <w:rsid w:val="36245A87"/>
    <w:rsid w:val="362D1F74"/>
    <w:rsid w:val="36563EC1"/>
    <w:rsid w:val="36656688"/>
    <w:rsid w:val="366C6D72"/>
    <w:rsid w:val="36710354"/>
    <w:rsid w:val="3684640F"/>
    <w:rsid w:val="368633E8"/>
    <w:rsid w:val="36A97E95"/>
    <w:rsid w:val="36B410B3"/>
    <w:rsid w:val="36B6261E"/>
    <w:rsid w:val="36B7400A"/>
    <w:rsid w:val="36B91687"/>
    <w:rsid w:val="36B948ED"/>
    <w:rsid w:val="36D52C80"/>
    <w:rsid w:val="36E5114D"/>
    <w:rsid w:val="36F6016A"/>
    <w:rsid w:val="373B5C97"/>
    <w:rsid w:val="37534736"/>
    <w:rsid w:val="37555EF2"/>
    <w:rsid w:val="376129A0"/>
    <w:rsid w:val="37701A0F"/>
    <w:rsid w:val="37B207B5"/>
    <w:rsid w:val="37C21434"/>
    <w:rsid w:val="37DA2F0C"/>
    <w:rsid w:val="37F07ED5"/>
    <w:rsid w:val="37FE12BD"/>
    <w:rsid w:val="37FE4495"/>
    <w:rsid w:val="380B4369"/>
    <w:rsid w:val="380E1774"/>
    <w:rsid w:val="38122C71"/>
    <w:rsid w:val="38175999"/>
    <w:rsid w:val="381F077B"/>
    <w:rsid w:val="38257401"/>
    <w:rsid w:val="382C309A"/>
    <w:rsid w:val="385B5738"/>
    <w:rsid w:val="386B6BC3"/>
    <w:rsid w:val="387463B2"/>
    <w:rsid w:val="38765C86"/>
    <w:rsid w:val="389C3148"/>
    <w:rsid w:val="38A4565B"/>
    <w:rsid w:val="38AA7165"/>
    <w:rsid w:val="38D01639"/>
    <w:rsid w:val="38D34076"/>
    <w:rsid w:val="38E121B7"/>
    <w:rsid w:val="38E6604B"/>
    <w:rsid w:val="38F51605"/>
    <w:rsid w:val="38F80803"/>
    <w:rsid w:val="39084E45"/>
    <w:rsid w:val="390F0AF7"/>
    <w:rsid w:val="391F2CF1"/>
    <w:rsid w:val="39241134"/>
    <w:rsid w:val="394A1160"/>
    <w:rsid w:val="395A0E95"/>
    <w:rsid w:val="396D6BE5"/>
    <w:rsid w:val="397460BD"/>
    <w:rsid w:val="397466F2"/>
    <w:rsid w:val="397D609B"/>
    <w:rsid w:val="397E2954"/>
    <w:rsid w:val="397E2F59"/>
    <w:rsid w:val="39E77084"/>
    <w:rsid w:val="39EF3F42"/>
    <w:rsid w:val="3A0A2903"/>
    <w:rsid w:val="3A0D680E"/>
    <w:rsid w:val="3A3C011E"/>
    <w:rsid w:val="3A742699"/>
    <w:rsid w:val="3A7E7074"/>
    <w:rsid w:val="3A9E7716"/>
    <w:rsid w:val="3AA20786"/>
    <w:rsid w:val="3AAF250C"/>
    <w:rsid w:val="3ACA19AA"/>
    <w:rsid w:val="3AD10FCF"/>
    <w:rsid w:val="3AD220E4"/>
    <w:rsid w:val="3AE949D6"/>
    <w:rsid w:val="3AFE27F2"/>
    <w:rsid w:val="3B322279"/>
    <w:rsid w:val="3B3A7243"/>
    <w:rsid w:val="3B591152"/>
    <w:rsid w:val="3B820DE6"/>
    <w:rsid w:val="3B957D77"/>
    <w:rsid w:val="3BDC5BBB"/>
    <w:rsid w:val="3BE07975"/>
    <w:rsid w:val="3BE212E9"/>
    <w:rsid w:val="3BF35840"/>
    <w:rsid w:val="3C0A0700"/>
    <w:rsid w:val="3C1F4F91"/>
    <w:rsid w:val="3C3261D8"/>
    <w:rsid w:val="3C395259"/>
    <w:rsid w:val="3C4515C5"/>
    <w:rsid w:val="3C4B1D33"/>
    <w:rsid w:val="3C5E53AF"/>
    <w:rsid w:val="3C65452B"/>
    <w:rsid w:val="3C8C03B4"/>
    <w:rsid w:val="3C923DF6"/>
    <w:rsid w:val="3C966465"/>
    <w:rsid w:val="3CA22A6F"/>
    <w:rsid w:val="3CA45C95"/>
    <w:rsid w:val="3CAF0512"/>
    <w:rsid w:val="3CB062DA"/>
    <w:rsid w:val="3CBB4306"/>
    <w:rsid w:val="3CCA4778"/>
    <w:rsid w:val="3CCE2573"/>
    <w:rsid w:val="3CD3327C"/>
    <w:rsid w:val="3CD60C79"/>
    <w:rsid w:val="3CEF2AA7"/>
    <w:rsid w:val="3D0A4BEF"/>
    <w:rsid w:val="3D2263DC"/>
    <w:rsid w:val="3D232155"/>
    <w:rsid w:val="3D29383C"/>
    <w:rsid w:val="3D2E2AFD"/>
    <w:rsid w:val="3D484F2D"/>
    <w:rsid w:val="3D5206BF"/>
    <w:rsid w:val="3D5D54BE"/>
    <w:rsid w:val="3D652131"/>
    <w:rsid w:val="3D702233"/>
    <w:rsid w:val="3D855206"/>
    <w:rsid w:val="3DAA1840"/>
    <w:rsid w:val="3DB2592C"/>
    <w:rsid w:val="3DDD40CA"/>
    <w:rsid w:val="3DF31A1D"/>
    <w:rsid w:val="3DF57E5A"/>
    <w:rsid w:val="3E4B76A1"/>
    <w:rsid w:val="3E4E23CD"/>
    <w:rsid w:val="3E5722BA"/>
    <w:rsid w:val="3E694130"/>
    <w:rsid w:val="3E845CFB"/>
    <w:rsid w:val="3EA846BF"/>
    <w:rsid w:val="3EB27818"/>
    <w:rsid w:val="3EB8678B"/>
    <w:rsid w:val="3EDB0A59"/>
    <w:rsid w:val="3EE17BD1"/>
    <w:rsid w:val="3EE5685F"/>
    <w:rsid w:val="3EFB6EE5"/>
    <w:rsid w:val="3F0264C5"/>
    <w:rsid w:val="3F0C384E"/>
    <w:rsid w:val="3F1B3AC2"/>
    <w:rsid w:val="3F244648"/>
    <w:rsid w:val="3F264F96"/>
    <w:rsid w:val="3F474FAC"/>
    <w:rsid w:val="3F495404"/>
    <w:rsid w:val="3F4F17A9"/>
    <w:rsid w:val="3F794247"/>
    <w:rsid w:val="3F9E7DB1"/>
    <w:rsid w:val="3FA27361"/>
    <w:rsid w:val="3FB06FD8"/>
    <w:rsid w:val="3FE30E0B"/>
    <w:rsid w:val="401251B9"/>
    <w:rsid w:val="4073465C"/>
    <w:rsid w:val="407F5222"/>
    <w:rsid w:val="409D31EF"/>
    <w:rsid w:val="40AF5069"/>
    <w:rsid w:val="40BA55B1"/>
    <w:rsid w:val="40C52B9E"/>
    <w:rsid w:val="40D479EE"/>
    <w:rsid w:val="40F230FF"/>
    <w:rsid w:val="40FF61BE"/>
    <w:rsid w:val="410C2030"/>
    <w:rsid w:val="410E2DAD"/>
    <w:rsid w:val="41144D01"/>
    <w:rsid w:val="412D7A78"/>
    <w:rsid w:val="41474664"/>
    <w:rsid w:val="414E7958"/>
    <w:rsid w:val="415510F2"/>
    <w:rsid w:val="4165360A"/>
    <w:rsid w:val="41842D75"/>
    <w:rsid w:val="41862BB4"/>
    <w:rsid w:val="418C02C8"/>
    <w:rsid w:val="419A5169"/>
    <w:rsid w:val="41A127B1"/>
    <w:rsid w:val="41A73354"/>
    <w:rsid w:val="41C31810"/>
    <w:rsid w:val="41DB4DAC"/>
    <w:rsid w:val="42005DC3"/>
    <w:rsid w:val="421726A4"/>
    <w:rsid w:val="4219059C"/>
    <w:rsid w:val="422B7AE1"/>
    <w:rsid w:val="42341186"/>
    <w:rsid w:val="42376F18"/>
    <w:rsid w:val="424D3EFC"/>
    <w:rsid w:val="424E607F"/>
    <w:rsid w:val="426052B1"/>
    <w:rsid w:val="42670D5D"/>
    <w:rsid w:val="426D5D1D"/>
    <w:rsid w:val="428B0580"/>
    <w:rsid w:val="429B673A"/>
    <w:rsid w:val="42A81E82"/>
    <w:rsid w:val="42BE177B"/>
    <w:rsid w:val="42C47AF6"/>
    <w:rsid w:val="42D21F45"/>
    <w:rsid w:val="42D40179"/>
    <w:rsid w:val="42E94F7B"/>
    <w:rsid w:val="42F35A1D"/>
    <w:rsid w:val="43081BD1"/>
    <w:rsid w:val="43190AAA"/>
    <w:rsid w:val="43196B5E"/>
    <w:rsid w:val="431B39A9"/>
    <w:rsid w:val="434F0782"/>
    <w:rsid w:val="4366461A"/>
    <w:rsid w:val="43664B49"/>
    <w:rsid w:val="437007F4"/>
    <w:rsid w:val="43875D54"/>
    <w:rsid w:val="43B4405D"/>
    <w:rsid w:val="43CE15FE"/>
    <w:rsid w:val="43D15872"/>
    <w:rsid w:val="43D3081D"/>
    <w:rsid w:val="43DD404D"/>
    <w:rsid w:val="43E65B93"/>
    <w:rsid w:val="44160590"/>
    <w:rsid w:val="44537A1E"/>
    <w:rsid w:val="44557097"/>
    <w:rsid w:val="446D4C43"/>
    <w:rsid w:val="44781916"/>
    <w:rsid w:val="448747C9"/>
    <w:rsid w:val="449E5A2C"/>
    <w:rsid w:val="44BC69EC"/>
    <w:rsid w:val="44C15462"/>
    <w:rsid w:val="44C77422"/>
    <w:rsid w:val="44CC592E"/>
    <w:rsid w:val="44D00D8C"/>
    <w:rsid w:val="44DC072C"/>
    <w:rsid w:val="4504685A"/>
    <w:rsid w:val="45124062"/>
    <w:rsid w:val="45337103"/>
    <w:rsid w:val="453726DF"/>
    <w:rsid w:val="454C246C"/>
    <w:rsid w:val="455E01CE"/>
    <w:rsid w:val="45830D55"/>
    <w:rsid w:val="45BE741E"/>
    <w:rsid w:val="45E87A97"/>
    <w:rsid w:val="45F66C4F"/>
    <w:rsid w:val="45F67982"/>
    <w:rsid w:val="46013FAC"/>
    <w:rsid w:val="4632261F"/>
    <w:rsid w:val="463841C7"/>
    <w:rsid w:val="463C644B"/>
    <w:rsid w:val="463F030A"/>
    <w:rsid w:val="46450C4C"/>
    <w:rsid w:val="46546E5D"/>
    <w:rsid w:val="466B16DF"/>
    <w:rsid w:val="46710113"/>
    <w:rsid w:val="46915B6F"/>
    <w:rsid w:val="46A70560"/>
    <w:rsid w:val="46BD7E93"/>
    <w:rsid w:val="46DA1C71"/>
    <w:rsid w:val="47072EA1"/>
    <w:rsid w:val="47095414"/>
    <w:rsid w:val="47190ED9"/>
    <w:rsid w:val="47406D53"/>
    <w:rsid w:val="47430BC0"/>
    <w:rsid w:val="476C7DE3"/>
    <w:rsid w:val="47743E72"/>
    <w:rsid w:val="477804EF"/>
    <w:rsid w:val="478D687E"/>
    <w:rsid w:val="47972677"/>
    <w:rsid w:val="47A900BA"/>
    <w:rsid w:val="47C61EF9"/>
    <w:rsid w:val="47CE213C"/>
    <w:rsid w:val="47E21659"/>
    <w:rsid w:val="47E41C5D"/>
    <w:rsid w:val="47E9031E"/>
    <w:rsid w:val="47F14BB9"/>
    <w:rsid w:val="48035142"/>
    <w:rsid w:val="480C7580"/>
    <w:rsid w:val="482477F9"/>
    <w:rsid w:val="483206BF"/>
    <w:rsid w:val="483A4935"/>
    <w:rsid w:val="485119DE"/>
    <w:rsid w:val="48547666"/>
    <w:rsid w:val="4860600B"/>
    <w:rsid w:val="486D19C6"/>
    <w:rsid w:val="487D45D8"/>
    <w:rsid w:val="48853CC3"/>
    <w:rsid w:val="488D1CAF"/>
    <w:rsid w:val="489A67BF"/>
    <w:rsid w:val="489B34A9"/>
    <w:rsid w:val="48BB6E3E"/>
    <w:rsid w:val="48BB7CF3"/>
    <w:rsid w:val="49035500"/>
    <w:rsid w:val="49291473"/>
    <w:rsid w:val="49333A05"/>
    <w:rsid w:val="49647D7D"/>
    <w:rsid w:val="497628B2"/>
    <w:rsid w:val="49880D1E"/>
    <w:rsid w:val="499619A5"/>
    <w:rsid w:val="49A17B4D"/>
    <w:rsid w:val="49A63764"/>
    <w:rsid w:val="49C23334"/>
    <w:rsid w:val="49E8275C"/>
    <w:rsid w:val="4A012AE9"/>
    <w:rsid w:val="4A0E4C66"/>
    <w:rsid w:val="4A2D0079"/>
    <w:rsid w:val="4A4A2ACF"/>
    <w:rsid w:val="4A5056ED"/>
    <w:rsid w:val="4A7C56C0"/>
    <w:rsid w:val="4A873C3B"/>
    <w:rsid w:val="4AB1217D"/>
    <w:rsid w:val="4ABC612C"/>
    <w:rsid w:val="4ABD4767"/>
    <w:rsid w:val="4AC93FC7"/>
    <w:rsid w:val="4AE03D61"/>
    <w:rsid w:val="4AE2785E"/>
    <w:rsid w:val="4AEB6D34"/>
    <w:rsid w:val="4B19685C"/>
    <w:rsid w:val="4B1973FA"/>
    <w:rsid w:val="4B4B361E"/>
    <w:rsid w:val="4B4C766F"/>
    <w:rsid w:val="4B534DC7"/>
    <w:rsid w:val="4B5B109F"/>
    <w:rsid w:val="4B601D00"/>
    <w:rsid w:val="4B8475C4"/>
    <w:rsid w:val="4B87342D"/>
    <w:rsid w:val="4BC0351F"/>
    <w:rsid w:val="4BD14BD9"/>
    <w:rsid w:val="4BDC4C6C"/>
    <w:rsid w:val="4BDF2635"/>
    <w:rsid w:val="4BF4363A"/>
    <w:rsid w:val="4BF507BC"/>
    <w:rsid w:val="4BFD3739"/>
    <w:rsid w:val="4C2F24B4"/>
    <w:rsid w:val="4C312198"/>
    <w:rsid w:val="4C354965"/>
    <w:rsid w:val="4C392DFB"/>
    <w:rsid w:val="4C481F19"/>
    <w:rsid w:val="4C7E5B82"/>
    <w:rsid w:val="4C825F4A"/>
    <w:rsid w:val="4C8A2F66"/>
    <w:rsid w:val="4C8F171F"/>
    <w:rsid w:val="4C963587"/>
    <w:rsid w:val="4CBF0BA1"/>
    <w:rsid w:val="4CD148B2"/>
    <w:rsid w:val="4CD34581"/>
    <w:rsid w:val="4CEF6318"/>
    <w:rsid w:val="4CFD02CC"/>
    <w:rsid w:val="4D020E9E"/>
    <w:rsid w:val="4D0D7491"/>
    <w:rsid w:val="4D2F252B"/>
    <w:rsid w:val="4D4D25E8"/>
    <w:rsid w:val="4D69686B"/>
    <w:rsid w:val="4DAA784B"/>
    <w:rsid w:val="4DBD19C5"/>
    <w:rsid w:val="4DC153C0"/>
    <w:rsid w:val="4DCB3407"/>
    <w:rsid w:val="4DCD1B3A"/>
    <w:rsid w:val="4DE17A49"/>
    <w:rsid w:val="4DF47DBD"/>
    <w:rsid w:val="4DFC6D2F"/>
    <w:rsid w:val="4E00143D"/>
    <w:rsid w:val="4E086DC3"/>
    <w:rsid w:val="4E162205"/>
    <w:rsid w:val="4E21623C"/>
    <w:rsid w:val="4E631138"/>
    <w:rsid w:val="4E7337C0"/>
    <w:rsid w:val="4E79082F"/>
    <w:rsid w:val="4E7D4B9C"/>
    <w:rsid w:val="4E7E368F"/>
    <w:rsid w:val="4E8E461F"/>
    <w:rsid w:val="4E98428C"/>
    <w:rsid w:val="4EA444B4"/>
    <w:rsid w:val="4ED125AE"/>
    <w:rsid w:val="4ED33B3B"/>
    <w:rsid w:val="4EDA265F"/>
    <w:rsid w:val="4F0376AB"/>
    <w:rsid w:val="4F292144"/>
    <w:rsid w:val="4F4F740E"/>
    <w:rsid w:val="4F5D14F6"/>
    <w:rsid w:val="4F654A30"/>
    <w:rsid w:val="4F986A60"/>
    <w:rsid w:val="4FA62E9D"/>
    <w:rsid w:val="4FA95E33"/>
    <w:rsid w:val="4FAA7498"/>
    <w:rsid w:val="4FB70299"/>
    <w:rsid w:val="4FD10B65"/>
    <w:rsid w:val="4FE13ED5"/>
    <w:rsid w:val="4FE31BAA"/>
    <w:rsid w:val="4FFC78F3"/>
    <w:rsid w:val="501C1883"/>
    <w:rsid w:val="504828AF"/>
    <w:rsid w:val="50A66EA2"/>
    <w:rsid w:val="50B76926"/>
    <w:rsid w:val="50C64E79"/>
    <w:rsid w:val="50C75B81"/>
    <w:rsid w:val="50D746E1"/>
    <w:rsid w:val="50F4560C"/>
    <w:rsid w:val="50F51779"/>
    <w:rsid w:val="50FB2173"/>
    <w:rsid w:val="51045F49"/>
    <w:rsid w:val="511423F2"/>
    <w:rsid w:val="512040CE"/>
    <w:rsid w:val="512247A5"/>
    <w:rsid w:val="512F6EC2"/>
    <w:rsid w:val="51331FB7"/>
    <w:rsid w:val="5153495F"/>
    <w:rsid w:val="516E10BF"/>
    <w:rsid w:val="51740D03"/>
    <w:rsid w:val="518D0F47"/>
    <w:rsid w:val="51A873B0"/>
    <w:rsid w:val="51C73F11"/>
    <w:rsid w:val="51C74949"/>
    <w:rsid w:val="51CC4484"/>
    <w:rsid w:val="51CD0A87"/>
    <w:rsid w:val="51CE1B22"/>
    <w:rsid w:val="51CF6E80"/>
    <w:rsid w:val="51D57353"/>
    <w:rsid w:val="51DD54A9"/>
    <w:rsid w:val="51DF4BC0"/>
    <w:rsid w:val="51EE0B2B"/>
    <w:rsid w:val="51FC1363"/>
    <w:rsid w:val="52213AE9"/>
    <w:rsid w:val="52215AE7"/>
    <w:rsid w:val="52226851"/>
    <w:rsid w:val="52333528"/>
    <w:rsid w:val="52733DBB"/>
    <w:rsid w:val="527C1EBA"/>
    <w:rsid w:val="52843EF1"/>
    <w:rsid w:val="529A4D95"/>
    <w:rsid w:val="52A46A53"/>
    <w:rsid w:val="52BA7868"/>
    <w:rsid w:val="52BE043F"/>
    <w:rsid w:val="52C14CAA"/>
    <w:rsid w:val="52CA5FD6"/>
    <w:rsid w:val="52F46C4C"/>
    <w:rsid w:val="52FD751E"/>
    <w:rsid w:val="531333E8"/>
    <w:rsid w:val="533913E7"/>
    <w:rsid w:val="53562212"/>
    <w:rsid w:val="53651F89"/>
    <w:rsid w:val="538134D4"/>
    <w:rsid w:val="538C7084"/>
    <w:rsid w:val="53AB57C6"/>
    <w:rsid w:val="53AE0F52"/>
    <w:rsid w:val="53B81EEE"/>
    <w:rsid w:val="53C2401E"/>
    <w:rsid w:val="53E27486"/>
    <w:rsid w:val="54042377"/>
    <w:rsid w:val="54165A12"/>
    <w:rsid w:val="541A0C30"/>
    <w:rsid w:val="54232D0E"/>
    <w:rsid w:val="542F6C8E"/>
    <w:rsid w:val="54506C07"/>
    <w:rsid w:val="546D4403"/>
    <w:rsid w:val="547F1F0F"/>
    <w:rsid w:val="548B1F2E"/>
    <w:rsid w:val="54972432"/>
    <w:rsid w:val="54AA4599"/>
    <w:rsid w:val="54B77DC5"/>
    <w:rsid w:val="54C71ED4"/>
    <w:rsid w:val="54D4532A"/>
    <w:rsid w:val="54D73063"/>
    <w:rsid w:val="54DF69D9"/>
    <w:rsid w:val="54E04256"/>
    <w:rsid w:val="54E97BAC"/>
    <w:rsid w:val="54EC0487"/>
    <w:rsid w:val="54F06EDB"/>
    <w:rsid w:val="55222610"/>
    <w:rsid w:val="55352B48"/>
    <w:rsid w:val="553E5D38"/>
    <w:rsid w:val="55482300"/>
    <w:rsid w:val="555807B1"/>
    <w:rsid w:val="55657D86"/>
    <w:rsid w:val="556C2479"/>
    <w:rsid w:val="557A2595"/>
    <w:rsid w:val="558E3AF9"/>
    <w:rsid w:val="559B2727"/>
    <w:rsid w:val="55B16667"/>
    <w:rsid w:val="55B27661"/>
    <w:rsid w:val="55E16063"/>
    <w:rsid w:val="55E91324"/>
    <w:rsid w:val="561F1228"/>
    <w:rsid w:val="561F1FCD"/>
    <w:rsid w:val="562501E7"/>
    <w:rsid w:val="5664197C"/>
    <w:rsid w:val="5669151C"/>
    <w:rsid w:val="567C08F2"/>
    <w:rsid w:val="56884702"/>
    <w:rsid w:val="569F3DED"/>
    <w:rsid w:val="56CA2D1F"/>
    <w:rsid w:val="56D03C98"/>
    <w:rsid w:val="56E147BB"/>
    <w:rsid w:val="56E75217"/>
    <w:rsid w:val="572153C8"/>
    <w:rsid w:val="57266F21"/>
    <w:rsid w:val="57382B07"/>
    <w:rsid w:val="573F68A5"/>
    <w:rsid w:val="57443A88"/>
    <w:rsid w:val="574A7E87"/>
    <w:rsid w:val="575D6537"/>
    <w:rsid w:val="57624366"/>
    <w:rsid w:val="57707A2A"/>
    <w:rsid w:val="57972E9C"/>
    <w:rsid w:val="57F15702"/>
    <w:rsid w:val="581F6846"/>
    <w:rsid w:val="582802F9"/>
    <w:rsid w:val="582F79A4"/>
    <w:rsid w:val="58311772"/>
    <w:rsid w:val="58326843"/>
    <w:rsid w:val="584242E9"/>
    <w:rsid w:val="5853474A"/>
    <w:rsid w:val="585716EF"/>
    <w:rsid w:val="58750E05"/>
    <w:rsid w:val="587D49B7"/>
    <w:rsid w:val="587F2B1C"/>
    <w:rsid w:val="588D0288"/>
    <w:rsid w:val="589349B9"/>
    <w:rsid w:val="58981673"/>
    <w:rsid w:val="58AE0309"/>
    <w:rsid w:val="58B27144"/>
    <w:rsid w:val="58D77106"/>
    <w:rsid w:val="58F626E0"/>
    <w:rsid w:val="59015CB9"/>
    <w:rsid w:val="5903425E"/>
    <w:rsid w:val="5909726A"/>
    <w:rsid w:val="59265FB9"/>
    <w:rsid w:val="59336C96"/>
    <w:rsid w:val="59493E15"/>
    <w:rsid w:val="59705D7C"/>
    <w:rsid w:val="59767F41"/>
    <w:rsid w:val="5980330A"/>
    <w:rsid w:val="598F25C7"/>
    <w:rsid w:val="599A2447"/>
    <w:rsid w:val="59BA41A7"/>
    <w:rsid w:val="59C56899"/>
    <w:rsid w:val="59CB03AE"/>
    <w:rsid w:val="59CF7E3B"/>
    <w:rsid w:val="59DE51F8"/>
    <w:rsid w:val="5A041978"/>
    <w:rsid w:val="5A113609"/>
    <w:rsid w:val="5A1268D4"/>
    <w:rsid w:val="5A176A3B"/>
    <w:rsid w:val="5A3E04C2"/>
    <w:rsid w:val="5A3E6051"/>
    <w:rsid w:val="5A760F5D"/>
    <w:rsid w:val="5A853F3C"/>
    <w:rsid w:val="5AA00810"/>
    <w:rsid w:val="5AB32A5E"/>
    <w:rsid w:val="5ABC0697"/>
    <w:rsid w:val="5AC0736D"/>
    <w:rsid w:val="5AC624B2"/>
    <w:rsid w:val="5AFE522D"/>
    <w:rsid w:val="5B1353FC"/>
    <w:rsid w:val="5B1A05AF"/>
    <w:rsid w:val="5B1F25DA"/>
    <w:rsid w:val="5B330847"/>
    <w:rsid w:val="5B645E50"/>
    <w:rsid w:val="5B6644E4"/>
    <w:rsid w:val="5B986398"/>
    <w:rsid w:val="5BAA00BA"/>
    <w:rsid w:val="5BB45B28"/>
    <w:rsid w:val="5BF53250"/>
    <w:rsid w:val="5BFB3CEC"/>
    <w:rsid w:val="5C0E5807"/>
    <w:rsid w:val="5C172963"/>
    <w:rsid w:val="5C1744B4"/>
    <w:rsid w:val="5C3132FE"/>
    <w:rsid w:val="5C50666A"/>
    <w:rsid w:val="5C5F38E7"/>
    <w:rsid w:val="5C6E3F36"/>
    <w:rsid w:val="5C812226"/>
    <w:rsid w:val="5C994951"/>
    <w:rsid w:val="5C9B0C40"/>
    <w:rsid w:val="5C9D7C11"/>
    <w:rsid w:val="5CA34AD2"/>
    <w:rsid w:val="5CCF6E24"/>
    <w:rsid w:val="5D0305FE"/>
    <w:rsid w:val="5D2C2DFA"/>
    <w:rsid w:val="5D2E1918"/>
    <w:rsid w:val="5D4737DC"/>
    <w:rsid w:val="5D517D0F"/>
    <w:rsid w:val="5D557B46"/>
    <w:rsid w:val="5D90302B"/>
    <w:rsid w:val="5DB1138B"/>
    <w:rsid w:val="5DB14039"/>
    <w:rsid w:val="5DC71658"/>
    <w:rsid w:val="5DCC5999"/>
    <w:rsid w:val="5DD6428D"/>
    <w:rsid w:val="5E245032"/>
    <w:rsid w:val="5E2751A9"/>
    <w:rsid w:val="5E28645B"/>
    <w:rsid w:val="5E293771"/>
    <w:rsid w:val="5E6C1C0C"/>
    <w:rsid w:val="5E702073"/>
    <w:rsid w:val="5E753836"/>
    <w:rsid w:val="5E7E590A"/>
    <w:rsid w:val="5E89405A"/>
    <w:rsid w:val="5E97739F"/>
    <w:rsid w:val="5EA24459"/>
    <w:rsid w:val="5EB24EFE"/>
    <w:rsid w:val="5ED66209"/>
    <w:rsid w:val="5EDF40F7"/>
    <w:rsid w:val="5EE53FE2"/>
    <w:rsid w:val="5F0104A8"/>
    <w:rsid w:val="5F053AF6"/>
    <w:rsid w:val="5F0F2AA9"/>
    <w:rsid w:val="5F174224"/>
    <w:rsid w:val="5F3B6DC5"/>
    <w:rsid w:val="5F412402"/>
    <w:rsid w:val="5F44132B"/>
    <w:rsid w:val="5F4F32B6"/>
    <w:rsid w:val="5F5815ED"/>
    <w:rsid w:val="5F602EA3"/>
    <w:rsid w:val="5F700DD2"/>
    <w:rsid w:val="5F945C7C"/>
    <w:rsid w:val="5F9525E6"/>
    <w:rsid w:val="5FA0174C"/>
    <w:rsid w:val="5FA31581"/>
    <w:rsid w:val="5FB962D5"/>
    <w:rsid w:val="5FC23BC4"/>
    <w:rsid w:val="5FC339F6"/>
    <w:rsid w:val="5FD11F0F"/>
    <w:rsid w:val="5FEC0860"/>
    <w:rsid w:val="5FF33335"/>
    <w:rsid w:val="6003377A"/>
    <w:rsid w:val="600707DF"/>
    <w:rsid w:val="602A0F80"/>
    <w:rsid w:val="60341DFF"/>
    <w:rsid w:val="60445D95"/>
    <w:rsid w:val="605B2573"/>
    <w:rsid w:val="60716BAF"/>
    <w:rsid w:val="60750A8E"/>
    <w:rsid w:val="607953B0"/>
    <w:rsid w:val="608D4227"/>
    <w:rsid w:val="608E6889"/>
    <w:rsid w:val="60A202E7"/>
    <w:rsid w:val="60B17D45"/>
    <w:rsid w:val="60D4713E"/>
    <w:rsid w:val="60D61108"/>
    <w:rsid w:val="60EC409D"/>
    <w:rsid w:val="60F83C13"/>
    <w:rsid w:val="60FD0CFE"/>
    <w:rsid w:val="610712C2"/>
    <w:rsid w:val="61345BF8"/>
    <w:rsid w:val="614C4F26"/>
    <w:rsid w:val="6150374B"/>
    <w:rsid w:val="619250A9"/>
    <w:rsid w:val="619834C8"/>
    <w:rsid w:val="61994561"/>
    <w:rsid w:val="619C032B"/>
    <w:rsid w:val="61C6117D"/>
    <w:rsid w:val="62017542"/>
    <w:rsid w:val="62026723"/>
    <w:rsid w:val="620E685F"/>
    <w:rsid w:val="62216808"/>
    <w:rsid w:val="622C321A"/>
    <w:rsid w:val="62306AA4"/>
    <w:rsid w:val="623A39D7"/>
    <w:rsid w:val="623A7824"/>
    <w:rsid w:val="623E405E"/>
    <w:rsid w:val="62422689"/>
    <w:rsid w:val="625E0018"/>
    <w:rsid w:val="6275237E"/>
    <w:rsid w:val="62B72CF6"/>
    <w:rsid w:val="62D11F77"/>
    <w:rsid w:val="637E1CF5"/>
    <w:rsid w:val="638C5D86"/>
    <w:rsid w:val="63E91530"/>
    <w:rsid w:val="64192A76"/>
    <w:rsid w:val="641A755E"/>
    <w:rsid w:val="641F244D"/>
    <w:rsid w:val="64373325"/>
    <w:rsid w:val="643F551C"/>
    <w:rsid w:val="6444359C"/>
    <w:rsid w:val="64463F1D"/>
    <w:rsid w:val="644A68EF"/>
    <w:rsid w:val="644F7208"/>
    <w:rsid w:val="64526CF8"/>
    <w:rsid w:val="645A1BF1"/>
    <w:rsid w:val="647C5D36"/>
    <w:rsid w:val="6493605C"/>
    <w:rsid w:val="64A068AA"/>
    <w:rsid w:val="64BE1D94"/>
    <w:rsid w:val="64C96A10"/>
    <w:rsid w:val="64E17BE1"/>
    <w:rsid w:val="64EC2F81"/>
    <w:rsid w:val="64F6412F"/>
    <w:rsid w:val="64FB17D4"/>
    <w:rsid w:val="65096143"/>
    <w:rsid w:val="652E4C00"/>
    <w:rsid w:val="652F7039"/>
    <w:rsid w:val="6554463D"/>
    <w:rsid w:val="656221A2"/>
    <w:rsid w:val="65761F61"/>
    <w:rsid w:val="659C47BC"/>
    <w:rsid w:val="65A5666B"/>
    <w:rsid w:val="65CE7BE9"/>
    <w:rsid w:val="65CF1673"/>
    <w:rsid w:val="65E835C4"/>
    <w:rsid w:val="65F75BD3"/>
    <w:rsid w:val="65F76700"/>
    <w:rsid w:val="660114E8"/>
    <w:rsid w:val="66093A9A"/>
    <w:rsid w:val="661C4318"/>
    <w:rsid w:val="66257F02"/>
    <w:rsid w:val="662762DB"/>
    <w:rsid w:val="663F2419"/>
    <w:rsid w:val="666F1DE3"/>
    <w:rsid w:val="66763B0B"/>
    <w:rsid w:val="667B2D8E"/>
    <w:rsid w:val="667C5B22"/>
    <w:rsid w:val="66802653"/>
    <w:rsid w:val="66921057"/>
    <w:rsid w:val="66BD5C5B"/>
    <w:rsid w:val="66E47DB5"/>
    <w:rsid w:val="66EC0FFE"/>
    <w:rsid w:val="66ED7C82"/>
    <w:rsid w:val="67016170"/>
    <w:rsid w:val="6706019A"/>
    <w:rsid w:val="67216404"/>
    <w:rsid w:val="672547CC"/>
    <w:rsid w:val="672F3BE2"/>
    <w:rsid w:val="67331446"/>
    <w:rsid w:val="67427A5B"/>
    <w:rsid w:val="67532932"/>
    <w:rsid w:val="675441D2"/>
    <w:rsid w:val="675B27E4"/>
    <w:rsid w:val="675F7AC0"/>
    <w:rsid w:val="67743486"/>
    <w:rsid w:val="67802871"/>
    <w:rsid w:val="678835C0"/>
    <w:rsid w:val="67973A7D"/>
    <w:rsid w:val="67B1647C"/>
    <w:rsid w:val="67B65659"/>
    <w:rsid w:val="67D649E0"/>
    <w:rsid w:val="67F52B80"/>
    <w:rsid w:val="68062B56"/>
    <w:rsid w:val="68311302"/>
    <w:rsid w:val="689A617F"/>
    <w:rsid w:val="689B495C"/>
    <w:rsid w:val="68B567AD"/>
    <w:rsid w:val="68BE5E20"/>
    <w:rsid w:val="68C33D20"/>
    <w:rsid w:val="68DD35BF"/>
    <w:rsid w:val="68E15198"/>
    <w:rsid w:val="68EC27DC"/>
    <w:rsid w:val="690507DD"/>
    <w:rsid w:val="690A4E88"/>
    <w:rsid w:val="69112266"/>
    <w:rsid w:val="69214911"/>
    <w:rsid w:val="692149A1"/>
    <w:rsid w:val="69295626"/>
    <w:rsid w:val="694C4E8F"/>
    <w:rsid w:val="69587391"/>
    <w:rsid w:val="69CE5072"/>
    <w:rsid w:val="69E7542D"/>
    <w:rsid w:val="69E90B96"/>
    <w:rsid w:val="69F847BB"/>
    <w:rsid w:val="69FB093A"/>
    <w:rsid w:val="6A0C6AE1"/>
    <w:rsid w:val="6A1C4030"/>
    <w:rsid w:val="6A1F142A"/>
    <w:rsid w:val="6A417CFF"/>
    <w:rsid w:val="6A6B1E0E"/>
    <w:rsid w:val="6A754E3B"/>
    <w:rsid w:val="6A9E2BDC"/>
    <w:rsid w:val="6AA93A9C"/>
    <w:rsid w:val="6ABC5F42"/>
    <w:rsid w:val="6ACE47C1"/>
    <w:rsid w:val="6AD40E1E"/>
    <w:rsid w:val="6AF843DF"/>
    <w:rsid w:val="6AFC5C0F"/>
    <w:rsid w:val="6B1341EB"/>
    <w:rsid w:val="6B2D3688"/>
    <w:rsid w:val="6B304DD1"/>
    <w:rsid w:val="6B3A48E2"/>
    <w:rsid w:val="6B4D20ED"/>
    <w:rsid w:val="6B4F5D3F"/>
    <w:rsid w:val="6B5257DA"/>
    <w:rsid w:val="6B53101B"/>
    <w:rsid w:val="6B6A35DA"/>
    <w:rsid w:val="6B755723"/>
    <w:rsid w:val="6B7A7FCB"/>
    <w:rsid w:val="6B914E70"/>
    <w:rsid w:val="6B930839"/>
    <w:rsid w:val="6BA63D80"/>
    <w:rsid w:val="6BAD2067"/>
    <w:rsid w:val="6BDA16ED"/>
    <w:rsid w:val="6BE616D4"/>
    <w:rsid w:val="6C162B58"/>
    <w:rsid w:val="6C484A4F"/>
    <w:rsid w:val="6C502606"/>
    <w:rsid w:val="6C5942A4"/>
    <w:rsid w:val="6C6317D0"/>
    <w:rsid w:val="6C6E7DE0"/>
    <w:rsid w:val="6C705F6D"/>
    <w:rsid w:val="6C78589B"/>
    <w:rsid w:val="6C7C4F26"/>
    <w:rsid w:val="6C817C09"/>
    <w:rsid w:val="6C824A6E"/>
    <w:rsid w:val="6C9345F8"/>
    <w:rsid w:val="6C95255C"/>
    <w:rsid w:val="6C991968"/>
    <w:rsid w:val="6CB748E1"/>
    <w:rsid w:val="6CD8765A"/>
    <w:rsid w:val="6CD926C9"/>
    <w:rsid w:val="6CFD118F"/>
    <w:rsid w:val="6D3A4208"/>
    <w:rsid w:val="6D435882"/>
    <w:rsid w:val="6D516B2A"/>
    <w:rsid w:val="6D5B56B9"/>
    <w:rsid w:val="6D5F051B"/>
    <w:rsid w:val="6D9C0BBE"/>
    <w:rsid w:val="6DA31FD6"/>
    <w:rsid w:val="6DA35850"/>
    <w:rsid w:val="6DA37A4D"/>
    <w:rsid w:val="6DA6522A"/>
    <w:rsid w:val="6DB76A64"/>
    <w:rsid w:val="6DB94514"/>
    <w:rsid w:val="6DDA7414"/>
    <w:rsid w:val="6DF60249"/>
    <w:rsid w:val="6E0B7CFD"/>
    <w:rsid w:val="6E247BFD"/>
    <w:rsid w:val="6E442B85"/>
    <w:rsid w:val="6E4B7A39"/>
    <w:rsid w:val="6E4C7FE2"/>
    <w:rsid w:val="6E5249A3"/>
    <w:rsid w:val="6E6E0842"/>
    <w:rsid w:val="6E9275F1"/>
    <w:rsid w:val="6E931957"/>
    <w:rsid w:val="6EB93100"/>
    <w:rsid w:val="6EC93540"/>
    <w:rsid w:val="6EEE02F7"/>
    <w:rsid w:val="6EFB1B3A"/>
    <w:rsid w:val="6F016392"/>
    <w:rsid w:val="6F0912E7"/>
    <w:rsid w:val="6F2968A7"/>
    <w:rsid w:val="6F3C42D8"/>
    <w:rsid w:val="6F494D7E"/>
    <w:rsid w:val="6F580517"/>
    <w:rsid w:val="6F6A27FE"/>
    <w:rsid w:val="6F7E3548"/>
    <w:rsid w:val="6F830994"/>
    <w:rsid w:val="6F833882"/>
    <w:rsid w:val="6F8B2340"/>
    <w:rsid w:val="6F8F0C2F"/>
    <w:rsid w:val="6F9B4E37"/>
    <w:rsid w:val="6FA0211A"/>
    <w:rsid w:val="6FA93797"/>
    <w:rsid w:val="6FB40594"/>
    <w:rsid w:val="6FB42610"/>
    <w:rsid w:val="6FBB4290"/>
    <w:rsid w:val="6FBD1779"/>
    <w:rsid w:val="6FCB7BB9"/>
    <w:rsid w:val="6FD42CB7"/>
    <w:rsid w:val="6FE16E3E"/>
    <w:rsid w:val="6FE33BB8"/>
    <w:rsid w:val="700276A2"/>
    <w:rsid w:val="700412B3"/>
    <w:rsid w:val="700A0487"/>
    <w:rsid w:val="700F3CEF"/>
    <w:rsid w:val="70144C09"/>
    <w:rsid w:val="7068221A"/>
    <w:rsid w:val="707D3C1D"/>
    <w:rsid w:val="707E4EB6"/>
    <w:rsid w:val="70820FDE"/>
    <w:rsid w:val="70B30D8C"/>
    <w:rsid w:val="70C36802"/>
    <w:rsid w:val="70F75445"/>
    <w:rsid w:val="710B1D07"/>
    <w:rsid w:val="71114730"/>
    <w:rsid w:val="7140181D"/>
    <w:rsid w:val="7145046C"/>
    <w:rsid w:val="71494FDF"/>
    <w:rsid w:val="715708D9"/>
    <w:rsid w:val="716A47C1"/>
    <w:rsid w:val="716B2197"/>
    <w:rsid w:val="7182567B"/>
    <w:rsid w:val="71C271C2"/>
    <w:rsid w:val="71D23F32"/>
    <w:rsid w:val="71D802B5"/>
    <w:rsid w:val="71FC55CB"/>
    <w:rsid w:val="72200435"/>
    <w:rsid w:val="72235642"/>
    <w:rsid w:val="72281098"/>
    <w:rsid w:val="72282901"/>
    <w:rsid w:val="723C4927"/>
    <w:rsid w:val="724967A3"/>
    <w:rsid w:val="724F0D1A"/>
    <w:rsid w:val="7264423E"/>
    <w:rsid w:val="727F33AE"/>
    <w:rsid w:val="72824E1C"/>
    <w:rsid w:val="7284090D"/>
    <w:rsid w:val="72986E88"/>
    <w:rsid w:val="72E01AC7"/>
    <w:rsid w:val="72ED32B3"/>
    <w:rsid w:val="72F145BB"/>
    <w:rsid w:val="72F72023"/>
    <w:rsid w:val="72FA5A02"/>
    <w:rsid w:val="734D7097"/>
    <w:rsid w:val="735A1725"/>
    <w:rsid w:val="735E7A6E"/>
    <w:rsid w:val="737921AC"/>
    <w:rsid w:val="73922A21"/>
    <w:rsid w:val="739932AF"/>
    <w:rsid w:val="73995474"/>
    <w:rsid w:val="73995CE3"/>
    <w:rsid w:val="73B875B8"/>
    <w:rsid w:val="73D91822"/>
    <w:rsid w:val="73E91A89"/>
    <w:rsid w:val="73F41B79"/>
    <w:rsid w:val="73F63E9A"/>
    <w:rsid w:val="73FF1602"/>
    <w:rsid w:val="740D245A"/>
    <w:rsid w:val="74177EE6"/>
    <w:rsid w:val="741A7E6F"/>
    <w:rsid w:val="74275BC3"/>
    <w:rsid w:val="74287E4F"/>
    <w:rsid w:val="74380DE5"/>
    <w:rsid w:val="74650523"/>
    <w:rsid w:val="746A02EC"/>
    <w:rsid w:val="748510DC"/>
    <w:rsid w:val="749A5E58"/>
    <w:rsid w:val="749B4EF1"/>
    <w:rsid w:val="749F1F77"/>
    <w:rsid w:val="74C37E24"/>
    <w:rsid w:val="74E2017A"/>
    <w:rsid w:val="74E6766C"/>
    <w:rsid w:val="74F36138"/>
    <w:rsid w:val="75065F1C"/>
    <w:rsid w:val="75162182"/>
    <w:rsid w:val="7536707E"/>
    <w:rsid w:val="75575F1C"/>
    <w:rsid w:val="755F74C6"/>
    <w:rsid w:val="75687770"/>
    <w:rsid w:val="75816CCD"/>
    <w:rsid w:val="759D248C"/>
    <w:rsid w:val="75AD3728"/>
    <w:rsid w:val="75B17A5F"/>
    <w:rsid w:val="75E31EA6"/>
    <w:rsid w:val="76252B34"/>
    <w:rsid w:val="76285735"/>
    <w:rsid w:val="76401C5F"/>
    <w:rsid w:val="76440045"/>
    <w:rsid w:val="765F1837"/>
    <w:rsid w:val="7661590F"/>
    <w:rsid w:val="766953BB"/>
    <w:rsid w:val="76705AC7"/>
    <w:rsid w:val="768F5B89"/>
    <w:rsid w:val="769644BF"/>
    <w:rsid w:val="769C32FC"/>
    <w:rsid w:val="76A83A02"/>
    <w:rsid w:val="76AC78A6"/>
    <w:rsid w:val="76B9756F"/>
    <w:rsid w:val="76BA454B"/>
    <w:rsid w:val="76C2586D"/>
    <w:rsid w:val="76E56900"/>
    <w:rsid w:val="76EB6C53"/>
    <w:rsid w:val="773A5F36"/>
    <w:rsid w:val="773C11F7"/>
    <w:rsid w:val="77467C88"/>
    <w:rsid w:val="775E0DD5"/>
    <w:rsid w:val="777601AB"/>
    <w:rsid w:val="77B65146"/>
    <w:rsid w:val="77BE6726"/>
    <w:rsid w:val="77BF4790"/>
    <w:rsid w:val="77F462A0"/>
    <w:rsid w:val="781B5DC4"/>
    <w:rsid w:val="783D135F"/>
    <w:rsid w:val="78446E57"/>
    <w:rsid w:val="784976BD"/>
    <w:rsid w:val="786865CC"/>
    <w:rsid w:val="78711A77"/>
    <w:rsid w:val="78C56C67"/>
    <w:rsid w:val="78C71B00"/>
    <w:rsid w:val="78E41842"/>
    <w:rsid w:val="78F54C37"/>
    <w:rsid w:val="79382508"/>
    <w:rsid w:val="79446509"/>
    <w:rsid w:val="795F6C5C"/>
    <w:rsid w:val="79623140"/>
    <w:rsid w:val="79682D81"/>
    <w:rsid w:val="79687A3F"/>
    <w:rsid w:val="796C22E4"/>
    <w:rsid w:val="798467D9"/>
    <w:rsid w:val="799539AD"/>
    <w:rsid w:val="799B17E9"/>
    <w:rsid w:val="79A7080B"/>
    <w:rsid w:val="79CE0777"/>
    <w:rsid w:val="79D76A41"/>
    <w:rsid w:val="7A055417"/>
    <w:rsid w:val="7A127E8B"/>
    <w:rsid w:val="7A1467D7"/>
    <w:rsid w:val="7A1804DE"/>
    <w:rsid w:val="7A532AFF"/>
    <w:rsid w:val="7A6314F6"/>
    <w:rsid w:val="7A896CFD"/>
    <w:rsid w:val="7A8F0D64"/>
    <w:rsid w:val="7AA12523"/>
    <w:rsid w:val="7AA64FF5"/>
    <w:rsid w:val="7AC425F9"/>
    <w:rsid w:val="7AEE2205"/>
    <w:rsid w:val="7B127FE6"/>
    <w:rsid w:val="7B176D91"/>
    <w:rsid w:val="7B4B4900"/>
    <w:rsid w:val="7B560379"/>
    <w:rsid w:val="7B60352E"/>
    <w:rsid w:val="7B6153D1"/>
    <w:rsid w:val="7B622A80"/>
    <w:rsid w:val="7B671D22"/>
    <w:rsid w:val="7B792C7F"/>
    <w:rsid w:val="7B7D63CF"/>
    <w:rsid w:val="7B905F3C"/>
    <w:rsid w:val="7B934CD0"/>
    <w:rsid w:val="7BCF0EA8"/>
    <w:rsid w:val="7BE50975"/>
    <w:rsid w:val="7BE7452E"/>
    <w:rsid w:val="7C0F0F28"/>
    <w:rsid w:val="7C165856"/>
    <w:rsid w:val="7C352D2F"/>
    <w:rsid w:val="7C6512D8"/>
    <w:rsid w:val="7C9B5255"/>
    <w:rsid w:val="7CAF30F7"/>
    <w:rsid w:val="7CB94E0E"/>
    <w:rsid w:val="7CD11A07"/>
    <w:rsid w:val="7CD45BD6"/>
    <w:rsid w:val="7CE17919"/>
    <w:rsid w:val="7CF9159B"/>
    <w:rsid w:val="7CF92BC8"/>
    <w:rsid w:val="7CFA6F87"/>
    <w:rsid w:val="7D036574"/>
    <w:rsid w:val="7D0D02D8"/>
    <w:rsid w:val="7D167796"/>
    <w:rsid w:val="7D504E35"/>
    <w:rsid w:val="7D613227"/>
    <w:rsid w:val="7D6D1D14"/>
    <w:rsid w:val="7D7353BE"/>
    <w:rsid w:val="7D7F6120"/>
    <w:rsid w:val="7D8167B9"/>
    <w:rsid w:val="7D8775B7"/>
    <w:rsid w:val="7D997724"/>
    <w:rsid w:val="7DA34BCA"/>
    <w:rsid w:val="7DA912DF"/>
    <w:rsid w:val="7DBD237E"/>
    <w:rsid w:val="7DDF73F6"/>
    <w:rsid w:val="7E282FD4"/>
    <w:rsid w:val="7E2C4E02"/>
    <w:rsid w:val="7E524081"/>
    <w:rsid w:val="7E5F0225"/>
    <w:rsid w:val="7E600CC3"/>
    <w:rsid w:val="7E6810F8"/>
    <w:rsid w:val="7EB16AE7"/>
    <w:rsid w:val="7EBD510D"/>
    <w:rsid w:val="7ECA247C"/>
    <w:rsid w:val="7EE829F1"/>
    <w:rsid w:val="7EEA1242"/>
    <w:rsid w:val="7F091AF4"/>
    <w:rsid w:val="7F0F1615"/>
    <w:rsid w:val="7F335D62"/>
    <w:rsid w:val="7FA206DC"/>
    <w:rsid w:val="7FA36202"/>
    <w:rsid w:val="7FC4291E"/>
    <w:rsid w:val="7FD971B0"/>
    <w:rsid w:val="7FF57458"/>
  </w:rsids>
  <w:docVars>
    <w:docVar w:name="commondata" w:val="eyJoZGlkIjoiMmQyNWQ4MmFmNjM5OGY4ZDVmYWFlYjdmMDM3MjJlMzYifQ=="/>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qFormat="1"/>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lsdException w:name="FollowedHyperlink" w:semiHidden="0" w:uiPriority="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next w:val="BodyText"/>
    <w:qFormat/>
    <w:pPr>
      <w:widowControl w:val="0"/>
      <w:jc w:val="both"/>
    </w:pPr>
    <w:rPr>
      <w:kern w:val="2"/>
      <w:sz w:val="21"/>
      <w:szCs w:val="24"/>
      <w:lang w:val="en-US" w:eastAsia="zh-CN" w:bidi="ar-SA"/>
    </w:rPr>
  </w:style>
  <w:style w:type="paragraph" w:styleId="Heading1">
    <w:name w:val="heading 1"/>
    <w:basedOn w:val="Normal"/>
    <w:next w:val="Normal"/>
    <w:qFormat/>
    <w:pPr>
      <w:keepNext/>
      <w:jc w:val="center"/>
      <w:outlineLvl w:val="0"/>
    </w:pPr>
    <w:rPr>
      <w:sz w:val="28"/>
      <w:szCs w:val="20"/>
    </w:rPr>
  </w:style>
  <w:style w:type="paragraph" w:styleId="Heading2">
    <w:name w:val="heading 2"/>
    <w:basedOn w:val="Normal"/>
    <w:next w:val="Normal"/>
    <w:link w:val="2"/>
    <w:qFormat/>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Indent"/>
    <w:link w:val="3"/>
    <w:qFormat/>
    <w:pPr>
      <w:keepNext/>
      <w:keepLines/>
      <w:spacing w:before="260" w:after="260" w:line="416" w:lineRule="auto"/>
      <w:outlineLvl w:val="2"/>
    </w:pPr>
    <w:rPr>
      <w:b/>
      <w:bCs/>
      <w:sz w:val="32"/>
      <w:szCs w:val="32"/>
    </w:rPr>
  </w:style>
  <w:style w:type="paragraph" w:styleId="Heading4">
    <w:name w:val="heading 4"/>
    <w:basedOn w:val="Normal"/>
    <w:next w:val="Normal"/>
    <w:link w:val="4"/>
    <w:qFormat/>
    <w:pPr>
      <w:keepNext/>
      <w:keepLines/>
      <w:spacing w:before="280" w:after="290" w:line="376" w:lineRule="auto"/>
      <w:outlineLvl w:val="3"/>
    </w:pPr>
    <w:rPr>
      <w:rFonts w:ascii="Arial" w:eastAsia="黑体" w:hAnsi="Arial"/>
      <w:b/>
      <w:bCs/>
      <w:sz w:val="28"/>
      <w:szCs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
    <w:pPr>
      <w:spacing w:after="120"/>
    </w:pPr>
  </w:style>
  <w:style w:type="character" w:customStyle="1" w:styleId="a">
    <w:name w:val="正文文本 字符"/>
    <w:link w:val="BodyText"/>
    <w:rPr>
      <w:kern w:val="2"/>
      <w:sz w:val="21"/>
      <w:szCs w:val="24"/>
    </w:rPr>
  </w:style>
  <w:style w:type="character" w:customStyle="1" w:styleId="2">
    <w:name w:val="标题 2 字符"/>
    <w:link w:val="Heading2"/>
    <w:semiHidden/>
    <w:rPr>
      <w:rFonts w:ascii="Cambria" w:eastAsia="宋体" w:hAnsi="Cambria" w:cs="Times New Roman"/>
      <w:b/>
      <w:bCs/>
      <w:kern w:val="2"/>
      <w:sz w:val="32"/>
      <w:szCs w:val="32"/>
    </w:rPr>
  </w:style>
  <w:style w:type="character" w:customStyle="1" w:styleId="3">
    <w:name w:val="标题 3 字符"/>
    <w:link w:val="Heading3"/>
    <w:rPr>
      <w:b/>
      <w:bCs/>
      <w:kern w:val="2"/>
      <w:sz w:val="32"/>
      <w:szCs w:val="32"/>
    </w:rPr>
  </w:style>
  <w:style w:type="paragraph" w:styleId="NormalIndent">
    <w:name w:val="Normal Indent"/>
    <w:basedOn w:val="Normal"/>
    <w:unhideWhenUsed/>
    <w:pPr>
      <w:ind w:firstLine="420"/>
    </w:pPr>
    <w:rPr>
      <w:szCs w:val="20"/>
    </w:rPr>
  </w:style>
  <w:style w:type="character" w:customStyle="1" w:styleId="4">
    <w:name w:val="标题 4 字符"/>
    <w:link w:val="Heading4"/>
    <w:rPr>
      <w:rFonts w:ascii="Arial" w:eastAsia="黑体" w:hAnsi="Arial"/>
      <w:b/>
      <w:bCs/>
      <w:kern w:val="2"/>
      <w:sz w:val="28"/>
      <w:szCs w:val="28"/>
    </w:rPr>
  </w:style>
  <w:style w:type="paragraph" w:styleId="NoteHeading">
    <w:name w:val="Note Heading"/>
    <w:basedOn w:val="Normal"/>
    <w:next w:val="Normal"/>
    <w:qFormat/>
    <w:pPr>
      <w:jc w:val="center"/>
    </w:pPr>
  </w:style>
  <w:style w:type="paragraph" w:styleId="ListBullet">
    <w:name w:val="List Bullet"/>
    <w:basedOn w:val="Normal"/>
    <w:pPr>
      <w:numPr>
        <w:ilvl w:val="0"/>
        <w:numId w:val="1"/>
      </w:numPr>
      <w:tabs>
        <w:tab w:val="left" w:pos="360"/>
      </w:tabs>
      <w:contextualSpacing/>
    </w:pPr>
  </w:style>
  <w:style w:type="paragraph" w:styleId="DocumentMap">
    <w:name w:val="Document Map"/>
    <w:basedOn w:val="Normal"/>
    <w:link w:val="a0"/>
    <w:rPr>
      <w:rFonts w:ascii="宋体"/>
      <w:sz w:val="18"/>
      <w:szCs w:val="18"/>
    </w:rPr>
  </w:style>
  <w:style w:type="character" w:customStyle="1" w:styleId="a0">
    <w:name w:val="文档结构图 字符"/>
    <w:link w:val="DocumentMap"/>
    <w:rPr>
      <w:rFonts w:ascii="宋体"/>
      <w:kern w:val="2"/>
      <w:sz w:val="18"/>
      <w:szCs w:val="18"/>
    </w:rPr>
  </w:style>
  <w:style w:type="paragraph" w:styleId="BodyTextIndent">
    <w:name w:val="Body Text Indent"/>
    <w:basedOn w:val="Normal"/>
    <w:pPr>
      <w:ind w:left="2310"/>
    </w:pPr>
    <w:rPr>
      <w:sz w:val="24"/>
      <w:szCs w:val="20"/>
    </w:rPr>
  </w:style>
  <w:style w:type="paragraph" w:styleId="List2">
    <w:name w:val="List 2"/>
    <w:basedOn w:val="Normal"/>
    <w:pPr>
      <w:ind w:left="840" w:hanging="420"/>
    </w:pPr>
    <w:rPr>
      <w:sz w:val="30"/>
      <w:szCs w:val="20"/>
    </w:rPr>
  </w:style>
  <w:style w:type="paragraph" w:styleId="TOC3">
    <w:name w:val="toc 3"/>
    <w:basedOn w:val="Normal"/>
    <w:next w:val="Normal"/>
    <w:uiPriority w:val="39"/>
    <w:qFormat/>
    <w:pPr>
      <w:ind w:left="840" w:leftChars="400"/>
    </w:pPr>
  </w:style>
  <w:style w:type="paragraph" w:styleId="PlainText">
    <w:name w:val="Plain Text"/>
    <w:basedOn w:val="Normal"/>
    <w:link w:val="a1"/>
    <w:rPr>
      <w:rFonts w:ascii="宋体" w:hAnsi="Courier New" w:hint="eastAsia"/>
      <w:szCs w:val="20"/>
    </w:rPr>
  </w:style>
  <w:style w:type="character" w:customStyle="1" w:styleId="a1">
    <w:name w:val="纯文本 字符"/>
    <w:link w:val="PlainText"/>
    <w:rPr>
      <w:rFonts w:ascii="宋体" w:eastAsia="宋体" w:hAnsi="Courier New"/>
      <w:kern w:val="2"/>
      <w:sz w:val="21"/>
      <w:lang w:val="en-US" w:eastAsia="zh-CN" w:bidi="ar-SA"/>
    </w:rPr>
  </w:style>
  <w:style w:type="paragraph" w:styleId="Date">
    <w:name w:val="Date"/>
    <w:basedOn w:val="Normal"/>
    <w:next w:val="Normal"/>
    <w:link w:val="a2"/>
    <w:pPr>
      <w:ind w:left="100" w:leftChars="2500"/>
    </w:pPr>
    <w:rPr>
      <w:sz w:val="30"/>
    </w:rPr>
  </w:style>
  <w:style w:type="character" w:customStyle="1" w:styleId="a2">
    <w:name w:val="日期 字符"/>
    <w:link w:val="Date"/>
    <w:rPr>
      <w:kern w:val="2"/>
      <w:sz w:val="30"/>
      <w:szCs w:val="24"/>
    </w:rPr>
  </w:style>
  <w:style w:type="paragraph" w:styleId="BodyTextIndent2">
    <w:name w:val="Body Text Indent 2"/>
    <w:basedOn w:val="Normal"/>
    <w:pPr>
      <w:ind w:left="420" w:firstLine="560" w:leftChars="200" w:firstLineChars="200"/>
    </w:pPr>
    <w:rPr>
      <w:rFonts w:ascii="宋体" w:hAnsi="宋体"/>
      <w:sz w:val="28"/>
      <w:szCs w:val="21"/>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link w:val="a3"/>
    <w:pPr>
      <w:pBdr>
        <w:bottom w:val="single" w:sz="6" w:space="1" w:color="auto"/>
      </w:pBdr>
      <w:tabs>
        <w:tab w:val="center" w:pos="4153"/>
        <w:tab w:val="right" w:pos="8306"/>
      </w:tabs>
      <w:snapToGrid w:val="0"/>
      <w:jc w:val="center"/>
    </w:pPr>
    <w:rPr>
      <w:sz w:val="18"/>
      <w:szCs w:val="18"/>
    </w:rPr>
  </w:style>
  <w:style w:type="character" w:customStyle="1" w:styleId="a3">
    <w:name w:val="页眉 字符"/>
    <w:link w:val="Header"/>
    <w:rPr>
      <w:kern w:val="2"/>
      <w:sz w:val="18"/>
      <w:szCs w:val="18"/>
    </w:rPr>
  </w:style>
  <w:style w:type="paragraph" w:styleId="TOC1">
    <w:name w:val="toc 1"/>
    <w:basedOn w:val="Normal"/>
    <w:next w:val="Normal"/>
    <w:qFormat/>
    <w:pPr>
      <w:tabs>
        <w:tab w:val="right" w:leader="dot" w:pos="9594"/>
      </w:tabs>
      <w:jc w:val="center"/>
    </w:pPr>
    <w:rPr>
      <w:rFonts w:ascii="仿宋_GB2312" w:eastAsia="仿宋_GB2312"/>
      <w:b/>
      <w:sz w:val="32"/>
      <w:szCs w:val="32"/>
    </w:rPr>
  </w:style>
  <w:style w:type="paragraph" w:styleId="Subtitle">
    <w:name w:val="Subtitle"/>
    <w:basedOn w:val="Normal"/>
    <w:next w:val="Normal"/>
    <w:link w:val="a4"/>
    <w:qFormat/>
    <w:pPr>
      <w:spacing w:before="240" w:after="60" w:line="312" w:lineRule="auto"/>
      <w:jc w:val="center"/>
      <w:outlineLvl w:val="1"/>
    </w:pPr>
    <w:rPr>
      <w:rFonts w:ascii="Cambria" w:hAnsi="Cambria" w:cs="Times New Roman"/>
      <w:b/>
      <w:bCs/>
      <w:kern w:val="28"/>
      <w:sz w:val="32"/>
      <w:szCs w:val="32"/>
    </w:rPr>
  </w:style>
  <w:style w:type="character" w:customStyle="1" w:styleId="a4">
    <w:name w:val="副标题 字符"/>
    <w:link w:val="Subtitle"/>
    <w:rPr>
      <w:rFonts w:ascii="Cambria" w:hAnsi="Cambria" w:cs="Times New Roman"/>
      <w:b/>
      <w:bCs/>
      <w:kern w:val="28"/>
      <w:sz w:val="32"/>
      <w:szCs w:val="32"/>
    </w:rPr>
  </w:style>
  <w:style w:type="paragraph" w:styleId="BodyTextIndent3">
    <w:name w:val="Body Text Indent 3"/>
    <w:basedOn w:val="Normal"/>
    <w:pPr>
      <w:ind w:firstLine="560" w:firstLineChars="200"/>
    </w:pPr>
    <w:rPr>
      <w:sz w:val="28"/>
      <w:szCs w:val="21"/>
    </w:rPr>
  </w:style>
  <w:style w:type="paragraph" w:styleId="TOC2">
    <w:name w:val="toc 2"/>
    <w:basedOn w:val="Normal"/>
    <w:next w:val="Normal"/>
    <w:uiPriority w:val="39"/>
    <w:qFormat/>
    <w:pPr>
      <w:ind w:left="420" w:leftChars="200"/>
    </w:pPr>
  </w:style>
  <w:style w:type="paragraph" w:styleId="BodyText2">
    <w:name w:val="Body Text 2"/>
    <w:basedOn w:val="Normal"/>
    <w:link w:val="20"/>
    <w:pPr>
      <w:widowControl/>
      <w:adjustRightInd w:val="0"/>
      <w:snapToGrid w:val="0"/>
      <w:spacing w:line="300" w:lineRule="exact"/>
      <w:jc w:val="left"/>
    </w:pPr>
    <w:rPr>
      <w:rFonts w:ascii="宋体" w:hAnsi="宋体"/>
      <w:color w:val="000000"/>
      <w:kern w:val="0"/>
      <w:sz w:val="24"/>
      <w:szCs w:val="20"/>
    </w:rPr>
  </w:style>
  <w:style w:type="character" w:customStyle="1" w:styleId="20">
    <w:name w:val="正文文本 2 字符"/>
    <w:link w:val="BodyText2"/>
    <w:rPr>
      <w:rFonts w:ascii="宋体" w:hAnsi="宋体"/>
      <w:color w:val="000000"/>
      <w:sz w:val="24"/>
    </w:r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rPr>
  </w:style>
  <w:style w:type="paragraph" w:styleId="BodyTextFirstIndent">
    <w:name w:val="Body Text First Indent"/>
    <w:basedOn w:val="BodyText"/>
    <w:link w:val="a5"/>
    <w:pPr>
      <w:ind w:firstLine="420" w:firstLineChars="100"/>
    </w:pPr>
  </w:style>
  <w:style w:type="character" w:customStyle="1" w:styleId="a5">
    <w:name w:val="正文首行缩进 字符"/>
    <w:link w:val="BodyTextFirstIndent"/>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PageNumber">
    <w:name w:val="page number"/>
  </w:style>
  <w:style w:type="character" w:styleId="FollowedHyperlink">
    <w:name w:val="FollowedHyperlink"/>
    <w:unhideWhenUsed/>
    <w:rPr>
      <w:color w:val="800080"/>
      <w:u w:val="single"/>
    </w:rPr>
  </w:style>
  <w:style w:type="character" w:styleId="Emphasis">
    <w:name w:val="Emphasis"/>
    <w:qFormat/>
    <w:rPr>
      <w:i/>
      <w:iCs/>
    </w:rPr>
  </w:style>
  <w:style w:type="character" w:styleId="Hyperlink">
    <w:name w:val="Hyperlink"/>
    <w:unhideWhenUsed/>
    <w:rPr>
      <w:color w:val="0000FF"/>
      <w:u w:val="single"/>
    </w:rPr>
  </w:style>
  <w:style w:type="character" w:customStyle="1" w:styleId="font81">
    <w:name w:val="font81"/>
    <w:rPr>
      <w:rFonts w:ascii="宋体" w:eastAsia="宋体" w:hAnsi="宋体" w:cs="宋体" w:hint="eastAsia"/>
      <w:color w:val="000000"/>
      <w:sz w:val="20"/>
      <w:szCs w:val="20"/>
      <w:u w:val="none"/>
      <w:vertAlign w:val="superscript"/>
    </w:rPr>
  </w:style>
  <w:style w:type="character" w:customStyle="1" w:styleId="Char1">
    <w:name w:val="文档结构图 Char1"/>
    <w:rPr>
      <w:rFonts w:ascii="宋体"/>
      <w:kern w:val="2"/>
      <w:sz w:val="18"/>
      <w:szCs w:val="18"/>
    </w:rPr>
  </w:style>
  <w:style w:type="character" w:customStyle="1" w:styleId="a6">
    <w:name w:val="图表 字符"/>
    <w:link w:val="a7"/>
    <w:rPr>
      <w:rFonts w:ascii="仿宋_GB2312" w:eastAsia="仿宋_GB2312" w:hAnsi="宋体"/>
      <w:sz w:val="24"/>
      <w:szCs w:val="24"/>
    </w:rPr>
  </w:style>
  <w:style w:type="paragraph" w:customStyle="1" w:styleId="a7">
    <w:name w:val="图表"/>
    <w:basedOn w:val="Normal"/>
    <w:link w:val="a6"/>
    <w:qFormat/>
    <w:pPr>
      <w:widowControl/>
      <w:jc w:val="center"/>
    </w:pPr>
    <w:rPr>
      <w:rFonts w:ascii="仿宋_GB2312" w:eastAsia="仿宋_GB2312" w:hAnsi="宋体"/>
      <w:kern w:val="0"/>
      <w:sz w:val="24"/>
    </w:rPr>
  </w:style>
  <w:style w:type="character" w:customStyle="1" w:styleId="font51">
    <w:name w:val="font51"/>
    <w:rPr>
      <w:rFonts w:ascii="宋体" w:eastAsia="宋体" w:hAnsi="宋体" w:cs="宋体" w:hint="eastAsia"/>
      <w:color w:val="000000"/>
      <w:sz w:val="20"/>
      <w:szCs w:val="20"/>
      <w:u w:val="none"/>
    </w:rPr>
  </w:style>
  <w:style w:type="character" w:customStyle="1" w:styleId="font41">
    <w:name w:val="font41"/>
    <w:rPr>
      <w:rFonts w:ascii="宋体" w:eastAsia="宋体" w:hAnsi="宋体" w:cs="宋体" w:hint="eastAsia"/>
      <w:color w:val="000000"/>
      <w:sz w:val="24"/>
      <w:szCs w:val="24"/>
      <w:u w:val="none"/>
    </w:rPr>
  </w:style>
  <w:style w:type="character" w:customStyle="1" w:styleId="Char">
    <w:name w:val="表格 Char"/>
    <w:link w:val="a8"/>
    <w:rPr>
      <w:rFonts w:ascii="仿宋_GB2312" w:eastAsia="仿宋_GB2312" w:hAnsi="宋体"/>
      <w:b/>
      <w:kern w:val="2"/>
      <w:sz w:val="24"/>
      <w:szCs w:val="24"/>
    </w:rPr>
  </w:style>
  <w:style w:type="paragraph" w:customStyle="1" w:styleId="a8">
    <w:name w:val="表格"/>
    <w:basedOn w:val="Normal"/>
    <w:next w:val="Normal"/>
    <w:link w:val="Char"/>
    <w:qFormat/>
    <w:pPr>
      <w:jc w:val="center"/>
    </w:pPr>
    <w:rPr>
      <w:rFonts w:ascii="仿宋_GB2312" w:eastAsia="仿宋_GB2312" w:hAnsi="宋体"/>
      <w:b/>
      <w:sz w:val="24"/>
    </w:rPr>
  </w:style>
  <w:style w:type="character" w:customStyle="1" w:styleId="1Char">
    <w:name w:val="表格1 Char"/>
    <w:link w:val="1"/>
    <w:rPr>
      <w:rFonts w:ascii="宋体" w:hAnsi="宋体"/>
      <w:color w:val="000000"/>
      <w:kern w:val="2"/>
      <w:sz w:val="21"/>
    </w:rPr>
  </w:style>
  <w:style w:type="paragraph" w:customStyle="1" w:styleId="1">
    <w:name w:val="表格1"/>
    <w:basedOn w:val="Normal"/>
    <w:link w:val="1Char"/>
    <w:qFormat/>
    <w:pPr>
      <w:jc w:val="center"/>
    </w:pPr>
    <w:rPr>
      <w:rFonts w:ascii="宋体" w:hAnsi="宋体"/>
      <w:color w:val="000000"/>
      <w:szCs w:val="20"/>
    </w:rPr>
  </w:style>
  <w:style w:type="character" w:customStyle="1" w:styleId="14-66-2">
    <w:name w:val="14-6/6-2题"/>
    <w:rPr>
      <w:spacing w:val="0"/>
      <w:kern w:val="28"/>
      <w:position w:val="-4"/>
      <w:sz w:val="15"/>
    </w:rPr>
  </w:style>
  <w:style w:type="character" w:customStyle="1" w:styleId="-xuChar">
    <w:name w:val="正文-xu Char"/>
    <w:link w:val="-xu"/>
    <w:rPr>
      <w:rFonts w:ascii="宋体" w:hAnsi="宋体"/>
      <w:color w:val="000000"/>
      <w:sz w:val="24"/>
      <w:szCs w:val="24"/>
    </w:rPr>
  </w:style>
  <w:style w:type="paragraph" w:customStyle="1" w:styleId="-xu">
    <w:name w:val="正文-xu"/>
    <w:basedOn w:val="Normal"/>
    <w:link w:val="-xuChar"/>
    <w:qFormat/>
    <w:pPr>
      <w:adjustRightInd w:val="0"/>
      <w:snapToGrid w:val="0"/>
      <w:spacing w:line="360" w:lineRule="auto"/>
      <w:ind w:firstLine="480" w:firstLineChars="200"/>
    </w:pPr>
    <w:rPr>
      <w:rFonts w:ascii="宋体" w:hAnsi="宋体"/>
      <w:color w:val="000000"/>
      <w:kern w:val="0"/>
      <w:sz w:val="24"/>
    </w:rPr>
  </w:style>
  <w:style w:type="character" w:customStyle="1" w:styleId="Char0">
    <w:name w:val="表名 Char"/>
    <w:link w:val="a9"/>
    <w:rPr>
      <w:rFonts w:ascii="宋体" w:hAnsi="宋体" w:cs="宋体"/>
      <w:b/>
      <w:kern w:val="2"/>
      <w:sz w:val="21"/>
    </w:rPr>
  </w:style>
  <w:style w:type="paragraph" w:customStyle="1" w:styleId="a9">
    <w:name w:val="表名"/>
    <w:basedOn w:val="Normal"/>
    <w:link w:val="Char0"/>
    <w:pPr>
      <w:spacing w:before="50" w:beforeLines="50" w:line="360" w:lineRule="auto"/>
      <w:jc w:val="center"/>
    </w:pPr>
    <w:rPr>
      <w:rFonts w:ascii="宋体" w:hAnsi="宋体" w:cs="宋体"/>
      <w:b/>
      <w:szCs w:val="20"/>
    </w:rPr>
  </w:style>
  <w:style w:type="character" w:customStyle="1" w:styleId="a10">
    <w:name w:val="图表标题 字符"/>
    <w:link w:val="a11"/>
    <w:rPr>
      <w:rFonts w:ascii="仿宋_GB2312" w:eastAsia="仿宋_GB2312" w:hAnsi="宋体"/>
      <w:b/>
      <w:iCs/>
      <w:kern w:val="2"/>
      <w:sz w:val="24"/>
      <w:szCs w:val="24"/>
    </w:rPr>
  </w:style>
  <w:style w:type="paragraph" w:customStyle="1" w:styleId="a11">
    <w:name w:val="图表标题"/>
    <w:basedOn w:val="Normal"/>
    <w:next w:val="Normal"/>
    <w:link w:val="a10"/>
    <w:qFormat/>
    <w:pPr>
      <w:spacing w:line="360" w:lineRule="auto"/>
      <w:ind w:firstLine="200" w:firstLineChars="200"/>
      <w:jc w:val="center"/>
    </w:pPr>
    <w:rPr>
      <w:rFonts w:ascii="仿宋_GB2312" w:eastAsia="仿宋_GB2312" w:hAnsi="宋体"/>
      <w:b/>
      <w:iCs/>
      <w:sz w:val="24"/>
    </w:rPr>
  </w:style>
  <w:style w:type="character" w:customStyle="1" w:styleId="font21">
    <w:name w:val="font21"/>
    <w:rPr>
      <w:rFonts w:ascii="宋体" w:eastAsia="宋体" w:hAnsi="宋体" w:cs="宋体" w:hint="eastAsia"/>
      <w:i w:val="0"/>
      <w:color w:val="000000"/>
      <w:sz w:val="24"/>
      <w:szCs w:val="24"/>
      <w:u w:val="none"/>
    </w:rPr>
  </w:style>
  <w:style w:type="character" w:customStyle="1" w:styleId="CharChar1">
    <w:name w:val=" Char Char1"/>
    <w:semiHidden/>
    <w:locked/>
    <w:rPr>
      <w:rFonts w:ascii="宋体" w:hAnsi="Courier New"/>
      <w:kern w:val="2"/>
      <w:sz w:val="21"/>
    </w:rPr>
  </w:style>
  <w:style w:type="character" w:customStyle="1" w:styleId="font61">
    <w:name w:val="font61"/>
    <w:qFormat/>
    <w:rPr>
      <w:rFonts w:ascii="宋体" w:eastAsia="宋体" w:hAnsi="宋体" w:cs="宋体" w:hint="eastAsia"/>
      <w:color w:val="000000"/>
      <w:sz w:val="22"/>
      <w:szCs w:val="22"/>
      <w:u w:val="none"/>
      <w:vertAlign w:val="superscript"/>
    </w:rPr>
  </w:style>
  <w:style w:type="character" w:customStyle="1" w:styleId="font31">
    <w:name w:val="font31"/>
    <w:rPr>
      <w:rFonts w:ascii="宋体" w:eastAsia="宋体" w:hAnsi="宋体" w:cs="宋体" w:hint="eastAsia"/>
      <w:color w:val="000000"/>
      <w:sz w:val="22"/>
      <w:szCs w:val="22"/>
      <w:u w:val="none"/>
    </w:rPr>
  </w:style>
  <w:style w:type="character" w:customStyle="1" w:styleId="font71">
    <w:name w:val="font71"/>
    <w:rPr>
      <w:rFonts w:ascii="宋体" w:eastAsia="宋体" w:hAnsi="宋体" w:cs="宋体" w:hint="eastAsia"/>
      <w:color w:val="000000"/>
      <w:sz w:val="20"/>
      <w:szCs w:val="20"/>
      <w:u w:val="none"/>
      <w:vertAlign w:val="superscript"/>
    </w:rPr>
  </w:style>
  <w:style w:type="character" w:customStyle="1" w:styleId="Char2">
    <w:name w:val="表格内文 Char"/>
    <w:link w:val="a12"/>
    <w:rPr>
      <w:kern w:val="2"/>
      <w:sz w:val="21"/>
    </w:rPr>
  </w:style>
  <w:style w:type="paragraph" w:customStyle="1" w:styleId="a12">
    <w:name w:val="表格内文"/>
    <w:basedOn w:val="Normal"/>
    <w:link w:val="Char2"/>
    <w:qFormat/>
    <w:pPr>
      <w:jc w:val="center"/>
    </w:pPr>
    <w:rPr>
      <w:szCs w:val="20"/>
    </w:rPr>
  </w:style>
  <w:style w:type="character" w:customStyle="1" w:styleId="1Char0">
    <w:name w:val="正文1 Char"/>
    <w:aliases w:val="ALT+Z Char,Normal Indent Char,ÕýÎÄ1 Char,四号 Char,文本 Char,正文不缩进 Char,正文（首行缩进两字） Char Char Char,正文（首行缩进两字） Char Char1,正文（首行缩进两字） Char1,段1 Char,水上软件 Char,特点 Char Char,特点 Char1,表后文 Char,表正文 Char,首缩两字 Char,首行缩进两字 Char"/>
    <w:link w:val="10"/>
    <w:rPr>
      <w:kern w:val="2"/>
      <w:sz w:val="24"/>
      <w:szCs w:val="28"/>
    </w:rPr>
  </w:style>
  <w:style w:type="paragraph" w:customStyle="1" w:styleId="10">
    <w:name w:val="正文1"/>
    <w:basedOn w:val="Normal"/>
    <w:link w:val="1Char0"/>
    <w:qFormat/>
    <w:pPr>
      <w:spacing w:line="360" w:lineRule="auto"/>
      <w:ind w:firstLine="560" w:firstLineChars="200"/>
    </w:pPr>
    <w:rPr>
      <w:sz w:val="24"/>
      <w:szCs w:val="28"/>
    </w:rPr>
  </w:style>
  <w:style w:type="character" w:customStyle="1" w:styleId="12-56-1">
    <w:name w:val="12-5/6-1文"/>
    <w:rPr>
      <w:kern w:val="28"/>
      <w:position w:val="-2"/>
      <w:sz w:val="15"/>
    </w:rPr>
  </w:style>
  <w:style w:type="character" w:customStyle="1" w:styleId="Char13">
    <w:name w:val="纯文本 Char1"/>
    <w:aliases w:val="普通文字 Char Char Char,普通文字 Char Char Char Char Char Char Char Char Char,普通文字 Char Char1,纯文本 Char Char,纯文本 Char Char Char Char Char Char,纯文本 Char Char Char Char Char1,纯文本 Char Char Char Char1,纯文本1 Char"/>
    <w:rPr>
      <w:rFonts w:ascii="宋体" w:hAnsi="Courier New"/>
      <w:kern w:val="2"/>
      <w:sz w:val="21"/>
    </w:rPr>
  </w:style>
  <w:style w:type="character" w:customStyle="1" w:styleId="a13">
    <w:name w:val="列出段落 字符"/>
    <w:link w:val="ListParagraph"/>
    <w:locked/>
    <w:rPr>
      <w:rFonts w:ascii="Tahoma" w:eastAsia="微软雅黑" w:hAnsi="Tahoma" w:cs="宋体"/>
      <w:sz w:val="22"/>
      <w:szCs w:val="22"/>
    </w:rPr>
  </w:style>
  <w:style w:type="paragraph" w:styleId="ListParagraph">
    <w:name w:val="List Paragraph"/>
    <w:basedOn w:val="Normal"/>
    <w:link w:val="a13"/>
    <w:qFormat/>
    <w:pPr>
      <w:widowControl/>
      <w:adjustRightInd w:val="0"/>
      <w:snapToGrid w:val="0"/>
      <w:spacing w:after="200"/>
      <w:ind w:firstLine="420" w:firstLineChars="200"/>
      <w:jc w:val="left"/>
    </w:pPr>
    <w:rPr>
      <w:rFonts w:ascii="Tahoma" w:eastAsia="微软雅黑" w:hAnsi="Tahoma" w:cs="宋体"/>
      <w:kern w:val="0"/>
      <w:sz w:val="22"/>
      <w:szCs w:val="22"/>
    </w:rPr>
  </w:style>
  <w:style w:type="paragraph" w:styleId="TOCHeading">
    <w:name w:val="TOC Heading"/>
    <w:basedOn w:val="Heading1"/>
    <w:next w:val="Normal"/>
    <w:uiPriority w:val="39"/>
    <w:qFormat/>
    <w:pPr>
      <w:keepLines/>
      <w:widowControl/>
      <w:spacing w:before="480" w:line="276" w:lineRule="auto"/>
      <w:jc w:val="left"/>
      <w:outlineLvl w:val="9"/>
    </w:pPr>
    <w:rPr>
      <w:rFonts w:ascii="Cambria" w:eastAsia="宋体" w:hAnsi="Cambria" w:cs="Times New Roman"/>
      <w:b/>
      <w:bCs/>
      <w:color w:val="365F91"/>
      <w:kern w:val="0"/>
      <w:szCs w:val="28"/>
    </w:rPr>
  </w:style>
  <w:style w:type="paragraph" w:customStyle="1" w:styleId="xl92">
    <w:name w:val="xl9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xl164">
    <w:name w:val="xl164"/>
    <w:basedOn w:val="Normal"/>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仿宋_GB2312" w:eastAsia="仿宋_GB2312" w:hAnsi="Arial Unicode MS" w:hint="eastAsia"/>
      <w:kern w:val="0"/>
      <w:szCs w:val="20"/>
    </w:rPr>
  </w:style>
  <w:style w:type="paragraph" w:customStyle="1" w:styleId="xl93">
    <w:name w:val="xl9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宋体"/>
      <w:kern w:val="0"/>
      <w:sz w:val="20"/>
      <w:szCs w:val="20"/>
    </w:rPr>
  </w:style>
  <w:style w:type="paragraph" w:customStyle="1" w:styleId="xl111">
    <w:name w:val="xl11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6">
    <w:name w:val="xl146"/>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CharCharCharChar">
    <w:name w:val="3 Char Char Char Char"/>
    <w:basedOn w:val="Normal"/>
    <w:pPr>
      <w:spacing w:before="50" w:beforeLines="50" w:after="50" w:afterLines="50"/>
      <w:ind w:firstLine="200" w:firstLineChars="200"/>
    </w:pPr>
    <w:rPr>
      <w:rFonts w:ascii="宋体" w:hAnsi="宋体" w:cs="Courier New"/>
      <w:spacing w:val="-2"/>
      <w:sz w:val="22"/>
      <w:szCs w:val="32"/>
    </w:rPr>
  </w:style>
  <w:style w:type="paragraph" w:customStyle="1" w:styleId="xl76">
    <w:name w:val="xl76"/>
    <w:basedOn w:val="Normal"/>
    <w:pPr>
      <w:widowControl/>
      <w:spacing w:before="100" w:beforeAutospacing="1" w:after="100" w:afterAutospacing="1"/>
      <w:jc w:val="left"/>
      <w:textAlignment w:val="center"/>
    </w:pPr>
    <w:rPr>
      <w:rFonts w:ascii="仿宋_GB2312" w:eastAsia="仿宋_GB2312" w:hAnsi="宋体" w:cs="宋体"/>
      <w:color w:val="FF0000"/>
      <w:kern w:val="0"/>
      <w:sz w:val="20"/>
      <w:szCs w:val="20"/>
    </w:rPr>
  </w:style>
  <w:style w:type="paragraph" w:customStyle="1" w:styleId="xl163">
    <w:name w:val="xl163"/>
    <w:basedOn w:val="Normal"/>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20">
    <w:name w:val="xl12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53">
    <w:name w:val="xl153"/>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1">
    <w:name w:val="样式 标题 1 + 黑体 四号 非加粗 居中"/>
    <w:basedOn w:val="Heading1"/>
    <w:qFormat/>
    <w:pPr>
      <w:snapToGrid w:val="0"/>
      <w:spacing w:line="360" w:lineRule="auto"/>
      <w:jc w:val="center"/>
    </w:pPr>
    <w:rPr>
      <w:rFonts w:ascii="黑体" w:hAnsi="黑体" w:cs="宋体"/>
      <w:bCs w:val="0"/>
      <w:sz w:val="30"/>
      <w:szCs w:val="20"/>
    </w:rPr>
  </w:style>
  <w:style w:type="paragraph" w:customStyle="1" w:styleId="xl162">
    <w:name w:val="xl162"/>
    <w:basedOn w:val="Normal"/>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67">
    <w:name w:val="xl167"/>
    <w:basedOn w:val="Normal"/>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10">
    <w:name w:val="xl11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37">
    <w:name w:val="xl37"/>
    <w:basedOn w:val="Normal"/>
    <w:pPr>
      <w:widowControl/>
      <w:pBdr>
        <w:bottom w:val="single" w:sz="4" w:space="0" w:color="auto"/>
      </w:pBdr>
      <w:spacing w:before="100" w:beforeAutospacing="1" w:after="100" w:afterAutospacing="1"/>
      <w:jc w:val="left"/>
    </w:pPr>
    <w:rPr>
      <w:rFonts w:ascii="Arial Unicode MS" w:eastAsia="Arial Unicode MS" w:hAnsi="Arial Unicode MS"/>
      <w:kern w:val="0"/>
      <w:sz w:val="24"/>
      <w:szCs w:val="20"/>
    </w:rPr>
  </w:style>
  <w:style w:type="paragraph" w:customStyle="1" w:styleId="xl177">
    <w:name w:val="xl177"/>
    <w:basedOn w:val="Normal"/>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73">
    <w:name w:val="xl173"/>
    <w:basedOn w:val="Normal"/>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xl35">
    <w:name w:val="xl35"/>
    <w:basedOn w:val="Normal"/>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xl170">
    <w:name w:val="xl170"/>
    <w:basedOn w:val="Normal"/>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xl78">
    <w:name w:val="xl78"/>
    <w:basedOn w:val="Normal"/>
    <w:pPr>
      <w:widowControl/>
      <w:spacing w:before="100" w:beforeAutospacing="1" w:after="100" w:afterAutospacing="1"/>
      <w:jc w:val="left"/>
      <w:textAlignment w:val="center"/>
    </w:pPr>
    <w:rPr>
      <w:rFonts w:ascii="宋体" w:hAnsi="宋体" w:cs="宋体"/>
      <w:kern w:val="0"/>
      <w:sz w:val="24"/>
    </w:rPr>
  </w:style>
  <w:style w:type="paragraph" w:customStyle="1" w:styleId="xl116">
    <w:name w:val="xl116"/>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xl142">
    <w:name w:val="xl142"/>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font6">
    <w:name w:val="font6"/>
    <w:basedOn w:val="Normal"/>
    <w:pPr>
      <w:widowControl/>
      <w:spacing w:before="100" w:beforeAutospacing="1" w:after="100" w:afterAutospacing="1"/>
      <w:jc w:val="left"/>
    </w:pPr>
    <w:rPr>
      <w:rFonts w:ascii="仿宋_GB2312" w:eastAsia="仿宋_GB2312" w:hAnsi="宋体" w:cs="宋体"/>
      <w:kern w:val="0"/>
      <w:sz w:val="20"/>
      <w:szCs w:val="20"/>
    </w:rPr>
  </w:style>
  <w:style w:type="paragraph" w:customStyle="1" w:styleId="xl149">
    <w:name w:val="xl149"/>
    <w:basedOn w:val="Normal"/>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9">
    <w:name w:val="xl15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156">
    <w:name w:val="xl156"/>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31">
    <w:name w:val="xl31"/>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仿宋_GB2312" w:eastAsia="仿宋_GB2312" w:hAnsi="Arial Unicode MS" w:hint="eastAsia"/>
      <w:kern w:val="0"/>
      <w:szCs w:val="20"/>
    </w:rPr>
  </w:style>
  <w:style w:type="paragraph" w:customStyle="1" w:styleId="xl157">
    <w:name w:val="xl157"/>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30">
    <w:name w:val="xl130"/>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9C6500"/>
      <w:kern w:val="0"/>
      <w:sz w:val="24"/>
    </w:rPr>
  </w:style>
  <w:style w:type="paragraph" w:customStyle="1" w:styleId="xl77">
    <w:name w:val="xl77"/>
    <w:basedOn w:val="Normal"/>
    <w:pPr>
      <w:widowControl/>
      <w:spacing w:before="100" w:beforeAutospacing="1" w:after="100" w:afterAutospacing="1"/>
      <w:jc w:val="center"/>
      <w:textAlignment w:val="center"/>
    </w:pPr>
    <w:rPr>
      <w:rFonts w:ascii="仿宋_GB2312" w:eastAsia="仿宋_GB2312" w:hAnsi="宋体" w:cs="宋体"/>
      <w:b/>
      <w:bCs/>
      <w:kern w:val="0"/>
      <w:sz w:val="20"/>
      <w:szCs w:val="20"/>
    </w:rPr>
  </w:style>
  <w:style w:type="paragraph" w:customStyle="1" w:styleId="Char1CharCharCharCharCharChar">
    <w:name w:val=" Char1 Char Char Char Char Char Char"/>
    <w:basedOn w:val="Normal"/>
    <w:rPr>
      <w:sz w:val="30"/>
      <w:szCs w:val="30"/>
    </w:rPr>
  </w:style>
  <w:style w:type="paragraph" w:customStyle="1" w:styleId="xl60">
    <w:name w:val="xl60"/>
    <w:basedOn w:val="Normal"/>
    <w:pPr>
      <w:widowControl/>
      <w:spacing w:before="100" w:beforeAutospacing="1" w:after="100" w:afterAutospacing="1"/>
      <w:jc w:val="center"/>
    </w:pPr>
    <w:rPr>
      <w:rFonts w:ascii="楷体_GB2312" w:eastAsia="楷体_GB2312" w:hAnsi="Arial Unicode MS" w:cs="Arial Unicode MS" w:hint="eastAsia"/>
      <w:kern w:val="0"/>
      <w:sz w:val="28"/>
      <w:szCs w:val="28"/>
    </w:rPr>
  </w:style>
  <w:style w:type="paragraph" w:customStyle="1" w:styleId="xl187">
    <w:name w:val="xl187"/>
    <w:basedOn w:val="Normal"/>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83">
    <w:name w:val="xl183"/>
    <w:basedOn w:val="Normal"/>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65">
    <w:name w:val="xl165"/>
    <w:basedOn w:val="Normal"/>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98">
    <w:name w:val="xl98"/>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3Char">
    <w:name w:val="3 Char"/>
    <w:basedOn w:val="Normal"/>
    <w:pPr>
      <w:spacing w:before="50" w:beforeLines="50" w:after="50" w:afterLines="50"/>
      <w:ind w:firstLine="200" w:firstLineChars="200"/>
    </w:pPr>
    <w:rPr>
      <w:rFonts w:ascii="宋体" w:hAnsi="宋体" w:cs="Courier New"/>
      <w:spacing w:val="-2"/>
      <w:sz w:val="22"/>
      <w:szCs w:val="32"/>
    </w:rPr>
  </w:style>
  <w:style w:type="paragraph" w:customStyle="1" w:styleId="xl160">
    <w:name w:val="xl160"/>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CharCharCharCharCharCharChar">
    <w:name w:val=" Char Char Char Char Char Char Char"/>
    <w:basedOn w:val="Normal"/>
    <w:pPr>
      <w:spacing w:line="360" w:lineRule="auto"/>
    </w:pPr>
    <w:rPr>
      <w:spacing w:val="6"/>
      <w:sz w:val="28"/>
    </w:rPr>
  </w:style>
  <w:style w:type="paragraph" w:customStyle="1" w:styleId="font8">
    <w:name w:val="font8"/>
    <w:basedOn w:val="Normal"/>
    <w:pPr>
      <w:widowControl/>
      <w:spacing w:before="100" w:beforeAutospacing="1" w:after="100" w:afterAutospacing="1"/>
      <w:jc w:val="left"/>
    </w:pPr>
    <w:rPr>
      <w:rFonts w:ascii="仿宋_GB2312" w:eastAsia="仿宋_GB2312" w:hAnsi="宋体" w:cs="宋体"/>
      <w:kern w:val="0"/>
      <w:sz w:val="20"/>
      <w:szCs w:val="20"/>
    </w:rPr>
  </w:style>
  <w:style w:type="paragraph" w:customStyle="1" w:styleId="xl176">
    <w:name w:val="xl176"/>
    <w:basedOn w:val="Normal"/>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xl125">
    <w:name w:val="xl12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89">
    <w:name w:val="xl89"/>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font5">
    <w:name w:val="font5"/>
    <w:basedOn w:val="Normal"/>
    <w:pPr>
      <w:widowControl/>
      <w:spacing w:before="100" w:beforeAutospacing="1" w:after="100" w:afterAutospacing="1"/>
      <w:jc w:val="left"/>
    </w:pPr>
    <w:rPr>
      <w:rFonts w:ascii="仿宋_GB2312" w:eastAsia="仿宋_GB2312" w:hAnsi="宋体" w:cs="宋体"/>
      <w:b/>
      <w:bCs/>
      <w:kern w:val="0"/>
      <w:sz w:val="20"/>
      <w:szCs w:val="20"/>
    </w:rPr>
  </w:style>
  <w:style w:type="paragraph" w:customStyle="1" w:styleId="xl108">
    <w:name w:val="xl10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2">
    <w:name w:val="xl152"/>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133">
    <w:name w:val="xl133"/>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9C6500"/>
      <w:kern w:val="0"/>
      <w:sz w:val="24"/>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_GB2312" w:eastAsia="仿宋_GB2312" w:hAnsi="Arial Unicode MS" w:hint="eastAsia"/>
      <w:kern w:val="0"/>
      <w:szCs w:val="20"/>
    </w:rPr>
  </w:style>
  <w:style w:type="paragraph" w:customStyle="1" w:styleId="xl161">
    <w:name w:val="xl161"/>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font10">
    <w:name w:val="font10"/>
    <w:basedOn w:val="Normal"/>
    <w:pPr>
      <w:widowControl/>
      <w:spacing w:before="100" w:beforeAutospacing="1" w:after="100" w:afterAutospacing="1"/>
      <w:jc w:val="left"/>
    </w:pPr>
    <w:rPr>
      <w:rFonts w:ascii="宋体" w:hAnsi="宋体" w:cs="宋体"/>
      <w:color w:val="000000"/>
      <w:kern w:val="0"/>
      <w:sz w:val="20"/>
      <w:szCs w:val="20"/>
    </w:rPr>
  </w:style>
  <w:style w:type="paragraph" w:customStyle="1" w:styleId="a14">
    <w:name w:val="文本"/>
    <w:basedOn w:val="Normal"/>
    <w:pPr>
      <w:widowControl/>
      <w:spacing w:line="360" w:lineRule="auto"/>
      <w:ind w:firstLine="480" w:firstLineChars="200"/>
      <w:jc w:val="left"/>
    </w:pPr>
    <w:rPr>
      <w:rFonts w:ascii="宋体" w:hAnsi="宋体"/>
      <w:color w:val="000000"/>
      <w:kern w:val="0"/>
      <w:sz w:val="24"/>
    </w:rPr>
  </w:style>
  <w:style w:type="paragraph" w:customStyle="1" w:styleId="xl127">
    <w:name w:val="xl127"/>
    <w:basedOn w:val="Normal"/>
    <w:pPr>
      <w:widowControl/>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jc w:val="left"/>
      <w:textAlignment w:val="center"/>
    </w:pPr>
    <w:rPr>
      <w:rFonts w:ascii="宋体" w:hAnsi="宋体" w:cs="宋体"/>
      <w:color w:val="9C6500"/>
      <w:kern w:val="0"/>
      <w:sz w:val="24"/>
    </w:rPr>
  </w:style>
  <w:style w:type="paragraph" w:customStyle="1" w:styleId="xl84">
    <w:name w:val="xl8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宋体"/>
      <w:b/>
      <w:bCs/>
      <w:kern w:val="0"/>
      <w:sz w:val="20"/>
      <w:szCs w:val="20"/>
    </w:rPr>
  </w:style>
  <w:style w:type="paragraph" w:customStyle="1" w:styleId="font11">
    <w:name w:val="font11"/>
    <w:basedOn w:val="Normal"/>
    <w:pPr>
      <w:widowControl/>
      <w:spacing w:before="100" w:beforeAutospacing="1" w:after="100" w:afterAutospacing="1"/>
      <w:jc w:val="left"/>
    </w:pPr>
    <w:rPr>
      <w:rFonts w:ascii="宋体" w:hAnsi="宋体" w:cs="宋体"/>
      <w:color w:val="000000"/>
      <w:kern w:val="0"/>
      <w:szCs w:val="21"/>
    </w:rPr>
  </w:style>
  <w:style w:type="paragraph" w:customStyle="1" w:styleId="UR12-">
    <w:name w:val="UR12-表名"/>
    <w:basedOn w:val="Normal"/>
    <w:pPr>
      <w:spacing w:before="62" w:beforeLines="20" w:after="62" w:afterLines="20" w:line="360" w:lineRule="auto"/>
      <w:jc w:val="center"/>
    </w:pPr>
    <w:rPr>
      <w:rFonts w:ascii="楷体_GB2312" w:eastAsia="楷体_GB2312" w:hAnsi="宋体"/>
      <w:b/>
      <w:sz w:val="24"/>
    </w:rPr>
  </w:style>
  <w:style w:type="paragraph" w:customStyle="1" w:styleId="xl172">
    <w:name w:val="xl172"/>
    <w:basedOn w:val="Normal"/>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a15">
    <w:name w:val="表标题"/>
    <w:basedOn w:val="Normal"/>
    <w:qFormat/>
    <w:pPr>
      <w:wordWrap w:val="0"/>
      <w:adjustRightInd w:val="0"/>
      <w:snapToGrid w:val="0"/>
      <w:spacing w:after="156" w:afterLines="50"/>
      <w:jc w:val="center"/>
    </w:pPr>
    <w:rPr>
      <w:rFonts w:ascii="黑体" w:eastAsia="黑体" w:hAnsi="黑体"/>
      <w:sz w:val="24"/>
    </w:rPr>
  </w:style>
  <w:style w:type="paragraph" w:customStyle="1" w:styleId="font9">
    <w:name w:val="font9"/>
    <w:basedOn w:val="Normal"/>
    <w:pPr>
      <w:widowControl/>
      <w:spacing w:before="100" w:beforeAutospacing="1" w:after="100" w:afterAutospacing="1"/>
      <w:jc w:val="left"/>
    </w:pPr>
    <w:rPr>
      <w:rFonts w:ascii="宋体" w:hAnsi="宋体" w:cs="宋体"/>
      <w:kern w:val="0"/>
      <w:sz w:val="18"/>
      <w:szCs w:val="18"/>
    </w:rPr>
  </w:style>
  <w:style w:type="paragraph" w:customStyle="1" w:styleId="a16">
    <w:name w:val="简单回函地址"/>
    <w:basedOn w:val="Normal"/>
  </w:style>
  <w:style w:type="paragraph" w:customStyle="1" w:styleId="xl91">
    <w:name w:val="xl91"/>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xl168">
    <w:name w:val="xl168"/>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xl26">
    <w:name w:val="xl26"/>
    <w:basedOn w:val="Normal"/>
    <w:pPr>
      <w:widowControl/>
      <w:spacing w:before="100" w:beforeAutospacing="1" w:after="100" w:afterAutospacing="1"/>
      <w:jc w:val="center"/>
    </w:pPr>
    <w:rPr>
      <w:rFonts w:ascii="Arial Unicode MS" w:eastAsia="Arial Unicode MS" w:hAnsi="Arial Unicode MS"/>
      <w:kern w:val="0"/>
      <w:sz w:val="20"/>
      <w:szCs w:val="20"/>
    </w:rPr>
  </w:style>
  <w:style w:type="paragraph" w:customStyle="1" w:styleId="xl73">
    <w:name w:val="xl73"/>
    <w:basedOn w:val="Normal"/>
    <w:pPr>
      <w:widowControl/>
      <w:spacing w:before="100" w:beforeAutospacing="1" w:after="100" w:afterAutospacing="1"/>
      <w:jc w:val="left"/>
      <w:textAlignment w:val="center"/>
    </w:pPr>
    <w:rPr>
      <w:rFonts w:ascii="仿宋_GB2312" w:eastAsia="仿宋_GB2312" w:hAnsi="宋体" w:cs="宋体"/>
      <w:kern w:val="0"/>
      <w:sz w:val="20"/>
      <w:szCs w:val="20"/>
    </w:rPr>
  </w:style>
  <w:style w:type="paragraph" w:customStyle="1" w:styleId="30">
    <w:name w:val="3"/>
    <w:basedOn w:val="Normal"/>
    <w:pPr>
      <w:spacing w:before="50" w:beforeLines="50" w:after="50" w:afterLines="50"/>
      <w:ind w:firstLine="200" w:firstLineChars="200"/>
    </w:pPr>
    <w:rPr>
      <w:rFonts w:ascii="宋体" w:hAnsi="宋体" w:cs="Courier New"/>
      <w:spacing w:val="-2"/>
      <w:sz w:val="22"/>
      <w:szCs w:val="32"/>
    </w:rPr>
  </w:style>
  <w:style w:type="paragraph" w:customStyle="1" w:styleId="xl141">
    <w:name w:val="xl141"/>
    <w:basedOn w:val="Normal"/>
    <w:pPr>
      <w:widowControl/>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jc w:val="center"/>
      <w:textAlignment w:val="center"/>
    </w:pPr>
    <w:rPr>
      <w:rFonts w:ascii="宋体" w:hAnsi="宋体" w:cs="宋体"/>
      <w:color w:val="FF0000"/>
      <w:kern w:val="0"/>
      <w:sz w:val="24"/>
    </w:rPr>
  </w:style>
  <w:style w:type="paragraph" w:customStyle="1" w:styleId="xl117">
    <w:name w:val="xl11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24">
    <w:name w:val="xl12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0">
    <w:name w:val="xl90"/>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xl114">
    <w:name w:val="xl11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26">
    <w:name w:val="xl126"/>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74">
    <w:name w:val="xl74"/>
    <w:basedOn w:val="Normal"/>
    <w:pPr>
      <w:widowControl/>
      <w:shd w:val="clear" w:color="000000" w:fill="92D050"/>
      <w:spacing w:before="100" w:beforeAutospacing="1" w:after="100" w:afterAutospacing="1"/>
      <w:jc w:val="left"/>
      <w:textAlignment w:val="center"/>
    </w:pPr>
    <w:rPr>
      <w:rFonts w:ascii="仿宋_GB2312" w:eastAsia="仿宋_GB2312" w:hAnsi="宋体" w:cs="宋体"/>
      <w:kern w:val="0"/>
      <w:sz w:val="20"/>
      <w:szCs w:val="20"/>
    </w:rPr>
  </w:style>
  <w:style w:type="paragraph" w:customStyle="1" w:styleId="xl99">
    <w:name w:val="xl99"/>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95">
    <w:name w:val="xl9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宋体"/>
      <w:kern w:val="0"/>
      <w:sz w:val="20"/>
      <w:szCs w:val="20"/>
    </w:rPr>
  </w:style>
  <w:style w:type="paragraph" w:customStyle="1" w:styleId="xl140">
    <w:name w:val="xl140"/>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FF0000"/>
      <w:kern w:val="0"/>
      <w:sz w:val="24"/>
    </w:rPr>
  </w:style>
  <w:style w:type="paragraph" w:customStyle="1" w:styleId="xl137">
    <w:name w:val="xl137"/>
    <w:basedOn w:val="Normal"/>
    <w:pPr>
      <w:widowControl/>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jc w:val="left"/>
      <w:textAlignment w:val="center"/>
    </w:pPr>
    <w:rPr>
      <w:rFonts w:ascii="宋体" w:hAnsi="宋体" w:cs="宋体"/>
      <w:color w:val="FF0000"/>
      <w:kern w:val="0"/>
      <w:sz w:val="24"/>
    </w:rPr>
  </w:style>
  <w:style w:type="paragraph" w:customStyle="1" w:styleId="xl38">
    <w:name w:val="xl38"/>
    <w:basedOn w:val="Normal"/>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kern w:val="0"/>
      <w:sz w:val="24"/>
      <w:szCs w:val="20"/>
    </w:rPr>
  </w:style>
  <w:style w:type="paragraph" w:customStyle="1" w:styleId="a17">
    <w:name w:val="南江表格正文"/>
    <w:basedOn w:val="Normal"/>
    <w:pPr>
      <w:adjustRightInd w:val="0"/>
      <w:snapToGrid w:val="0"/>
      <w:jc w:val="center"/>
    </w:pPr>
    <w:rPr>
      <w:color w:val="000000"/>
      <w:szCs w:val="21"/>
    </w:rPr>
  </w:style>
  <w:style w:type="paragraph" w:customStyle="1" w:styleId="font7">
    <w:name w:val="font7"/>
    <w:basedOn w:val="Normal"/>
    <w:pPr>
      <w:widowControl/>
      <w:spacing w:before="100" w:beforeAutospacing="1" w:after="100" w:afterAutospacing="1"/>
      <w:jc w:val="left"/>
    </w:pPr>
    <w:rPr>
      <w:rFonts w:ascii="宋体" w:hAnsi="宋体" w:cs="宋体"/>
      <w:kern w:val="0"/>
      <w:sz w:val="20"/>
      <w:szCs w:val="20"/>
    </w:rPr>
  </w:style>
  <w:style w:type="paragraph" w:customStyle="1" w:styleId="xl105">
    <w:name w:val="xl10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8">
    <w:name w:val="地告正文"/>
    <w:basedOn w:val="Normal"/>
    <w:pPr>
      <w:adjustRightInd w:val="0"/>
      <w:snapToGrid w:val="0"/>
      <w:spacing w:line="620" w:lineRule="atLeast"/>
      <w:ind w:firstLine="200" w:firstLineChars="200"/>
    </w:pPr>
    <w:rPr>
      <w:sz w:val="28"/>
    </w:rPr>
  </w:style>
  <w:style w:type="paragraph" w:customStyle="1" w:styleId="xl169">
    <w:name w:val="xl169"/>
    <w:basedOn w:val="Normal"/>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xl80">
    <w:name w:val="xl80"/>
    <w:basedOn w:val="Normal"/>
    <w:pPr>
      <w:widowControl/>
      <w:spacing w:before="100" w:beforeAutospacing="1" w:after="100" w:afterAutospacing="1"/>
      <w:jc w:val="left"/>
    </w:pPr>
    <w:rPr>
      <w:rFonts w:ascii="仿宋_GB2312" w:eastAsia="仿宋_GB2312" w:hAnsi="宋体" w:cs="宋体"/>
      <w:kern w:val="0"/>
      <w:sz w:val="24"/>
    </w:rPr>
  </w:style>
  <w:style w:type="paragraph" w:customStyle="1" w:styleId="xl179">
    <w:name w:val="xl179"/>
    <w:basedOn w:val="Normal"/>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20">
    <w:name w:val=" Char2"/>
    <w:basedOn w:val="Normal"/>
  </w:style>
  <w:style w:type="paragraph" w:customStyle="1" w:styleId="xl83">
    <w:name w:val="xl83"/>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b/>
      <w:bCs/>
      <w:kern w:val="0"/>
      <w:sz w:val="20"/>
      <w:szCs w:val="20"/>
    </w:rPr>
  </w:style>
  <w:style w:type="paragraph" w:customStyle="1" w:styleId="xl109">
    <w:name w:val="xl10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33">
    <w:name w:val="xl33"/>
    <w:basedOn w:val="Normal"/>
    <w:pPr>
      <w:widowControl/>
      <w:pBdr>
        <w:top w:val="single" w:sz="4" w:space="0" w:color="auto"/>
      </w:pBdr>
      <w:spacing w:before="100" w:beforeAutospacing="1" w:after="100" w:afterAutospacing="1"/>
      <w:jc w:val="left"/>
    </w:pPr>
    <w:rPr>
      <w:rFonts w:ascii="Arial Unicode MS" w:eastAsia="Arial Unicode MS" w:hAnsi="Arial Unicode MS"/>
      <w:kern w:val="0"/>
      <w:sz w:val="24"/>
      <w:szCs w:val="20"/>
    </w:rPr>
  </w:style>
  <w:style w:type="paragraph" w:customStyle="1" w:styleId="xl158">
    <w:name w:val="xl15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xl181">
    <w:name w:val="xl181"/>
    <w:basedOn w:val="Normal"/>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80">
    <w:name w:val="xl180"/>
    <w:basedOn w:val="Normal"/>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75">
    <w:name w:val="xl175"/>
    <w:basedOn w:val="Normal"/>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12">
    <w:name w:val="1"/>
    <w:basedOn w:val="Normal"/>
    <w:next w:val="PlainText"/>
    <w:rPr>
      <w:rFonts w:ascii="宋体" w:hAnsi="Courier New" w:hint="eastAsia"/>
      <w:szCs w:val="20"/>
    </w:rPr>
  </w:style>
  <w:style w:type="paragraph" w:customStyle="1" w:styleId="328">
    <w:name w:val="样式 标题 3 + 小三 行距: 固定值 28 磅"/>
    <w:basedOn w:val="Heading3"/>
    <w:qFormat/>
    <w:pPr>
      <w:keepNext w:val="0"/>
      <w:keepLines w:val="0"/>
      <w:spacing w:before="0" w:after="0" w:line="560" w:lineRule="exact"/>
      <w:jc w:val="left"/>
    </w:pPr>
    <w:rPr>
      <w:rFonts w:ascii="黑体" w:eastAsia="黑体" w:hAnsi="宋体" w:cs="宋体"/>
      <w:sz w:val="28"/>
      <w:szCs w:val="20"/>
    </w:rPr>
  </w:style>
  <w:style w:type="paragraph" w:customStyle="1" w:styleId="xl104">
    <w:name w:val="xl10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31">
    <w:name w:val="xl131"/>
    <w:basedOn w:val="Normal"/>
    <w:pPr>
      <w:widowControl/>
      <w:shd w:val="clear" w:color="000000" w:fill="FFFFFF"/>
      <w:spacing w:before="100" w:beforeAutospacing="1" w:after="100" w:afterAutospacing="1"/>
      <w:jc w:val="left"/>
    </w:pPr>
    <w:rPr>
      <w:rFonts w:ascii="仿宋_GB2312" w:eastAsia="仿宋_GB2312" w:hAnsi="宋体" w:cs="宋体"/>
      <w:kern w:val="0"/>
      <w:sz w:val="24"/>
    </w:rPr>
  </w:style>
  <w:style w:type="paragraph" w:customStyle="1" w:styleId="xl112">
    <w:name w:val="xl11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00">
    <w:name w:val="xl100"/>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a19">
    <w:name w:val="表芯"/>
    <w:basedOn w:val="Normal"/>
    <w:next w:val="Normal"/>
    <w:pPr>
      <w:keepNext/>
      <w:adjustRightInd w:val="0"/>
      <w:spacing w:before="20" w:line="0" w:lineRule="atLeast"/>
      <w:jc w:val="center"/>
      <w:textAlignment w:val="baseline"/>
    </w:pPr>
    <w:rPr>
      <w:kern w:val="21"/>
      <w:szCs w:val="20"/>
    </w:rPr>
  </w:style>
  <w:style w:type="paragraph" w:customStyle="1" w:styleId="ParaChar">
    <w:name w:val="默认段落字体 Para Char"/>
    <w:basedOn w:val="Normal"/>
  </w:style>
  <w:style w:type="paragraph" w:customStyle="1" w:styleId="xl86">
    <w:name w:val="xl86"/>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b/>
      <w:bCs/>
      <w:kern w:val="0"/>
      <w:sz w:val="20"/>
      <w:szCs w:val="20"/>
    </w:rPr>
  </w:style>
  <w:style w:type="paragraph" w:customStyle="1" w:styleId="xl134">
    <w:name w:val="xl134"/>
    <w:basedOn w:val="Normal"/>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xl188">
    <w:name w:val="xl188"/>
    <w:basedOn w:val="Normal"/>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84">
    <w:name w:val="xl184"/>
    <w:basedOn w:val="Normal"/>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43">
    <w:name w:val="xl14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28">
    <w:name w:val="xl128"/>
    <w:basedOn w:val="Normal"/>
    <w:pPr>
      <w:widowControl/>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jc w:val="center"/>
      <w:textAlignment w:val="center"/>
    </w:pPr>
    <w:rPr>
      <w:rFonts w:ascii="宋体" w:hAnsi="宋体" w:cs="宋体"/>
      <w:color w:val="9C6500"/>
      <w:kern w:val="0"/>
      <w:sz w:val="24"/>
    </w:rPr>
  </w:style>
  <w:style w:type="paragraph" w:customStyle="1" w:styleId="xl25">
    <w:name w:val="xl25"/>
    <w:basedOn w:val="Normal"/>
    <w:pPr>
      <w:widowControl/>
      <w:spacing w:before="100" w:beforeAutospacing="1" w:after="100" w:afterAutospacing="1"/>
      <w:jc w:val="center"/>
    </w:pPr>
    <w:rPr>
      <w:rFonts w:ascii="Arial Unicode MS" w:eastAsia="Arial Unicode MS" w:hAnsi="Arial Unicode MS"/>
      <w:kern w:val="0"/>
      <w:sz w:val="36"/>
      <w:szCs w:val="20"/>
    </w:rPr>
  </w:style>
  <w:style w:type="paragraph" w:customStyle="1" w:styleId="xl123">
    <w:name w:val="xl123"/>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_GB2312" w:eastAsia="仿宋_GB2312" w:hAnsi="宋体" w:cs="宋体"/>
      <w:kern w:val="0"/>
      <w:sz w:val="20"/>
      <w:szCs w:val="20"/>
    </w:rPr>
  </w:style>
  <w:style w:type="paragraph" w:customStyle="1" w:styleId="xl174">
    <w:name w:val="xl174"/>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xl75">
    <w:name w:val="xl75"/>
    <w:basedOn w:val="Normal"/>
    <w:pPr>
      <w:widowControl/>
      <w:spacing w:before="100" w:beforeAutospacing="1" w:after="100" w:afterAutospacing="1"/>
      <w:jc w:val="left"/>
      <w:textAlignment w:val="center"/>
    </w:pPr>
    <w:rPr>
      <w:rFonts w:ascii="仿宋_GB2312" w:eastAsia="仿宋_GB2312" w:hAnsi="宋体" w:cs="宋体"/>
      <w:b/>
      <w:bCs/>
      <w:kern w:val="0"/>
      <w:sz w:val="20"/>
      <w:szCs w:val="20"/>
    </w:rPr>
  </w:style>
  <w:style w:type="paragraph" w:customStyle="1" w:styleId="xl81">
    <w:name w:val="xl8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b/>
      <w:bCs/>
      <w:kern w:val="0"/>
      <w:sz w:val="20"/>
      <w:szCs w:val="20"/>
    </w:rPr>
  </w:style>
  <w:style w:type="paragraph" w:customStyle="1" w:styleId="xl82">
    <w:name w:val="xl82"/>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b/>
      <w:bCs/>
      <w:kern w:val="0"/>
      <w:sz w:val="20"/>
      <w:szCs w:val="20"/>
    </w:rPr>
  </w:style>
  <w:style w:type="paragraph" w:customStyle="1" w:styleId="xl85">
    <w:name w:val="xl85"/>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b/>
      <w:bCs/>
      <w:kern w:val="0"/>
      <w:sz w:val="20"/>
      <w:szCs w:val="20"/>
    </w:rPr>
  </w:style>
  <w:style w:type="paragraph" w:customStyle="1" w:styleId="xl145">
    <w:name w:val="xl145"/>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186">
    <w:name w:val="xl186"/>
    <w:basedOn w:val="Normal"/>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8">
    <w:name w:val="xl148"/>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182">
    <w:name w:val="xl182"/>
    <w:basedOn w:val="Normal"/>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32">
    <w:name w:val="xl32"/>
    <w:basedOn w:val="Normal"/>
    <w:pPr>
      <w:widowControl/>
      <w:pBdr>
        <w:top w:val="single" w:sz="4" w:space="0" w:color="auto"/>
        <w:left w:val="single" w:sz="4" w:space="0" w:color="auto"/>
      </w:pBdr>
      <w:spacing w:before="100" w:beforeAutospacing="1" w:after="100" w:afterAutospacing="1"/>
      <w:jc w:val="left"/>
    </w:pPr>
    <w:rPr>
      <w:rFonts w:ascii="Arial Unicode MS" w:eastAsia="Arial Unicode MS" w:hAnsi="Arial Unicode MS"/>
      <w:kern w:val="0"/>
      <w:sz w:val="24"/>
      <w:szCs w:val="20"/>
    </w:rPr>
  </w:style>
  <w:style w:type="paragraph" w:customStyle="1" w:styleId="A-">
    <w:name w:val="A-正文"/>
    <w:qFormat/>
    <w:pPr>
      <w:adjustRightInd w:val="0"/>
      <w:snapToGrid w:val="0"/>
      <w:spacing w:line="360" w:lineRule="auto"/>
      <w:ind w:firstLine="560" w:firstLineChars="200"/>
      <w:jc w:val="both"/>
      <w:textAlignment w:val="center"/>
    </w:pPr>
    <w:rPr>
      <w:rFonts w:ascii="仿宋" w:eastAsia="仿宋" w:hAnsi="Calibri" w:cs="Calibri"/>
      <w:bCs/>
      <w:color w:val="000000"/>
      <w:kern w:val="44"/>
      <w:sz w:val="28"/>
      <w:szCs w:val="32"/>
      <w:lang w:val="en-US" w:eastAsia="zh-CN" w:bidi="ar-SA"/>
    </w:rPr>
  </w:style>
  <w:style w:type="paragraph" w:customStyle="1" w:styleId="xl166">
    <w:name w:val="xl166"/>
    <w:basedOn w:val="Normal"/>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lsp">
    <w:name w:val="正文 lsp"/>
    <w:basedOn w:val="Normal"/>
    <w:qFormat/>
    <w:pPr>
      <w:adjustRightInd w:val="0"/>
      <w:snapToGrid w:val="0"/>
      <w:ind w:firstLine="480"/>
    </w:pPr>
    <w:rPr>
      <w:rFonts w:ascii="宋体"/>
      <w:sz w:val="24"/>
    </w:rPr>
  </w:style>
  <w:style w:type="paragraph" w:customStyle="1" w:styleId="NewNewNewNewNewNewNewNewNewNewNewNewNewNewNewNewNewNewNewNewNewNewNewNew">
    <w:name w:val="正文 New New New New New New New New New New New New New New New New New New New New New New New New"/>
    <w:qFormat/>
    <w:pPr>
      <w:widowControl w:val="0"/>
      <w:jc w:val="both"/>
    </w:pPr>
    <w:rPr>
      <w:rFonts w:eastAsia="仿宋_GB2312"/>
      <w:kern w:val="2"/>
      <w:sz w:val="28"/>
      <w:szCs w:val="28"/>
      <w:lang w:val="en-US" w:eastAsia="zh-CN" w:bidi="ar-SA"/>
    </w:rPr>
  </w:style>
  <w:style w:type="paragraph" w:customStyle="1" w:styleId="xl29">
    <w:name w:val="xl29"/>
    <w:basedOn w:val="Normal"/>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仿宋_GB2312" w:eastAsia="仿宋_GB2312" w:hAnsi="Arial Unicode MS" w:hint="eastAsia"/>
      <w:kern w:val="0"/>
      <w:szCs w:val="20"/>
    </w:rPr>
  </w:style>
  <w:style w:type="paragraph" w:customStyle="1" w:styleId="xl36">
    <w:name w:val="xl36"/>
    <w:basedOn w:val="Normal"/>
    <w:pPr>
      <w:widowControl/>
      <w:pBdr>
        <w:left w:val="single" w:sz="4" w:space="0" w:color="auto"/>
        <w:bottom w:val="single" w:sz="4" w:space="0" w:color="auto"/>
      </w:pBdr>
      <w:spacing w:before="100" w:beforeAutospacing="1" w:after="100" w:afterAutospacing="1"/>
      <w:jc w:val="left"/>
    </w:pPr>
    <w:rPr>
      <w:rFonts w:ascii="Arial Unicode MS" w:eastAsia="Arial Unicode MS" w:hAnsi="Arial Unicode MS"/>
      <w:kern w:val="0"/>
      <w:sz w:val="24"/>
      <w:szCs w:val="20"/>
    </w:rPr>
  </w:style>
  <w:style w:type="paragraph" w:customStyle="1" w:styleId="xl101">
    <w:name w:val="xl10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45">
    <w:name w:val="xl45"/>
    <w:basedOn w:val="Normal"/>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szCs w:val="20"/>
    </w:rPr>
  </w:style>
  <w:style w:type="paragraph" w:customStyle="1" w:styleId="xl30">
    <w:name w:val="xl30"/>
    <w:basedOn w:val="Normal"/>
    <w:pPr>
      <w:widowControl/>
      <w:pBdr>
        <w:left w:val="single" w:sz="4" w:space="0" w:color="auto"/>
        <w:bottom w:val="single" w:sz="4" w:space="0" w:color="auto"/>
        <w:right w:val="single" w:sz="4" w:space="0" w:color="auto"/>
      </w:pBdr>
      <w:spacing w:before="100" w:beforeAutospacing="1" w:after="100" w:afterAutospacing="1"/>
      <w:textAlignment w:val="top"/>
    </w:pPr>
    <w:rPr>
      <w:rFonts w:ascii="仿宋_GB2312" w:eastAsia="仿宋_GB2312" w:hAnsi="Arial Unicode MS" w:hint="eastAsia"/>
      <w:kern w:val="0"/>
      <w:szCs w:val="20"/>
    </w:rPr>
  </w:style>
  <w:style w:type="paragraph" w:customStyle="1" w:styleId="Alt0">
    <w:name w:val="！正文 Alt+0"/>
    <w:basedOn w:val="Normal"/>
    <w:qFormat/>
    <w:pPr>
      <w:spacing w:line="420" w:lineRule="auto"/>
      <w:ind w:firstLine="200" w:firstLineChars="200"/>
    </w:pPr>
    <w:rPr>
      <w:rFonts w:eastAsia="仿宋"/>
      <w:kern w:val="0"/>
      <w:sz w:val="28"/>
      <w:szCs w:val="28"/>
    </w:rPr>
  </w:style>
  <w:style w:type="paragraph" w:customStyle="1" w:styleId="xl96">
    <w:name w:val="xl96"/>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a20">
    <w:name w:val="标题二级"/>
    <w:basedOn w:val="Heading2"/>
    <w:pPr>
      <w:spacing w:before="0" w:after="0" w:line="360" w:lineRule="auto"/>
      <w:ind w:firstLine="200" w:firstLineChars="200"/>
    </w:pPr>
    <w:rPr>
      <w:rFonts w:ascii="仿宋_GB2312" w:eastAsia="仿宋_GB2312" w:hAnsi="Arial"/>
      <w:bCs w:val="0"/>
      <w:sz w:val="28"/>
      <w:szCs w:val="20"/>
    </w:rPr>
  </w:style>
  <w:style w:type="paragraph" w:customStyle="1" w:styleId="xl144">
    <w:name w:val="xl14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147">
    <w:name w:val="xl147"/>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135">
    <w:name w:val="xl135"/>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xl151">
    <w:name w:val="xl151"/>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185">
    <w:name w:val="xl185"/>
    <w:basedOn w:val="Normal"/>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29">
    <w:name w:val="xl129"/>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xl79">
    <w:name w:val="xl79"/>
    <w:basedOn w:val="Normal"/>
    <w:pPr>
      <w:widowControl/>
      <w:spacing w:before="100" w:beforeAutospacing="1" w:after="100" w:afterAutospacing="1"/>
      <w:jc w:val="left"/>
    </w:pPr>
    <w:rPr>
      <w:rFonts w:ascii="仿宋_GB2312" w:eastAsia="仿宋_GB2312" w:hAnsi="宋体" w:cs="宋体"/>
      <w:kern w:val="0"/>
      <w:sz w:val="24"/>
    </w:rPr>
  </w:style>
  <w:style w:type="paragraph" w:customStyle="1" w:styleId="xl178">
    <w:name w:val="xl178"/>
    <w:basedOn w:val="Normal"/>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 Char Char Char Char"/>
    <w:basedOn w:val="Normal"/>
    <w:rPr>
      <w:rFonts w:ascii="Arial" w:eastAsia="仿宋_GB2312" w:hAnsi="Arial" w:cs="Arial"/>
      <w:sz w:val="20"/>
      <w:szCs w:val="20"/>
    </w:rPr>
  </w:style>
  <w:style w:type="paragraph" w:customStyle="1" w:styleId="xl54">
    <w:name w:val="xl54"/>
    <w:basedOn w:val="Normal"/>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kern w:val="0"/>
      <w:szCs w:val="20"/>
    </w:rPr>
  </w:style>
  <w:style w:type="paragraph" w:customStyle="1" w:styleId="TableParagraph">
    <w:name w:val="Table Paragraph"/>
    <w:basedOn w:val="Normal"/>
    <w:uiPriority w:val="1"/>
    <w:qFormat/>
    <w:pPr>
      <w:jc w:val="left"/>
    </w:pPr>
    <w:rPr>
      <w:rFonts w:ascii="Calibri" w:hAnsi="Calibri"/>
      <w:kern w:val="0"/>
      <w:sz w:val="22"/>
      <w:szCs w:val="22"/>
      <w:lang w:eastAsia="en-US"/>
    </w:rPr>
  </w:style>
  <w:style w:type="paragraph" w:customStyle="1" w:styleId="xl115">
    <w:name w:val="xl115"/>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155">
    <w:name w:val="xl155"/>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154">
    <w:name w:val="xl154"/>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34">
    <w:name w:val="xl34"/>
    <w:basedOn w:val="Normal"/>
    <w:pPr>
      <w:widowControl/>
      <w:pBdr>
        <w:left w:val="single" w:sz="4" w:space="0" w:color="auto"/>
      </w:pBdr>
      <w:spacing w:before="100" w:beforeAutospacing="1" w:after="100" w:afterAutospacing="1"/>
      <w:jc w:val="left"/>
    </w:pPr>
    <w:rPr>
      <w:rFonts w:ascii="Arial Unicode MS" w:eastAsia="Arial Unicode MS" w:hAnsi="Arial Unicode MS"/>
      <w:kern w:val="0"/>
      <w:sz w:val="24"/>
      <w:szCs w:val="20"/>
    </w:rPr>
  </w:style>
  <w:style w:type="paragraph" w:customStyle="1" w:styleId="xl119">
    <w:name w:val="xl11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51">
    <w:name w:val="xl51"/>
    <w:basedOn w:val="Normal"/>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kern w:val="0"/>
      <w:sz w:val="24"/>
      <w:szCs w:val="20"/>
    </w:rPr>
  </w:style>
  <w:style w:type="paragraph" w:customStyle="1" w:styleId="xl40">
    <w:name w:val="xl40"/>
    <w:basedOn w:val="Normal"/>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kern w:val="0"/>
      <w:sz w:val="24"/>
      <w:szCs w:val="20"/>
    </w:rPr>
  </w:style>
  <w:style w:type="paragraph" w:customStyle="1" w:styleId="xl136">
    <w:name w:val="xl13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color w:val="FF0000"/>
      <w:kern w:val="0"/>
      <w:sz w:val="20"/>
      <w:szCs w:val="20"/>
    </w:rPr>
  </w:style>
  <w:style w:type="paragraph" w:customStyle="1" w:styleId="xl122">
    <w:name w:val="xl122"/>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21">
    <w:name w:val="xl12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97">
    <w:name w:val="xl97"/>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13">
    <w:name w:val="样式1"/>
    <w:basedOn w:val="a21"/>
    <w:pPr>
      <w:ind w:firstLine="200" w:firstLineChars="200"/>
    </w:pPr>
    <w:rPr>
      <w:sz w:val="28"/>
    </w:rPr>
  </w:style>
  <w:style w:type="paragraph" w:customStyle="1" w:styleId="a21">
    <w:name w:val="内容"/>
    <w:basedOn w:val="BodyText"/>
    <w:qFormat/>
    <w:pPr>
      <w:spacing w:after="0" w:line="360" w:lineRule="auto"/>
      <w:ind w:firstLine="524" w:firstLineChars="187"/>
    </w:pPr>
    <w:rPr>
      <w:rFonts w:ascii="宋体" w:hAnsi="宋体"/>
      <w:bCs/>
      <w:sz w:val="28"/>
    </w:rPr>
  </w:style>
  <w:style w:type="paragraph" w:customStyle="1" w:styleId="xl138">
    <w:name w:val="xl138"/>
    <w:basedOn w:val="Normal"/>
    <w:pPr>
      <w:widowControl/>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jc w:val="center"/>
      <w:textAlignment w:val="center"/>
    </w:pPr>
    <w:rPr>
      <w:rFonts w:ascii="宋体" w:hAnsi="宋体" w:cs="宋体"/>
      <w:color w:val="FF0000"/>
      <w:kern w:val="0"/>
      <w:sz w:val="24"/>
    </w:rPr>
  </w:style>
  <w:style w:type="paragraph" w:customStyle="1" w:styleId="xl39">
    <w:name w:val="xl39"/>
    <w:basedOn w:val="Normal"/>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kern w:val="0"/>
      <w:sz w:val="24"/>
      <w:szCs w:val="20"/>
    </w:rPr>
  </w:style>
  <w:style w:type="paragraph" w:customStyle="1" w:styleId="ParaCharCharCharChar">
    <w:name w:val="默认段落字体 Para Char Char Char Char"/>
    <w:basedOn w:val="Normal"/>
    <w:rPr>
      <w:szCs w:val="20"/>
    </w:rPr>
  </w:style>
  <w:style w:type="paragraph" w:customStyle="1" w:styleId="xl171">
    <w:name w:val="xl171"/>
    <w:basedOn w:val="Normal"/>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xl132">
    <w:name w:val="xl132"/>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6100"/>
      <w:kern w:val="0"/>
      <w:sz w:val="24"/>
    </w:rPr>
  </w:style>
  <w:style w:type="paragraph" w:customStyle="1" w:styleId="xl118">
    <w:name w:val="xl11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139">
    <w:name w:val="xl139"/>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FF0000"/>
      <w:kern w:val="0"/>
      <w:sz w:val="24"/>
    </w:rPr>
  </w:style>
  <w:style w:type="paragraph" w:customStyle="1" w:styleId="xl150">
    <w:name w:val="xl150"/>
    <w:basedOn w:val="Normal"/>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94">
    <w:name w:val="xl94"/>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_GB2312" w:eastAsia="仿宋_GB2312" w:hAnsi="宋体" w:cs="宋体"/>
      <w:kern w:val="0"/>
      <w:sz w:val="20"/>
      <w:szCs w:val="20"/>
    </w:rPr>
  </w:style>
  <w:style w:type="paragraph" w:customStyle="1" w:styleId="xl107">
    <w:name w:val="xl10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2">
    <w:name w:val="xl102"/>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28">
    <w:name w:val="xl28"/>
    <w:basedOn w:val="Normal"/>
    <w:pPr>
      <w:widowControl/>
      <w:pBdr>
        <w:top w:val="single" w:sz="4" w:space="0" w:color="auto"/>
        <w:left w:val="single" w:sz="4" w:space="0" w:color="auto"/>
        <w:right w:val="single" w:sz="4" w:space="0" w:color="auto"/>
      </w:pBdr>
      <w:spacing w:before="100" w:beforeAutospacing="1" w:after="100" w:afterAutospacing="1"/>
      <w:textAlignment w:val="top"/>
    </w:pPr>
    <w:rPr>
      <w:rFonts w:ascii="仿宋_GB2312" w:eastAsia="仿宋_GB2312" w:hAnsi="Arial Unicode MS" w:hint="eastAsia"/>
      <w:kern w:val="0"/>
      <w:szCs w:val="20"/>
    </w:rPr>
  </w:style>
  <w:style w:type="paragraph" w:customStyle="1" w:styleId="xl106">
    <w:name w:val="xl10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22">
    <w:name w:val="定升路文字"/>
    <w:basedOn w:val="Normal"/>
    <w:qFormat/>
    <w:pPr>
      <w:spacing w:line="360" w:lineRule="auto"/>
      <w:ind w:firstLine="560" w:firstLineChars="200"/>
      <w:jc w:val="left"/>
    </w:pPr>
    <w:rPr>
      <w:rFonts w:ascii="宋体" w:hAnsi="宋体"/>
      <w:sz w:val="28"/>
      <w:szCs w:val="28"/>
    </w:rPr>
  </w:style>
  <w:style w:type="paragraph" w:customStyle="1" w:styleId="xl113">
    <w:name w:val="xl11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character" w:customStyle="1" w:styleId="font01">
    <w:name w:val="font01"/>
    <w:rPr>
      <w:rFonts w:ascii="宋体" w:eastAsia="宋体" w:hAnsi="宋体" w:cs="宋体" w:hint="eastAsia"/>
      <w:i w:val="0"/>
      <w:iCs w:val="0"/>
      <w:color w:val="000000"/>
      <w:sz w:val="20"/>
      <w:szCs w:val="20"/>
      <w:u w:val="none"/>
    </w:rPr>
  </w:style>
  <w:style w:type="character" w:customStyle="1" w:styleId="font91">
    <w:name w:val="font91"/>
    <w:qFormat/>
    <w:rPr>
      <w:rFonts w:ascii="Times New Roman" w:hAnsi="Times New Roman" w:cs="Times New Roman" w:hint="default"/>
      <w:color w:val="000000"/>
      <w:sz w:val="22"/>
      <w:szCs w:val="22"/>
      <w:u w:val="none"/>
      <w:vertAlign w:val="superscript"/>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a23">
    <w:name w:val="图表内容"/>
    <w:basedOn w:val="Normal"/>
    <w:next w:val="Normal"/>
    <w:qFormat/>
    <w:pPr>
      <w:widowControl/>
      <w:spacing w:line="240" w:lineRule="auto"/>
      <w:ind w:firstLine="0" w:firstLineChars="0"/>
      <w:jc w:val="center"/>
    </w:pPr>
    <w:rPr>
      <w:rFonts w:ascii="仿宋" w:eastAsia="仿宋" w:hAnsi="仿宋"/>
      <w:kern w:val="0"/>
      <w:sz w:val="24"/>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baike.so.com/doc/4963982-5186202.html" TargetMode="Externa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image" Target="media/image1.png" /><Relationship Id="rId22" Type="http://schemas.openxmlformats.org/officeDocument/2006/relationships/image" Target="media/image2.png" /><Relationship Id="rId23" Type="http://schemas.openxmlformats.org/officeDocument/2006/relationships/header" Target="header8.xml" /><Relationship Id="rId24" Type="http://schemas.openxmlformats.org/officeDocument/2006/relationships/footer" Target="footer8.xml" /><Relationship Id="rId25" Type="http://schemas.openxmlformats.org/officeDocument/2006/relationships/image" Target="media/image3.png" /><Relationship Id="rId26" Type="http://schemas.openxmlformats.org/officeDocument/2006/relationships/image" Target="media/image4.png" /><Relationship Id="rId27" Type="http://schemas.openxmlformats.org/officeDocument/2006/relationships/header" Target="header9.xml" /><Relationship Id="rId28" Type="http://schemas.openxmlformats.org/officeDocument/2006/relationships/footer" Target="footer9.xml" /><Relationship Id="rId29" Type="http://schemas.openxmlformats.org/officeDocument/2006/relationships/header" Target="header10.xml" /><Relationship Id="rId3" Type="http://schemas.openxmlformats.org/officeDocument/2006/relationships/fontTable" Target="fontTable.xml" /><Relationship Id="rId30" Type="http://schemas.openxmlformats.org/officeDocument/2006/relationships/footer" Target="footer10.xml" /><Relationship Id="rId31" Type="http://schemas.openxmlformats.org/officeDocument/2006/relationships/header" Target="header11.xml" /><Relationship Id="rId32" Type="http://schemas.openxmlformats.org/officeDocument/2006/relationships/footer" Target="footer11.xml" /><Relationship Id="rId33" Type="http://schemas.openxmlformats.org/officeDocument/2006/relationships/header" Target="header12.xml" /><Relationship Id="rId34" Type="http://schemas.openxmlformats.org/officeDocument/2006/relationships/footer" Target="footer12.xml" /><Relationship Id="rId35" Type="http://schemas.openxmlformats.org/officeDocument/2006/relationships/header" Target="header13.xml" /><Relationship Id="rId36" Type="http://schemas.openxmlformats.org/officeDocument/2006/relationships/footer" Target="footer13.xml" /><Relationship Id="rId37" Type="http://schemas.openxmlformats.org/officeDocument/2006/relationships/image" Target="media/image5.png" /><Relationship Id="rId38" Type="http://schemas.openxmlformats.org/officeDocument/2006/relationships/header" Target="header14.xml" /><Relationship Id="rId39" Type="http://schemas.openxmlformats.org/officeDocument/2006/relationships/footer" Target="footer14.xml" /><Relationship Id="rId4" Type="http://schemas.openxmlformats.org/officeDocument/2006/relationships/header" Target="header1.xml" /><Relationship Id="rId40" Type="http://schemas.openxmlformats.org/officeDocument/2006/relationships/image" Target="media/image6.png" /><Relationship Id="rId41" Type="http://schemas.openxmlformats.org/officeDocument/2006/relationships/image" Target="media/image7.png" /><Relationship Id="rId42" Type="http://schemas.openxmlformats.org/officeDocument/2006/relationships/header" Target="header15.xml" /><Relationship Id="rId43" Type="http://schemas.openxmlformats.org/officeDocument/2006/relationships/footer" Target="footer15.xml" /><Relationship Id="rId44" Type="http://schemas.openxmlformats.org/officeDocument/2006/relationships/hyperlink" Target="https://d.book118.com/978064132011006042" TargetMode="External" /><Relationship Id="rId45" Type="http://schemas.openxmlformats.org/officeDocument/2006/relationships/header" Target="header16.xml" /><Relationship Id="rId46" Type="http://schemas.openxmlformats.org/officeDocument/2006/relationships/footer" Target="footer16.xml" /><Relationship Id="rId47" Type="http://schemas.openxmlformats.org/officeDocument/2006/relationships/theme" Target="theme/theme1.xml" /><Relationship Id="rId48" Type="http://schemas.openxmlformats.org/officeDocument/2006/relationships/numbering" Target="numbering.xml" /><Relationship Id="rId49"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yperlink" Target="https://baike.so.com/doc/6994030-7216901.html" TargetMode="External" /><Relationship Id="rId9" Type="http://schemas.openxmlformats.org/officeDocument/2006/relationships/hyperlink" Target="https://baike.so.com/doc/4090312-4289167.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5308</Words>
  <Characters>30256</Characters>
  <Application>Microsoft Office Word</Application>
  <DocSecurity>0</DocSecurity>
  <Lines>252</Lines>
  <Paragraphs>70</Paragraphs>
  <ScaleCrop>false</ScaleCrop>
  <Company>diy</Company>
  <LinksUpToDate>false</LinksUpToDate>
  <CharactersWithSpaces>35494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方  案  设  计  说  明</dc:title>
  <dc:creator>lqy</dc:creator>
  <cp:lastModifiedBy>Administrator</cp:lastModifiedBy>
  <cp:revision>2</cp:revision>
  <cp:lastPrinted>2021-05-14T09:14:00Z</cp:lastPrinted>
  <dcterms:created xsi:type="dcterms:W3CDTF">2020-12-15T03:14:00Z</dcterms:created>
  <dcterms:modified xsi:type="dcterms:W3CDTF">2024-03-03T06:50:00Z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A80D60017FB247A7BDD378363A7A51CD</vt:lpwstr>
  </property>
  <property fmtid="{D5CDD505-2E9C-101B-9397-08002B2CF9AE}" pid="3" name="KSOProductBuildVer">
    <vt:lpwstr>2052-12.1.0.15712</vt:lpwstr>
  </property>
</Properties>
</file>