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其他计算机信息服务相关行业公司成立报告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(七)、其他计算机信息服务项目建设必要性分析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9" w:history="1">
        <w:r>
          <w:rPr>
            <w:rFonts w:ascii="仿宋" w:eastAsia="仿宋" w:hAnsi="仿宋" w:cs="仿宋" w:hint="eastAsia"/>
            <w:lang w:eastAsia="zh-CN"/>
          </w:rPr>
          <w:t>(一)、其他计算机信息服务项目选址原则</w:t>
        </w:r>
        <w:r>
          <w:tab/>
        </w:r>
        <w:r>
          <w:fldChar w:fldCharType="begin"/>
        </w:r>
        <w:r>
          <w:instrText xml:space="preserve"> PAGEREF _Toc17789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(五)、其他计算机信息服务项目选址综合评价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六、其他计算机信息服务项目经济效益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(三)、其他计算机信息服务项目盈利能力分析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(一)、其他计算机信息服务项目进度安排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eastAsia="zh-CN"/>
          </w:rPr>
          <w:t>(二)、其他计算机信息服务项目实施保障措施</w:t>
        </w:r>
        <w:r>
          <w:tab/>
        </w:r>
        <w:r>
          <w:fldChar w:fldCharType="begin"/>
        </w:r>
        <w:r>
          <w:instrText xml:space="preserve"> PAGEREF _Toc18438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_Toc20654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(五)、其他计算机信息服务项目总投资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(二)、合作其他计算机信息服务项目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_Toc21877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4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1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8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0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https://d.book118.com/978105044130006036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其他计算机信息服务相关行业公司成立报告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其他计算机信息服务相关行业公司成立报告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其他计算机信息服务相关行业公司成立报告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其他计算机信息服务相关行业公司成立报告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其他计算机信息服务相关行业公司成立报告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10504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2024-02-05T06:36:00Z</dcterms:created>
  <dcterms:modified xsi:type="dcterms:W3CDTF">2024-02-05T06:36:46Z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9FE200EFA5234A7BACC347B2F29A86B5_11</vt:lpwstr>
  </property>
  <property fmtid="{D5CDD505-2E9C-101B-9397-08002B2CF9AE}" pid="3" name="KSOProductBuildVer">
    <vt:lpwstr>2052-12.1.0.16250</vt:lpwstr>
  </property>
</Properties>
</file>