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64456B" w14:paraId="57EBF2DB" w14:textId="77777777">
      <w:pPr>
        <w:jc w:val="center"/>
      </w:pPr>
      <w:r>
        <w:rPr>
          <w:rFonts w:ascii="仿宋" w:eastAsia="仿宋" w:hAnsi="仿宋" w:cs="仿宋"/>
          <w:b/>
          <w:bCs/>
          <w:sz w:val="32"/>
          <w:szCs w:val="32"/>
        </w:rPr>
        <w:t>第一章</w:t>
      </w:r>
      <w:r>
        <w:rPr>
          <w:rFonts w:ascii="仿宋" w:eastAsia="仿宋" w:hAnsi="仿宋" w:cs="仿宋"/>
          <w:b/>
          <w:bCs/>
          <w:sz w:val="32"/>
          <w:szCs w:val="32"/>
        </w:rPr>
        <w:t xml:space="preserve">  </w:t>
      </w:r>
      <w:r>
        <w:rPr>
          <w:rFonts w:ascii="仿宋" w:eastAsia="仿宋" w:hAnsi="仿宋" w:cs="仿宋"/>
          <w:b/>
          <w:bCs/>
          <w:sz w:val="32"/>
          <w:szCs w:val="32"/>
        </w:rPr>
        <w:t>项目基本情况</w:t>
      </w:r>
      <w:r>
        <w:br/>
      </w:r>
    </w:p>
    <w:p w:rsidR="0064456B" w14:paraId="11D0A895" w14:textId="77777777">
      <w:r>
        <w:rPr>
          <w:rFonts w:ascii="仿宋" w:eastAsia="仿宋" w:hAnsi="仿宋" w:cs="仿宋"/>
          <w:b/>
          <w:bCs/>
          <w:sz w:val="32"/>
          <w:szCs w:val="32"/>
        </w:rPr>
        <w:t>一、项目概况</w:t>
      </w:r>
    </w:p>
    <w:p w:rsidR="0064456B" w14:paraId="0CE01A9F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（一）项目名称</w:t>
      </w:r>
    </w:p>
    <w:p w:rsidR="0064456B" w14:paraId="0C6A0BF9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微生物肥料项目</w:t>
      </w:r>
    </w:p>
    <w:p w:rsidR="0064456B" w14:paraId="5B5A0A80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（二）项目选址</w:t>
      </w:r>
    </w:p>
    <w:p w:rsidR="0064456B" w14:paraId="2851AF70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科技谷</w:t>
      </w:r>
    </w:p>
    <w:p w:rsidR="0064456B" w14:paraId="60C4147B" w14:textId="77777777">
      <w:pPr>
        <w:ind w:firstLine="600"/>
      </w:pPr>
    </w:p>
    <w:p w:rsidR="0064456B" w14:paraId="5D52A6BF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（三）项目用地规模</w:t>
      </w:r>
    </w:p>
    <w:p w:rsidR="0064456B" w14:paraId="46D3D516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项目总用地面积</w:t>
      </w:r>
      <w:r>
        <w:rPr>
          <w:rFonts w:ascii="仿宋" w:eastAsia="仿宋" w:hAnsi="仿宋" w:cs="仿宋"/>
          <w:sz w:val="30"/>
          <w:szCs w:val="30"/>
        </w:rPr>
        <w:t>52119.38</w:t>
      </w:r>
      <w:r>
        <w:rPr>
          <w:rFonts w:ascii="仿宋" w:eastAsia="仿宋" w:hAnsi="仿宋" w:cs="仿宋"/>
          <w:sz w:val="30"/>
          <w:szCs w:val="30"/>
        </w:rPr>
        <w:t>平方米（折合约</w:t>
      </w:r>
      <w:r>
        <w:rPr>
          <w:rFonts w:ascii="仿宋" w:eastAsia="仿宋" w:hAnsi="仿宋" w:cs="仿宋"/>
          <w:sz w:val="30"/>
          <w:szCs w:val="30"/>
        </w:rPr>
        <w:t>78.14</w:t>
      </w:r>
      <w:r>
        <w:rPr>
          <w:rFonts w:ascii="仿宋" w:eastAsia="仿宋" w:hAnsi="仿宋" w:cs="仿宋"/>
          <w:sz w:val="30"/>
          <w:szCs w:val="30"/>
        </w:rPr>
        <w:t>亩）。</w:t>
      </w:r>
    </w:p>
    <w:p w:rsidR="0064456B" w14:paraId="47A295D1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（四）项目用地控制指标</w:t>
      </w:r>
    </w:p>
    <w:p w:rsidR="0064456B" w14:paraId="435A5130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该工程规划建筑系数</w:t>
      </w:r>
      <w:r>
        <w:rPr>
          <w:rFonts w:ascii="仿宋" w:eastAsia="仿宋" w:hAnsi="仿宋" w:cs="仿宋"/>
          <w:sz w:val="30"/>
          <w:szCs w:val="30"/>
        </w:rPr>
        <w:t>50.82%</w:t>
      </w:r>
      <w:r>
        <w:rPr>
          <w:rFonts w:ascii="仿宋" w:eastAsia="仿宋" w:hAnsi="仿宋" w:cs="仿宋"/>
          <w:sz w:val="30"/>
          <w:szCs w:val="30"/>
        </w:rPr>
        <w:t>，建筑容积率</w:t>
      </w:r>
      <w:r>
        <w:rPr>
          <w:rFonts w:ascii="仿宋" w:eastAsia="仿宋" w:hAnsi="仿宋" w:cs="仿宋"/>
          <w:sz w:val="30"/>
          <w:szCs w:val="30"/>
        </w:rPr>
        <w:t>1.47</w:t>
      </w:r>
      <w:r>
        <w:rPr>
          <w:rFonts w:ascii="仿宋" w:eastAsia="仿宋" w:hAnsi="仿宋" w:cs="仿宋"/>
          <w:sz w:val="30"/>
          <w:szCs w:val="30"/>
        </w:rPr>
        <w:t>，建设区域绿化覆盖率</w:t>
      </w:r>
      <w:r>
        <w:rPr>
          <w:rFonts w:ascii="仿宋" w:eastAsia="仿宋" w:hAnsi="仿宋" w:cs="仿宋"/>
          <w:sz w:val="30"/>
          <w:szCs w:val="30"/>
        </w:rPr>
        <w:t>5.08%</w:t>
      </w:r>
      <w:r>
        <w:rPr>
          <w:rFonts w:ascii="仿宋" w:eastAsia="仿宋" w:hAnsi="仿宋" w:cs="仿宋"/>
          <w:sz w:val="30"/>
          <w:szCs w:val="30"/>
        </w:rPr>
        <w:t>，固定资产投资强度</w:t>
      </w:r>
      <w:r>
        <w:rPr>
          <w:rFonts w:ascii="仿宋" w:eastAsia="仿宋" w:hAnsi="仿宋" w:cs="仿宋"/>
          <w:sz w:val="30"/>
          <w:szCs w:val="30"/>
        </w:rPr>
        <w:t>194.27</w:t>
      </w:r>
      <w:r>
        <w:rPr>
          <w:rFonts w:ascii="仿宋" w:eastAsia="仿宋" w:hAnsi="仿宋" w:cs="仿宋"/>
          <w:sz w:val="30"/>
          <w:szCs w:val="30"/>
        </w:rPr>
        <w:t>万元</w:t>
      </w:r>
      <w:r>
        <w:rPr>
          <w:rFonts w:ascii="仿宋" w:eastAsia="仿宋" w:hAnsi="仿宋" w:cs="仿宋"/>
          <w:sz w:val="30"/>
          <w:szCs w:val="30"/>
        </w:rPr>
        <w:t>/</w:t>
      </w:r>
      <w:r>
        <w:rPr>
          <w:rFonts w:ascii="仿宋" w:eastAsia="仿宋" w:hAnsi="仿宋" w:cs="仿宋"/>
          <w:sz w:val="30"/>
          <w:szCs w:val="30"/>
        </w:rPr>
        <w:t>亩。</w:t>
      </w:r>
    </w:p>
    <w:p w:rsidR="0064456B" w14:paraId="7AE9653E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（五）土建工程指标</w:t>
      </w:r>
    </w:p>
    <w:p w:rsidR="0064456B" w14:paraId="66DDEE50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项目净用地面积</w:t>
      </w:r>
      <w:r>
        <w:rPr>
          <w:rFonts w:ascii="仿宋" w:eastAsia="仿宋" w:hAnsi="仿宋" w:cs="仿宋"/>
          <w:sz w:val="30"/>
          <w:szCs w:val="30"/>
        </w:rPr>
        <w:t>52119.38</w:t>
      </w:r>
      <w:r>
        <w:rPr>
          <w:rFonts w:ascii="仿宋" w:eastAsia="仿宋" w:hAnsi="仿宋" w:cs="仿宋"/>
          <w:sz w:val="30"/>
          <w:szCs w:val="30"/>
        </w:rPr>
        <w:t>平方米，建筑物基底占地面积</w:t>
      </w:r>
      <w:r>
        <w:rPr>
          <w:rFonts w:ascii="仿宋" w:eastAsia="仿宋" w:hAnsi="仿宋" w:cs="仿宋"/>
          <w:sz w:val="30"/>
          <w:szCs w:val="30"/>
        </w:rPr>
        <w:t>26487.07</w:t>
      </w:r>
      <w:r>
        <w:rPr>
          <w:rFonts w:ascii="仿宋" w:eastAsia="仿宋" w:hAnsi="仿宋" w:cs="仿宋"/>
          <w:sz w:val="30"/>
          <w:szCs w:val="30"/>
        </w:rPr>
        <w:t>平方米，总建筑面积</w:t>
      </w:r>
      <w:r>
        <w:rPr>
          <w:rFonts w:ascii="仿宋" w:eastAsia="仿宋" w:hAnsi="仿宋" w:cs="仿宋"/>
          <w:sz w:val="30"/>
          <w:szCs w:val="30"/>
        </w:rPr>
        <w:t>76615.49</w:t>
      </w:r>
      <w:r>
        <w:rPr>
          <w:rFonts w:ascii="仿宋" w:eastAsia="仿宋" w:hAnsi="仿宋" w:cs="仿宋"/>
          <w:sz w:val="30"/>
          <w:szCs w:val="30"/>
        </w:rPr>
        <w:t>平方米，其中：规划建设主体工程</w:t>
      </w:r>
      <w:r>
        <w:rPr>
          <w:rFonts w:ascii="仿宋" w:eastAsia="仿宋" w:hAnsi="仿宋" w:cs="仿宋"/>
          <w:sz w:val="30"/>
          <w:szCs w:val="30"/>
        </w:rPr>
        <w:t>52812.13</w:t>
      </w:r>
      <w:r>
        <w:rPr>
          <w:rFonts w:ascii="仿宋" w:eastAsia="仿宋" w:hAnsi="仿宋" w:cs="仿宋"/>
          <w:sz w:val="30"/>
          <w:szCs w:val="30"/>
        </w:rPr>
        <w:t>平方米，项目规划绿化面积</w:t>
      </w:r>
      <w:r>
        <w:rPr>
          <w:rFonts w:ascii="仿宋" w:eastAsia="仿宋" w:hAnsi="仿宋" w:cs="仿宋"/>
          <w:sz w:val="30"/>
          <w:szCs w:val="30"/>
        </w:rPr>
        <w:t>3892.71</w:t>
      </w:r>
      <w:r>
        <w:rPr>
          <w:rFonts w:ascii="仿宋" w:eastAsia="仿宋" w:hAnsi="仿宋" w:cs="仿宋"/>
          <w:sz w:val="30"/>
          <w:szCs w:val="30"/>
        </w:rPr>
        <w:t>平方米。</w:t>
      </w:r>
    </w:p>
    <w:p w:rsidR="0064456B" w14:paraId="6B0C5764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（六）设备选型方案</w:t>
      </w:r>
    </w:p>
    <w:p w:rsidR="0064456B" w14:paraId="5381797C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项目计划购置设备共计</w:t>
      </w:r>
      <w:r>
        <w:rPr>
          <w:rFonts w:ascii="仿宋" w:eastAsia="仿宋" w:hAnsi="仿宋" w:cs="仿宋"/>
          <w:sz w:val="30"/>
          <w:szCs w:val="30"/>
        </w:rPr>
        <w:t>162</w:t>
      </w:r>
      <w:r>
        <w:rPr>
          <w:rFonts w:ascii="仿宋" w:eastAsia="仿宋" w:hAnsi="仿宋" w:cs="仿宋"/>
          <w:sz w:val="30"/>
          <w:szCs w:val="30"/>
        </w:rPr>
        <w:t>台（套），设备购置费</w:t>
      </w:r>
      <w:r>
        <w:rPr>
          <w:rFonts w:ascii="仿宋" w:eastAsia="仿宋" w:hAnsi="仿宋" w:cs="仿宋"/>
          <w:sz w:val="30"/>
          <w:szCs w:val="30"/>
        </w:rPr>
        <w:t>4118.96</w:t>
      </w:r>
      <w:r>
        <w:rPr>
          <w:rFonts w:ascii="仿宋" w:eastAsia="仿宋" w:hAnsi="仿宋" w:cs="仿宋"/>
          <w:sz w:val="30"/>
          <w:szCs w:val="30"/>
        </w:rPr>
        <w:t>万元。</w:t>
      </w:r>
    </w:p>
    <w:p w:rsidR="0064456B" w14:paraId="291E6217" w14:textId="76249E9F">
      <w:pPr>
        <w:ind w:firstLine="600"/>
        <w:sectPr w:rsidSect="00A02F19">
          <w:headerReference w:type="default" r:id="rId4"/>
          <w:pgSz w:w="12240" w:h="15840"/>
          <w:pgMar w:top="1800" w:right="1200" w:bottom="1200" w:left="1200" w:header="720" w:footer="720" w:gutter="0"/>
          <w:cols w:space="720"/>
          <w:docGrid w:linePitch="360"/>
        </w:sectPr>
      </w:pPr>
      <w:r>
        <w:rPr>
          <w:rFonts w:ascii="仿宋" w:eastAsia="仿宋" w:hAnsi="仿宋" w:cs="仿宋"/>
          <w:b/>
          <w:bCs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ageShape1" o:spid="_x0000_s1025" type="#_x0000_t202" style="width:500pt;height:5pt;margin-top:787pt;margin-left:0;mso-wrap-style:square;position:absolute;visibility:hidden;z-index:251658240">
            <v:textbox>
              <w:txbxContent>
                <w:p w:rsidR="0064456B" w:rsidRPr="0064456B" w14:paraId="48638BFC" w14:textId="2DFE2F6B">
                  <w:pPr>
                    <w:rPr>
                      <w:rFonts w:ascii="黑体" w:eastAsia="黑体"/>
                      <w:sz w:val="24"/>
                    </w:rPr>
                  </w:pPr>
                  <w:r w:rsidRPr="0064456B">
                    <w:rPr>
                      <w:rFonts w:ascii="黑体" w:eastAsia="黑体" w:hint="eastAsia"/>
                      <w:sz w:val="24"/>
                    </w:rPr>
                    <w:t>微生物肥料项目可行性分析报告 全文共1页，当前为第1页。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30"/>
          <w:szCs w:val="30"/>
        </w:rPr>
        <w:t>（七）节能分析</w:t>
      </w:r>
    </w:p>
    <w:p w:rsidR="0064456B" w14:paraId="0DA5D03E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/>
          <w:sz w:val="30"/>
          <w:szCs w:val="30"/>
        </w:rPr>
        <w:t>、项目年用电量</w:t>
      </w:r>
      <w:r>
        <w:rPr>
          <w:rFonts w:ascii="仿宋" w:eastAsia="仿宋" w:hAnsi="仿宋" w:cs="仿宋"/>
          <w:sz w:val="30"/>
          <w:szCs w:val="30"/>
        </w:rPr>
        <w:t>497797.19</w:t>
      </w:r>
      <w:r>
        <w:rPr>
          <w:rFonts w:ascii="仿宋" w:eastAsia="仿宋" w:hAnsi="仿宋" w:cs="仿宋"/>
          <w:sz w:val="30"/>
          <w:szCs w:val="30"/>
        </w:rPr>
        <w:t>千瓦时，折合</w:t>
      </w:r>
      <w:r>
        <w:rPr>
          <w:rFonts w:ascii="仿宋" w:eastAsia="仿宋" w:hAnsi="仿宋" w:cs="仿宋"/>
          <w:sz w:val="30"/>
          <w:szCs w:val="30"/>
        </w:rPr>
        <w:t>61.18</w:t>
      </w:r>
      <w:r>
        <w:rPr>
          <w:rFonts w:ascii="仿宋" w:eastAsia="仿宋" w:hAnsi="仿宋" w:cs="仿宋"/>
          <w:sz w:val="30"/>
          <w:szCs w:val="30"/>
        </w:rPr>
        <w:t>吨标准煤。</w:t>
      </w:r>
    </w:p>
    <w:p w:rsidR="0064456B" w14:paraId="2D32A3BB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、项目年总用水量</w:t>
      </w:r>
      <w:r>
        <w:rPr>
          <w:rFonts w:ascii="仿宋" w:eastAsia="仿宋" w:hAnsi="仿宋" w:cs="仿宋"/>
          <w:sz w:val="30"/>
          <w:szCs w:val="30"/>
        </w:rPr>
        <w:t>40029.93</w:t>
      </w:r>
      <w:r>
        <w:rPr>
          <w:rFonts w:ascii="仿宋" w:eastAsia="仿宋" w:hAnsi="仿宋" w:cs="仿宋"/>
          <w:sz w:val="30"/>
          <w:szCs w:val="30"/>
        </w:rPr>
        <w:t>立方米，折合</w:t>
      </w:r>
      <w:r>
        <w:rPr>
          <w:rFonts w:ascii="仿宋" w:eastAsia="仿宋" w:hAnsi="仿宋" w:cs="仿宋"/>
          <w:sz w:val="30"/>
          <w:szCs w:val="30"/>
        </w:rPr>
        <w:t>3.42</w:t>
      </w:r>
      <w:r>
        <w:rPr>
          <w:rFonts w:ascii="仿宋" w:eastAsia="仿宋" w:hAnsi="仿宋" w:cs="仿宋"/>
          <w:sz w:val="30"/>
          <w:szCs w:val="30"/>
        </w:rPr>
        <w:t>吨标准煤。</w:t>
      </w:r>
    </w:p>
    <w:p w:rsidR="0064456B" w14:paraId="0AC0022C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微生物肥料项目投资建设项目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，年用电量</w:t>
      </w:r>
      <w:r>
        <w:rPr>
          <w:rFonts w:ascii="仿宋" w:eastAsia="仿宋" w:hAnsi="仿宋" w:cs="仿宋"/>
          <w:sz w:val="30"/>
          <w:szCs w:val="30"/>
        </w:rPr>
        <w:t>497797.19</w:t>
      </w:r>
      <w:r>
        <w:rPr>
          <w:rFonts w:ascii="仿宋" w:eastAsia="仿宋" w:hAnsi="仿宋" w:cs="仿宋"/>
          <w:sz w:val="30"/>
          <w:szCs w:val="30"/>
        </w:rPr>
        <w:t>千瓦时，年总用水量</w:t>
      </w:r>
      <w:r>
        <w:rPr>
          <w:rFonts w:ascii="仿宋" w:eastAsia="仿宋" w:hAnsi="仿宋" w:cs="仿宋"/>
          <w:sz w:val="30"/>
          <w:szCs w:val="30"/>
        </w:rPr>
        <w:t>40029.93</w:t>
      </w:r>
      <w:r>
        <w:rPr>
          <w:rFonts w:ascii="仿宋" w:eastAsia="仿宋" w:hAnsi="仿宋" w:cs="仿宋"/>
          <w:sz w:val="30"/>
          <w:szCs w:val="30"/>
        </w:rPr>
        <w:t>立方米，项目年综合总耗能量（当量值）</w:t>
      </w:r>
      <w:r>
        <w:rPr>
          <w:rFonts w:ascii="仿宋" w:eastAsia="仿宋" w:hAnsi="仿宋" w:cs="仿宋"/>
          <w:sz w:val="30"/>
          <w:szCs w:val="30"/>
        </w:rPr>
        <w:t>64.60</w:t>
      </w:r>
      <w:r>
        <w:rPr>
          <w:rFonts w:ascii="仿宋" w:eastAsia="仿宋" w:hAnsi="仿宋" w:cs="仿宋"/>
          <w:sz w:val="30"/>
          <w:szCs w:val="30"/>
        </w:rPr>
        <w:t>吨标准煤</w:t>
      </w:r>
      <w:r>
        <w:rPr>
          <w:rFonts w:ascii="仿宋" w:eastAsia="仿宋" w:hAnsi="仿宋" w:cs="仿宋"/>
          <w:sz w:val="30"/>
          <w:szCs w:val="30"/>
        </w:rPr>
        <w:t>/</w:t>
      </w:r>
      <w:r>
        <w:rPr>
          <w:rFonts w:ascii="仿宋" w:eastAsia="仿宋" w:hAnsi="仿宋" w:cs="仿宋"/>
          <w:sz w:val="30"/>
          <w:szCs w:val="30"/>
        </w:rPr>
        <w:t>年。达产年综合节能量</w:t>
      </w:r>
      <w:r>
        <w:rPr>
          <w:rFonts w:ascii="仿宋" w:eastAsia="仿宋" w:hAnsi="仿宋" w:cs="仿宋"/>
          <w:sz w:val="30"/>
          <w:szCs w:val="30"/>
        </w:rPr>
        <w:t>23.89</w:t>
      </w:r>
      <w:r>
        <w:rPr>
          <w:rFonts w:ascii="仿宋" w:eastAsia="仿宋" w:hAnsi="仿宋" w:cs="仿宋"/>
          <w:sz w:val="30"/>
          <w:szCs w:val="30"/>
        </w:rPr>
        <w:t>吨标准煤</w:t>
      </w:r>
      <w:r>
        <w:rPr>
          <w:rFonts w:ascii="仿宋" w:eastAsia="仿宋" w:hAnsi="仿宋" w:cs="仿宋"/>
          <w:sz w:val="30"/>
          <w:szCs w:val="30"/>
        </w:rPr>
        <w:t>/</w:t>
      </w:r>
      <w:r>
        <w:rPr>
          <w:rFonts w:ascii="仿宋" w:eastAsia="仿宋" w:hAnsi="仿宋" w:cs="仿宋"/>
          <w:sz w:val="30"/>
          <w:szCs w:val="30"/>
        </w:rPr>
        <w:t>年，项目总节能率</w:t>
      </w:r>
      <w:r>
        <w:rPr>
          <w:rFonts w:ascii="仿宋" w:eastAsia="仿宋" w:hAnsi="仿宋" w:cs="仿宋"/>
          <w:sz w:val="30"/>
          <w:szCs w:val="30"/>
        </w:rPr>
        <w:t>29.85%</w:t>
      </w:r>
      <w:r>
        <w:rPr>
          <w:rFonts w:ascii="仿宋" w:eastAsia="仿宋" w:hAnsi="仿宋" w:cs="仿宋"/>
          <w:sz w:val="30"/>
          <w:szCs w:val="30"/>
        </w:rPr>
        <w:t>，能源利用效果良好。</w:t>
      </w:r>
    </w:p>
    <w:p w:rsidR="0064456B" w14:paraId="031FFF2C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（八）环境保护</w:t>
      </w:r>
    </w:p>
    <w:p w:rsidR="0064456B" w14:paraId="7D8CDC66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项目符合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科技谷发展规划，符合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科技谷产业结构调整规划和国家的产业发展政策；对产生的各类污染物都采取了切实可行的治理措施，严格控制在国家规定的排放标准内，项目建设不会对区域生态环境产生明显的影响。</w:t>
      </w:r>
    </w:p>
    <w:p w:rsidR="0064456B" w14:paraId="1FF035B6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（九）项目总投资及资金构成</w:t>
      </w:r>
    </w:p>
    <w:p w:rsidR="0064456B" w14:paraId="5D494CE0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项目预计总投资</w:t>
      </w:r>
      <w:r>
        <w:rPr>
          <w:rFonts w:ascii="仿宋" w:eastAsia="仿宋" w:hAnsi="仿宋" w:cs="仿宋"/>
          <w:sz w:val="30"/>
          <w:szCs w:val="30"/>
        </w:rPr>
        <w:t>20750.12</w:t>
      </w:r>
      <w:r>
        <w:rPr>
          <w:rFonts w:ascii="仿宋" w:eastAsia="仿宋" w:hAnsi="仿宋" w:cs="仿宋"/>
          <w:sz w:val="30"/>
          <w:szCs w:val="30"/>
        </w:rPr>
        <w:t>万元，其中：固定资产投资</w:t>
      </w:r>
      <w:r>
        <w:rPr>
          <w:rFonts w:ascii="仿宋" w:eastAsia="仿宋" w:hAnsi="仿宋" w:cs="仿宋"/>
          <w:sz w:val="30"/>
          <w:szCs w:val="30"/>
        </w:rPr>
        <w:t>15180.26</w:t>
      </w:r>
      <w:r>
        <w:rPr>
          <w:rFonts w:ascii="仿宋" w:eastAsia="仿宋" w:hAnsi="仿宋" w:cs="仿宋"/>
          <w:sz w:val="30"/>
          <w:szCs w:val="30"/>
        </w:rPr>
        <w:t>万元，占项目总投资的</w:t>
      </w:r>
      <w:r>
        <w:rPr>
          <w:rFonts w:ascii="仿宋" w:eastAsia="仿宋" w:hAnsi="仿宋" w:cs="仿宋"/>
          <w:sz w:val="30"/>
          <w:szCs w:val="30"/>
        </w:rPr>
        <w:t>73.16%</w:t>
      </w:r>
      <w:r>
        <w:rPr>
          <w:rFonts w:ascii="仿宋" w:eastAsia="仿宋" w:hAnsi="仿宋" w:cs="仿宋"/>
          <w:sz w:val="30"/>
          <w:szCs w:val="30"/>
        </w:rPr>
        <w:t>；流动资金</w:t>
      </w:r>
      <w:r>
        <w:rPr>
          <w:rFonts w:ascii="仿宋" w:eastAsia="仿宋" w:hAnsi="仿宋" w:cs="仿宋"/>
          <w:sz w:val="30"/>
          <w:szCs w:val="30"/>
        </w:rPr>
        <w:t>5569.86</w:t>
      </w:r>
      <w:r>
        <w:rPr>
          <w:rFonts w:ascii="仿宋" w:eastAsia="仿宋" w:hAnsi="仿宋" w:cs="仿宋"/>
          <w:sz w:val="30"/>
          <w:szCs w:val="30"/>
        </w:rPr>
        <w:t>万元，占项目总投资的</w:t>
      </w:r>
      <w:r>
        <w:rPr>
          <w:rFonts w:ascii="仿宋" w:eastAsia="仿宋" w:hAnsi="仿宋" w:cs="仿宋"/>
          <w:sz w:val="30"/>
          <w:szCs w:val="30"/>
        </w:rPr>
        <w:t>26.84%</w:t>
      </w:r>
      <w:r>
        <w:rPr>
          <w:rFonts w:ascii="仿宋" w:eastAsia="仿宋" w:hAnsi="仿宋" w:cs="仿宋"/>
          <w:sz w:val="30"/>
          <w:szCs w:val="30"/>
        </w:rPr>
        <w:t>。</w:t>
      </w:r>
    </w:p>
    <w:p w:rsidR="0064456B" w14:paraId="60170B55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（十）资金筹措</w:t>
      </w:r>
    </w:p>
    <w:p w:rsidR="0064456B" w14:paraId="6F1AB389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该项目现阶段投资均由企业自筹。</w:t>
      </w:r>
    </w:p>
    <w:p w:rsidR="0064456B" w14:paraId="6E66920B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（十一）项目预期经济效益规划目标</w:t>
      </w:r>
    </w:p>
    <w:p w:rsidR="0064456B" w14:paraId="6FFD92D3" w14:textId="0B6DF2CB">
      <w:pPr>
        <w:ind w:firstLine="600"/>
        <w:sectPr w:rsidSect="00A02F19">
          <w:headerReference w:type="default" r:id="rId5"/>
          <w:type w:val="nextPage"/>
          <w:pgSz w:w="12240" w:h="15840"/>
          <w:pgMar w:top="1800" w:right="1200" w:bottom="1200" w:left="1200" w:header="720" w:footer="720" w:gutter="0"/>
          <w:pgNumType w:start="2"/>
          <w:cols w:space="720"/>
          <w:titlePg w:val="0"/>
          <w:docGrid w:linePitch="360"/>
        </w:sectPr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2" o:spid="_x0000_s1026" type="#_x0000_t202" style="width:500pt;height:5pt;margin-top:787pt;margin-left:0;mso-wrap-style:square;position:absolute;visibility:hidden;z-index:251659264">
            <v:textbox>
              <w:txbxContent>
                <w:p w:rsidR="0064456B" w:rsidRPr="0064456B" w14:paraId="03AB0040" w14:textId="523552E4">
                  <w:pPr>
                    <w:rPr>
                      <w:rFonts w:ascii="黑体" w:eastAsia="黑体"/>
                      <w:sz w:val="24"/>
                    </w:rPr>
                  </w:pPr>
                  <w:r w:rsidRPr="0064456B">
                    <w:rPr>
                      <w:rFonts w:ascii="黑体" w:eastAsia="黑体" w:hint="eastAsia"/>
                      <w:sz w:val="24"/>
                    </w:rPr>
                    <w:t>微生物肥料项目可行性分析报告 全文共2页，当前为第2页。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sz w:val="30"/>
          <w:szCs w:val="30"/>
        </w:rPr>
        <w:t>预期达产年营业收入</w:t>
      </w:r>
      <w:r>
        <w:rPr>
          <w:rFonts w:ascii="仿宋" w:eastAsia="仿宋" w:hAnsi="仿宋" w:cs="仿宋"/>
          <w:sz w:val="30"/>
          <w:szCs w:val="30"/>
        </w:rPr>
        <w:t>51833.00</w:t>
      </w:r>
      <w:r>
        <w:rPr>
          <w:rFonts w:ascii="仿宋" w:eastAsia="仿宋" w:hAnsi="仿宋" w:cs="仿宋"/>
          <w:sz w:val="30"/>
          <w:szCs w:val="30"/>
        </w:rPr>
        <w:t>万元，总成本费用</w:t>
      </w:r>
      <w:r>
        <w:rPr>
          <w:rFonts w:ascii="仿宋" w:eastAsia="仿宋" w:hAnsi="仿宋" w:cs="仿宋"/>
          <w:sz w:val="30"/>
          <w:szCs w:val="30"/>
        </w:rPr>
        <w:t>41142.24</w:t>
      </w:r>
      <w:r>
        <w:rPr>
          <w:rFonts w:ascii="仿宋" w:eastAsia="仿宋" w:hAnsi="仿宋" w:cs="仿宋"/>
          <w:sz w:val="30"/>
          <w:szCs w:val="30"/>
        </w:rPr>
        <w:t>万元，税金及附加</w:t>
      </w:r>
      <w:r>
        <w:rPr>
          <w:rFonts w:ascii="仿宋" w:eastAsia="仿宋" w:hAnsi="仿宋" w:cs="仿宋"/>
          <w:sz w:val="30"/>
          <w:szCs w:val="30"/>
        </w:rPr>
        <w:t>385.43</w:t>
      </w:r>
      <w:r>
        <w:rPr>
          <w:rFonts w:ascii="仿宋" w:eastAsia="仿宋" w:hAnsi="仿宋" w:cs="仿宋"/>
          <w:sz w:val="30"/>
          <w:szCs w:val="30"/>
        </w:rPr>
        <w:t>万元，利润总额</w:t>
      </w:r>
      <w:r>
        <w:rPr>
          <w:rFonts w:ascii="仿宋" w:eastAsia="仿宋" w:hAnsi="仿宋" w:cs="仿宋"/>
          <w:sz w:val="30"/>
          <w:szCs w:val="30"/>
        </w:rPr>
        <w:t>10690.76</w:t>
      </w:r>
      <w:r>
        <w:rPr>
          <w:rFonts w:ascii="仿宋" w:eastAsia="仿宋" w:hAnsi="仿宋" w:cs="仿宋"/>
          <w:sz w:val="30"/>
          <w:szCs w:val="30"/>
        </w:rPr>
        <w:t>万元，利税总额</w:t>
      </w:r>
      <w:r>
        <w:rPr>
          <w:rFonts w:ascii="仿宋" w:eastAsia="仿宋" w:hAnsi="仿宋" w:cs="仿宋"/>
          <w:sz w:val="30"/>
          <w:szCs w:val="30"/>
        </w:rPr>
        <w:t>12550.78</w:t>
      </w:r>
    </w:p>
    <w:p w:rsidR="0064456B" w14:textId="0B6DF2CB">
      <w:pPr>
        <w:ind w:firstLine="600"/>
      </w:pPr>
      <w:r>
        <w:rPr>
          <w:rFonts w:ascii="仿宋" w:eastAsia="仿宋" w:hAnsi="仿宋" w:cs="仿宋"/>
          <w:sz w:val="30"/>
          <w:szCs w:val="30"/>
        </w:rPr>
        <w:t>万元，税后净利润</w:t>
      </w:r>
      <w:r>
        <w:rPr>
          <w:rFonts w:ascii="仿宋" w:eastAsia="仿宋" w:hAnsi="仿宋" w:cs="仿宋"/>
          <w:sz w:val="30"/>
          <w:szCs w:val="30"/>
        </w:rPr>
        <w:t>8018.07</w:t>
      </w:r>
      <w:r>
        <w:rPr>
          <w:rFonts w:ascii="仿宋" w:eastAsia="仿宋" w:hAnsi="仿宋" w:cs="仿宋"/>
          <w:sz w:val="30"/>
          <w:szCs w:val="30"/>
        </w:rPr>
        <w:t>万元，达产年纳税总额</w:t>
      </w:r>
      <w:r>
        <w:rPr>
          <w:rFonts w:ascii="仿宋" w:eastAsia="仿宋" w:hAnsi="仿宋" w:cs="仿宋"/>
          <w:sz w:val="30"/>
          <w:szCs w:val="30"/>
        </w:rPr>
        <w:t>4532.71</w:t>
      </w:r>
      <w:r>
        <w:rPr>
          <w:rFonts w:ascii="仿宋" w:eastAsia="仿宋" w:hAnsi="仿宋" w:cs="仿宋"/>
          <w:sz w:val="30"/>
          <w:szCs w:val="30"/>
        </w:rPr>
        <w:t>万元；达产年投资利</w:t>
      </w:r>
      <w:r>
        <w:rPr>
          <w:rFonts w:ascii="仿宋" w:eastAsia="仿宋" w:hAnsi="仿宋" w:cs="仿宋"/>
          <w:sz w:val="30"/>
          <w:szCs w:val="30"/>
        </w:rPr>
        <w:t>润率</w:t>
      </w:r>
      <w:r>
        <w:rPr>
          <w:rFonts w:ascii="仿宋" w:eastAsia="仿宋" w:hAnsi="仿宋" w:cs="仿宋"/>
          <w:sz w:val="30"/>
          <w:szCs w:val="30"/>
        </w:rPr>
        <w:t>51.52%</w:t>
      </w:r>
      <w:r>
        <w:rPr>
          <w:rFonts w:ascii="仿宋" w:eastAsia="仿宋" w:hAnsi="仿宋" w:cs="仿宋"/>
          <w:sz w:val="30"/>
          <w:szCs w:val="30"/>
        </w:rPr>
        <w:t>，投资利税率</w:t>
      </w:r>
      <w:r>
        <w:rPr>
          <w:rFonts w:ascii="仿宋" w:eastAsia="仿宋" w:hAnsi="仿宋" w:cs="仿宋"/>
          <w:sz w:val="30"/>
          <w:szCs w:val="30"/>
        </w:rPr>
        <w:t>60.49%</w:t>
      </w:r>
      <w:r>
        <w:rPr>
          <w:rFonts w:ascii="仿宋" w:eastAsia="仿宋" w:hAnsi="仿宋" w:cs="仿宋"/>
          <w:sz w:val="30"/>
          <w:szCs w:val="30"/>
        </w:rPr>
        <w:t>，投资回报率</w:t>
      </w:r>
      <w:r>
        <w:rPr>
          <w:rFonts w:ascii="仿宋" w:eastAsia="仿宋" w:hAnsi="仿宋" w:cs="仿宋"/>
          <w:sz w:val="30"/>
          <w:szCs w:val="30"/>
        </w:rPr>
        <w:t>38.64%</w:t>
      </w:r>
      <w:r>
        <w:rPr>
          <w:rFonts w:ascii="仿宋" w:eastAsia="仿宋" w:hAnsi="仿宋" w:cs="仿宋"/>
          <w:sz w:val="30"/>
          <w:szCs w:val="30"/>
        </w:rPr>
        <w:t>，全部投资回收期</w:t>
      </w:r>
      <w:r>
        <w:rPr>
          <w:rFonts w:ascii="仿宋" w:eastAsia="仿宋" w:hAnsi="仿宋" w:cs="仿宋"/>
          <w:sz w:val="30"/>
          <w:szCs w:val="30"/>
        </w:rPr>
        <w:t>4.09</w:t>
      </w:r>
      <w:r>
        <w:rPr>
          <w:rFonts w:ascii="仿宋" w:eastAsia="仿宋" w:hAnsi="仿宋" w:cs="仿宋"/>
          <w:sz w:val="30"/>
          <w:szCs w:val="30"/>
        </w:rPr>
        <w:t>年，提供就业职位</w:t>
      </w:r>
      <w:r>
        <w:rPr>
          <w:rFonts w:ascii="仿宋" w:eastAsia="仿宋" w:hAnsi="仿宋" w:cs="仿宋"/>
          <w:sz w:val="30"/>
          <w:szCs w:val="30"/>
        </w:rPr>
        <w:t>755</w:t>
      </w:r>
      <w:r>
        <w:rPr>
          <w:rFonts w:ascii="仿宋" w:eastAsia="仿宋" w:hAnsi="仿宋" w:cs="仿宋"/>
          <w:sz w:val="30"/>
          <w:szCs w:val="30"/>
        </w:rPr>
        <w:t>个。</w:t>
      </w:r>
    </w:p>
    <w:p w:rsidR="0064456B" w14:paraId="6DF698F8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（十二）进度规划</w:t>
      </w:r>
    </w:p>
    <w:p w:rsidR="0064456B" w14:paraId="285746B9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本期工程项目建设期限规划</w:t>
      </w:r>
      <w:r>
        <w:rPr>
          <w:rFonts w:ascii="仿宋" w:eastAsia="仿宋" w:hAnsi="仿宋" w:cs="仿宋"/>
          <w:sz w:val="30"/>
          <w:szCs w:val="30"/>
        </w:rPr>
        <w:t>12</w:t>
      </w:r>
      <w:r>
        <w:rPr>
          <w:rFonts w:ascii="仿宋" w:eastAsia="仿宋" w:hAnsi="仿宋" w:cs="仿宋"/>
          <w:sz w:val="30"/>
          <w:szCs w:val="30"/>
        </w:rPr>
        <w:t>个月。</w:t>
      </w:r>
    </w:p>
    <w:p w:rsidR="0064456B" w14:paraId="3740FEF3" w14:textId="77777777">
      <w:pPr>
        <w:ind w:firstLine="600"/>
      </w:pPr>
    </w:p>
    <w:p w:rsidR="0064456B" w14:paraId="53817EA7" w14:textId="77777777">
      <w:r>
        <w:rPr>
          <w:rFonts w:ascii="仿宋" w:eastAsia="仿宋" w:hAnsi="仿宋" w:cs="仿宋"/>
          <w:b/>
          <w:bCs/>
          <w:sz w:val="32"/>
          <w:szCs w:val="32"/>
        </w:rPr>
        <w:t>二、项目评价</w:t>
      </w:r>
    </w:p>
    <w:p w:rsidR="0064456B" w14:paraId="29E4A65C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/>
          <w:sz w:val="30"/>
          <w:szCs w:val="30"/>
        </w:rPr>
        <w:t>、本期工程项目符合国家产业发展政策和规划要求，符合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科技谷及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科技谷微生物肥料行业布局和结构调整政策；项目的建设对促进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科技谷微生物肥料产业结构、技术结构、组织结构、产品结构的调整优化有着积极的推动意义。</w:t>
      </w:r>
    </w:p>
    <w:p w:rsidR="0064456B" w14:paraId="43CEDB28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（集团）有限公司为适应国内外市场需求，拟建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微生物肥料项目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，本期工程项目的建设能够有力促进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科技谷经济发展，为社会提供就业职位</w:t>
      </w:r>
      <w:r>
        <w:rPr>
          <w:rFonts w:ascii="仿宋" w:eastAsia="仿宋" w:hAnsi="仿宋" w:cs="仿宋"/>
          <w:sz w:val="30"/>
          <w:szCs w:val="30"/>
        </w:rPr>
        <w:t>755</w:t>
      </w:r>
      <w:r>
        <w:rPr>
          <w:rFonts w:ascii="仿宋" w:eastAsia="仿宋" w:hAnsi="仿宋" w:cs="仿宋"/>
          <w:sz w:val="30"/>
          <w:szCs w:val="30"/>
        </w:rPr>
        <w:t>个，达产年纳税总额</w:t>
      </w:r>
      <w:r>
        <w:rPr>
          <w:rFonts w:ascii="仿宋" w:eastAsia="仿宋" w:hAnsi="仿宋" w:cs="仿宋"/>
          <w:sz w:val="30"/>
          <w:szCs w:val="30"/>
        </w:rPr>
        <w:t>4532.71</w:t>
      </w:r>
      <w:r>
        <w:rPr>
          <w:rFonts w:ascii="仿宋" w:eastAsia="仿宋" w:hAnsi="仿宋" w:cs="仿宋"/>
          <w:sz w:val="30"/>
          <w:szCs w:val="30"/>
        </w:rPr>
        <w:t>万元，可以促进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科技谷区域经济的繁荣发展和社会稳定，为地方财政收入做出积极的贡献。</w:t>
      </w:r>
    </w:p>
    <w:p w:rsidR="0064456B" w14:paraId="71BA6F29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/>
          <w:sz w:val="30"/>
          <w:szCs w:val="30"/>
        </w:rPr>
        <w:t>、项目达产年投资利润率</w:t>
      </w:r>
      <w:r>
        <w:rPr>
          <w:rFonts w:ascii="仿宋" w:eastAsia="仿宋" w:hAnsi="仿宋" w:cs="仿宋"/>
          <w:sz w:val="30"/>
          <w:szCs w:val="30"/>
        </w:rPr>
        <w:t>51.52%</w:t>
      </w:r>
      <w:r>
        <w:rPr>
          <w:rFonts w:ascii="仿宋" w:eastAsia="仿宋" w:hAnsi="仿宋" w:cs="仿宋"/>
          <w:sz w:val="30"/>
          <w:szCs w:val="30"/>
        </w:rPr>
        <w:t>，投资利税率</w:t>
      </w:r>
      <w:r>
        <w:rPr>
          <w:rFonts w:ascii="仿宋" w:eastAsia="仿宋" w:hAnsi="仿宋" w:cs="仿宋"/>
          <w:sz w:val="30"/>
          <w:szCs w:val="30"/>
        </w:rPr>
        <w:t>60.49%</w:t>
      </w:r>
      <w:r>
        <w:rPr>
          <w:rFonts w:ascii="仿宋" w:eastAsia="仿宋" w:hAnsi="仿宋" w:cs="仿宋"/>
          <w:sz w:val="30"/>
          <w:szCs w:val="30"/>
        </w:rPr>
        <w:t>，全部投资回报率</w:t>
      </w:r>
      <w:r>
        <w:rPr>
          <w:rFonts w:ascii="仿宋" w:eastAsia="仿宋" w:hAnsi="仿宋" w:cs="仿宋"/>
          <w:sz w:val="30"/>
          <w:szCs w:val="30"/>
        </w:rPr>
        <w:t>38.64%</w:t>
      </w:r>
      <w:r>
        <w:rPr>
          <w:rFonts w:ascii="仿宋" w:eastAsia="仿宋" w:hAnsi="仿宋" w:cs="仿宋"/>
          <w:sz w:val="30"/>
          <w:szCs w:val="30"/>
        </w:rPr>
        <w:t>，全部投资回收期</w:t>
      </w:r>
      <w:r>
        <w:rPr>
          <w:rFonts w:ascii="仿宋" w:eastAsia="仿宋" w:hAnsi="仿宋" w:cs="仿宋"/>
          <w:sz w:val="30"/>
          <w:szCs w:val="30"/>
        </w:rPr>
        <w:t>4.09</w:t>
      </w:r>
      <w:r>
        <w:rPr>
          <w:rFonts w:ascii="仿宋" w:eastAsia="仿宋" w:hAnsi="仿宋" w:cs="仿宋"/>
          <w:sz w:val="30"/>
          <w:szCs w:val="30"/>
        </w:rPr>
        <w:t>年，固定资产投资回收期</w:t>
      </w:r>
      <w:r>
        <w:rPr>
          <w:rFonts w:ascii="仿宋" w:eastAsia="仿宋" w:hAnsi="仿宋" w:cs="仿宋"/>
          <w:sz w:val="30"/>
          <w:szCs w:val="30"/>
        </w:rPr>
        <w:t>4.09</w:t>
      </w:r>
      <w:r>
        <w:rPr>
          <w:rFonts w:ascii="仿宋" w:eastAsia="仿宋" w:hAnsi="仿宋" w:cs="仿宋"/>
          <w:sz w:val="30"/>
          <w:szCs w:val="30"/>
        </w:rPr>
        <w:t>年（含建设期），项目具有较强的盈利能力和抗风险能力。</w:t>
      </w:r>
    </w:p>
    <w:p w:rsidR="0064456B" w14:paraId="18476BBD" w14:textId="62B9E525">
      <w:pPr>
        <w:ind w:firstLine="600"/>
        <w:sectPr w:rsidSect="00A02F19">
          <w:headerReference w:type="default" r:id="rId6"/>
          <w:type w:val="nextPage"/>
          <w:pgSz w:w="12240" w:h="15840"/>
          <w:pgMar w:top="1800" w:right="1200" w:bottom="1200" w:left="1200" w:header="720" w:footer="720" w:gutter="0"/>
          <w:pgNumType w:start="3"/>
          <w:cols w:space="720"/>
          <w:titlePg w:val="0"/>
          <w:docGrid w:linePitch="360"/>
        </w:sectPr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3" o:spid="_x0000_s1027" type="#_x0000_t202" style="width:500pt;height:5pt;margin-top:787pt;margin-left:0;mso-wrap-style:square;position:absolute;visibility:hidden;z-index:251660288">
            <v:textbox>
              <w:txbxContent>
                <w:p w:rsidR="0064456B" w:rsidRPr="0064456B" w14:paraId="25A2D9C6" w14:textId="73893800">
                  <w:pPr>
                    <w:rPr>
                      <w:rFonts w:ascii="黑体" w:eastAsia="黑体"/>
                      <w:sz w:val="24"/>
                    </w:rPr>
                  </w:pPr>
                  <w:r w:rsidRPr="0064456B">
                    <w:rPr>
                      <w:rFonts w:ascii="黑体" w:eastAsia="黑体" w:hint="eastAsia"/>
                      <w:sz w:val="24"/>
                    </w:rPr>
                    <w:t>微生物肥料项目可行性分析报告 全文共3页，当前为第3页。</w:t>
                  </w:r>
                </w:p>
              </w:txbxContent>
            </v:textbox>
          </v:shape>
        </w:pict>
      </w:r>
    </w:p>
    <w:p w:rsidR="0064456B" w14:textId="62B9E525">
      <w:pPr>
        <w:ind w:firstLine="600"/>
      </w:pPr>
      <w:r>
        <w:rPr>
          <w:rFonts w:ascii="仿宋" w:eastAsia="仿宋" w:hAnsi="仿宋" w:cs="仿宋"/>
          <w:sz w:val="30"/>
          <w:szCs w:val="30"/>
        </w:rPr>
        <w:t>探索完善制造业创新体系，推动骨干民营企业参与制造业创新中心建设，建立市场化的创新方向选择机制和鼓励创新的风险分担、利益共享机制。支持有条件的民营企业组建国家技术创新中心，攻克转化一批产业前</w:t>
      </w:r>
      <w:r>
        <w:rPr>
          <w:rFonts w:ascii="仿宋" w:eastAsia="仿宋" w:hAnsi="仿宋" w:cs="仿宋"/>
          <w:sz w:val="30"/>
          <w:szCs w:val="30"/>
        </w:rPr>
        <w:t>沿和共性关键技术，培育具有国际影响力的行业领军企业。引导社会资本共同建设协同创新公共服务平台、重大科研基础设施及大型科研仪器，推动设施和仪器向社会开放。</w:t>
      </w:r>
    </w:p>
    <w:p w:rsidR="0064456B" w14:paraId="06FCDE3F" w14:textId="77777777">
      <w:pPr>
        <w:ind w:firstLine="600"/>
      </w:pPr>
    </w:p>
    <w:p w:rsidR="0064456B" w14:paraId="2DE6CD49" w14:textId="77777777">
      <w:r>
        <w:rPr>
          <w:rFonts w:ascii="仿宋" w:eastAsia="仿宋" w:hAnsi="仿宋" w:cs="仿宋"/>
          <w:b/>
          <w:bCs/>
          <w:sz w:val="32"/>
          <w:szCs w:val="32"/>
        </w:rPr>
        <w:t>三、主要经济指标</w:t>
      </w:r>
      <w:r>
        <w:br/>
      </w:r>
    </w:p>
    <w:p w:rsidR="0064456B" w14:paraId="0A5E3E6B" w14:textId="7236453E">
      <w:pPr>
        <w:jc w:val="center"/>
      </w:pPr>
      <w:r>
        <w:rPr>
          <w:rFonts w:ascii="仿宋" w:eastAsia="仿宋" w:hAnsi="仿宋" w:cs="仿宋"/>
          <w:b/>
          <w:bCs/>
          <w:noProof/>
          <w:sz w:val="28"/>
          <w:szCs w:val="28"/>
        </w:rPr>
        <w:pict>
          <v:shape id="PageShape4" o:spid="_x0000_s1028" type="#_x0000_t202" style="width:500pt;height:5pt;margin-top:787pt;margin-left:0;mso-wrap-style:square;position:absolute;visibility:hidden;z-index:251661312">
            <v:textbox>
              <w:txbxContent>
                <w:p w:rsidR="0064456B" w:rsidRPr="0064456B" w14:paraId="432604F8" w14:textId="24996F3E">
                  <w:pPr>
                    <w:rPr>
                      <w:rFonts w:ascii="黑体" w:eastAsia="黑体"/>
                      <w:sz w:val="24"/>
                    </w:rPr>
                  </w:pPr>
                  <w:r w:rsidRPr="0064456B">
                    <w:rPr>
                      <w:rFonts w:ascii="黑体" w:eastAsia="黑体" w:hint="eastAsia"/>
                      <w:sz w:val="24"/>
                    </w:rPr>
                    <w:t>微生物肥料项目可行性分析报告 全文共4页，当前为第4页。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28"/>
          <w:szCs w:val="28"/>
        </w:rPr>
        <w:t>主要经济指标一览表</w:t>
      </w: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2000"/>
        <w:gridCol w:w="2000"/>
        <w:gridCol w:w="2000"/>
        <w:gridCol w:w="2000"/>
        <w:gridCol w:w="2000"/>
      </w:tblGrid>
      <w:tr w14:paraId="5934D209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2000" w:type="dxa"/>
            <w:shd w:val="clear" w:color="auto" w:fill="auto"/>
            <w:vAlign w:val="center"/>
          </w:tcPr>
          <w:p w:rsidR="0064456B" w:rsidRPr="00722E63" w14:paraId="5C8D3AA1" w14:textId="77777777">
            <w:r w:rsidRPr="00722E63">
              <w:rPr>
                <w:rFonts w:ascii="仿宋" w:eastAsia="仿宋" w:hAnsi="仿宋"/>
                <w:b/>
              </w:rPr>
              <w:t>序号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64456B" w:rsidRPr="00722E63" w14:paraId="310F0F53" w14:textId="77777777">
            <w:r w:rsidRPr="00722E63">
              <w:rPr>
                <w:rFonts w:ascii="仿宋" w:eastAsia="仿宋" w:hAnsi="仿宋"/>
                <w:b/>
              </w:rPr>
              <w:t>项目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64456B" w:rsidRPr="00722E63" w14:paraId="29CBBF04" w14:textId="77777777">
            <w:r w:rsidRPr="00722E63">
              <w:rPr>
                <w:rFonts w:ascii="仿宋" w:eastAsia="仿宋" w:hAnsi="仿宋"/>
                <w:b/>
              </w:rPr>
              <w:t>单位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64456B" w:rsidRPr="00722E63" w14:paraId="086BCA75" w14:textId="77777777">
            <w:r w:rsidRPr="00722E63">
              <w:rPr>
                <w:rFonts w:ascii="仿宋" w:eastAsia="仿宋" w:hAnsi="仿宋"/>
                <w:b/>
              </w:rPr>
              <w:t>指标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64456B" w:rsidRPr="00722E63" w14:paraId="2A42A15A" w14:textId="77777777">
            <w:r w:rsidRPr="00722E63">
              <w:rPr>
                <w:rFonts w:ascii="仿宋" w:eastAsia="仿宋" w:hAnsi="仿宋"/>
                <w:b/>
              </w:rPr>
              <w:t>备注</w:t>
            </w:r>
          </w:p>
        </w:tc>
      </w:tr>
      <w:tr w14:paraId="4268FD89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5A6A830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33182A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占地面积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D6D213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EA04D2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52119.38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6BD2CB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78.14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亩</w:t>
            </w:r>
          </w:p>
        </w:tc>
      </w:tr>
      <w:tr w14:paraId="1E2E147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50D34C2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51E71A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容积率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BF9FD11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06E24E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1.47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C8AA6CE" w14:textId="77777777"/>
        </w:tc>
      </w:tr>
      <w:tr w14:paraId="16EF9E8B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68D3D4C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1977F7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建筑系数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C01942E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39E790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50.82%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1961D52" w14:textId="77777777"/>
        </w:tc>
      </w:tr>
      <w:tr w14:paraId="25FAE03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01A2067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FDF30D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投资强度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0617CA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/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亩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6F6E73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194.27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911ABDC" w14:textId="77777777"/>
        </w:tc>
      </w:tr>
      <w:tr w14:paraId="7D581926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2477F71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94F232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基底面积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C040A9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217665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26487.07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6BE4B35" w14:textId="77777777"/>
        </w:tc>
      </w:tr>
      <w:tr w14:paraId="7A033B00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37C9D26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49955D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总建筑面积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97E06B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2D3B75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76615.49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F2DC59F" w14:textId="77777777"/>
        </w:tc>
      </w:tr>
      <w:tr w14:paraId="7063CC7A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68FB71D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14A8B3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绿化面积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3CA7A9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9CED27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3892.71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E6E168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绿化率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5.08%</w:t>
            </w:r>
          </w:p>
        </w:tc>
      </w:tr>
      <w:tr w14:paraId="7AA9A1BC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3FA8596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87BCD9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08A102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B99EE1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20750.12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B5017B0" w14:textId="77777777"/>
        </w:tc>
      </w:tr>
      <w:tr w14:paraId="024DF1C6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58AEB19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0DFD74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固定资产投资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652AE6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CFACAE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15180.26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C465C41" w14:textId="77777777"/>
        </w:tc>
      </w:tr>
      <w:tr w14:paraId="724B196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0340E95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C4448C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土建工程投资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2A8140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5148BA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5407.05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03F9530" w14:textId="77777777"/>
        </w:tc>
      </w:tr>
      <w:tr w14:paraId="3F6866C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461A120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2.1.1.1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1337F5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土建工程投资占比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FA85DA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91CD89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26.06%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2AE9A76" w14:textId="77777777"/>
        </w:tc>
      </w:tr>
      <w:tr w14:paraId="59336AD6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233BA5D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2557F1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设备投资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4F8B33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3FF875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4118.96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CF6F575" w14:textId="77777777"/>
        </w:tc>
      </w:tr>
      <w:tr w14:paraId="3BC88E31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24966BC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2.1.2.1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9B1C1E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设备投资占比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368AA7C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16142A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19.85%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B46877C" w14:textId="77777777"/>
        </w:tc>
      </w:tr>
      <w:tr w14:paraId="6755C945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1803C81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41FEF7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其它投资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832DBF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22E230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5654.25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F0253CE" w14:textId="77777777"/>
        </w:tc>
      </w:tr>
      <w:tr w14:paraId="589701F5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6117483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2.1.3.1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539376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其它投资占比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F0F155B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0B2FA9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27.25%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D44EF23" w14:textId="77777777"/>
        </w:tc>
      </w:tr>
      <w:tr w14:paraId="4CC25D2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3432F1B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170C26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固定资产投资占比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DDF45C7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984EB5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73.16%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B46233A" w14:textId="77777777"/>
        </w:tc>
      </w:tr>
    </w:tbl>
    <w:p>
      <w:pPr>
        <w:sectPr w:rsidSect="00A02F19">
          <w:headerReference w:type="default" r:id="rId7"/>
          <w:type w:val="nextPage"/>
          <w:pgSz w:w="12240" w:h="15840"/>
          <w:pgMar w:top="1800" w:right="1200" w:bottom="1200" w:left="1200" w:header="720" w:footer="720" w:gutter="0"/>
          <w:pgNumType w:start="4"/>
          <w:cols w:space="720"/>
          <w:titlePg w:val="0"/>
          <w:docGrid w:linePitch="360"/>
        </w:sectPr>
      </w:pP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2000"/>
        <w:gridCol w:w="2000"/>
        <w:gridCol w:w="2000"/>
        <w:gridCol w:w="2000"/>
        <w:gridCol w:w="2000"/>
      </w:tblGrid>
      <w:tr w14:paraId="344D4334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577DAA5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AFBC1E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流动资金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74A00D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D0F676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5569.86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3000F07" w14:textId="77777777"/>
        </w:tc>
      </w:tr>
      <w:tr w14:paraId="4ACE7B61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1317FC8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2.2.1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A40BC3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流动资金占比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08046CB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428ACE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26.84%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77E7EAC" w14:textId="77777777"/>
        </w:tc>
      </w:tr>
      <w:tr w14:paraId="08E36C0E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6E600B7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5A5665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收入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5531C5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07363F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51833.00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5CEC835" w14:textId="77777777"/>
        </w:tc>
      </w:tr>
      <w:tr w14:paraId="116916F2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17B4FD8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56FC10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总成本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B4BC80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544D89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41142.24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D369117" w14:textId="77777777"/>
        </w:tc>
      </w:tr>
      <w:tr w14:paraId="57B3FB72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07A1F17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ABA55B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利润总额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9778A1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9F8DC0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10690.76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B1D2226" w14:textId="77777777"/>
        </w:tc>
      </w:tr>
      <w:tr w14:paraId="195CE20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2EC2372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BC9CA5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净利润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7649E9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A259E4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8018.07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0355725" w14:textId="77777777"/>
        </w:tc>
      </w:tr>
      <w:tr w14:paraId="44DE1FD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1B57501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FA7DFF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所得税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6471A4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0C928F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1.47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0360EAF" w14:textId="77777777"/>
        </w:tc>
      </w:tr>
      <w:tr w14:paraId="58DD1FD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1877A9B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1B7611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增值税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314C0B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E32150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1474.59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25CB01D" w14:textId="77777777"/>
        </w:tc>
      </w:tr>
      <w:tr w14:paraId="0877DE5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361AD2F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E1B59F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税金及附加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A57409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055648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385.43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6FE6510" w14:textId="77777777"/>
        </w:tc>
      </w:tr>
      <w:tr w14:paraId="41596312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799AA7E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D27DDA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纳税总额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D6FF57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B2891E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4532.71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E710855" w14:textId="77777777"/>
        </w:tc>
      </w:tr>
      <w:tr w14:paraId="5134EF3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1D3A7A3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77041B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利税总额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894DA5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18A5BC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12550.78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3EEF4E0" w14:textId="77777777"/>
        </w:tc>
      </w:tr>
      <w:tr w14:paraId="2CF312D0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76CA19D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24F7AB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投资利润率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E24B93D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1E360C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51.52%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B04A9CD" w14:textId="77777777"/>
        </w:tc>
      </w:tr>
      <w:tr w14:paraId="389A2D8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04257A6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CD6584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投资利税率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6065E5C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D5EC7D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60.49%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8254378" w14:textId="77777777"/>
        </w:tc>
      </w:tr>
      <w:tr w14:paraId="36DDD17A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0DD28E0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1A0976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投资回报率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8DC84CF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EDFDCD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38.64%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D28875E" w14:textId="77777777"/>
        </w:tc>
      </w:tr>
      <w:tr w14:paraId="0D49556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76BA153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BCD3F1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回收期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BFA3A4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年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99ACFB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4.09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31EBD1A" w14:textId="77777777"/>
        </w:tc>
      </w:tr>
      <w:tr w14:paraId="4E39607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515E2AC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49C16B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设备数量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32159E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台（套）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183D05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162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8DB402A" w14:textId="77777777"/>
        </w:tc>
      </w:tr>
      <w:tr w14:paraId="59A6AAD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0A36153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7D9897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年用电量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F7C99C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千瓦时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A24AD4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497797.19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C176C67" w14:textId="77777777"/>
        </w:tc>
      </w:tr>
      <w:tr w14:paraId="2FBCD32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69F605C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E496CA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年用水量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1DB159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立方米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CD74B0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40029.93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A65D582" w14:textId="77777777"/>
        </w:tc>
      </w:tr>
      <w:tr w14:paraId="14BF08FC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79FCC9B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1D46AA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总能耗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D0D0AA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吨标准煤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85E44C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64.60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380F189" w14:textId="77777777"/>
        </w:tc>
      </w:tr>
      <w:tr w14:paraId="5B379C0D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7FC87AD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91CAAD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节能率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BD40C18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0E0E1D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29.85%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E43D463" w14:textId="77777777"/>
        </w:tc>
      </w:tr>
      <w:tr w14:paraId="7FAF0679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7F6A808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3D0B04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节能量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8075E5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吨标准煤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DBB4BE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23.89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55BD960" w14:textId="77777777"/>
        </w:tc>
      </w:tr>
      <w:tr w14:paraId="4F872C26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78983E8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3A484F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员工数量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98D8DD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人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68714A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755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72EF559" w14:textId="77777777"/>
        </w:tc>
      </w:tr>
    </w:tbl>
    <w:p w:rsidR="0064456B" w14:paraId="0FB59F53" w14:textId="77777777">
      <w:pPr>
        <w:jc w:val="center"/>
      </w:pPr>
      <w:r>
        <w:rPr>
          <w:rFonts w:ascii="仿宋" w:eastAsia="仿宋" w:hAnsi="仿宋" w:cs="仿宋"/>
          <w:b/>
          <w:bCs/>
          <w:sz w:val="32"/>
          <w:szCs w:val="32"/>
        </w:rPr>
        <w:t xml:space="preserve"> </w:t>
      </w:r>
      <w:r>
        <w:br/>
      </w:r>
    </w:p>
    <w:p w:rsidR="0064456B" w14:paraId="45ADEDBF" w14:textId="77777777">
      <w:pPr>
        <w:jc w:val="center"/>
      </w:pPr>
      <w:r>
        <w:rPr>
          <w:rFonts w:ascii="仿宋" w:eastAsia="仿宋" w:hAnsi="仿宋" w:cs="仿宋"/>
          <w:b/>
          <w:bCs/>
          <w:sz w:val="32"/>
          <w:szCs w:val="32"/>
        </w:rPr>
        <w:t>第二章</w:t>
      </w:r>
      <w:r>
        <w:rPr>
          <w:rFonts w:ascii="仿宋" w:eastAsia="仿宋" w:hAnsi="仿宋" w:cs="仿宋"/>
          <w:b/>
          <w:bCs/>
          <w:sz w:val="32"/>
          <w:szCs w:val="32"/>
        </w:rPr>
        <w:t xml:space="preserve">  </w:t>
      </w:r>
      <w:r>
        <w:rPr>
          <w:rFonts w:ascii="仿宋" w:eastAsia="仿宋" w:hAnsi="仿宋" w:cs="仿宋"/>
          <w:b/>
          <w:bCs/>
          <w:sz w:val="32"/>
          <w:szCs w:val="32"/>
        </w:rPr>
        <w:t>项目承办单位</w:t>
      </w:r>
      <w:r>
        <w:br/>
      </w:r>
    </w:p>
    <w:p w:rsidR="0064456B" w14:paraId="3C8693E0" w14:textId="2D4D6C80">
      <w:pPr>
        <w:sectPr w:rsidSect="00A02F19">
          <w:headerReference w:type="default" r:id="rId8"/>
          <w:type w:val="nextPage"/>
          <w:pgSz w:w="12240" w:h="15840"/>
          <w:pgMar w:top="1800" w:right="1200" w:bottom="1200" w:left="1200" w:header="720" w:footer="720" w:gutter="0"/>
          <w:pgNumType w:start="5"/>
          <w:cols w:space="720"/>
          <w:titlePg w:val="0"/>
          <w:docGrid w:linePitch="360"/>
        </w:sectPr>
      </w:pPr>
      <w:r>
        <w:rPr>
          <w:rFonts w:ascii="仿宋" w:eastAsia="仿宋" w:hAnsi="仿宋" w:cs="仿宋"/>
          <w:b/>
          <w:bCs/>
          <w:noProof/>
          <w:sz w:val="32"/>
          <w:szCs w:val="32"/>
        </w:rPr>
        <w:pict>
          <v:shape id="PageShape5" o:spid="_x0000_s1029" type="#_x0000_t202" style="width:500pt;height:5pt;margin-top:787pt;margin-left:0;mso-wrap-style:square;position:absolute;visibility:hidden;z-index:251662336">
            <v:textbox>
              <w:txbxContent>
                <w:p w:rsidR="0064456B" w:rsidRPr="0064456B" w14:paraId="1D5ECB05" w14:textId="589F301F">
                  <w:pPr>
                    <w:rPr>
                      <w:rFonts w:ascii="黑体" w:eastAsia="黑体"/>
                      <w:sz w:val="24"/>
                    </w:rPr>
                  </w:pPr>
                  <w:r w:rsidRPr="0064456B">
                    <w:rPr>
                      <w:rFonts w:ascii="黑体" w:eastAsia="黑体" w:hint="eastAsia"/>
                      <w:sz w:val="24"/>
                    </w:rPr>
                    <w:t>微生物肥料项目可行性分析报告 全文共5页，当前为第5页。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32"/>
          <w:szCs w:val="32"/>
        </w:rPr>
        <w:t>一、项目承办单位基本情况</w:t>
      </w:r>
    </w:p>
    <w:p w:rsidR="0064456B" w14:paraId="11E3C9E6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（一）公司名称</w:t>
      </w:r>
    </w:p>
    <w:p w:rsidR="0064456B" w14:paraId="6AC54801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实业发展公司</w:t>
      </w:r>
    </w:p>
    <w:p w:rsidR="0064456B" w14:paraId="2D684B32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（二）公司简介</w:t>
      </w:r>
    </w:p>
    <w:p w:rsidR="0064456B" w14:paraId="15198852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本公司秉承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顾客至上，锐意进取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的经营理念，坚持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客户第一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的原则为广大客户提供优质的服务。公司坚持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责任</w:t>
      </w:r>
      <w:r>
        <w:rPr>
          <w:rFonts w:ascii="仿宋" w:eastAsia="仿宋" w:hAnsi="仿宋" w:cs="仿宋"/>
          <w:sz w:val="30"/>
          <w:szCs w:val="30"/>
        </w:rPr>
        <w:t>+</w:t>
      </w:r>
      <w:r>
        <w:rPr>
          <w:rFonts w:ascii="仿宋" w:eastAsia="仿宋" w:hAnsi="仿宋" w:cs="仿宋"/>
          <w:sz w:val="30"/>
          <w:szCs w:val="30"/>
        </w:rPr>
        <w:t>爱心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的服务理念，将诚信经营、诚信服务作为企业立世之本，在服务社会、方便大众中赢得信誉、赢得市场。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满足社会和业主的需要，是我们不懈的追求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的企业观念，面对经济发展步入快车道的良好机遇，正以高昂的热情投身于建设宏伟大业。</w:t>
      </w:r>
    </w:p>
    <w:p w:rsidR="0064456B" w14:paraId="0F8F6C63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公司经过长时间的生产实践，培养和造就了一批管理水平高、综合素质优秀的职工队伍，操作技能经验丰富，积累了先进的生产项目产品的管理经验，并拥有一批过硬的产品研制开发和经营人员，因此，项目承办单位具备较强的新产品开发能力和新技术应用能力，为实施项目提供了有力的技术支撑和技术人才资源保障。</w:t>
      </w:r>
    </w:p>
    <w:p w:rsidR="0064456B" w14:paraId="0C3DC718" w14:textId="77777777">
      <w:r>
        <w:rPr>
          <w:rFonts w:ascii="仿宋" w:eastAsia="仿宋" w:hAnsi="仿宋" w:cs="仿宋"/>
          <w:b/>
          <w:bCs/>
          <w:sz w:val="32"/>
          <w:szCs w:val="32"/>
        </w:rPr>
        <w:t>二、公司经济效益分析</w:t>
      </w:r>
    </w:p>
    <w:p w:rsidR="0064456B" w14:paraId="390B8EE1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上一年度，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（集团）有限公司实现营业收入</w:t>
      </w:r>
      <w:r>
        <w:rPr>
          <w:rFonts w:ascii="仿宋" w:eastAsia="仿宋" w:hAnsi="仿宋" w:cs="仿宋"/>
          <w:sz w:val="30"/>
          <w:szCs w:val="30"/>
        </w:rPr>
        <w:t>41578.05</w:t>
      </w:r>
      <w:r>
        <w:rPr>
          <w:rFonts w:ascii="仿宋" w:eastAsia="仿宋" w:hAnsi="仿宋" w:cs="仿宋"/>
          <w:sz w:val="30"/>
          <w:szCs w:val="30"/>
        </w:rPr>
        <w:t>万元，同比增长</w:t>
      </w:r>
      <w:r>
        <w:rPr>
          <w:rFonts w:ascii="仿宋" w:eastAsia="仿宋" w:hAnsi="仿宋" w:cs="仿宋"/>
          <w:sz w:val="30"/>
          <w:szCs w:val="30"/>
        </w:rPr>
        <w:t>11.72%</w:t>
      </w:r>
      <w:r>
        <w:rPr>
          <w:rFonts w:ascii="仿宋" w:eastAsia="仿宋" w:hAnsi="仿宋" w:cs="仿宋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4360.37</w:t>
      </w:r>
      <w:r>
        <w:rPr>
          <w:rFonts w:ascii="仿宋" w:eastAsia="仿宋" w:hAnsi="仿宋" w:cs="仿宋"/>
          <w:sz w:val="30"/>
          <w:szCs w:val="30"/>
        </w:rPr>
        <w:t>万元）。其中，主营业业务微生物肥料生产及销售收入为</w:t>
      </w:r>
      <w:r>
        <w:rPr>
          <w:rFonts w:ascii="仿宋" w:eastAsia="仿宋" w:hAnsi="仿宋" w:cs="仿宋"/>
          <w:sz w:val="30"/>
          <w:szCs w:val="30"/>
        </w:rPr>
        <w:t>39387.86</w:t>
      </w:r>
      <w:r>
        <w:rPr>
          <w:rFonts w:ascii="仿宋" w:eastAsia="仿宋" w:hAnsi="仿宋" w:cs="仿宋"/>
          <w:sz w:val="30"/>
          <w:szCs w:val="30"/>
        </w:rPr>
        <w:t>万元，占营业总收入的</w:t>
      </w:r>
      <w:r>
        <w:rPr>
          <w:rFonts w:ascii="仿宋" w:eastAsia="仿宋" w:hAnsi="仿宋" w:cs="仿宋"/>
          <w:sz w:val="30"/>
          <w:szCs w:val="30"/>
        </w:rPr>
        <w:t>94.73%</w:t>
      </w:r>
      <w:r>
        <w:rPr>
          <w:rFonts w:ascii="仿宋" w:eastAsia="仿宋" w:hAnsi="仿宋" w:cs="仿宋"/>
          <w:sz w:val="30"/>
          <w:szCs w:val="30"/>
        </w:rPr>
        <w:t>。</w:t>
      </w:r>
    </w:p>
    <w:p w:rsidR="0064456B" w14:paraId="0B751932" w14:textId="6E05F3AB">
      <w:pPr>
        <w:ind w:firstLine="600"/>
        <w:sectPr w:rsidSect="00A02F19">
          <w:headerReference w:type="default" r:id="rId9"/>
          <w:type w:val="nextPage"/>
          <w:pgSz w:w="12240" w:h="15840"/>
          <w:pgMar w:top="1800" w:right="1200" w:bottom="1200" w:left="1200" w:header="720" w:footer="720" w:gutter="0"/>
          <w:pgNumType w:start="6"/>
          <w:cols w:space="720"/>
          <w:titlePg w:val="0"/>
          <w:docGrid w:linePitch="360"/>
        </w:sectPr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6" o:spid="_x0000_s1030" type="#_x0000_t202" style="width:500pt;height:5pt;margin-top:787pt;margin-left:0;mso-wrap-style:square;position:absolute;visibility:hidden;z-index:251663360">
            <v:textbox>
              <w:txbxContent>
                <w:p w:rsidR="0064456B" w:rsidRPr="0064456B" w14:paraId="32B7336C" w14:textId="393C9432">
                  <w:pPr>
                    <w:rPr>
                      <w:rFonts w:ascii="黑体" w:eastAsia="黑体"/>
                      <w:sz w:val="24"/>
                    </w:rPr>
                  </w:pPr>
                  <w:r w:rsidRPr="0064456B">
                    <w:rPr>
                      <w:rFonts w:ascii="黑体" w:eastAsia="黑体" w:hint="eastAsia"/>
                      <w:sz w:val="24"/>
                    </w:rPr>
                    <w:t>微生物肥料项目可行性分析报告 全文共6页，当前为第6页。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sz w:val="30"/>
          <w:szCs w:val="30"/>
        </w:rPr>
        <w:t>根据初步统计测算，公司实现利润总额</w:t>
      </w:r>
      <w:r>
        <w:rPr>
          <w:rFonts w:ascii="仿宋" w:eastAsia="仿宋" w:hAnsi="仿宋" w:cs="仿宋"/>
          <w:sz w:val="30"/>
          <w:szCs w:val="30"/>
        </w:rPr>
        <w:t>10025.21</w:t>
      </w:r>
      <w:r>
        <w:rPr>
          <w:rFonts w:ascii="仿宋" w:eastAsia="仿宋" w:hAnsi="仿宋" w:cs="仿宋"/>
          <w:sz w:val="30"/>
          <w:szCs w:val="30"/>
        </w:rPr>
        <w:t>万元，较去年同期相比增长</w:t>
      </w:r>
      <w:r>
        <w:rPr>
          <w:rFonts w:ascii="仿宋" w:eastAsia="仿宋" w:hAnsi="仿宋" w:cs="仿宋"/>
          <w:sz w:val="30"/>
          <w:szCs w:val="30"/>
        </w:rPr>
        <w:t>1976.91</w:t>
      </w:r>
      <w:r>
        <w:rPr>
          <w:rFonts w:ascii="仿宋" w:eastAsia="仿宋" w:hAnsi="仿宋" w:cs="仿宋"/>
          <w:sz w:val="30"/>
          <w:szCs w:val="30"/>
        </w:rPr>
        <w:t>万元，增长率</w:t>
      </w:r>
      <w:r>
        <w:rPr>
          <w:rFonts w:ascii="仿宋" w:eastAsia="仿宋" w:hAnsi="仿宋" w:cs="仿宋"/>
          <w:sz w:val="30"/>
          <w:szCs w:val="30"/>
        </w:rPr>
        <w:t>24.56%</w:t>
      </w:r>
      <w:r>
        <w:rPr>
          <w:rFonts w:ascii="仿宋" w:eastAsia="仿宋" w:hAnsi="仿宋" w:cs="仿宋"/>
          <w:sz w:val="30"/>
          <w:szCs w:val="30"/>
        </w:rPr>
        <w:t>；实现净利润</w:t>
      </w:r>
      <w:r>
        <w:rPr>
          <w:rFonts w:ascii="仿宋" w:eastAsia="仿宋" w:hAnsi="仿宋" w:cs="仿宋"/>
          <w:sz w:val="30"/>
          <w:szCs w:val="30"/>
        </w:rPr>
        <w:t>7518.91</w:t>
      </w:r>
      <w:r>
        <w:rPr>
          <w:rFonts w:ascii="仿宋" w:eastAsia="仿宋" w:hAnsi="仿宋" w:cs="仿宋"/>
          <w:sz w:val="30"/>
          <w:szCs w:val="30"/>
        </w:rPr>
        <w:t>万元，较去年</w:t>
      </w:r>
    </w:p>
    <w:p w:rsidR="0064456B" w14:textId="6E05F3AB">
      <w:pPr>
        <w:ind w:firstLine="600"/>
      </w:pPr>
      <w:r>
        <w:rPr>
          <w:rFonts w:ascii="仿宋" w:eastAsia="仿宋" w:hAnsi="仿宋" w:cs="仿宋"/>
          <w:sz w:val="30"/>
          <w:szCs w:val="30"/>
        </w:rPr>
        <w:t>同期相比增长</w:t>
      </w:r>
      <w:r>
        <w:rPr>
          <w:rFonts w:ascii="仿宋" w:eastAsia="仿宋" w:hAnsi="仿宋" w:cs="仿宋"/>
          <w:sz w:val="30"/>
          <w:szCs w:val="30"/>
        </w:rPr>
        <w:t>1385.21</w:t>
      </w:r>
      <w:r>
        <w:rPr>
          <w:rFonts w:ascii="仿宋" w:eastAsia="仿宋" w:hAnsi="仿宋" w:cs="仿宋"/>
          <w:sz w:val="30"/>
          <w:szCs w:val="30"/>
        </w:rPr>
        <w:t>万元，增长率</w:t>
      </w:r>
      <w:r>
        <w:rPr>
          <w:rFonts w:ascii="仿宋" w:eastAsia="仿宋" w:hAnsi="仿宋" w:cs="仿宋"/>
          <w:sz w:val="30"/>
          <w:szCs w:val="30"/>
        </w:rPr>
        <w:t>22.58%</w:t>
      </w:r>
      <w:r>
        <w:rPr>
          <w:rFonts w:ascii="仿宋" w:eastAsia="仿宋" w:hAnsi="仿宋" w:cs="仿宋"/>
          <w:sz w:val="30"/>
          <w:szCs w:val="30"/>
        </w:rPr>
        <w:t>。</w:t>
      </w:r>
      <w:r>
        <w:br/>
      </w:r>
    </w:p>
    <w:p w:rsidR="0064456B" w14:paraId="26544345" w14:textId="77777777">
      <w:pPr>
        <w:jc w:val="center"/>
      </w:pPr>
      <w:r>
        <w:rPr>
          <w:rFonts w:ascii="仿宋" w:eastAsia="仿宋" w:hAnsi="仿宋" w:cs="仿宋"/>
          <w:b/>
          <w:bCs/>
          <w:sz w:val="28"/>
          <w:szCs w:val="28"/>
        </w:rPr>
        <w:t>上年度主要经济指标</w:t>
      </w: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3350"/>
        <w:gridCol w:w="3350"/>
        <w:gridCol w:w="3350"/>
      </w:tblGrid>
      <w:tr w14:paraId="2FC81AFC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3350" w:type="dxa"/>
            <w:shd w:val="clear" w:color="auto" w:fill="auto"/>
            <w:vAlign w:val="center"/>
          </w:tcPr>
          <w:p w:rsidR="0064456B" w:rsidRPr="00722E63" w14:paraId="09A57913" w14:textId="77777777">
            <w:r w:rsidRPr="00722E63">
              <w:rPr>
                <w:rFonts w:ascii="仿宋" w:eastAsia="仿宋" w:hAnsi="仿宋"/>
                <w:b/>
              </w:rPr>
              <w:t>项目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64456B" w:rsidRPr="00722E63" w14:paraId="2C227A90" w14:textId="77777777">
            <w:r w:rsidRPr="00722E63">
              <w:rPr>
                <w:rFonts w:ascii="仿宋" w:eastAsia="仿宋" w:hAnsi="仿宋"/>
                <w:b/>
              </w:rPr>
              <w:t>单位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64456B" w:rsidRPr="00722E63" w14:paraId="41C4A3AE" w14:textId="77777777">
            <w:pPr>
              <w:jc w:val="center"/>
            </w:pPr>
            <w:r w:rsidRPr="00722E63">
              <w:rPr>
                <w:rFonts w:ascii="仿宋" w:eastAsia="仿宋" w:hAnsi="仿宋"/>
                <w:b/>
              </w:rPr>
              <w:t>指标</w:t>
            </w:r>
          </w:p>
        </w:tc>
      </w:tr>
      <w:tr w14:paraId="47552CAA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2AC0080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完成营业收入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401675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64E52F5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41578.05</w:t>
            </w:r>
          </w:p>
        </w:tc>
      </w:tr>
      <w:tr w14:paraId="70F0CB0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299F415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完成主营业务收入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D9B4AD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99269C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39387.86</w:t>
            </w:r>
          </w:p>
        </w:tc>
      </w:tr>
      <w:tr w14:paraId="73B5FE7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60AB017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主营业务收入占比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B655981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A2760B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94.73%</w:t>
            </w:r>
          </w:p>
        </w:tc>
      </w:tr>
      <w:tr w14:paraId="1B01D91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27EFAE4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营业收入增长率（同比）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0FD1F93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9B11F1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11.72%</w:t>
            </w:r>
          </w:p>
        </w:tc>
      </w:tr>
      <w:tr w14:paraId="7CD85222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30F33D2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营业收入增长量（同比）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E7EA2B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B3434B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4360.37</w:t>
            </w:r>
          </w:p>
        </w:tc>
      </w:tr>
      <w:tr w14:paraId="564B123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11D3DEE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利润总额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81A59C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5F1BF7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10025.21</w:t>
            </w:r>
          </w:p>
        </w:tc>
      </w:tr>
      <w:tr w14:paraId="53B14C55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1906CE0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利润总额增长率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51ABAA9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D77B03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24.56%</w:t>
            </w:r>
          </w:p>
        </w:tc>
      </w:tr>
      <w:tr w14:paraId="7C8BCA4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53CA44D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利润总额增长量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1C02F3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4E050E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1976.91</w:t>
            </w:r>
          </w:p>
        </w:tc>
      </w:tr>
      <w:tr w14:paraId="5644FFC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19DB563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净利润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E8748C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700017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7518.91</w:t>
            </w:r>
          </w:p>
        </w:tc>
      </w:tr>
      <w:tr w14:paraId="5610BF1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3015757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净利润增长率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42495ACF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32D909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22.58%</w:t>
            </w:r>
          </w:p>
        </w:tc>
      </w:tr>
      <w:tr w14:paraId="017501D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5B7F546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净利润增长量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ED4FF9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C5DB1A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1385.21</w:t>
            </w:r>
          </w:p>
        </w:tc>
      </w:tr>
      <w:tr w14:paraId="00FC70E5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00D3D14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投资利润率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9111BB0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060146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56.67%</w:t>
            </w:r>
          </w:p>
        </w:tc>
      </w:tr>
      <w:tr w14:paraId="676227C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6F83A5C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投资回报率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87ADDE7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C9FBEA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42.51%</w:t>
            </w:r>
          </w:p>
        </w:tc>
      </w:tr>
      <w:tr w14:paraId="397C8F4D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3B9C8A4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财务内部收益率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F70C9B5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24F72CC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26.67%</w:t>
            </w:r>
          </w:p>
        </w:tc>
      </w:tr>
      <w:tr w14:paraId="5901FD5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7A9256B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企业总资产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B165B5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03BBDC6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51798.16</w:t>
            </w:r>
          </w:p>
        </w:tc>
      </w:tr>
      <w:tr w14:paraId="4612127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3C60710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流动资产总额占比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5ADD20D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704299C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27.28%</w:t>
            </w:r>
          </w:p>
        </w:tc>
      </w:tr>
      <w:tr w14:paraId="71440A92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3E5AB79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流动资产总额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94218B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7B9E2F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14132.41</w:t>
            </w:r>
          </w:p>
        </w:tc>
      </w:tr>
      <w:tr w14:paraId="4D7F98A6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64456B" w:rsidRPr="00722E63" w14:paraId="5A5666C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资产负债率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3FB1646A" w14:textId="77777777"/>
        </w:tc>
        <w:tc>
          <w:tcPr>
            <w:tcW w:w="0" w:type="dxa"/>
            <w:shd w:val="clear" w:color="auto" w:fill="auto"/>
            <w:vAlign w:val="center"/>
          </w:tcPr>
          <w:p w:rsidR="0064456B" w:rsidRPr="00722E63" w14:paraId="13660FF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43.14%</w:t>
            </w:r>
          </w:p>
        </w:tc>
      </w:tr>
    </w:tbl>
    <w:p w:rsidR="0064456B" w14:paraId="3310064D" w14:textId="77777777">
      <w:pPr>
        <w:jc w:val="center"/>
      </w:pPr>
      <w:r>
        <w:rPr>
          <w:rFonts w:ascii="仿宋" w:eastAsia="仿宋" w:hAnsi="仿宋" w:cs="仿宋"/>
          <w:b/>
          <w:bCs/>
          <w:sz w:val="32"/>
          <w:szCs w:val="32"/>
        </w:rPr>
        <w:t xml:space="preserve"> </w:t>
      </w:r>
      <w:r>
        <w:br/>
      </w:r>
    </w:p>
    <w:p w:rsidR="0064456B" w14:paraId="08CE8454" w14:textId="640E1376">
      <w:pPr>
        <w:jc w:val="center"/>
      </w:pPr>
      <w:r>
        <w:rPr>
          <w:rFonts w:ascii="仿宋" w:eastAsia="仿宋" w:hAnsi="仿宋" w:cs="仿宋"/>
          <w:b/>
          <w:bCs/>
          <w:noProof/>
          <w:sz w:val="32"/>
          <w:szCs w:val="32"/>
        </w:rPr>
        <w:pict>
          <v:shape id="PageShape7" o:spid="_x0000_s1031" type="#_x0000_t202" style="width:500pt;height:5pt;margin-top:787pt;margin-left:0;mso-wrap-style:square;position:absolute;visibility:hidden;z-index:251664384">
            <v:textbox>
              <w:txbxContent>
                <w:p w:rsidR="0064456B" w:rsidRPr="0064456B" w14:paraId="792BD880" w14:textId="221DAA73">
                  <w:pPr>
                    <w:rPr>
                      <w:rFonts w:ascii="黑体" w:eastAsia="黑体"/>
                      <w:sz w:val="24"/>
                    </w:rPr>
                  </w:pPr>
                  <w:r w:rsidRPr="0064456B">
                    <w:rPr>
                      <w:rFonts w:ascii="黑体" w:eastAsia="黑体" w:hint="eastAsia"/>
                      <w:sz w:val="24"/>
                    </w:rPr>
                    <w:t>微生物肥料项目可行性分析报告 全文共7页，当前为第7页。</w:t>
                  </w:r>
                  <w:r w:rsidRPr="0064456B">
                    <w:rPr>
                      <w:rFonts w:ascii="黑体" w:eastAsia="黑体"/>
                      <w:sz w:val="24"/>
                    </w:rPr>
                    <w:br/>
                  </w:r>
                  <w:r w:rsidRPr="0064456B">
                    <w:rPr>
                      <w:rFonts w:ascii="黑体" w:eastAsia="黑体"/>
                      <w:sz w:val="24"/>
                    </w:rPr>
                    <w:br/>
                  </w:r>
                </w:p>
                <w:p>
                  <w:pPr>
                    <w:spacing w:line="240" w:lineRule="auto"/>
                    <w:rPr>
                      <w:rFonts w:ascii="SimSun" w:eastAsia="SimSun" w:hAnsi="SimSun" w:cs="SimSun"/>
                      <w:b/>
                      <w:bCs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color w:val="000000"/>
                      <w:sz w:val="30"/>
                      <w:szCs w:val="30"/>
                    </w:rPr>
                    <w:t>以上内容仅为本文档的试下载部分，为可阅读页数的一半内容。如要下载或阅读全文，请访问：</w:t>
                  </w:r>
                  <w:hyperlink r:id="rId10" w:history="1">
                    <w:r>
                      <w:rPr>
                        <w:rFonts w:ascii="SimSun" w:eastAsia="SimSun" w:hAnsi="SimSun" w:cs="SimSun"/>
                        <w:b/>
                        <w:bCs/>
                        <w:color w:val="0000EE"/>
                        <w:sz w:val="30"/>
                        <w:szCs w:val="30"/>
                        <w:u w:val="single" w:color="0000EE"/>
                      </w:rPr>
                      <w:t>https://d.book118.com/978106044130006024</w:t>
                    </w:r>
                  </w:hyperlink>
                </w:p>
                <w:p w:rsidR="0064456B" w:rsidRPr="0064456B">
                  <w:pPr>
                    <w:rPr>
                      <w:rFonts w:ascii="黑体" w:eastAsia="黑体"/>
                      <w:sz w:val="24"/>
                    </w:rPr>
                  </w:pP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32"/>
          <w:szCs w:val="32"/>
        </w:rPr>
        <w:t>第三章</w:t>
      </w:r>
      <w:r>
        <w:rPr>
          <w:rFonts w:ascii="仿宋" w:eastAsia="仿宋" w:hAnsi="仿宋" w:cs="仿宋"/>
          <w:b/>
          <w:bCs/>
          <w:sz w:val="32"/>
          <w:szCs w:val="32"/>
        </w:rPr>
        <w:t xml:space="preserve">  </w:t>
      </w:r>
      <w:r>
        <w:rPr>
          <w:rFonts w:ascii="仿宋" w:eastAsia="仿宋" w:hAnsi="仿宋" w:cs="仿宋"/>
          <w:b/>
          <w:bCs/>
          <w:sz w:val="32"/>
          <w:szCs w:val="32"/>
        </w:rPr>
        <w:t>建设背景及必要性分析</w:t>
      </w:r>
      <w:r>
        <w:br/>
      </w:r>
    </w:p>
    <w:sectPr w:rsidSect="00A02F19">
      <w:headerReference w:type="default" r:id="rId11"/>
      <w:type w:val="nextPage"/>
      <w:pgSz w:w="12240" w:h="15840"/>
      <w:pgMar w:top="1800" w:right="1200" w:bottom="1200" w:left="1200" w:header="720" w:footer="720" w:gutter="0"/>
      <w:pgNumType w:start="7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456B" w:rsidP="0064456B" w14:paraId="35DFA373" w14:textId="538D7DEC">
    <w:pPr>
      <w:jc w:val="center"/>
    </w:pPr>
    <w:r>
      <w:rPr>
        <w:rFonts w:ascii="仿宋" w:eastAsia="仿宋" w:hAnsi="仿宋" w:cs="仿宋" w:hint="eastAsia"/>
        <w:sz w:val="20"/>
        <w:szCs w:val="20"/>
      </w:rPr>
      <w:t>微生物肥料项目可行性分析报告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456B" w:rsidP="0064456B" w14:textId="538D7DEC">
    <w:pPr>
      <w:jc w:val="center"/>
    </w:pPr>
    <w:r>
      <w:rPr>
        <w:rFonts w:ascii="仿宋" w:eastAsia="仿宋" w:hAnsi="仿宋" w:cs="仿宋" w:hint="eastAsia"/>
        <w:sz w:val="20"/>
        <w:szCs w:val="20"/>
      </w:rPr>
      <w:t>微生物肥料项目可行性分析报告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456B" w:rsidP="0064456B" w14:textId="538D7DEC">
    <w:pPr>
      <w:jc w:val="center"/>
    </w:pPr>
    <w:r>
      <w:rPr>
        <w:rFonts w:ascii="仿宋" w:eastAsia="仿宋" w:hAnsi="仿宋" w:cs="仿宋" w:hint="eastAsia"/>
        <w:sz w:val="20"/>
        <w:szCs w:val="20"/>
      </w:rPr>
      <w:t>微生物肥料项目可行性分析报告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456B" w:rsidP="0064456B" w14:textId="538D7DEC">
    <w:pPr>
      <w:jc w:val="center"/>
    </w:pPr>
    <w:r>
      <w:rPr>
        <w:rFonts w:ascii="仿宋" w:eastAsia="仿宋" w:hAnsi="仿宋" w:cs="仿宋" w:hint="eastAsia"/>
        <w:sz w:val="20"/>
        <w:szCs w:val="20"/>
      </w:rPr>
      <w:t>微生物肥料项目可行性分析报告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456B" w:rsidP="0064456B" w14:textId="538D7DEC">
    <w:pPr>
      <w:jc w:val="center"/>
    </w:pPr>
    <w:r>
      <w:rPr>
        <w:rFonts w:ascii="仿宋" w:eastAsia="仿宋" w:hAnsi="仿宋" w:cs="仿宋" w:hint="eastAsia"/>
        <w:sz w:val="20"/>
        <w:szCs w:val="20"/>
      </w:rPr>
      <w:t>微生物肥料项目可行性分析报告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456B" w:rsidP="0064456B" w14:textId="538D7DEC">
    <w:pPr>
      <w:jc w:val="center"/>
    </w:pPr>
    <w:r>
      <w:rPr>
        <w:rFonts w:ascii="仿宋" w:eastAsia="仿宋" w:hAnsi="仿宋" w:cs="仿宋" w:hint="eastAsia"/>
        <w:sz w:val="20"/>
        <w:szCs w:val="20"/>
      </w:rPr>
      <w:t>微生物肥料项目可行性分析报告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456B" w:rsidP="0064456B" w14:textId="538D7DEC">
    <w:pPr>
      <w:jc w:val="center"/>
    </w:pPr>
    <w:r>
      <w:rPr>
        <w:rFonts w:ascii="仿宋" w:eastAsia="仿宋" w:hAnsi="仿宋" w:cs="仿宋" w:hint="eastAsia"/>
        <w:sz w:val="20"/>
        <w:szCs w:val="20"/>
      </w:rPr>
      <w:t>微生物肥料项目可行性分析报告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09F643A"/>
    <w:multiLevelType w:val="hybridMultilevel"/>
    <w:tmpl w:val="B8B46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027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F2"/>
    <w:rsid w:val="0064456B"/>
    <w:rsid w:val="00722E63"/>
    <w:rsid w:val="00A02F19"/>
    <w:rsid w:val="00A94AF2"/>
  </w:rsids>
  <m:mathPr>
    <m:mathFont m:val="Cambria Math"/>
  </m:mathPr>
  <w:themeFontLang w:val="en-US" w:eastAsia="zh-CN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3722AF"/>
  <w15:docId w15:val="{952223CA-4A8D-45B5-8FDB-1BD1EE62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="宋体" w:ascii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64456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4456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4456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445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78106044130006024" TargetMode="External" /><Relationship Id="rId11" Type="http://schemas.openxmlformats.org/officeDocument/2006/relationships/header" Target="header7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9636</Words>
  <Characters>11276</Characters>
  <Application>Microsoft Office Word</Application>
  <DocSecurity>0</DocSecurity>
  <Lines>867</Lines>
  <Paragraphs>909</Paragraphs>
  <ScaleCrop>false</ScaleCrop>
  <Company>officegen</Company>
  <LinksUpToDate>false</LinksUpToDate>
  <CharactersWithSpaces>20003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空空不是空空</dc:creator>
  <cp:lastModifiedBy>YH W</cp:lastModifiedBy>
  <cp:revision>2</cp:revision>
  <dcterms:created xsi:type="dcterms:W3CDTF">2024-01-05T09:16:00Z</dcterms:created>
  <dcterms:modified xsi:type="dcterms:W3CDTF">2024-01-05T09:16:00Z</dcterms:modified>
</cp:coreProperties>
</file>