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5DFA7615" w14:textId="77777777">
          <w:pPr>
            <w:pStyle w:val="NoSpacing"/>
          </w:pPr>
        </w:p>
        <w:p w:rsidR="00C018A2" w14:paraId="6C90E21C" w14:textId="77777777">
          <w:pPr>
            <w:pStyle w:val="NoSpacing"/>
          </w:pPr>
        </w:p>
        <w:p w:rsidR="00C018A2" w14:paraId="0D3F4E40" w14:textId="77777777">
          <w:pPr>
            <w:pStyle w:val="NoSpacing"/>
          </w:pPr>
        </w:p>
        <w:p w:rsidR="00C018A2" w14:paraId="50A9AD50" w14:textId="77777777">
          <w:pPr>
            <w:pStyle w:val="NoSpacing"/>
          </w:pPr>
        </w:p>
        <w:p w:rsidR="00C018A2" w14:paraId="186ABB85" w14:textId="77777777">
          <w:pPr>
            <w:pStyle w:val="NoSpacing"/>
          </w:pPr>
        </w:p>
        <w:p w:rsidR="00C018A2" w14:paraId="51A88E8B" w14:textId="77777777">
          <w:pPr>
            <w:pStyle w:val="NoSpacing"/>
          </w:pPr>
        </w:p>
        <w:p w:rsidR="00C018A2" w14:paraId="4A71514C" w14:textId="77777777">
          <w:pPr>
            <w:pStyle w:val="NoSpacing"/>
          </w:pPr>
        </w:p>
        <w:p w:rsidR="00C018A2" w14:paraId="7848B28A" w14:textId="77777777">
          <w:pPr>
            <w:pStyle w:val="NoSpacing"/>
          </w:pPr>
        </w:p>
        <w:p w:rsidR="00C018A2" w14:paraId="17F6417C" w14:textId="77777777">
          <w:pPr>
            <w:pStyle w:val="NoSpacing"/>
          </w:pPr>
        </w:p>
        <w:p w:rsidR="00C018A2" w14:paraId="5D3AF482" w14:textId="77777777">
          <w:pPr>
            <w:pStyle w:val="NoSpacing"/>
          </w:pPr>
        </w:p>
        <w:p w:rsidR="00C018A2" w14:paraId="39C2FD7D" w14:textId="77777777">
          <w:pPr>
            <w:pStyle w:val="NoSpacing"/>
          </w:pPr>
        </w:p>
        <w:p w:rsidR="00C018A2" w14:paraId="08836B39" w14:textId="77777777">
          <w:pPr>
            <w:pStyle w:val="NoSpacing"/>
          </w:pPr>
        </w:p>
        <w:p w:rsidR="00C018A2" w14:paraId="34B50FC6"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66BC7A92" w14:textId="77777777">
                            <w:pPr>
                              <w:pStyle w:val="NoSpacing"/>
                              <w:jc w:val="right"/>
                              <w:rPr>
                                <w:color w:val="FFFFFF" w:themeColor="background1"/>
                                <w:sz w:val="28"/>
                                <w:szCs w:val="28"/>
                              </w:rPr>
                            </w:pPr>
                            <w:sdt>
                              <w:sdtPr>
                                <w:rPr>
                                  <w:color w:val="FFFFFF" w:themeColor="background1"/>
                                  <w:sz w:val="32"/>
                                  <w:szCs w:val="32"/>
                                </w:rPr>
                                <w:alias w:val="日期"/>
                                <w:id w:val="1997369716"/>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212ADCE6"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非磁介质复制品</w:t>
          </w:r>
          <w:r w:rsidRPr="007A4CF7">
            <w:rPr>
              <w:rFonts w:ascii="仿宋" w:eastAsia="仿宋" w:hAnsi="仿宋" w:hint="eastAsia"/>
              <w:b/>
              <w:bCs/>
              <w:sz w:val="52"/>
              <w:szCs w:val="52"/>
            </w:rPr>
            <w:t>项目</w:t>
          </w:r>
        </w:p>
        <w:p w:rsidR="00C018A2" w:rsidP="007A4CF7" w14:paraId="04691F5A"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6221EC4E">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76D46A1F" w14:textId="6221EC4E">
                          <w:pPr>
                            <w:pStyle w:val="NoSpacing"/>
                            <w:rPr>
                              <w:color w:val="4472C4" w:themeColor="accent1"/>
                              <w:sz w:val="36"/>
                              <w:szCs w:val="36"/>
                            </w:rPr>
                          </w:pPr>
                          <w:sdt>
                            <w:sdtPr>
                              <w:rPr>
                                <w:color w:val="4472C4" w:themeColor="accent1"/>
                                <w:sz w:val="36"/>
                                <w:szCs w:val="36"/>
                              </w:rPr>
                              <w:alias w:val="作者"/>
                              <w:id w:val="403316831"/>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4DF80D77" w14:textId="77777777">
                          <w:pPr>
                            <w:pStyle w:val="NoSpacing"/>
                            <w:rPr>
                              <w:color w:val="595959" w:themeColor="text1" w:themeTint="A6"/>
                              <w:sz w:val="24"/>
                              <w:szCs w:val="24"/>
                            </w:rPr>
                          </w:pPr>
                          <w:sdt>
                            <w:sdtPr>
                              <w:rPr>
                                <w:caps/>
                                <w:color w:val="595959" w:themeColor="text1" w:themeTint="A6"/>
                                <w:sz w:val="24"/>
                                <w:szCs w:val="24"/>
                              </w:rPr>
                              <w:alias w:val="公司"/>
                              <w:id w:val="211003339"/>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4FE47139"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09D87406"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4FE7B543"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0721B631"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非磁介质复制品项目商业计划书摘要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33572A07"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31F4192C"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非磁介质复制品产品或服务描述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7C768386"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9A0A403"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非磁介质复制品目标市场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2C0FC80"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非磁介质复制品市场竞争分析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0A3AC8A"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非磁介质复制品行业趋势与机遇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321F1582"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6D88DADD"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36414ACB"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非磁介质复制品产品定价策略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01DF26FD"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非磁介质复制品产品销售渠道与拓展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68E77832"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12FB1087"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44B5C6E9"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0C9CB782"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7338A80D"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5F93F2E8"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49DA959B"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61AA47A7"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5C8BC488"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192280114"/>
        <w:docPartObj>
          <w:docPartGallery w:val="Table of Contents"/>
          <w:docPartUnique/>
        </w:docPartObj>
      </w:sdtPr>
      <w:sdtEndPr>
        <w:rPr>
          <w:b/>
          <w:bCs/>
        </w:rPr>
      </w:sdtEndPr>
      <w:sdtContent>
        <w:p w:rsidR="007A4CF7" w:rsidRPr="007A4CF7" w:rsidP="007A4CF7" w14:paraId="78FF80B3"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7CF9576C"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049BC8F1"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67787F05"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14ADC8DF"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69FFD59F"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16B320F6"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71043BEE"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4A7C0D00"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140B9670"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1B970D92"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0CF06D70"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7EA31B87"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526412F0"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643755A1"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39DCF687"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6CEA683D" w14:textId="77777777">
          <w:pPr>
            <w:spacing w:line="500" w:lineRule="exact"/>
          </w:pPr>
          <w:r w:rsidRPr="007A4CF7">
            <w:rPr>
              <w:b/>
              <w:bCs/>
              <w:sz w:val="28"/>
              <w:szCs w:val="28"/>
              <w:lang w:val="zh-CN"/>
            </w:rPr>
            <w:fldChar w:fldCharType="end"/>
          </w:r>
        </w:p>
      </w:sdtContent>
    </w:sdt>
    <w:p w:rsidR="007A4CF7" w:rsidP="00DA4121" w14:paraId="77ADEC22"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6648DDD8" w14:textId="77777777">
      <w:pPr>
        <w:pStyle w:val="Heading2"/>
      </w:pPr>
      <w:r w:rsidRPr="009C12B5">
        <w:t>一、概述</w:t>
      </w:r>
      <w:bookmarkEnd w:id="0"/>
    </w:p>
    <w:p w:rsidR="009C12B5" w:rsidRPr="00DA4121" w:rsidP="00DA4121" w14:paraId="14738D4D" w14:textId="77777777">
      <w:pPr>
        <w:pStyle w:val="Heading3"/>
      </w:pPr>
      <w:bookmarkStart w:id="1" w:name="_Toc157814104"/>
      <w:r w:rsidRPr="00DA4121">
        <w:t xml:space="preserve">1.1 </w:t>
      </w:r>
      <w:r w:rsidR="007A4CF7">
        <w:t>非磁介质复制品</w:t>
      </w:r>
      <w:r w:rsidR="007A4CF7">
        <w:rPr>
          <w:rFonts w:hint="eastAsia"/>
        </w:rPr>
        <w:t>项目</w:t>
      </w:r>
      <w:r w:rsidRPr="00DA4121">
        <w:t>商业计划书摘要</w:t>
      </w:r>
      <w:bookmarkEnd w:id="1"/>
    </w:p>
    <w:p w:rsidR="009C12B5" w:rsidRPr="009C12B5" w:rsidP="009C12B5" w14:paraId="300070A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非磁介质复制品产品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非磁介质复制品产品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非磁介质复制品产品</w:t>
      </w:r>
      <w:r w:rsidRPr="009C12B5">
        <w:rPr>
          <w:rFonts w:ascii="仿宋" w:eastAsia="仿宋" w:hAnsi="仿宋"/>
          <w:sz w:val="28"/>
          <w:szCs w:val="28"/>
        </w:rPr>
        <w:t>有望成为市场上的畅销产品，并为公司带来可观的收益和市场份额。</w:t>
      </w:r>
    </w:p>
    <w:p w:rsidR="009C12B5" w:rsidRPr="009C12B5" w:rsidP="009C12B5" w14:paraId="1BEF956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非磁介质复制品产品</w:t>
      </w:r>
      <w:r w:rsidRPr="009C12B5">
        <w:rPr>
          <w:rFonts w:ascii="仿宋" w:eastAsia="仿宋" w:hAnsi="仿宋"/>
          <w:sz w:val="28"/>
          <w:szCs w:val="28"/>
        </w:rPr>
        <w:t>商业计划书中，我们将详细阐述</w:t>
      </w:r>
      <w:r w:rsidR="00E75C7F">
        <w:rPr>
          <w:rFonts w:ascii="仿宋" w:eastAsia="仿宋" w:hAnsi="仿宋"/>
          <w:sz w:val="28"/>
          <w:szCs w:val="28"/>
        </w:rPr>
        <w:t>非磁介质复制品产品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非磁介质复制品产品</w:t>
      </w:r>
      <w:r w:rsidRPr="009C12B5">
        <w:rPr>
          <w:rFonts w:ascii="仿宋" w:eastAsia="仿宋" w:hAnsi="仿宋"/>
          <w:sz w:val="28"/>
          <w:szCs w:val="28"/>
        </w:rPr>
        <w:t>有一个全面而深入的了解，并认识到其巨大的商业价值和投资潜力。</w:t>
      </w:r>
    </w:p>
    <w:p w:rsidR="009C12B5" w:rsidRPr="009C12B5" w:rsidP="009C12B5" w14:paraId="51439A96"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非磁介质复制品产品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298E443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非磁介质复制品产品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非磁介质复制品产品</w:t>
      </w:r>
      <w:r w:rsidRPr="009C12B5">
        <w:rPr>
          <w:rFonts w:ascii="仿宋" w:eastAsia="仿宋" w:hAnsi="仿宋"/>
          <w:sz w:val="28"/>
          <w:szCs w:val="28"/>
        </w:rPr>
        <w:t>的美好未来。</w:t>
      </w:r>
    </w:p>
    <w:p w:rsidR="009C12B5" w:rsidRPr="009C12B5" w:rsidP="007A4CF7" w14:paraId="51DC802C" w14:textId="77777777">
      <w:pPr>
        <w:pStyle w:val="Heading3"/>
      </w:pPr>
      <w:bookmarkStart w:id="2" w:name="_Toc157814105"/>
      <w:r w:rsidRPr="009C12B5">
        <w:t xml:space="preserve">1.2 </w:t>
      </w:r>
      <w:r w:rsidRPr="009C12B5">
        <w:t>公司简介</w:t>
      </w:r>
      <w:bookmarkEnd w:id="2"/>
    </w:p>
    <w:p w:rsidR="009C12B5" w:rsidRPr="009C12B5" w:rsidP="009C12B5" w14:paraId="132DF1A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649D3D9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7F505EC2"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49502C5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23C0F260" w14:textId="77777777">
      <w:pPr>
        <w:pStyle w:val="Heading3"/>
      </w:pPr>
      <w:bookmarkStart w:id="3" w:name="_Toc157814106"/>
      <w:r w:rsidRPr="007A4CF7">
        <w:t xml:space="preserve">1.3 </w:t>
      </w:r>
      <w:r w:rsidR="007A4CF7">
        <w:t>非磁介质复制品</w:t>
      </w:r>
      <w:r w:rsidRPr="007A4CF7">
        <w:t>产品或服务描述</w:t>
      </w:r>
      <w:bookmarkEnd w:id="3"/>
    </w:p>
    <w:p w:rsidR="00AC16C9" w14:paraId="3C1F0346" w14:textId="7EB3309F">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非磁介质复制品产品是一种利用非磁性材料进行信息存储和传播的设备或服务。它广泛应用于各个领域，包括数据备份、文化娱乐、教育培训、医疗保健等。相比于传统的磁介质存储方式，非磁介质复制品产品具有更高的数据稳定性、更长的保存期限以及更快的读写速度。</w:t>
      </w:r>
      <w:r>
        <w:rPr>
          <w:rFonts w:ascii="仿宋" w:eastAsia="仿宋" w:hAnsi="仿宋"/>
          <w:sz w:val="28"/>
        </w:rPr>
        <w:br/>
      </w:r>
      <w:r>
        <w:rPr>
          <w:rFonts w:ascii="仿宋" w:eastAsia="仿宋" w:hAnsi="仿宋"/>
          <w:sz w:val="28"/>
        </w:rPr>
        <w:t>在商业发展计划书中，对于非磁介质复制品产品的功能介绍应重点突出以下几个方面：</w:t>
      </w:r>
      <w:r>
        <w:rPr>
          <w:rFonts w:ascii="仿宋" w:eastAsia="仿宋" w:hAnsi="仿宋"/>
          <w:sz w:val="28"/>
        </w:rPr>
        <w:br/>
        <w:t xml:space="preserve">    1.</w:t>
      </w:r>
      <w:r>
        <w:rPr>
          <w:rFonts w:ascii="仿宋" w:eastAsia="仿宋" w:hAnsi="仿宋"/>
          <w:sz w:val="28"/>
        </w:rPr>
        <w:t>数据安全性</w:t>
      </w:r>
      <w:r>
        <w:rPr>
          <w:rFonts w:ascii="仿宋" w:eastAsia="仿宋" w:hAnsi="仿宋"/>
          <w:sz w:val="28"/>
        </w:rPr>
        <w:t>：非磁介质产品通常采用加密技术，确保数据不会被未经授权的人员访问。</w:t>
      </w:r>
      <w:r>
        <w:rPr>
          <w:rFonts w:ascii="仿宋" w:eastAsia="仿宋" w:hAnsi="仿宋"/>
          <w:sz w:val="28"/>
        </w:rPr>
        <w:br/>
        <w:t xml:space="preserve">    2.</w:t>
      </w:r>
      <w:r>
        <w:rPr>
          <w:rFonts w:ascii="仿宋" w:eastAsia="仿宋" w:hAnsi="仿宋"/>
          <w:sz w:val="28"/>
        </w:rPr>
        <w:t>耐用性</w:t>
      </w:r>
      <w:r>
        <w:rPr>
          <w:rFonts w:ascii="仿宋" w:eastAsia="仿宋" w:hAnsi="仿宋"/>
          <w:sz w:val="28"/>
        </w:rPr>
        <w:t>：非磁介质产品设计有更高的耐用性，能够经受住恶劣的环境条件，如高温、低温、潮湿等。</w:t>
      </w:r>
      <w:r>
        <w:rPr>
          <w:rFonts w:ascii="仿宋" w:eastAsia="仿宋" w:hAnsi="仿宋"/>
          <w:sz w:val="28"/>
        </w:rPr>
        <w:br/>
        <w:t xml:space="preserve">    3.</w:t>
      </w:r>
      <w:r>
        <w:rPr>
          <w:rFonts w:ascii="仿宋" w:eastAsia="仿宋" w:hAnsi="仿宋"/>
          <w:sz w:val="28"/>
        </w:rPr>
        <w:t>大容量存储</w:t>
      </w:r>
      <w:r>
        <w:rPr>
          <w:rFonts w:ascii="仿宋" w:eastAsia="仿宋" w:hAnsi="仿宋"/>
          <w:sz w:val="28"/>
        </w:rPr>
        <w:t>：随着技术的发展，非磁介质产品能够存储的数据量越来越大，满足日益增长的数据存储需求。</w:t>
      </w:r>
      <w:r>
        <w:rPr>
          <w:rFonts w:ascii="仿宋" w:eastAsia="仿宋" w:hAnsi="仿宋"/>
          <w:sz w:val="28"/>
        </w:rPr>
        <w:br/>
        <w:t xml:space="preserve">    4.</w:t>
      </w:r>
      <w:r>
        <w:rPr>
          <w:rFonts w:ascii="仿宋" w:eastAsia="仿宋" w:hAnsi="仿宋"/>
          <w:sz w:val="28"/>
        </w:rPr>
        <w:t>快速读写</w:t>
      </w:r>
    </w:p>
    <w:p w:rsidR="00AC16C9" w14:textId="7EB3309F">
      <w:pPr>
        <w:ind w:firstLine="560"/>
      </w:pPr>
      <w:r>
        <w:rPr>
          <w:rFonts w:ascii="仿宋" w:eastAsia="仿宋" w:hAnsi="仿宋"/>
          <w:sz w:val="28"/>
        </w:rPr>
        <w:t>：非磁介质产品支持高速的读写速度，提高了数据处理的效率。</w:t>
      </w:r>
      <w:r>
        <w:rPr>
          <w:rFonts w:ascii="仿宋" w:eastAsia="仿宋" w:hAnsi="仿宋"/>
          <w:sz w:val="28"/>
        </w:rPr>
        <w:br/>
        <w:t xml:space="preserve">    5.</w:t>
      </w:r>
      <w:r>
        <w:rPr>
          <w:rFonts w:ascii="仿宋" w:eastAsia="仿宋" w:hAnsi="仿宋"/>
          <w:sz w:val="28"/>
        </w:rPr>
        <w:t>兼容性</w:t>
      </w:r>
      <w:r>
        <w:rPr>
          <w:rFonts w:ascii="仿宋" w:eastAsia="仿宋" w:hAnsi="仿宋"/>
          <w:sz w:val="28"/>
        </w:rPr>
        <w:t>：产品应兼容多种操作系统和设备，便于用户在不同平台之间切换和使用。</w:t>
      </w:r>
      <w:r>
        <w:rPr>
          <w:rFonts w:ascii="仿宋" w:eastAsia="仿宋" w:hAnsi="仿宋"/>
          <w:sz w:val="28"/>
        </w:rPr>
        <w:br/>
        <w:t xml:space="preserve">    6.</w:t>
      </w:r>
      <w:r>
        <w:rPr>
          <w:rFonts w:ascii="仿宋" w:eastAsia="仿宋" w:hAnsi="仿宋"/>
          <w:sz w:val="28"/>
        </w:rPr>
        <w:t>环保特性</w:t>
      </w:r>
      <w:r>
        <w:rPr>
          <w:rFonts w:ascii="仿宋" w:eastAsia="仿宋" w:hAnsi="仿宋"/>
          <w:sz w:val="28"/>
        </w:rPr>
        <w:t>：非磁介质产品在生产和使用过程中通常具有较低的环境影响，符合可持续发展的要求。</w:t>
      </w:r>
      <w:r>
        <w:rPr>
          <w:rFonts w:ascii="仿宋" w:eastAsia="仿宋" w:hAnsi="仿宋"/>
          <w:sz w:val="28"/>
        </w:rPr>
        <w:br/>
        <w:t xml:space="preserve">    7.</w:t>
      </w:r>
      <w:r>
        <w:rPr>
          <w:rFonts w:ascii="仿宋" w:eastAsia="仿宋" w:hAnsi="仿宋"/>
          <w:sz w:val="28"/>
        </w:rPr>
        <w:t>定制化服务</w:t>
      </w:r>
      <w:r>
        <w:rPr>
          <w:rFonts w:ascii="仿宋" w:eastAsia="仿宋" w:hAnsi="仿宋"/>
          <w:sz w:val="28"/>
        </w:rPr>
        <w:t>：根据不同行业和用户的需求，提供定制化的产品和服务，增强市场竞争力。</w:t>
      </w:r>
      <w:r>
        <w:rPr>
          <w:rFonts w:ascii="仿宋" w:eastAsia="仿宋" w:hAnsi="仿宋"/>
          <w:sz w:val="28"/>
        </w:rPr>
        <w:br/>
        <w:t xml:space="preserve">    8.</w:t>
      </w:r>
      <w:r>
        <w:rPr>
          <w:rFonts w:ascii="仿宋" w:eastAsia="仿宋" w:hAnsi="仿宋"/>
          <w:sz w:val="28"/>
        </w:rPr>
        <w:t>售后服务和技术支持</w:t>
      </w:r>
      <w:r>
        <w:rPr>
          <w:rFonts w:ascii="仿宋" w:eastAsia="仿宋" w:hAnsi="仿宋"/>
          <w:sz w:val="28"/>
        </w:rPr>
        <w:t>：提供完善的售后服务和技术支持，确保用户能够得到及时有效的帮助。</w:t>
      </w:r>
      <w:r>
        <w:rPr>
          <w:rFonts w:ascii="仿宋" w:eastAsia="仿宋" w:hAnsi="仿宋"/>
          <w:sz w:val="28"/>
        </w:rPr>
        <w:br/>
      </w:r>
      <w:r>
        <w:rPr>
          <w:rFonts w:ascii="仿宋" w:eastAsia="仿宋" w:hAnsi="仿宋"/>
          <w:sz w:val="28"/>
        </w:rPr>
        <w:t>通过上述功能的详细介绍，商业发展计划书能够向潜在投资者和合作伙伴展示非磁介质复制品产品的竞争优势和市场潜力，为项目的顺利推进奠定基础。</w:t>
      </w:r>
    </w:p>
    <w:p w:rsidR="009C12B5" w:rsidRPr="009C12B5" w:rsidP="009C12B5" w14:paraId="0CCD695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非磁介质复制品产品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非磁介质复制品产品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非磁介质复制品产品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非磁介质复制品产品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3F4E6746"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非磁介质复制品产品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3DDCC544" w14:textId="77777777">
      <w:pPr>
        <w:pStyle w:val="Heading2"/>
      </w:pPr>
      <w:bookmarkStart w:id="4" w:name="_Toc157814107"/>
      <w:r w:rsidRPr="009C12B5">
        <w:t>二、市场分析</w:t>
      </w:r>
      <w:bookmarkEnd w:id="4"/>
    </w:p>
    <w:p w:rsidR="009C12B5" w:rsidP="007A4CF7" w14:paraId="59889D90" w14:textId="77777777">
      <w:pPr>
        <w:pStyle w:val="Heading3"/>
      </w:pPr>
      <w:bookmarkStart w:id="5" w:name="_Toc157814108"/>
      <w:r w:rsidRPr="009C12B5">
        <w:t xml:space="preserve">2.1 </w:t>
      </w:r>
      <w:r w:rsidR="007A4CF7">
        <w:t>非磁介质复制品</w:t>
      </w:r>
      <w:r w:rsidRPr="009C12B5">
        <w:t>目标市场</w:t>
      </w:r>
      <w:bookmarkEnd w:id="5"/>
    </w:p>
    <w:p w:rsidR="00AC16C9" w14:paraId="691191AD" w14:textId="26319F6C">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非磁介质复制品产品市场分析表明，随着数字技术的发展和消费者对环保、便携及高清图像需求的增加，非磁介质复制品产品（如</w:t>
      </w:r>
      <w:r>
        <w:rPr>
          <w:rFonts w:ascii="仿宋" w:eastAsia="仿宋" w:hAnsi="仿宋"/>
          <w:sz w:val="28"/>
        </w:rPr>
        <w:t>CD</w:t>
      </w:r>
      <w:r>
        <w:rPr>
          <w:rFonts w:ascii="仿宋" w:eastAsia="仿宋" w:hAnsi="仿宋"/>
          <w:sz w:val="28"/>
        </w:rPr>
        <w:t>、</w:t>
      </w:r>
      <w:r>
        <w:rPr>
          <w:rFonts w:ascii="仿宋" w:eastAsia="仿宋" w:hAnsi="仿宋"/>
          <w:sz w:val="28"/>
        </w:rPr>
        <w:t>DVD</w:t>
      </w:r>
      <w:r>
        <w:rPr>
          <w:rFonts w:ascii="仿宋" w:eastAsia="仿宋" w:hAnsi="仿宋"/>
          <w:sz w:val="28"/>
        </w:rPr>
        <w:t>等）的市场份额逐渐被数字下载和流媒体服务所侵蚀。尽管如此，特定细分市场仍然对非磁介质复制品产品有需求，如收藏家、教育机构、专业影像市场等。</w:t>
      </w:r>
      <w:r>
        <w:rPr>
          <w:rFonts w:ascii="仿宋" w:eastAsia="仿宋" w:hAnsi="仿宋"/>
          <w:sz w:val="28"/>
        </w:rPr>
        <w:br/>
      </w:r>
      <w:r>
        <w:rPr>
          <w:rFonts w:ascii="仿宋" w:eastAsia="仿宋" w:hAnsi="仿宋"/>
          <w:sz w:val="28"/>
        </w:rPr>
        <w:t>目标市场分析应聚焦于这些有持续需求的细分市场，评估其规模、增长潜力和购买力。例如，对于收藏家市场，应分析收藏品类型、价格承受能力和购买偏好；对于教育机构，应考虑教材的更新频率、预算和对非磁介质复制品产品的接受程度；对于专业影像市场，应关注行业标准、版权保护需求和对图像质量的要求。</w:t>
      </w:r>
      <w:r>
        <w:rPr>
          <w:rFonts w:ascii="仿宋" w:eastAsia="仿宋" w:hAnsi="仿宋"/>
          <w:sz w:val="28"/>
        </w:rPr>
        <w:br/>
      </w:r>
      <w:r>
        <w:rPr>
          <w:rFonts w:ascii="仿宋" w:eastAsia="仿宋" w:hAnsi="仿宋"/>
          <w:sz w:val="28"/>
        </w:rPr>
        <w:t>此外，还需要分析竞争对手的产品和服务，以确定本项目产品的独特卖点和市场定位。通过市场调研和消费者行为分析，可以更好地理解目标市场的需求趋势，从而制定相应的营销策略，如产品定制、价格策略、渠道管理和促销活动，以增强产品在目标市场中的竞争力。</w:t>
      </w:r>
      <w:r>
        <w:rPr>
          <w:rFonts w:ascii="仿宋" w:eastAsia="仿宋" w:hAnsi="仿宋"/>
          <w:sz w:val="28"/>
        </w:rPr>
        <w:br/>
      </w:r>
    </w:p>
    <w:p w:rsidR="00AC16C9" w14:textId="26319F6C">
      <w:pPr>
        <w:ind w:firstLine="560"/>
      </w:pPr>
      <w:r>
        <w:rPr>
          <w:rFonts w:ascii="仿宋" w:eastAsia="仿宋" w:hAnsi="仿宋"/>
          <w:sz w:val="28"/>
        </w:rPr>
        <w:t>综上所述，非磁介质复制品产品项目商业发展计划书中的目标市场分析应基于市场调研数据，明确目标客户群体，分析市场动态和竞争环境，并据此制定有效的市场策略，以推动产品在目标市场中的成功推广和销售。</w:t>
      </w:r>
    </w:p>
    <w:p w:rsidR="009C12B5" w:rsidRPr="009C12B5" w:rsidP="009C12B5" w14:paraId="620E770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5FFA52C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非磁介质复制品产品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非磁介质复制品产品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非磁介质复制品产品</w:t>
      </w:r>
      <w:r w:rsidRPr="009C12B5">
        <w:rPr>
          <w:rFonts w:ascii="仿宋" w:eastAsia="仿宋" w:hAnsi="仿宋"/>
          <w:sz w:val="28"/>
          <w:szCs w:val="28"/>
        </w:rPr>
        <w:t>始终与市场需求保持同步。</w:t>
      </w:r>
    </w:p>
    <w:p w:rsidR="009C12B5" w:rsidP="007A4CF7" w14:paraId="2146EF25" w14:textId="77777777">
      <w:pPr>
        <w:pStyle w:val="Heading3"/>
      </w:pPr>
      <w:bookmarkStart w:id="6" w:name="_Toc157814109"/>
      <w:r w:rsidRPr="009C12B5">
        <w:t xml:space="preserve">2.2 </w:t>
      </w:r>
      <w:r w:rsidR="007A4CF7">
        <w:t>非磁介质复制品</w:t>
      </w:r>
      <w:r w:rsidR="007A4CF7">
        <w:rPr>
          <w:rFonts w:hint="eastAsia"/>
        </w:rPr>
        <w:t>市场</w:t>
      </w:r>
      <w:r w:rsidRPr="009C12B5">
        <w:t>竞争分析</w:t>
      </w:r>
      <w:bookmarkEnd w:id="6"/>
    </w:p>
    <w:p w:rsidR="00AC16C9" w14:paraId="3951172A" w14:textId="12D813D7">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在非磁介质复制品产品项目商业发展计划书中，市场竞争分析是至关重要的一部分。这一部分应该详细评估现有市场中的竞争状况，包括竞争对手的产品、服务、市场定位以及市场份额等。通过深入的市场调研和分析，企业可以更好地了解自己在市场中的位置，并制定相应的策略来应对竞争。</w:t>
      </w:r>
      <w:r>
        <w:rPr>
          <w:rFonts w:ascii="仿宋" w:eastAsia="仿宋" w:hAnsi="仿宋"/>
          <w:sz w:val="28"/>
        </w:rPr>
        <w:br/>
      </w:r>
    </w:p>
    <w:p w:rsidR="00AC16C9" w14:textId="12D813D7">
      <w:pPr>
        <w:ind w:firstLine="560"/>
      </w:pPr>
      <w:r>
        <w:rPr>
          <w:rFonts w:ascii="仿宋" w:eastAsia="仿宋" w:hAnsi="仿宋"/>
          <w:sz w:val="28"/>
        </w:rPr>
        <w:t>首先，需要识别和评估主要竞争对手。这些竞争对手可能是提供类似产品或服务的其他企业，或者是潜在的进入者。分析他们的优势和劣势，以及他们在市场中的策略和动向，可以帮助企业制定有效的竞争策略。</w:t>
      </w:r>
      <w:r>
        <w:rPr>
          <w:rFonts w:ascii="仿宋" w:eastAsia="仿宋" w:hAnsi="仿宋"/>
          <w:sz w:val="28"/>
        </w:rPr>
        <w:br/>
      </w:r>
      <w:r>
        <w:rPr>
          <w:rFonts w:ascii="仿宋" w:eastAsia="仿宋" w:hAnsi="仿宋"/>
          <w:sz w:val="28"/>
        </w:rPr>
        <w:t>其次，需要分析市场上的产品和服务。了解竞争对手的产品特点、价格、分销渠道和市场接受度等信息，可以帮助企业确定自己的产品定位和市场策略。如果竞争对手的产品在市场上占据了重要地位，企业可能需要考虑如何通过创新来提升自己的产品竞争力。</w:t>
      </w:r>
      <w:r>
        <w:rPr>
          <w:rFonts w:ascii="仿宋" w:eastAsia="仿宋" w:hAnsi="仿宋"/>
          <w:sz w:val="28"/>
        </w:rPr>
        <w:br/>
      </w:r>
      <w:r>
        <w:rPr>
          <w:rFonts w:ascii="仿宋" w:eastAsia="仿宋" w:hAnsi="仿宋"/>
          <w:sz w:val="28"/>
        </w:rPr>
        <w:t>此外，还需要关注市场趋势和消费者需求的变化。随着技术的进步和消费者偏好的变化，市场环境可能会不断变化。企业需要及时调整自己的策略，以适应市场的变化，并抓住新的市场机遇。</w:t>
      </w:r>
      <w:r>
        <w:rPr>
          <w:rFonts w:ascii="仿宋" w:eastAsia="仿宋" w:hAnsi="仿宋"/>
          <w:sz w:val="28"/>
        </w:rPr>
        <w:br/>
      </w:r>
      <w:r>
        <w:rPr>
          <w:rFonts w:ascii="仿宋" w:eastAsia="仿宋" w:hAnsi="仿宋"/>
          <w:sz w:val="28"/>
        </w:rPr>
        <w:t>最后，企业需要制定相应的市场策略来应对竞争。这</w:t>
      </w:r>
      <w:r>
        <w:rPr>
          <w:rFonts w:ascii="仿宋" w:eastAsia="仿宋" w:hAnsi="仿宋"/>
          <w:sz w:val="28"/>
        </w:rPr>
        <w:t>产品创新、价格调整、市场营销策略的改进等。通过有效的市场策略，企业可以在激烈的市场竞争中脱颖而出，获得更大的市场份额和更高的客户满意度。</w:t>
      </w:r>
    </w:p>
    <w:p w:rsidR="009C12B5" w:rsidRPr="009C12B5" w:rsidP="009C12B5" w14:paraId="76F26CF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非磁介质复制品产品</w:t>
      </w:r>
      <w:r w:rsidRPr="009C12B5">
        <w:rPr>
          <w:rFonts w:ascii="仿宋" w:eastAsia="仿宋" w:hAnsi="仿宋"/>
          <w:sz w:val="28"/>
          <w:szCs w:val="28"/>
        </w:rPr>
        <w:t>的竞争优势和差异化策略。我们认为，</w:t>
      </w:r>
      <w:r w:rsidR="00E75C7F">
        <w:rPr>
          <w:rFonts w:ascii="仿宋" w:eastAsia="仿宋" w:hAnsi="仿宋"/>
          <w:sz w:val="28"/>
          <w:szCs w:val="28"/>
        </w:rPr>
        <w:t>非磁介质复制品产品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4D4C11BB"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非磁介质复制品产品</w:t>
      </w:r>
      <w:r w:rsidRPr="009C12B5">
        <w:rPr>
          <w:rFonts w:ascii="仿宋" w:eastAsia="仿宋" w:hAnsi="仿宋"/>
          <w:sz w:val="28"/>
          <w:szCs w:val="28"/>
        </w:rPr>
        <w:t>将在竞争激烈的市场中脱颖而出。</w:t>
      </w:r>
    </w:p>
    <w:p w:rsidR="009C12B5" w:rsidP="007A4CF7" w14:paraId="7A511B75" w14:textId="77777777">
      <w:pPr>
        <w:pStyle w:val="Heading3"/>
      </w:pPr>
      <w:bookmarkStart w:id="7" w:name="_Toc157814110"/>
      <w:r w:rsidRPr="009C12B5">
        <w:t xml:space="preserve">2.3 </w:t>
      </w:r>
      <w:r w:rsidR="007A4CF7">
        <w:t>非磁介质复制品</w:t>
      </w:r>
      <w:r w:rsidRPr="009C12B5">
        <w:t>行业趋势与机遇</w:t>
      </w:r>
      <w:bookmarkEnd w:id="7"/>
    </w:p>
    <w:p w:rsidR="00AC16C9" w14:paraId="14974042" w14:textId="02F9D895">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在非磁介质复制品产品项目商业发展计划书中，行业趋势与机遇分析是一个关键部分，它提供了市场动态和未来增长潜力的洞察。以下是关于非磁介质复制品产品行业趋势与机遇的精炼分析：</w:t>
      </w:r>
      <w:r>
        <w:rPr>
          <w:rFonts w:ascii="仿宋" w:eastAsia="仿宋" w:hAnsi="仿宋"/>
          <w:sz w:val="28"/>
        </w:rPr>
        <w:br/>
        <w:t xml:space="preserve">    1.</w:t>
      </w:r>
      <w:r>
        <w:rPr>
          <w:rFonts w:ascii="仿宋" w:eastAsia="仿宋" w:hAnsi="仿宋"/>
          <w:sz w:val="28"/>
        </w:rPr>
        <w:t>数字化转型加速：随着技术的进步和消费者对数字内容需求的增加，非磁介质复制品产品行业正经历着从传统物理介质向数字化形式的转型。这为在线内容分发、数字版权管理（</w:t>
      </w:r>
      <w:r>
        <w:rPr>
          <w:rFonts w:ascii="仿宋" w:eastAsia="仿宋" w:hAnsi="仿宋"/>
          <w:sz w:val="28"/>
        </w:rPr>
        <w:t>DRM</w:t>
      </w:r>
      <w:r>
        <w:rPr>
          <w:rFonts w:ascii="仿宋" w:eastAsia="仿宋" w:hAnsi="仿宋"/>
          <w:sz w:val="28"/>
        </w:rPr>
        <w:t>）和流媒体服务等领域提供了巨大的机遇。</w:t>
      </w:r>
      <w:r>
        <w:rPr>
          <w:rFonts w:ascii="仿宋" w:eastAsia="仿宋" w:hAnsi="仿宋"/>
          <w:sz w:val="28"/>
        </w:rPr>
        <w:br/>
        <w:t xml:space="preserve">    2.</w:t>
      </w:r>
      <w:r>
        <w:rPr>
          <w:rFonts w:ascii="仿宋" w:eastAsia="仿宋" w:hAnsi="仿宋"/>
          <w:sz w:val="28"/>
        </w:rPr>
        <w:t>移动设备普及：智能手机和平板电脑的广泛使用为非磁介质复制品产品提供了新的分发渠道。用户可以通过这些设备随时随地访问数字内容，促进了行业向更加移动化和便携化的方向发展。</w:t>
      </w:r>
      <w:r>
        <w:rPr>
          <w:rFonts w:ascii="仿宋" w:eastAsia="仿宋" w:hAnsi="仿宋"/>
          <w:sz w:val="28"/>
        </w:rPr>
        <w:br/>
        <w:t xml:space="preserve">    3.</w:t>
      </w:r>
      <w:r>
        <w:rPr>
          <w:rFonts w:ascii="仿宋" w:eastAsia="仿宋" w:hAnsi="仿宋"/>
          <w:sz w:val="28"/>
        </w:rPr>
        <w:t>高清内容需求增长：消费者对高质量视频和音频内容的需求日益增长，推动了非磁介质复制品产品行业向高清和超高清格式发展。这为内容制作商和分销商提供了提升产品附加值的机会。</w:t>
      </w:r>
      <w:r>
        <w:rPr>
          <w:rFonts w:ascii="仿宋" w:eastAsia="仿宋" w:hAnsi="仿宋"/>
          <w:sz w:val="28"/>
        </w:rPr>
        <w:br/>
        <w:t xml:space="preserve">    4.</w:t>
      </w:r>
      <w:r>
        <w:rPr>
          <w:rFonts w:ascii="仿宋" w:eastAsia="仿宋" w:hAnsi="仿宋"/>
          <w:sz w:val="28"/>
        </w:rPr>
        <w:t>个性化与互动性：随着人工智能和大数据分析技术的应用，非磁介质复制品产品行业将能够提供更加个性化和互动性的体验。这不仅能够增强用户粘性，还能够创造新的商业模式。</w:t>
      </w:r>
      <w:r>
        <w:rPr>
          <w:rFonts w:ascii="仿宋" w:eastAsia="仿宋" w:hAnsi="仿宋"/>
          <w:sz w:val="28"/>
        </w:rPr>
        <w:br/>
        <w:t xml:space="preserve">    5.</w:t>
      </w:r>
    </w:p>
    <w:p w:rsidR="00AC16C9" w14:textId="02F9D895">
      <w:pPr>
        <w:ind w:firstLine="560"/>
      </w:pPr>
      <w:r>
        <w:rPr>
          <w:rFonts w:ascii="仿宋" w:eastAsia="仿宋" w:hAnsi="仿宋"/>
          <w:sz w:val="28"/>
        </w:rPr>
        <w:t>新兴市场潜力：发展中国家和地区的消费者正在快速采用数字技术，为非磁介质复制品产品行业提供了庞大的潜在市场。这些市场的增长将有助于行业整体规模的扩大。</w:t>
      </w:r>
      <w:r>
        <w:rPr>
          <w:rFonts w:ascii="仿宋" w:eastAsia="仿宋" w:hAnsi="仿宋"/>
          <w:sz w:val="28"/>
        </w:rPr>
        <w:br/>
        <w:t xml:space="preserve">    6.</w:t>
      </w:r>
      <w:r>
        <w:rPr>
          <w:rFonts w:ascii="仿宋" w:eastAsia="仿宋" w:hAnsi="仿宋"/>
          <w:sz w:val="28"/>
        </w:rPr>
        <w:t>跨平台兼容性：确保数字内容在多个设备和平台上的兼容性变得越来越重要。这不仅能够提升用户体验，还有助于扩大市场覆盖面。</w:t>
      </w:r>
      <w:r>
        <w:rPr>
          <w:rFonts w:ascii="仿宋" w:eastAsia="仿宋" w:hAnsi="仿宋"/>
          <w:sz w:val="28"/>
        </w:rPr>
        <w:br/>
        <w:t xml:space="preserve">    7.</w:t>
      </w:r>
      <w:r>
        <w:rPr>
          <w:rFonts w:ascii="仿宋" w:eastAsia="仿宋" w:hAnsi="仿宋"/>
          <w:sz w:val="28"/>
        </w:rPr>
        <w:t>版权保护增强：随着盗版的日益严重，非磁介质复制品产品行业需要加强版权保护措施。</w:t>
      </w:r>
      <w:r>
        <w:rPr>
          <w:rFonts w:ascii="仿宋" w:eastAsia="仿宋" w:hAnsi="仿宋"/>
          <w:sz w:val="28"/>
        </w:rPr>
        <w:t>DRM</w:t>
      </w:r>
      <w:r>
        <w:rPr>
          <w:rFonts w:ascii="仿宋" w:eastAsia="仿宋" w:hAnsi="仿宋"/>
          <w:sz w:val="28"/>
        </w:rPr>
        <w:t>技术和其他版权保护解决方案的发展将有助于维护市场秩序和投资者的利益。</w:t>
      </w:r>
      <w:r>
        <w:rPr>
          <w:rFonts w:ascii="仿宋" w:eastAsia="仿宋" w:hAnsi="仿宋"/>
          <w:sz w:val="28"/>
        </w:rPr>
        <w:br/>
        <w:t xml:space="preserve">    8.</w:t>
      </w:r>
      <w:r>
        <w:rPr>
          <w:rFonts w:ascii="仿宋" w:eastAsia="仿宋" w:hAnsi="仿宋"/>
          <w:sz w:val="28"/>
        </w:rPr>
        <w:t>合作与整合：为了应对市场的快速变化，非磁介质复制品产品行业内的企业需要加强合作与整合。这包括内容制作商、技术提供商和分销商之间的战略合作，以实现资源共享和优势互补。</w:t>
      </w:r>
      <w:r>
        <w:rPr>
          <w:rFonts w:ascii="仿宋" w:eastAsia="仿宋" w:hAnsi="仿宋"/>
          <w:sz w:val="28"/>
        </w:rPr>
        <w:br/>
      </w:r>
      <w:r>
        <w:rPr>
          <w:rFonts w:ascii="仿宋" w:eastAsia="仿宋" w:hAnsi="仿宋"/>
          <w:sz w:val="28"/>
        </w:rPr>
        <w:t>综上所述，非磁介质复制品产品行业正面临着数字化转型加速、移动设备普及、高清内容需求增长、个性化与互动性增强、新兴市场潜力巨大、跨平台兼容性要求提高、版权保护增强以及合作与整合加深等趋势与机遇。通过把握这些市场动态，企业能够更好地制定商业策略，实现可持续发展。</w:t>
      </w:r>
    </w:p>
    <w:p w:rsidR="009C12B5" w:rsidRPr="009C12B5" w:rsidP="009C12B5" w14:paraId="0988D50F"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非磁介质复制品产品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非磁介质复制品产品</w:t>
      </w:r>
      <w:r w:rsidRPr="009C12B5">
        <w:rPr>
          <w:rFonts w:ascii="仿宋" w:eastAsia="仿宋" w:hAnsi="仿宋"/>
          <w:sz w:val="28"/>
          <w:szCs w:val="28"/>
        </w:rPr>
        <w:t>始终走在行业的前沿并抓住每一个市场机遇。</w:t>
      </w:r>
    </w:p>
    <w:p w:rsidR="009C12B5" w:rsidRPr="009C12B5" w:rsidP="007A4CF7" w14:paraId="616252F3" w14:textId="77777777">
      <w:pPr>
        <w:pStyle w:val="Heading2"/>
      </w:pPr>
      <w:bookmarkStart w:id="8" w:name="_Toc157814111"/>
      <w:r w:rsidRPr="009C12B5">
        <w:t>三、营销策略</w:t>
      </w:r>
      <w:bookmarkEnd w:id="8"/>
    </w:p>
    <w:p w:rsidR="009C12B5" w:rsidRPr="009C12B5" w:rsidP="007A4CF7" w14:paraId="14151E74" w14:textId="77777777">
      <w:pPr>
        <w:pStyle w:val="Heading3"/>
      </w:pPr>
      <w:bookmarkStart w:id="9" w:name="_Toc157814112"/>
      <w:r w:rsidRPr="009C12B5">
        <w:t xml:space="preserve">3.1 </w:t>
      </w:r>
      <w:r w:rsidRPr="009C12B5">
        <w:t>品牌定位与传播</w:t>
      </w:r>
      <w:bookmarkEnd w:id="9"/>
    </w:p>
    <w:p w:rsidR="009C12B5" w:rsidRPr="009C12B5" w:rsidP="007A4CF7" w14:paraId="093E0A62"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非磁介质复制品产品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2C20F49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非磁介质复制品产品</w:t>
      </w:r>
      <w:r w:rsidRPr="009C12B5">
        <w:rPr>
          <w:rFonts w:ascii="仿宋" w:eastAsia="仿宋" w:hAnsi="仿宋"/>
          <w:sz w:val="28"/>
          <w:szCs w:val="28"/>
        </w:rPr>
        <w:t>的专业评测和推荐文章，以扩大品牌影响力。</w:t>
      </w:r>
    </w:p>
    <w:p w:rsidR="009C12B5" w:rsidRPr="009C12B5" w:rsidP="009C12B5" w14:paraId="07543E65"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非磁介质复制品产品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45EA4DA2" w14:textId="77777777">
      <w:pPr>
        <w:pStyle w:val="Heading3"/>
      </w:pPr>
      <w:bookmarkStart w:id="10" w:name="_Toc157814113"/>
      <w:r w:rsidRPr="009C12B5">
        <w:t xml:space="preserve">3.2 </w:t>
      </w:r>
      <w:r w:rsidR="007A4CF7">
        <w:t>非磁介质复制品</w:t>
      </w:r>
      <w:r w:rsidRPr="009C12B5">
        <w:t>产品定价策略</w:t>
      </w:r>
      <w:bookmarkEnd w:id="10"/>
    </w:p>
    <w:p w:rsidR="009C12B5" w:rsidRPr="009C12B5" w:rsidP="00CA39FB" w14:paraId="48B1086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非磁介质复制品产品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4A9B6AD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475ED91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非磁介质复制品产品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1CBBA538" w14:textId="77777777">
      <w:pPr>
        <w:pStyle w:val="Heading3"/>
      </w:pPr>
      <w:bookmarkStart w:id="11" w:name="_Toc157814114"/>
      <w:r w:rsidRPr="009C12B5">
        <w:t xml:space="preserve">3.3 </w:t>
      </w:r>
      <w:r w:rsidR="007A4CF7">
        <w:t>非磁介质复制品</w:t>
      </w:r>
      <w:r w:rsidR="007A4CF7">
        <w:rPr>
          <w:rFonts w:hint="eastAsia"/>
        </w:rPr>
        <w:t>产品</w:t>
      </w:r>
      <w:r w:rsidRPr="009C12B5">
        <w:t>销售渠道与拓展</w:t>
      </w:r>
      <w:bookmarkEnd w:id="11"/>
    </w:p>
    <w:p w:rsidR="009C12B5" w:rsidRPr="009C12B5" w:rsidP="009C12B5" w14:paraId="65BE28F6"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销售渠道的选择和拓展对于</w:t>
      </w:r>
      <w:r w:rsidR="00E75C7F">
        <w:rPr>
          <w:rFonts w:ascii="仿宋" w:eastAsia="仿宋" w:hAnsi="仿宋"/>
          <w:sz w:val="28"/>
          <w:szCs w:val="28"/>
        </w:rPr>
        <w:t>非磁介质复制品产品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4B365A7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非磁介质复制品产品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7F39F6D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非磁介质复制品产品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6DBFDEB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74CEE98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https://d.book118.com/978117102060006034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61D9AF57" w14:textId="77777777">
    <w:pPr>
      <w:pStyle w:val="Footer"/>
      <w:jc w:val="center"/>
    </w:pPr>
  </w:p>
  <w:p w:rsidR="00FE7E16" w14:paraId="772883B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1BC8ED1B" w14:textId="77777777">
    <w:pPr>
      <w:pStyle w:val="Footer"/>
      <w:jc w:val="center"/>
    </w:pPr>
  </w:p>
  <w:p w:rsidR="007A4CF7" w14:paraId="063CEF9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460BE50E"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paraId="515F147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2937857B"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52088D7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9433628"/>
      <w:docPartObj>
        <w:docPartGallery w:val="Page Numbers (Bottom of Page)"/>
        <w:docPartUnique/>
      </w:docPartObj>
    </w:sdtPr>
    <w:sdtContent>
      <w:sdt>
        <w:sdtPr>
          <w:id w:val="175905560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4278926"/>
      <w:docPartObj>
        <w:docPartGallery w:val="Page Numbers (Bottom of Page)"/>
        <w:docPartUnique/>
      </w:docPartObj>
    </w:sdtPr>
    <w:sdtContent>
      <w:sdt>
        <w:sdtPr>
          <w:id w:val="168863444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5402199"/>
      <w:docPartObj>
        <w:docPartGallery w:val="Page Numbers (Bottom of Page)"/>
        <w:docPartUnique/>
      </w:docPartObj>
    </w:sdtPr>
    <w:sdtContent>
      <w:sdt>
        <w:sdtPr>
          <w:id w:val="16819136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784881"/>
      <w:docPartObj>
        <w:docPartGallery w:val="Page Numbers (Bottom of Page)"/>
        <w:docPartUnique/>
      </w:docPartObj>
    </w:sdtPr>
    <w:sdtContent>
      <w:sdt>
        <w:sdtPr>
          <w:id w:val="61043134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3735540"/>
      <w:docPartObj>
        <w:docPartGallery w:val="Page Numbers (Bottom of Page)"/>
        <w:docPartUnique/>
      </w:docPartObj>
    </w:sdtPr>
    <w:sdtContent>
      <w:sdt>
        <w:sdtPr>
          <w:id w:val="51016834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5409177"/>
      <w:docPartObj>
        <w:docPartGallery w:val="Page Numbers (Bottom of Page)"/>
        <w:docPartUnique/>
      </w:docPartObj>
    </w:sdtPr>
    <w:sdtContent>
      <w:sdt>
        <w:sdtPr>
          <w:id w:val="124770722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895113"/>
      <w:docPartObj>
        <w:docPartGallery w:val="Page Numbers (Bottom of Page)"/>
        <w:docPartUnique/>
      </w:docPartObj>
    </w:sdtPr>
    <w:sdtContent>
      <w:sdt>
        <w:sdtPr>
          <w:id w:val="43366450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405514"/>
      <w:docPartObj>
        <w:docPartGallery w:val="Page Numbers (Bottom of Page)"/>
        <w:docPartUnique/>
      </w:docPartObj>
    </w:sdtPr>
    <w:sdtContent>
      <w:sdt>
        <w:sdtPr>
          <w:id w:val="97292458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9017313"/>
      <w:docPartObj>
        <w:docPartGallery w:val="Page Numbers (Bottom of Page)"/>
        <w:docPartUnique/>
      </w:docPartObj>
    </w:sdtPr>
    <w:sdtContent>
      <w:sdt>
        <w:sdtPr>
          <w:id w:val="42269210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066145"/>
      <w:docPartObj>
        <w:docPartGallery w:val="Page Numbers (Bottom of Page)"/>
        <w:docPartUnique/>
      </w:docPartObj>
    </w:sdtPr>
    <w:sdtContent>
      <w:sdt>
        <w:sdtPr>
          <w:id w:val="204236705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3277840"/>
      <w:docPartObj>
        <w:docPartGallery w:val="Page Numbers (Bottom of Page)"/>
        <w:docPartUnique/>
      </w:docPartObj>
    </w:sdtPr>
    <w:sdtContent>
      <w:sdt>
        <w:sdtPr>
          <w:id w:val="127552769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8896916"/>
      <w:docPartObj>
        <w:docPartGallery w:val="Page Numbers (Bottom of Page)"/>
        <w:docPartUnique/>
      </w:docPartObj>
    </w:sdtPr>
    <w:sdtContent>
      <w:sdt>
        <w:sdtPr>
          <w:id w:val="6094251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1651905"/>
      <w:docPartObj>
        <w:docPartGallery w:val="Page Numbers (Bottom of Page)"/>
        <w:docPartUnique/>
      </w:docPartObj>
    </w:sdtPr>
    <w:sdtContent>
      <w:sdt>
        <w:sdtPr>
          <w:id w:val="110766304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8609442"/>
      <w:docPartObj>
        <w:docPartGallery w:val="Page Numbers (Bottom of Page)"/>
        <w:docPartUnique/>
      </w:docPartObj>
    </w:sdtPr>
    <w:sdtContent>
      <w:sdt>
        <w:sdtPr>
          <w:id w:val="146810345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3579996"/>
      <w:docPartObj>
        <w:docPartGallery w:val="Page Numbers (Bottom of Page)"/>
        <w:docPartUnique/>
      </w:docPartObj>
    </w:sdtPr>
    <w:sdtContent>
      <w:sdt>
        <w:sdtPr>
          <w:id w:val="52289263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6974294"/>
      <w:docPartObj>
        <w:docPartGallery w:val="Page Numbers (Bottom of Page)"/>
        <w:docPartUnique/>
      </w:docPartObj>
    </w:sdtPr>
    <w:sdtContent>
      <w:sdt>
        <w:sdtPr>
          <w:id w:val="75332487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2281140"/>
      <w:docPartObj>
        <w:docPartGallery w:val="Page Numbers (Bottom of Page)"/>
        <w:docPartUnique/>
      </w:docPartObj>
    </w:sdtPr>
    <w:sdtContent>
      <w:sdt>
        <w:sdtPr>
          <w:id w:val="73078601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6920222"/>
      <w:docPartObj>
        <w:docPartGallery w:val="Page Numbers (Bottom of Page)"/>
        <w:docPartUnique/>
      </w:docPartObj>
    </w:sdtPr>
    <w:sdtContent>
      <w:sdt>
        <w:sdtPr>
          <w:id w:val="22722700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9900401"/>
      <w:docPartObj>
        <w:docPartGallery w:val="Page Numbers (Bottom of Page)"/>
        <w:docPartUnique/>
      </w:docPartObj>
    </w:sdtPr>
    <w:sdtContent>
      <w:sdt>
        <w:sdtPr>
          <w:id w:val="62111950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739072"/>
      <w:docPartObj>
        <w:docPartGallery w:val="Page Numbers (Bottom of Page)"/>
        <w:docPartUnique/>
      </w:docPartObj>
    </w:sdtPr>
    <w:sdtContent>
      <w:sdt>
        <w:sdtPr>
          <w:id w:val="145139104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8698918"/>
      <w:docPartObj>
        <w:docPartGallery w:val="Page Numbers (Bottom of Page)"/>
        <w:docPartUnique/>
      </w:docPartObj>
    </w:sdtPr>
    <w:sdtContent>
      <w:sdt>
        <w:sdtPr>
          <w:id w:val="55748605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6669124"/>
      <w:docPartObj>
        <w:docPartGallery w:val="Page Numbers (Bottom of Page)"/>
        <w:docPartUnique/>
      </w:docPartObj>
    </w:sdtPr>
    <w:sdtContent>
      <w:sdt>
        <w:sdtPr>
          <w:id w:val="132904182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0C647396"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6A49E72F"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868D1"/>
    <w:rsid w:val="005C30B8"/>
    <w:rsid w:val="00652939"/>
    <w:rsid w:val="00724A78"/>
    <w:rsid w:val="007A4CF7"/>
    <w:rsid w:val="008B5822"/>
    <w:rsid w:val="00933FD3"/>
    <w:rsid w:val="00956FD6"/>
    <w:rsid w:val="009B5A44"/>
    <w:rsid w:val="009C12B5"/>
    <w:rsid w:val="009C3216"/>
    <w:rsid w:val="00A060A9"/>
    <w:rsid w:val="00AC16C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6297ACE"/>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978117102060006034"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18</Pages>
  <Words>2792</Words>
  <Characters>15920</Characters>
  <Application>Microsoft Office Word</Application>
  <DocSecurity>0</DocSecurity>
  <Lines>132</Lines>
  <Paragraphs>37</Paragraphs>
  <ScaleCrop>false</ScaleCrop>
  <Company/>
  <LinksUpToDate>false</LinksUpToDate>
  <CharactersWithSpaces>18675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2024-02-05T06:41:00Z</dcterms:modified>
</cp:coreProperties>
</file>