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眼科药物相关行业公司成立方案及可行性研究报告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三、眼科药物筹建公司基本信息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(七)、眼科药物项目建设必要性分析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(一)、眼科药物项目选址原则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2" w:history="1">
        <w:r>
          <w:rPr>
            <w:rFonts w:ascii="仿宋" w:eastAsia="仿宋" w:hAnsi="仿宋" w:cs="仿宋" w:hint="eastAsia"/>
            <w:lang w:eastAsia="zh-CN"/>
          </w:rPr>
          <w:t>(五)、眼科药物项目选址综合评价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(一)、眼科药物项目背景分析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(二)、眼科药物项目建设必要性分析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九、眼科药物项目经济效益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(三)、眼科药物项目盈利能力分析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_Toc19532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十二、眼科药物项目总结分析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6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5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https://d.book118.com/985011001140011043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眼科药物相关行业公司成立方案及可行性研究报告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眼科药物相关行业公司成立方案及可行性研究报告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眼科药物相关行业公司成立方案及可行性研究报告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眼科药物相关行业公司成立方案及可行性研究报告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眼科药物相关行业公司成立方案及可行性研究报告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011001140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2023-12-30T06:36:00Z</dcterms:created>
  <dcterms:modified xsi:type="dcterms:W3CDTF">2023-12-30T06:36:31Z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B908CA5B04714BC7BF74676870584527_11</vt:lpwstr>
  </property>
  <property fmtid="{D5CDD505-2E9C-101B-9397-08002B2CF9AE}" pid="3" name="KSOProductBuildVer">
    <vt:lpwstr>2052-12.1.0.16120</vt:lpwstr>
  </property>
</Properties>
</file>