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2024年喷涂机行业趋势报告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5568"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_Toc5568 \h </w:instrText>
        </w:r>
        <w:r>
          <w:fldChar w:fldCharType="separate"/>
        </w:r>
        <w:r>
          <w:t>4</w:t>
        </w:r>
        <w:r>
          <w:fldChar w:fldCharType="end"/>
        </w:r>
      </w:hyperlink>
    </w:p>
    <w:p>
      <w:pPr>
        <w:pStyle w:val="TOC1"/>
        <w:tabs>
          <w:tab w:val="right" w:leader="dot" w:pos="8306"/>
        </w:tabs>
      </w:pPr>
      <w:hyperlink w:anchor="_Toc5805" w:history="1">
        <w:r>
          <w:rPr>
            <w:rFonts w:ascii="微软雅黑" w:eastAsia="微软雅黑" w:hAnsi="微软雅黑" w:cs="微软雅黑" w:hint="eastAsia"/>
            <w:color w:val="001CAC" w:themeColor="hyperlink" w:themeShade="BF"/>
            <w:szCs w:val="32"/>
            <w:lang w:eastAsia="zh-CN"/>
          </w:rPr>
          <w:t>一、喷涂机行业制度建设与执行</w:t>
        </w:r>
        <w:r>
          <w:tab/>
        </w:r>
        <w:r>
          <w:fldChar w:fldCharType="begin"/>
        </w:r>
        <w:r>
          <w:instrText xml:space="preserve"> PAGEREF _Toc5805 \h </w:instrText>
        </w:r>
        <w:r>
          <w:fldChar w:fldCharType="separate"/>
        </w:r>
        <w:r>
          <w:t>4</w:t>
        </w:r>
        <w:r>
          <w:fldChar w:fldCharType="end"/>
        </w:r>
      </w:hyperlink>
    </w:p>
    <w:p>
      <w:pPr>
        <w:pStyle w:val="TOC2"/>
        <w:tabs>
          <w:tab w:val="right" w:leader="dot" w:pos="8306"/>
        </w:tabs>
      </w:pPr>
      <w:hyperlink w:anchor="_Toc773" w:history="1">
        <w:r>
          <w:rPr>
            <w:rFonts w:ascii="宋体" w:eastAsia="宋体" w:hAnsi="宋体" w:cs="宋体" w:hint="eastAsia"/>
            <w:bCs w:val="0"/>
            <w:szCs w:val="28"/>
            <w:lang w:eastAsia="zh-CN"/>
          </w:rPr>
          <w:t>(一)、公司制度体系规划</w:t>
        </w:r>
        <w:r>
          <w:tab/>
        </w:r>
        <w:r>
          <w:fldChar w:fldCharType="begin"/>
        </w:r>
        <w:r>
          <w:instrText xml:space="preserve"> PAGEREF _Toc773 \h </w:instrText>
        </w:r>
        <w:r>
          <w:fldChar w:fldCharType="separate"/>
        </w:r>
        <w:r>
          <w:t>4</w:t>
        </w:r>
        <w:r>
          <w:fldChar w:fldCharType="end"/>
        </w:r>
      </w:hyperlink>
    </w:p>
    <w:p>
      <w:pPr>
        <w:pStyle w:val="TOC2"/>
        <w:tabs>
          <w:tab w:val="right" w:leader="dot" w:pos="8306"/>
        </w:tabs>
      </w:pPr>
      <w:hyperlink w:anchor="_Toc23444" w:history="1">
        <w:r>
          <w:rPr>
            <w:rFonts w:ascii="宋体" w:eastAsia="宋体" w:hAnsi="宋体" w:cs="宋体" w:hint="eastAsia"/>
            <w:bCs w:val="0"/>
            <w:szCs w:val="28"/>
            <w:lang w:eastAsia="zh-CN"/>
          </w:rPr>
          <w:t>(二)、员工手册编制与更新</w:t>
        </w:r>
        <w:r>
          <w:tab/>
        </w:r>
        <w:r>
          <w:fldChar w:fldCharType="begin"/>
        </w:r>
        <w:r>
          <w:instrText xml:space="preserve"> PAGEREF _Toc23444 \h </w:instrText>
        </w:r>
        <w:r>
          <w:fldChar w:fldCharType="separate"/>
        </w:r>
        <w:r>
          <w:t>6</w:t>
        </w:r>
        <w:r>
          <w:fldChar w:fldCharType="end"/>
        </w:r>
      </w:hyperlink>
    </w:p>
    <w:p>
      <w:pPr>
        <w:pStyle w:val="TOC2"/>
        <w:tabs>
          <w:tab w:val="right" w:leader="dot" w:pos="8306"/>
        </w:tabs>
      </w:pPr>
      <w:hyperlink w:anchor="_Toc30803" w:history="1">
        <w:r>
          <w:rPr>
            <w:rFonts w:ascii="宋体" w:eastAsia="宋体" w:hAnsi="宋体" w:cs="宋体" w:hint="eastAsia"/>
            <w:bCs w:val="0"/>
            <w:szCs w:val="28"/>
            <w:lang w:eastAsia="zh-CN"/>
          </w:rPr>
          <w:t>(三)、制度宣导与培训</w:t>
        </w:r>
        <w:r>
          <w:tab/>
        </w:r>
        <w:r>
          <w:fldChar w:fldCharType="begin"/>
        </w:r>
        <w:r>
          <w:instrText xml:space="preserve"> PAGEREF _Toc30803 \h </w:instrText>
        </w:r>
        <w:r>
          <w:fldChar w:fldCharType="separate"/>
        </w:r>
        <w:r>
          <w:t>7</w:t>
        </w:r>
        <w:r>
          <w:fldChar w:fldCharType="end"/>
        </w:r>
      </w:hyperlink>
    </w:p>
    <w:p>
      <w:pPr>
        <w:pStyle w:val="TOC2"/>
        <w:tabs>
          <w:tab w:val="right" w:leader="dot" w:pos="8306"/>
        </w:tabs>
      </w:pPr>
      <w:hyperlink w:anchor="_Toc28989" w:history="1">
        <w:r>
          <w:rPr>
            <w:rFonts w:ascii="宋体" w:eastAsia="宋体" w:hAnsi="宋体" w:cs="宋体" w:hint="eastAsia"/>
            <w:bCs w:val="0"/>
            <w:szCs w:val="28"/>
            <w:lang w:eastAsia="zh-CN"/>
          </w:rPr>
          <w:t>(四)、主要防范措施</w:t>
        </w:r>
        <w:r>
          <w:tab/>
        </w:r>
        <w:r>
          <w:fldChar w:fldCharType="begin"/>
        </w:r>
        <w:r>
          <w:instrText xml:space="preserve"> PAGEREF _Toc28989 \h </w:instrText>
        </w:r>
        <w:r>
          <w:fldChar w:fldCharType="separate"/>
        </w:r>
        <w:r>
          <w:t>8</w:t>
        </w:r>
        <w:r>
          <w:fldChar w:fldCharType="end"/>
        </w:r>
      </w:hyperlink>
    </w:p>
    <w:p>
      <w:pPr>
        <w:pStyle w:val="TOC2"/>
        <w:tabs>
          <w:tab w:val="right" w:leader="dot" w:pos="8306"/>
        </w:tabs>
      </w:pPr>
      <w:hyperlink w:anchor="_Toc4540" w:history="1">
        <w:r>
          <w:rPr>
            <w:rFonts w:ascii="宋体" w:eastAsia="宋体" w:hAnsi="宋体" w:cs="宋体" w:hint="eastAsia"/>
            <w:bCs w:val="0"/>
            <w:szCs w:val="28"/>
            <w:lang w:eastAsia="zh-CN"/>
          </w:rPr>
          <w:t>(五)、制度优化与更新</w:t>
        </w:r>
        <w:r>
          <w:tab/>
        </w:r>
        <w:r>
          <w:fldChar w:fldCharType="begin"/>
        </w:r>
        <w:r>
          <w:instrText xml:space="preserve"> PAGEREF _Toc4540 \h </w:instrText>
        </w:r>
        <w:r>
          <w:fldChar w:fldCharType="separate"/>
        </w:r>
        <w:r>
          <w:t>9</w:t>
        </w:r>
        <w:r>
          <w:fldChar w:fldCharType="end"/>
        </w:r>
      </w:hyperlink>
    </w:p>
    <w:p>
      <w:pPr>
        <w:pStyle w:val="TOC1"/>
        <w:tabs>
          <w:tab w:val="right" w:leader="dot" w:pos="8306"/>
        </w:tabs>
      </w:pPr>
      <w:hyperlink w:anchor="_Toc25720" w:history="1">
        <w:r>
          <w:rPr>
            <w:rFonts w:ascii="微软雅黑" w:eastAsia="微软雅黑" w:hAnsi="微软雅黑" w:cs="微软雅黑" w:hint="eastAsia"/>
            <w:color w:val="001CAC" w:themeColor="hyperlink" w:themeShade="BF"/>
            <w:szCs w:val="32"/>
            <w:lang w:eastAsia="zh-CN"/>
          </w:rPr>
          <w:t>二、项目实施与进度安排</w:t>
        </w:r>
        <w:r>
          <w:tab/>
        </w:r>
        <w:r>
          <w:fldChar w:fldCharType="begin"/>
        </w:r>
        <w:r>
          <w:instrText xml:space="preserve"> PAGEREF _Toc25720 \h </w:instrText>
        </w:r>
        <w:r>
          <w:fldChar w:fldCharType="separate"/>
        </w:r>
        <w:r>
          <w:t>10</w:t>
        </w:r>
        <w:r>
          <w:fldChar w:fldCharType="end"/>
        </w:r>
      </w:hyperlink>
    </w:p>
    <w:p>
      <w:pPr>
        <w:pStyle w:val="TOC2"/>
        <w:tabs>
          <w:tab w:val="right" w:leader="dot" w:pos="8306"/>
        </w:tabs>
      </w:pPr>
      <w:hyperlink w:anchor="_Toc3527" w:history="1">
        <w:r>
          <w:rPr>
            <w:rFonts w:ascii="宋体" w:eastAsia="宋体" w:hAnsi="宋体" w:cs="宋体" w:hint="eastAsia"/>
            <w:bCs w:val="0"/>
            <w:szCs w:val="28"/>
            <w:lang w:eastAsia="zh-CN"/>
          </w:rPr>
          <w:t>(一)、项目计划与时间节点</w:t>
        </w:r>
        <w:r>
          <w:tab/>
        </w:r>
        <w:r>
          <w:fldChar w:fldCharType="begin"/>
        </w:r>
        <w:r>
          <w:instrText xml:space="preserve"> PAGEREF _Toc3527 \h </w:instrText>
        </w:r>
        <w:r>
          <w:fldChar w:fldCharType="separate"/>
        </w:r>
        <w:r>
          <w:t>10</w:t>
        </w:r>
        <w:r>
          <w:fldChar w:fldCharType="end"/>
        </w:r>
      </w:hyperlink>
    </w:p>
    <w:p>
      <w:pPr>
        <w:pStyle w:val="TOC2"/>
        <w:tabs>
          <w:tab w:val="right" w:leader="dot" w:pos="8306"/>
        </w:tabs>
      </w:pPr>
      <w:hyperlink w:anchor="_Toc12995" w:history="1">
        <w:r>
          <w:rPr>
            <w:rFonts w:ascii="宋体" w:eastAsia="宋体" w:hAnsi="宋体" w:cs="宋体" w:hint="eastAsia"/>
            <w:bCs w:val="0"/>
            <w:szCs w:val="28"/>
            <w:lang w:eastAsia="zh-CN"/>
          </w:rPr>
          <w:t>(二)、项目进度安排</w:t>
        </w:r>
        <w:r>
          <w:tab/>
        </w:r>
        <w:r>
          <w:fldChar w:fldCharType="begin"/>
        </w:r>
        <w:r>
          <w:instrText xml:space="preserve"> PAGEREF _Toc12995 \h </w:instrText>
        </w:r>
        <w:r>
          <w:fldChar w:fldCharType="separate"/>
        </w:r>
        <w:r>
          <w:t>11</w:t>
        </w:r>
        <w:r>
          <w:fldChar w:fldCharType="end"/>
        </w:r>
      </w:hyperlink>
    </w:p>
    <w:p>
      <w:pPr>
        <w:pStyle w:val="TOC2"/>
        <w:tabs>
          <w:tab w:val="right" w:leader="dot" w:pos="8306"/>
        </w:tabs>
      </w:pPr>
      <w:hyperlink w:anchor="_Toc4296" w:history="1">
        <w:r>
          <w:rPr>
            <w:rFonts w:ascii="宋体" w:eastAsia="宋体" w:hAnsi="宋体" w:cs="宋体" w:hint="eastAsia"/>
            <w:bCs w:val="0"/>
            <w:szCs w:val="28"/>
            <w:lang w:eastAsia="zh-CN"/>
          </w:rPr>
          <w:t>(三)、风险管理与对策</w:t>
        </w:r>
        <w:r>
          <w:tab/>
        </w:r>
        <w:r>
          <w:fldChar w:fldCharType="begin"/>
        </w:r>
        <w:r>
          <w:instrText xml:space="preserve"> PAGEREF _Toc4296 \h </w:instrText>
        </w:r>
        <w:r>
          <w:fldChar w:fldCharType="separate"/>
        </w:r>
        <w:r>
          <w:t>13</w:t>
        </w:r>
        <w:r>
          <w:fldChar w:fldCharType="end"/>
        </w:r>
      </w:hyperlink>
    </w:p>
    <w:p>
      <w:pPr>
        <w:pStyle w:val="TOC1"/>
        <w:tabs>
          <w:tab w:val="right" w:leader="dot" w:pos="8306"/>
        </w:tabs>
      </w:pPr>
      <w:hyperlink w:anchor="_Toc16578" w:history="1">
        <w:r>
          <w:rPr>
            <w:rFonts w:ascii="微软雅黑" w:eastAsia="微软雅黑" w:hAnsi="微软雅黑" w:cs="微软雅黑" w:hint="eastAsia"/>
            <w:color w:val="001CAC" w:themeColor="hyperlink" w:themeShade="BF"/>
            <w:szCs w:val="32"/>
            <w:lang w:eastAsia="zh-CN"/>
          </w:rPr>
          <w:t>三、可持续发展与绿色经营</w:t>
        </w:r>
        <w:r>
          <w:tab/>
        </w:r>
        <w:r>
          <w:fldChar w:fldCharType="begin"/>
        </w:r>
        <w:r>
          <w:instrText xml:space="preserve"> PAGEREF _Toc16578 \h </w:instrText>
        </w:r>
        <w:r>
          <w:fldChar w:fldCharType="separate"/>
        </w:r>
        <w:r>
          <w:t>14</w:t>
        </w:r>
        <w:r>
          <w:fldChar w:fldCharType="end"/>
        </w:r>
      </w:hyperlink>
    </w:p>
    <w:p>
      <w:pPr>
        <w:pStyle w:val="TOC2"/>
        <w:tabs>
          <w:tab w:val="right" w:leader="dot" w:pos="8306"/>
        </w:tabs>
      </w:pPr>
      <w:hyperlink w:anchor="_Toc32742" w:history="1">
        <w:r>
          <w:rPr>
            <w:rFonts w:ascii="宋体" w:eastAsia="宋体" w:hAnsi="宋体" w:cs="宋体" w:hint="eastAsia"/>
            <w:bCs w:val="0"/>
            <w:szCs w:val="28"/>
            <w:lang w:eastAsia="zh-CN"/>
          </w:rPr>
          <w:t>(一)、可持续发展战略与目标</w:t>
        </w:r>
        <w:r>
          <w:tab/>
        </w:r>
        <w:r>
          <w:fldChar w:fldCharType="begin"/>
        </w:r>
        <w:r>
          <w:instrText xml:space="preserve"> PAGEREF _Toc32742 \h </w:instrText>
        </w:r>
        <w:r>
          <w:fldChar w:fldCharType="separate"/>
        </w:r>
        <w:r>
          <w:t>14</w:t>
        </w:r>
        <w:r>
          <w:fldChar w:fldCharType="end"/>
        </w:r>
      </w:hyperlink>
    </w:p>
    <w:p>
      <w:pPr>
        <w:pStyle w:val="TOC2"/>
        <w:tabs>
          <w:tab w:val="right" w:leader="dot" w:pos="8306"/>
        </w:tabs>
      </w:pPr>
      <w:hyperlink w:anchor="_Toc3505" w:history="1">
        <w:r>
          <w:rPr>
            <w:rFonts w:ascii="宋体" w:eastAsia="宋体" w:hAnsi="宋体" w:cs="宋体" w:hint="eastAsia"/>
            <w:bCs w:val="0"/>
            <w:szCs w:val="28"/>
            <w:lang w:eastAsia="zh-CN"/>
          </w:rPr>
          <w:t>(二)、环保政策与实践</w:t>
        </w:r>
        <w:r>
          <w:tab/>
        </w:r>
        <w:r>
          <w:fldChar w:fldCharType="begin"/>
        </w:r>
        <w:r>
          <w:instrText xml:space="preserve"> PAGEREF _Toc3505 \h </w:instrText>
        </w:r>
        <w:r>
          <w:fldChar w:fldCharType="separate"/>
        </w:r>
        <w:r>
          <w:t>16</w:t>
        </w:r>
        <w:r>
          <w:fldChar w:fldCharType="end"/>
        </w:r>
      </w:hyperlink>
    </w:p>
    <w:p>
      <w:pPr>
        <w:pStyle w:val="TOC2"/>
        <w:tabs>
          <w:tab w:val="right" w:leader="dot" w:pos="8306"/>
        </w:tabs>
      </w:pPr>
      <w:hyperlink w:anchor="_Toc6494" w:history="1">
        <w:r>
          <w:rPr>
            <w:rFonts w:ascii="宋体" w:eastAsia="宋体" w:hAnsi="宋体" w:cs="宋体" w:hint="eastAsia"/>
            <w:bCs w:val="0"/>
            <w:szCs w:val="28"/>
            <w:lang w:eastAsia="zh-CN"/>
          </w:rPr>
          <w:t>(三)、资源利用与循环经济</w:t>
        </w:r>
        <w:r>
          <w:tab/>
        </w:r>
        <w:r>
          <w:fldChar w:fldCharType="begin"/>
        </w:r>
        <w:r>
          <w:instrText xml:space="preserve"> PAGEREF _Toc6494 \h </w:instrText>
        </w:r>
        <w:r>
          <w:fldChar w:fldCharType="separate"/>
        </w:r>
        <w:r>
          <w:t>18</w:t>
        </w:r>
        <w:r>
          <w:fldChar w:fldCharType="end"/>
        </w:r>
      </w:hyperlink>
    </w:p>
    <w:p>
      <w:pPr>
        <w:pStyle w:val="TOC2"/>
        <w:tabs>
          <w:tab w:val="right" w:leader="dot" w:pos="8306"/>
        </w:tabs>
      </w:pPr>
      <w:hyperlink w:anchor="_Toc21276" w:history="1">
        <w:r>
          <w:rPr>
            <w:rFonts w:ascii="宋体" w:eastAsia="宋体" w:hAnsi="宋体" w:cs="宋体" w:hint="eastAsia"/>
            <w:bCs w:val="0"/>
            <w:szCs w:val="28"/>
            <w:lang w:eastAsia="zh-CN"/>
          </w:rPr>
          <w:t>(四)、碳中和与生态足迹</w:t>
        </w:r>
        <w:r>
          <w:tab/>
        </w:r>
        <w:r>
          <w:fldChar w:fldCharType="begin"/>
        </w:r>
        <w:r>
          <w:instrText xml:space="preserve"> PAGEREF _Toc21276 \h </w:instrText>
        </w:r>
        <w:r>
          <w:fldChar w:fldCharType="separate"/>
        </w:r>
        <w:r>
          <w:t>20</w:t>
        </w:r>
        <w:r>
          <w:fldChar w:fldCharType="end"/>
        </w:r>
      </w:hyperlink>
    </w:p>
    <w:p>
      <w:pPr>
        <w:pStyle w:val="TOC1"/>
        <w:tabs>
          <w:tab w:val="right" w:leader="dot" w:pos="8306"/>
        </w:tabs>
      </w:pPr>
      <w:hyperlink w:anchor="_Toc23489" w:history="1">
        <w:r>
          <w:rPr>
            <w:rFonts w:ascii="微软雅黑" w:eastAsia="微软雅黑" w:hAnsi="微软雅黑" w:cs="微软雅黑" w:hint="eastAsia"/>
            <w:color w:val="001CAC" w:themeColor="hyperlink" w:themeShade="BF"/>
            <w:szCs w:val="32"/>
            <w:lang w:eastAsia="zh-CN"/>
          </w:rPr>
          <w:t>四、喷涂机行业运营管理及商业模式分析</w:t>
        </w:r>
        <w:r>
          <w:tab/>
        </w:r>
        <w:r>
          <w:fldChar w:fldCharType="begin"/>
        </w:r>
        <w:r>
          <w:instrText xml:space="preserve"> PAGEREF _Toc23489 \h </w:instrText>
        </w:r>
        <w:r>
          <w:fldChar w:fldCharType="separate"/>
        </w:r>
        <w:r>
          <w:t>22</w:t>
        </w:r>
        <w:r>
          <w:fldChar w:fldCharType="end"/>
        </w:r>
      </w:hyperlink>
    </w:p>
    <w:p>
      <w:pPr>
        <w:pStyle w:val="TOC2"/>
        <w:tabs>
          <w:tab w:val="right" w:leader="dot" w:pos="8306"/>
        </w:tabs>
      </w:pPr>
      <w:hyperlink w:anchor="_Toc31650" w:history="1">
        <w:r>
          <w:rPr>
            <w:rFonts w:ascii="宋体" w:eastAsia="宋体" w:hAnsi="宋体" w:cs="宋体" w:hint="eastAsia"/>
            <w:bCs w:val="0"/>
            <w:szCs w:val="28"/>
            <w:lang w:eastAsia="zh-CN"/>
          </w:rPr>
          <w:t>(一)、喷涂机行业数字化发展方案</w:t>
        </w:r>
        <w:r>
          <w:tab/>
        </w:r>
        <w:r>
          <w:fldChar w:fldCharType="begin"/>
        </w:r>
        <w:r>
          <w:instrText xml:space="preserve"> PAGEREF _Toc31650 \h </w:instrText>
        </w:r>
        <w:r>
          <w:fldChar w:fldCharType="separate"/>
        </w:r>
        <w:r>
          <w:t>22</w:t>
        </w:r>
        <w:r>
          <w:fldChar w:fldCharType="end"/>
        </w:r>
      </w:hyperlink>
    </w:p>
    <w:p>
      <w:pPr>
        <w:pStyle w:val="TOC2"/>
        <w:tabs>
          <w:tab w:val="right" w:leader="dot" w:pos="8306"/>
        </w:tabs>
      </w:pPr>
      <w:hyperlink w:anchor="_Toc7233" w:history="1">
        <w:r>
          <w:rPr>
            <w:rFonts w:ascii="宋体" w:eastAsia="宋体" w:hAnsi="宋体" w:cs="宋体" w:hint="eastAsia"/>
            <w:bCs w:val="0"/>
            <w:szCs w:val="28"/>
            <w:lang w:eastAsia="zh-CN"/>
          </w:rPr>
          <w:t>(二)、喷涂机行业新型运营方式</w:t>
        </w:r>
        <w:r>
          <w:tab/>
        </w:r>
        <w:r>
          <w:fldChar w:fldCharType="begin"/>
        </w:r>
        <w:r>
          <w:instrText xml:space="preserve"> PAGEREF _Toc7233 \h </w:instrText>
        </w:r>
        <w:r>
          <w:fldChar w:fldCharType="separate"/>
        </w:r>
        <w:r>
          <w:t>25</w:t>
        </w:r>
        <w:r>
          <w:fldChar w:fldCharType="end"/>
        </w:r>
      </w:hyperlink>
    </w:p>
    <w:p>
      <w:pPr>
        <w:pStyle w:val="TOC2"/>
        <w:tabs>
          <w:tab w:val="right" w:leader="dot" w:pos="8306"/>
        </w:tabs>
      </w:pPr>
      <w:hyperlink w:anchor="_Toc28818" w:history="1">
        <w:r>
          <w:rPr>
            <w:rFonts w:ascii="宋体" w:eastAsia="宋体" w:hAnsi="宋体" w:cs="宋体" w:hint="eastAsia"/>
            <w:bCs w:val="0"/>
            <w:szCs w:val="28"/>
            <w:lang w:eastAsia="zh-CN"/>
          </w:rPr>
          <w:t>(三)、喷涂机行业风险管理</w:t>
        </w:r>
        <w:r>
          <w:tab/>
        </w:r>
        <w:r>
          <w:fldChar w:fldCharType="begin"/>
        </w:r>
        <w:r>
          <w:instrText xml:space="preserve"> PAGEREF _Toc28818 \h </w:instrText>
        </w:r>
        <w:r>
          <w:fldChar w:fldCharType="separate"/>
        </w:r>
        <w:r>
          <w:t>28</w:t>
        </w:r>
        <w:r>
          <w:fldChar w:fldCharType="end"/>
        </w:r>
      </w:hyperlink>
    </w:p>
    <w:p>
      <w:pPr>
        <w:pStyle w:val="TOC1"/>
        <w:tabs>
          <w:tab w:val="right" w:leader="dot" w:pos="8306"/>
        </w:tabs>
      </w:pPr>
      <w:hyperlink w:anchor="_Toc27720" w:history="1">
        <w:r>
          <w:rPr>
            <w:rFonts w:ascii="微软雅黑" w:eastAsia="微软雅黑" w:hAnsi="微软雅黑" w:cs="微软雅黑" w:hint="eastAsia"/>
            <w:color w:val="001CAC" w:themeColor="hyperlink" w:themeShade="BF"/>
            <w:szCs w:val="32"/>
            <w:lang w:eastAsia="zh-CN"/>
          </w:rPr>
          <w:t>五、安全与劳动保护</w:t>
        </w:r>
        <w:r>
          <w:tab/>
        </w:r>
        <w:r>
          <w:fldChar w:fldCharType="begin"/>
        </w:r>
        <w:r>
          <w:instrText xml:space="preserve"> PAGEREF _Toc27720 \h </w:instrText>
        </w:r>
        <w:r>
          <w:fldChar w:fldCharType="separate"/>
        </w:r>
        <w:r>
          <w:t>32</w:t>
        </w:r>
        <w:r>
          <w:fldChar w:fldCharType="end"/>
        </w:r>
      </w:hyperlink>
    </w:p>
    <w:p>
      <w:pPr>
        <w:pStyle w:val="TOC2"/>
        <w:tabs>
          <w:tab w:val="right" w:leader="dot" w:pos="8306"/>
        </w:tabs>
      </w:pPr>
      <w:hyperlink w:anchor="_Toc32155" w:history="1">
        <w:r>
          <w:rPr>
            <w:rFonts w:ascii="宋体" w:eastAsia="宋体" w:hAnsi="宋体" w:cs="宋体" w:hint="eastAsia"/>
            <w:bCs w:val="0"/>
            <w:szCs w:val="28"/>
            <w:lang w:eastAsia="zh-CN"/>
          </w:rPr>
          <w:t>(一)、设计依据与法规合规</w:t>
        </w:r>
        <w:r>
          <w:tab/>
        </w:r>
        <w:r>
          <w:fldChar w:fldCharType="begin"/>
        </w:r>
        <w:r>
          <w:instrText xml:space="preserve"> PAGEREF _Toc32155 \h </w:instrText>
        </w:r>
        <w:r>
          <w:fldChar w:fldCharType="separate"/>
        </w:r>
        <w:r>
          <w:t>32</w:t>
        </w:r>
        <w:r>
          <w:fldChar w:fldCharType="end"/>
        </w:r>
      </w:hyperlink>
    </w:p>
    <w:p>
      <w:pPr>
        <w:pStyle w:val="TOC2"/>
        <w:tabs>
          <w:tab w:val="right" w:leader="dot" w:pos="8306"/>
        </w:tabs>
      </w:pPr>
      <w:hyperlink w:anchor="_Toc12528" w:history="1">
        <w:r>
          <w:rPr>
            <w:rFonts w:ascii="宋体" w:eastAsia="宋体" w:hAnsi="宋体" w:cs="宋体" w:hint="eastAsia"/>
            <w:bCs w:val="0"/>
            <w:szCs w:val="28"/>
            <w:lang w:eastAsia="zh-CN"/>
          </w:rPr>
          <w:t>(二)、劳动安全预期效果评价</w:t>
        </w:r>
        <w:r>
          <w:tab/>
        </w:r>
        <w:r>
          <w:fldChar w:fldCharType="begin"/>
        </w:r>
        <w:r>
          <w:instrText xml:space="preserve"> PAGEREF _Toc12528 \h </w:instrText>
        </w:r>
        <w:r>
          <w:fldChar w:fldCharType="separate"/>
        </w:r>
        <w:r>
          <w:t>32</w:t>
        </w:r>
        <w:r>
          <w:fldChar w:fldCharType="end"/>
        </w:r>
      </w:hyperlink>
    </w:p>
    <w:p>
      <w:pPr>
        <w:pStyle w:val="TOC2"/>
        <w:tabs>
          <w:tab w:val="right" w:leader="dot" w:pos="8306"/>
        </w:tabs>
      </w:pPr>
      <w:hyperlink w:anchor="_Toc17139" w:history="1">
        <w:r>
          <w:rPr>
            <w:rFonts w:ascii="宋体" w:eastAsia="宋体" w:hAnsi="宋体" w:cs="宋体" w:hint="eastAsia"/>
            <w:bCs w:val="0"/>
            <w:szCs w:val="28"/>
            <w:lang w:eastAsia="zh-CN"/>
          </w:rPr>
          <w:t>(三)、主要防范措施</w:t>
        </w:r>
        <w:r>
          <w:tab/>
        </w:r>
        <w:r>
          <w:fldChar w:fldCharType="begin"/>
        </w:r>
        <w:r>
          <w:instrText xml:space="preserve"> PAGEREF _Toc17139 \h </w:instrText>
        </w:r>
        <w:r>
          <w:fldChar w:fldCharType="separate"/>
        </w:r>
        <w:r>
          <w:t>32</w:t>
        </w:r>
        <w:r>
          <w:fldChar w:fldCharType="end"/>
        </w:r>
      </w:hyperlink>
    </w:p>
    <w:p>
      <w:pPr>
        <w:pStyle w:val="TOC1"/>
        <w:tabs>
          <w:tab w:val="right" w:leader="dot" w:pos="8306"/>
        </w:tabs>
      </w:pPr>
      <w:hyperlink w:anchor="_Toc8983" w:history="1">
        <w:r>
          <w:rPr>
            <w:rFonts w:ascii="微软雅黑" w:eastAsia="微软雅黑" w:hAnsi="微软雅黑" w:cs="微软雅黑" w:hint="eastAsia"/>
            <w:color w:val="001CAC" w:themeColor="hyperlink" w:themeShade="BF"/>
            <w:szCs w:val="32"/>
            <w:lang w:eastAsia="zh-CN"/>
          </w:rPr>
          <w:t>六、质量与技术管理</w:t>
        </w:r>
        <w:r>
          <w:tab/>
        </w:r>
        <w:r>
          <w:fldChar w:fldCharType="begin"/>
        </w:r>
        <w:r>
          <w:instrText xml:space="preserve"> PAGEREF _Toc8983 \h </w:instrText>
        </w:r>
        <w:r>
          <w:fldChar w:fldCharType="separate"/>
        </w:r>
        <w:r>
          <w:t>33</w:t>
        </w:r>
        <w:r>
          <w:fldChar w:fldCharType="end"/>
        </w:r>
      </w:hyperlink>
    </w:p>
    <w:p>
      <w:pPr>
        <w:pStyle w:val="TOC2"/>
        <w:tabs>
          <w:tab w:val="right" w:leader="dot" w:pos="8306"/>
        </w:tabs>
      </w:pPr>
      <w:hyperlink w:anchor="_Toc12689" w:history="1">
        <w:r>
          <w:rPr>
            <w:rFonts w:ascii="宋体" w:eastAsia="宋体" w:hAnsi="宋体" w:cs="宋体" w:hint="eastAsia"/>
            <w:bCs w:val="0"/>
            <w:szCs w:val="28"/>
            <w:lang w:eastAsia="zh-CN"/>
          </w:rPr>
          <w:t>(一)、质量管理体系建设</w:t>
        </w:r>
        <w:r>
          <w:tab/>
        </w:r>
        <w:r>
          <w:fldChar w:fldCharType="begin"/>
        </w:r>
        <w:r>
          <w:instrText xml:space="preserve"> PAGEREF _Toc12689 \h </w:instrText>
        </w:r>
        <w:r>
          <w:fldChar w:fldCharType="separate"/>
        </w:r>
        <w:r>
          <w:t>33</w:t>
        </w:r>
        <w:r>
          <w:fldChar w:fldCharType="end"/>
        </w:r>
      </w:hyperlink>
    </w:p>
    <w:p>
      <w:pPr>
        <w:pStyle w:val="TOC2"/>
        <w:tabs>
          <w:tab w:val="right" w:leader="dot" w:pos="8306"/>
        </w:tabs>
      </w:pPr>
      <w:hyperlink w:anchor="_Toc25885" w:history="1">
        <w:r>
          <w:rPr>
            <w:rFonts w:ascii="宋体" w:eastAsia="宋体" w:hAnsi="宋体" w:cs="宋体" w:hint="eastAsia"/>
            <w:bCs w:val="0"/>
            <w:szCs w:val="28"/>
            <w:lang w:eastAsia="zh-CN"/>
          </w:rPr>
          <w:t>(二)、技术标准与创新</w:t>
        </w:r>
        <w:r>
          <w:tab/>
        </w:r>
        <w:r>
          <w:fldChar w:fldCharType="begin"/>
        </w:r>
        <w:r>
          <w:instrText xml:space="preserve"> PAGEREF _Toc25885 \h </w:instrText>
        </w:r>
        <w:r>
          <w:fldChar w:fldCharType="separate"/>
        </w:r>
        <w:r>
          <w:t>34</w:t>
        </w:r>
        <w:r>
          <w:fldChar w:fldCharType="end"/>
        </w:r>
      </w:hyperlink>
    </w:p>
    <w:p>
      <w:pPr>
        <w:pStyle w:val="TOC1"/>
        <w:tabs>
          <w:tab w:val="right" w:leader="dot" w:pos="8306"/>
        </w:tabs>
      </w:pPr>
      <w:hyperlink w:anchor="_Toc10874" w:history="1">
        <w:r>
          <w:rPr>
            <w:rFonts w:ascii="微软雅黑" w:eastAsia="微软雅黑" w:hAnsi="微软雅黑" w:cs="微软雅黑" w:hint="eastAsia"/>
            <w:color w:val="001CAC" w:themeColor="hyperlink" w:themeShade="BF"/>
            <w:szCs w:val="32"/>
            <w:lang w:eastAsia="zh-CN"/>
          </w:rPr>
          <w:t>七、喷涂机行业市场营销分析</w:t>
        </w:r>
        <w:r>
          <w:tab/>
        </w:r>
        <w:r>
          <w:fldChar w:fldCharType="begin"/>
        </w:r>
        <w:r>
          <w:instrText xml:space="preserve"> PAGEREF _Toc10874 \h </w:instrText>
        </w:r>
        <w:r>
          <w:fldChar w:fldCharType="separate"/>
        </w:r>
        <w:r>
          <w:t>35</w:t>
        </w:r>
        <w:r>
          <w:fldChar w:fldCharType="end"/>
        </w:r>
      </w:hyperlink>
    </w:p>
    <w:p>
      <w:pPr>
        <w:pStyle w:val="TOC2"/>
        <w:tabs>
          <w:tab w:val="right" w:leader="dot" w:pos="8306"/>
        </w:tabs>
      </w:pPr>
      <w:hyperlink w:anchor="_Toc915" w:history="1">
        <w:r>
          <w:rPr>
            <w:rFonts w:ascii="宋体" w:eastAsia="宋体" w:hAnsi="宋体" w:cs="宋体" w:hint="eastAsia"/>
            <w:bCs w:val="0"/>
            <w:szCs w:val="28"/>
            <w:lang w:eastAsia="zh-CN"/>
          </w:rPr>
          <w:t>(一)、喷涂机行业市场营销总体思路</w:t>
        </w:r>
        <w:r>
          <w:tab/>
        </w:r>
        <w:r>
          <w:fldChar w:fldCharType="begin"/>
        </w:r>
        <w:r>
          <w:instrText xml:space="preserve"> PAGEREF _Toc915 \h </w:instrText>
        </w:r>
        <w:r>
          <w:fldChar w:fldCharType="separate"/>
        </w:r>
        <w:r>
          <w:t>35</w:t>
        </w:r>
        <w:r>
          <w:fldChar w:fldCharType="end"/>
        </w:r>
      </w:hyperlink>
    </w:p>
    <w:p>
      <w:pPr>
        <w:pStyle w:val="TOC2"/>
        <w:tabs>
          <w:tab w:val="right" w:leader="dot" w:pos="8306"/>
        </w:tabs>
      </w:pPr>
      <w:hyperlink w:anchor="_Toc24876" w:history="1">
        <w:r>
          <w:rPr>
            <w:rFonts w:ascii="宋体" w:eastAsia="宋体" w:hAnsi="宋体" w:cs="宋体" w:hint="eastAsia"/>
            <w:bCs w:val="0"/>
            <w:szCs w:val="28"/>
            <w:lang w:eastAsia="zh-CN"/>
          </w:rPr>
          <w:t>(二)、喷涂机行业组织市场分析</w:t>
        </w:r>
        <w:r>
          <w:tab/>
        </w:r>
        <w:r>
          <w:fldChar w:fldCharType="begin"/>
        </w:r>
        <w:r>
          <w:instrText xml:space="preserve"> PAGEREF _Toc24876 \h </w:instrText>
        </w:r>
        <w:r>
          <w:fldChar w:fldCharType="separate"/>
        </w:r>
        <w:r>
          <w:t>37</w:t>
        </w:r>
        <w:r>
          <w:fldChar w:fldCharType="end"/>
        </w:r>
      </w:hyperlink>
    </w:p>
    <w:p>
      <w:pPr>
        <w:pStyle w:val="TOC2"/>
        <w:tabs>
          <w:tab w:val="right" w:leader="dot" w:pos="8306"/>
        </w:tabs>
      </w:pPr>
      <w:hyperlink w:anchor="_Toc8290" w:history="1">
        <w:r>
          <w:rPr>
            <w:rFonts w:ascii="宋体" w:eastAsia="宋体" w:hAnsi="宋体" w:cs="宋体" w:hint="eastAsia"/>
            <w:bCs w:val="0"/>
            <w:szCs w:val="28"/>
            <w:lang w:eastAsia="zh-CN"/>
          </w:rPr>
          <w:t>(三)、喷涂机行业目标市场营销战略</w:t>
        </w:r>
        <w:r>
          <w:tab/>
        </w:r>
        <w:r>
          <w:fldChar w:fldCharType="begin"/>
        </w:r>
        <w:r>
          <w:instrText xml:space="preserve"> PAGEREF _Toc8290 \h </w:instrText>
        </w:r>
        <w:r>
          <w:fldChar w:fldCharType="separate"/>
        </w:r>
        <w:r>
          <w:t>37</w:t>
        </w:r>
        <w:r>
          <w:fldChar w:fldCharType="end"/>
        </w:r>
      </w:hyperlink>
    </w:p>
    <w:p>
      <w:pPr>
        <w:pStyle w:val="TOC2"/>
        <w:tabs>
          <w:tab w:val="right" w:leader="dot" w:pos="8306"/>
        </w:tabs>
      </w:pPr>
      <w:hyperlink w:anchor="_Toc25261" w:history="1">
        <w:r>
          <w:rPr>
            <w:rFonts w:ascii="宋体" w:eastAsia="宋体" w:hAnsi="宋体" w:cs="宋体" w:hint="eastAsia"/>
            <w:bCs w:val="0"/>
            <w:szCs w:val="28"/>
            <w:lang w:eastAsia="zh-CN"/>
          </w:rPr>
          <w:t>(四)、喷涂机行业定价策略</w:t>
        </w:r>
        <w:r>
          <w:tab/>
        </w:r>
        <w:r>
          <w:fldChar w:fldCharType="begin"/>
        </w:r>
        <w:r>
          <w:instrText xml:space="preserve"> PAGEREF _Toc25261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62" w:history="1">
        <w:r>
          <w:rPr>
            <w:rFonts w:ascii="宋体" w:eastAsia="宋体" w:hAnsi="宋体" w:cs="宋体" w:hint="eastAsia"/>
            <w:bCs w:val="0"/>
            <w:szCs w:val="28"/>
            <w:lang w:eastAsia="zh-CN"/>
          </w:rPr>
          <w:t>(五)、喷涂机行业促销策略</w:t>
        </w:r>
        <w:r>
          <w:tab/>
        </w:r>
        <w:r>
          <w:fldChar w:fldCharType="begin"/>
        </w:r>
        <w:r>
          <w:instrText xml:space="preserve"> PAGEREF _Toc17462 \h </w:instrText>
        </w:r>
        <w:r>
          <w:fldChar w:fldCharType="separate"/>
        </w:r>
        <w:r>
          <w:t>40</w:t>
        </w:r>
        <w:r>
          <w:fldChar w:fldCharType="end"/>
        </w:r>
      </w:hyperlink>
    </w:p>
    <w:p>
      <w:pPr>
        <w:pStyle w:val="TOC2"/>
        <w:tabs>
          <w:tab w:val="right" w:leader="dot" w:pos="8306"/>
        </w:tabs>
      </w:pPr>
      <w:hyperlink w:anchor="_Toc28107" w:history="1">
        <w:r>
          <w:rPr>
            <w:rFonts w:ascii="宋体" w:eastAsia="宋体" w:hAnsi="宋体" w:cs="宋体" w:hint="eastAsia"/>
            <w:bCs w:val="0"/>
            <w:szCs w:val="28"/>
            <w:lang w:eastAsia="zh-CN"/>
          </w:rPr>
          <w:t>(六)、喷涂机行业品牌策略</w:t>
        </w:r>
        <w:r>
          <w:tab/>
        </w:r>
        <w:r>
          <w:fldChar w:fldCharType="begin"/>
        </w:r>
        <w:r>
          <w:instrText xml:space="preserve"> PAGEREF _Toc28107 \h </w:instrText>
        </w:r>
        <w:r>
          <w:fldChar w:fldCharType="separate"/>
        </w:r>
        <w:r>
          <w:t>42</w:t>
        </w:r>
        <w:r>
          <w:fldChar w:fldCharType="end"/>
        </w:r>
      </w:hyperlink>
    </w:p>
    <w:p>
      <w:pPr>
        <w:pStyle w:val="TOC2"/>
        <w:tabs>
          <w:tab w:val="right" w:leader="dot" w:pos="8306"/>
        </w:tabs>
      </w:pPr>
      <w:hyperlink w:anchor="_Toc28720" w:history="1">
        <w:r>
          <w:rPr>
            <w:rFonts w:ascii="宋体" w:eastAsia="宋体" w:hAnsi="宋体" w:cs="宋体" w:hint="eastAsia"/>
            <w:bCs w:val="0"/>
            <w:szCs w:val="28"/>
            <w:lang w:eastAsia="zh-CN"/>
          </w:rPr>
          <w:t>(七)、喷涂机行业关系营销</w:t>
        </w:r>
        <w:r>
          <w:tab/>
        </w:r>
        <w:r>
          <w:fldChar w:fldCharType="begin"/>
        </w:r>
        <w:r>
          <w:instrText xml:space="preserve"> PAGEREF _Toc28720 \h </w:instrText>
        </w:r>
        <w:r>
          <w:fldChar w:fldCharType="separate"/>
        </w:r>
        <w:r>
          <w:t>45</w:t>
        </w:r>
        <w:r>
          <w:fldChar w:fldCharType="end"/>
        </w:r>
      </w:hyperlink>
    </w:p>
    <w:p>
      <w:pPr>
        <w:pStyle w:val="TOC2"/>
        <w:tabs>
          <w:tab w:val="right" w:leader="dot" w:pos="8306"/>
        </w:tabs>
      </w:pPr>
      <w:hyperlink w:anchor="_Toc28294" w:history="1">
        <w:r>
          <w:rPr>
            <w:rFonts w:ascii="宋体" w:eastAsia="宋体" w:hAnsi="宋体" w:cs="宋体" w:hint="eastAsia"/>
            <w:bCs w:val="0"/>
            <w:szCs w:val="28"/>
            <w:lang w:eastAsia="zh-CN"/>
          </w:rPr>
          <w:t>(八)、喷涂机行业体验营销</w:t>
        </w:r>
        <w:r>
          <w:tab/>
        </w:r>
        <w:r>
          <w:fldChar w:fldCharType="begin"/>
        </w:r>
        <w:r>
          <w:instrText xml:space="preserve"> PAGEREF _Toc28294 \h </w:instrText>
        </w:r>
        <w:r>
          <w:fldChar w:fldCharType="separate"/>
        </w:r>
        <w:r>
          <w:t>46</w:t>
        </w:r>
        <w:r>
          <w:fldChar w:fldCharType="end"/>
        </w:r>
      </w:hyperlink>
    </w:p>
    <w:p>
      <w:pPr>
        <w:pStyle w:val="TOC2"/>
        <w:tabs>
          <w:tab w:val="right" w:leader="dot" w:pos="8306"/>
        </w:tabs>
      </w:pPr>
      <w:hyperlink w:anchor="_Toc6695" w:history="1">
        <w:r>
          <w:rPr>
            <w:rFonts w:ascii="宋体" w:eastAsia="宋体" w:hAnsi="宋体" w:cs="宋体" w:hint="eastAsia"/>
            <w:bCs w:val="0"/>
            <w:szCs w:val="28"/>
            <w:lang w:eastAsia="zh-CN"/>
          </w:rPr>
          <w:t>(九)、喷涂机行业互联网营销</w:t>
        </w:r>
        <w:r>
          <w:tab/>
        </w:r>
        <w:r>
          <w:fldChar w:fldCharType="begin"/>
        </w:r>
        <w:r>
          <w:instrText xml:space="preserve"> PAGEREF _Toc6695 \h </w:instrText>
        </w:r>
        <w:r>
          <w:fldChar w:fldCharType="separate"/>
        </w:r>
        <w:r>
          <w:t>48</w:t>
        </w:r>
        <w:r>
          <w:fldChar w:fldCharType="end"/>
        </w:r>
      </w:hyperlink>
    </w:p>
    <w:p>
      <w:pPr>
        <w:pStyle w:val="TOC1"/>
        <w:tabs>
          <w:tab w:val="right" w:leader="dot" w:pos="8306"/>
        </w:tabs>
      </w:pPr>
      <w:hyperlink w:anchor="_Toc15816" w:history="1">
        <w:r>
          <w:rPr>
            <w:rFonts w:ascii="微软雅黑" w:eastAsia="微软雅黑" w:hAnsi="微软雅黑" w:cs="微软雅黑" w:hint="eastAsia"/>
            <w:color w:val="001CAC" w:themeColor="hyperlink" w:themeShade="BF"/>
            <w:szCs w:val="32"/>
            <w:lang w:eastAsia="zh-CN"/>
          </w:rPr>
          <w:t>八、喷涂机行业人才招聘与发展</w:t>
        </w:r>
        <w:r>
          <w:tab/>
        </w:r>
        <w:r>
          <w:fldChar w:fldCharType="begin"/>
        </w:r>
        <w:r>
          <w:instrText xml:space="preserve"> PAGEREF _Toc15816 \h </w:instrText>
        </w:r>
        <w:r>
          <w:fldChar w:fldCharType="separate"/>
        </w:r>
        <w:r>
          <w:t>50</w:t>
        </w:r>
        <w:r>
          <w:fldChar w:fldCharType="end"/>
        </w:r>
      </w:hyperlink>
    </w:p>
    <w:p>
      <w:pPr>
        <w:pStyle w:val="TOC2"/>
        <w:tabs>
          <w:tab w:val="right" w:leader="dot" w:pos="8306"/>
        </w:tabs>
      </w:pPr>
      <w:hyperlink w:anchor="_Toc20488" w:history="1">
        <w:r>
          <w:rPr>
            <w:rFonts w:ascii="宋体" w:eastAsia="宋体" w:hAnsi="宋体" w:cs="宋体" w:hint="eastAsia"/>
            <w:bCs w:val="0"/>
            <w:szCs w:val="28"/>
            <w:lang w:eastAsia="zh-CN"/>
          </w:rPr>
          <w:t>(一)、人才需求分析</w:t>
        </w:r>
        <w:r>
          <w:tab/>
        </w:r>
        <w:r>
          <w:fldChar w:fldCharType="begin"/>
        </w:r>
        <w:r>
          <w:instrText xml:space="preserve"> PAGEREF _Toc20488 \h </w:instrText>
        </w:r>
        <w:r>
          <w:fldChar w:fldCharType="separate"/>
        </w:r>
        <w:r>
          <w:t>50</w:t>
        </w:r>
        <w:r>
          <w:fldChar w:fldCharType="end"/>
        </w:r>
      </w:hyperlink>
    </w:p>
    <w:p>
      <w:pPr>
        <w:pStyle w:val="TOC2"/>
        <w:tabs>
          <w:tab w:val="right" w:leader="dot" w:pos="8306"/>
        </w:tabs>
      </w:pPr>
      <w:hyperlink w:anchor="_Toc4049" w:history="1">
        <w:r>
          <w:rPr>
            <w:rFonts w:ascii="宋体" w:eastAsia="宋体" w:hAnsi="宋体" w:cs="宋体" w:hint="eastAsia"/>
            <w:bCs w:val="0"/>
            <w:szCs w:val="28"/>
            <w:lang w:eastAsia="zh-CN"/>
          </w:rPr>
          <w:t>(二)、招聘计划与流程</w:t>
        </w:r>
        <w:r>
          <w:tab/>
        </w:r>
        <w:r>
          <w:fldChar w:fldCharType="begin"/>
        </w:r>
        <w:r>
          <w:instrText xml:space="preserve"> PAGEREF _Toc4049 \h </w:instrText>
        </w:r>
        <w:r>
          <w:fldChar w:fldCharType="separate"/>
        </w:r>
        <w:r>
          <w:t>51</w:t>
        </w:r>
        <w:r>
          <w:fldChar w:fldCharType="end"/>
        </w:r>
      </w:hyperlink>
    </w:p>
    <w:p>
      <w:pPr>
        <w:pStyle w:val="TOC2"/>
        <w:tabs>
          <w:tab w:val="right" w:leader="dot" w:pos="8306"/>
        </w:tabs>
      </w:pPr>
      <w:hyperlink w:anchor="_Toc25358" w:history="1">
        <w:r>
          <w:rPr>
            <w:rFonts w:ascii="宋体" w:eastAsia="宋体" w:hAnsi="宋体" w:cs="宋体" w:hint="eastAsia"/>
            <w:bCs w:val="0"/>
            <w:szCs w:val="28"/>
            <w:lang w:eastAsia="zh-CN"/>
          </w:rPr>
          <w:t>(三)、员工培训与发展</w:t>
        </w:r>
        <w:r>
          <w:tab/>
        </w:r>
        <w:r>
          <w:fldChar w:fldCharType="begin"/>
        </w:r>
        <w:r>
          <w:instrText xml:space="preserve"> PAGEREF _Toc25358 \h </w:instrText>
        </w:r>
        <w:r>
          <w:fldChar w:fldCharType="separate"/>
        </w:r>
        <w:r>
          <w:t>53</w:t>
        </w:r>
        <w:r>
          <w:fldChar w:fldCharType="end"/>
        </w:r>
      </w:hyperlink>
    </w:p>
    <w:p>
      <w:pPr>
        <w:pStyle w:val="TOC2"/>
        <w:tabs>
          <w:tab w:val="right" w:leader="dot" w:pos="8306"/>
        </w:tabs>
      </w:pPr>
      <w:hyperlink w:anchor="_Toc3837" w:history="1">
        <w:r>
          <w:rPr>
            <w:rFonts w:ascii="宋体" w:eastAsia="宋体" w:hAnsi="宋体" w:cs="宋体" w:hint="eastAsia"/>
            <w:bCs w:val="0"/>
            <w:szCs w:val="28"/>
            <w:lang w:eastAsia="zh-CN"/>
          </w:rPr>
          <w:t>(四)、绩效考核与激励</w:t>
        </w:r>
        <w:r>
          <w:tab/>
        </w:r>
        <w:r>
          <w:fldChar w:fldCharType="begin"/>
        </w:r>
        <w:r>
          <w:instrText xml:space="preserve"> PAGEREF _Toc3837 \h </w:instrText>
        </w:r>
        <w:r>
          <w:fldChar w:fldCharType="separate"/>
        </w:r>
        <w:r>
          <w:t>54</w:t>
        </w:r>
        <w:r>
          <w:fldChar w:fldCharType="end"/>
        </w:r>
      </w:hyperlink>
    </w:p>
    <w:p>
      <w:pPr>
        <w:pStyle w:val="TOC2"/>
        <w:tabs>
          <w:tab w:val="right" w:leader="dot" w:pos="8306"/>
        </w:tabs>
      </w:pPr>
      <w:hyperlink w:anchor="_Toc16877" w:history="1">
        <w:r>
          <w:rPr>
            <w:rFonts w:ascii="宋体" w:eastAsia="宋体" w:hAnsi="宋体" w:cs="宋体" w:hint="eastAsia"/>
            <w:bCs w:val="0"/>
            <w:szCs w:val="28"/>
            <w:lang w:eastAsia="zh-CN"/>
          </w:rPr>
          <w:t>(五)、人才流动与留存</w:t>
        </w:r>
        <w:r>
          <w:tab/>
        </w:r>
        <w:r>
          <w:fldChar w:fldCharType="begin"/>
        </w:r>
        <w:r>
          <w:instrText xml:space="preserve"> PAGEREF _Toc16877 \h </w:instrText>
        </w:r>
        <w:r>
          <w:fldChar w:fldCharType="separate"/>
        </w:r>
        <w:r>
          <w:t>55</w:t>
        </w:r>
        <w:r>
          <w:fldChar w:fldCharType="end"/>
        </w:r>
      </w:hyperlink>
    </w:p>
    <w:p>
      <w:pPr>
        <w:pStyle w:val="TOC1"/>
        <w:tabs>
          <w:tab w:val="right" w:leader="dot" w:pos="8306"/>
        </w:tabs>
      </w:pPr>
      <w:hyperlink w:anchor="_Toc19925" w:history="1">
        <w:r>
          <w:rPr>
            <w:rFonts w:ascii="微软雅黑" w:eastAsia="微软雅黑" w:hAnsi="微软雅黑" w:cs="微软雅黑" w:hint="eastAsia"/>
            <w:color w:val="001CAC" w:themeColor="hyperlink" w:themeShade="BF"/>
            <w:szCs w:val="32"/>
            <w:lang w:eastAsia="zh-CN"/>
          </w:rPr>
          <w:t>九、制度运行与优化</w:t>
        </w:r>
        <w:r>
          <w:tab/>
        </w:r>
        <w:r>
          <w:fldChar w:fldCharType="begin"/>
        </w:r>
        <w:r>
          <w:instrText xml:space="preserve"> PAGEREF _Toc19925 \h </w:instrText>
        </w:r>
        <w:r>
          <w:fldChar w:fldCharType="separate"/>
        </w:r>
        <w:r>
          <w:t>57</w:t>
        </w:r>
        <w:r>
          <w:fldChar w:fldCharType="end"/>
        </w:r>
      </w:hyperlink>
    </w:p>
    <w:p>
      <w:pPr>
        <w:pStyle w:val="TOC2"/>
        <w:tabs>
          <w:tab w:val="right" w:leader="dot" w:pos="8306"/>
        </w:tabs>
      </w:pPr>
      <w:hyperlink w:anchor="_Toc8486" w:history="1">
        <w:r>
          <w:rPr>
            <w:rFonts w:ascii="宋体" w:eastAsia="宋体" w:hAnsi="宋体" w:cs="宋体" w:hint="eastAsia"/>
            <w:bCs w:val="0"/>
            <w:szCs w:val="28"/>
            <w:lang w:eastAsia="zh-CN"/>
          </w:rPr>
          <w:t>(一)、制度执行与监督</w:t>
        </w:r>
        <w:r>
          <w:tab/>
        </w:r>
        <w:r>
          <w:fldChar w:fldCharType="begin"/>
        </w:r>
        <w:r>
          <w:instrText xml:space="preserve"> PAGEREF _Toc8486 \h </w:instrText>
        </w:r>
        <w:r>
          <w:fldChar w:fldCharType="separate"/>
        </w:r>
        <w:r>
          <w:t>57</w:t>
        </w:r>
        <w:r>
          <w:fldChar w:fldCharType="end"/>
        </w:r>
      </w:hyperlink>
    </w:p>
    <w:p>
      <w:pPr>
        <w:pStyle w:val="TOC2"/>
        <w:tabs>
          <w:tab w:val="right" w:leader="dot" w:pos="8306"/>
        </w:tabs>
      </w:pPr>
      <w:hyperlink w:anchor="_Toc21127" w:history="1">
        <w:r>
          <w:rPr>
            <w:rFonts w:ascii="宋体" w:eastAsia="宋体" w:hAnsi="宋体" w:cs="宋体" w:hint="eastAsia"/>
            <w:bCs w:val="0"/>
            <w:szCs w:val="28"/>
            <w:lang w:eastAsia="zh-CN"/>
          </w:rPr>
          <w:t>(二)、制度优化与更新</w:t>
        </w:r>
        <w:r>
          <w:tab/>
        </w:r>
        <w:r>
          <w:fldChar w:fldCharType="begin"/>
        </w:r>
        <w:r>
          <w:instrText xml:space="preserve"> PAGEREF _Toc21127 \h </w:instrText>
        </w:r>
        <w:r>
          <w:fldChar w:fldCharType="separate"/>
        </w:r>
        <w:r>
          <w:t>57</w:t>
        </w:r>
        <w:r>
          <w:fldChar w:fldCharType="end"/>
        </w:r>
      </w:hyperlink>
    </w:p>
    <w:p>
      <w:pPr>
        <w:pStyle w:val="TOC1"/>
        <w:tabs>
          <w:tab w:val="right" w:leader="dot" w:pos="8306"/>
        </w:tabs>
      </w:pPr>
      <w:hyperlink w:anchor="_Toc19225" w:history="1">
        <w:r>
          <w:rPr>
            <w:rFonts w:ascii="微软雅黑" w:eastAsia="微软雅黑" w:hAnsi="微软雅黑" w:cs="微软雅黑" w:hint="eastAsia"/>
            <w:color w:val="001CAC" w:themeColor="hyperlink" w:themeShade="BF"/>
            <w:szCs w:val="32"/>
            <w:lang w:eastAsia="zh-CN"/>
          </w:rPr>
          <w:t>十、喷涂机行业公司治理与社会责任</w:t>
        </w:r>
        <w:r>
          <w:tab/>
        </w:r>
        <w:r>
          <w:fldChar w:fldCharType="begin"/>
        </w:r>
        <w:r>
          <w:instrText xml:space="preserve"> PAGEREF _Toc19225 \h </w:instrText>
        </w:r>
        <w:r>
          <w:fldChar w:fldCharType="separate"/>
        </w:r>
        <w:r>
          <w:t>58</w:t>
        </w:r>
        <w:r>
          <w:fldChar w:fldCharType="end"/>
        </w:r>
      </w:hyperlink>
    </w:p>
    <w:p>
      <w:pPr>
        <w:pStyle w:val="TOC2"/>
        <w:tabs>
          <w:tab w:val="right" w:leader="dot" w:pos="8306"/>
        </w:tabs>
      </w:pPr>
      <w:hyperlink w:anchor="_Toc20278" w:history="1">
        <w:r>
          <w:rPr>
            <w:rFonts w:ascii="宋体" w:eastAsia="宋体" w:hAnsi="宋体" w:cs="宋体" w:hint="eastAsia"/>
            <w:bCs w:val="0"/>
            <w:szCs w:val="28"/>
            <w:lang w:eastAsia="zh-CN"/>
          </w:rPr>
          <w:t>(一)、公司治理结构</w:t>
        </w:r>
        <w:r>
          <w:tab/>
        </w:r>
        <w:r>
          <w:fldChar w:fldCharType="begin"/>
        </w:r>
        <w:r>
          <w:instrText xml:space="preserve"> PAGEREF _Toc20278 \h </w:instrText>
        </w:r>
        <w:r>
          <w:fldChar w:fldCharType="separate"/>
        </w:r>
        <w:r>
          <w:t>58</w:t>
        </w:r>
        <w:r>
          <w:fldChar w:fldCharType="end"/>
        </w:r>
      </w:hyperlink>
    </w:p>
    <w:p>
      <w:pPr>
        <w:pStyle w:val="TOC2"/>
        <w:tabs>
          <w:tab w:val="right" w:leader="dot" w:pos="8306"/>
        </w:tabs>
      </w:pPr>
      <w:hyperlink w:anchor="_Toc32148" w:history="1">
        <w:r>
          <w:rPr>
            <w:rFonts w:ascii="宋体" w:eastAsia="宋体" w:hAnsi="宋体" w:cs="宋体" w:hint="eastAsia"/>
            <w:bCs w:val="0"/>
            <w:szCs w:val="28"/>
            <w:lang w:eastAsia="zh-CN"/>
          </w:rPr>
          <w:t>(二)、董事会运作与决策</w:t>
        </w:r>
        <w:r>
          <w:tab/>
        </w:r>
        <w:r>
          <w:fldChar w:fldCharType="begin"/>
        </w:r>
        <w:r>
          <w:instrText xml:space="preserve"> PAGEREF _Toc32148 \h </w:instrText>
        </w:r>
        <w:r>
          <w:fldChar w:fldCharType="separate"/>
        </w:r>
        <w:r>
          <w:t>59</w:t>
        </w:r>
        <w:r>
          <w:fldChar w:fldCharType="end"/>
        </w:r>
      </w:hyperlink>
    </w:p>
    <w:p>
      <w:pPr>
        <w:pStyle w:val="TOC2"/>
        <w:tabs>
          <w:tab w:val="right" w:leader="dot" w:pos="8306"/>
        </w:tabs>
      </w:pPr>
      <w:hyperlink w:anchor="_Toc30153" w:history="1">
        <w:r>
          <w:rPr>
            <w:rFonts w:ascii="宋体" w:eastAsia="宋体" w:hAnsi="宋体" w:cs="宋体" w:hint="eastAsia"/>
            <w:bCs w:val="0"/>
            <w:szCs w:val="28"/>
            <w:lang w:eastAsia="zh-CN"/>
          </w:rPr>
          <w:t>(三)、内部控制与审计</w:t>
        </w:r>
        <w:r>
          <w:tab/>
        </w:r>
        <w:r>
          <w:fldChar w:fldCharType="begin"/>
        </w:r>
        <w:r>
          <w:instrText xml:space="preserve"> PAGEREF _Toc30153 \h </w:instrText>
        </w:r>
        <w:r>
          <w:fldChar w:fldCharType="separate"/>
        </w:r>
        <w:r>
          <w:t>59</w:t>
        </w:r>
        <w:r>
          <w:fldChar w:fldCharType="end"/>
        </w:r>
      </w:hyperlink>
    </w:p>
    <w:p>
      <w:pPr>
        <w:pStyle w:val="TOC2"/>
        <w:tabs>
          <w:tab w:val="right" w:leader="dot" w:pos="8306"/>
        </w:tabs>
      </w:pPr>
      <w:hyperlink w:anchor="_Toc10479" w:history="1">
        <w:r>
          <w:rPr>
            <w:rFonts w:ascii="宋体" w:eastAsia="宋体" w:hAnsi="宋体" w:cs="宋体" w:hint="eastAsia"/>
            <w:bCs w:val="0"/>
            <w:szCs w:val="28"/>
            <w:lang w:eastAsia="zh-CN"/>
          </w:rPr>
          <w:t>(四)、法律法规合规体系</w:t>
        </w:r>
        <w:r>
          <w:tab/>
        </w:r>
        <w:r>
          <w:fldChar w:fldCharType="begin"/>
        </w:r>
        <w:r>
          <w:instrText xml:space="preserve"> PAGEREF _Toc10479 \h </w:instrText>
        </w:r>
        <w:r>
          <w:fldChar w:fldCharType="separate"/>
        </w:r>
        <w:r>
          <w:t>60</w:t>
        </w:r>
        <w:r>
          <w:fldChar w:fldCharType="end"/>
        </w:r>
      </w:hyperlink>
    </w:p>
    <w:p>
      <w:pPr>
        <w:pStyle w:val="TOC2"/>
        <w:tabs>
          <w:tab w:val="right" w:leader="dot" w:pos="8306"/>
        </w:tabs>
      </w:pPr>
      <w:hyperlink w:anchor="_Toc2842" w:history="1">
        <w:r>
          <w:rPr>
            <w:rFonts w:ascii="宋体" w:eastAsia="宋体" w:hAnsi="宋体" w:cs="宋体" w:hint="eastAsia"/>
            <w:bCs w:val="0"/>
            <w:szCs w:val="28"/>
            <w:lang w:eastAsia="zh-CN"/>
          </w:rPr>
          <w:t>(五)、企业社会责任与道德经营</w:t>
        </w:r>
        <w:r>
          <w:tab/>
        </w:r>
        <w:r>
          <w:fldChar w:fldCharType="begin"/>
        </w:r>
        <w:r>
          <w:instrText xml:space="preserve"> PAGEREF _Toc2842 \h </w:instrText>
        </w:r>
        <w:r>
          <w:fldChar w:fldCharType="separate"/>
        </w:r>
        <w:r>
          <w:t>61</w:t>
        </w:r>
        <w:r>
          <w:fldChar w:fldCharType="end"/>
        </w:r>
      </w:hyperlink>
    </w:p>
    <w:p>
      <w:pPr>
        <w:pStyle w:val="TOC1"/>
        <w:tabs>
          <w:tab w:val="right" w:leader="dot" w:pos="8306"/>
        </w:tabs>
      </w:pPr>
      <w:hyperlink w:anchor="_Toc17655" w:history="1">
        <w:r>
          <w:rPr>
            <w:rFonts w:ascii="微软雅黑" w:eastAsia="微软雅黑" w:hAnsi="微软雅黑" w:cs="微软雅黑" w:hint="eastAsia"/>
            <w:color w:val="001CAC" w:themeColor="hyperlink" w:themeShade="BF"/>
            <w:szCs w:val="32"/>
            <w:lang w:eastAsia="zh-CN"/>
          </w:rPr>
          <w:t>十一、喷涂机行业质量管理方案</w:t>
        </w:r>
        <w:r>
          <w:tab/>
        </w:r>
        <w:r>
          <w:fldChar w:fldCharType="begin"/>
        </w:r>
        <w:r>
          <w:instrText xml:space="preserve"> PAGEREF _Toc17655 \h </w:instrText>
        </w:r>
        <w:r>
          <w:fldChar w:fldCharType="separate"/>
        </w:r>
        <w:r>
          <w:t>62</w:t>
        </w:r>
        <w:r>
          <w:fldChar w:fldCharType="end"/>
        </w:r>
      </w:hyperlink>
    </w:p>
    <w:p>
      <w:pPr>
        <w:pStyle w:val="TOC2"/>
        <w:tabs>
          <w:tab w:val="right" w:leader="dot" w:pos="8306"/>
        </w:tabs>
      </w:pPr>
      <w:hyperlink w:anchor="_Toc15540" w:history="1">
        <w:r>
          <w:rPr>
            <w:rFonts w:ascii="宋体" w:eastAsia="宋体" w:hAnsi="宋体" w:cs="宋体" w:hint="eastAsia"/>
            <w:bCs w:val="0"/>
            <w:szCs w:val="28"/>
            <w:lang w:eastAsia="zh-CN"/>
          </w:rPr>
          <w:t>(一)、喷涂机行业质量管理要求</w:t>
        </w:r>
        <w:r>
          <w:tab/>
        </w:r>
        <w:r>
          <w:fldChar w:fldCharType="begin"/>
        </w:r>
        <w:r>
          <w:instrText xml:space="preserve"> PAGEREF _Toc15540 \h </w:instrText>
        </w:r>
        <w:r>
          <w:fldChar w:fldCharType="separate"/>
        </w:r>
        <w:r>
          <w:t>62</w:t>
        </w:r>
        <w:r>
          <w:fldChar w:fldCharType="end"/>
        </w:r>
      </w:hyperlink>
    </w:p>
    <w:p>
      <w:pPr>
        <w:pStyle w:val="TOC2"/>
        <w:tabs>
          <w:tab w:val="right" w:leader="dot" w:pos="8306"/>
        </w:tabs>
      </w:pPr>
      <w:hyperlink w:anchor="_Toc21041" w:history="1">
        <w:r>
          <w:rPr>
            <w:rFonts w:ascii="宋体" w:eastAsia="宋体" w:hAnsi="宋体" w:cs="宋体" w:hint="eastAsia"/>
            <w:bCs w:val="0"/>
            <w:szCs w:val="28"/>
            <w:lang w:eastAsia="zh-CN"/>
          </w:rPr>
          <w:t>(二)、喷涂机行业服务质量管理方案</w:t>
        </w:r>
        <w:r>
          <w:tab/>
        </w:r>
        <w:r>
          <w:fldChar w:fldCharType="begin"/>
        </w:r>
        <w:r>
          <w:instrText xml:space="preserve"> PAGEREF _Toc21041 \h </w:instrText>
        </w:r>
        <w:r>
          <w:fldChar w:fldCharType="separate"/>
        </w:r>
        <w:r>
          <w:t>62</w:t>
        </w:r>
        <w:r>
          <w:fldChar w:fldCharType="end"/>
        </w:r>
      </w:hyperlink>
    </w:p>
    <w:p>
      <w:pPr>
        <w:pStyle w:val="TOC2"/>
        <w:tabs>
          <w:tab w:val="right" w:leader="dot" w:pos="8306"/>
        </w:tabs>
      </w:pPr>
      <w:hyperlink w:anchor="_Toc5515" w:history="1">
        <w:r>
          <w:rPr>
            <w:rFonts w:ascii="宋体" w:eastAsia="宋体" w:hAnsi="宋体" w:cs="宋体" w:hint="eastAsia"/>
            <w:bCs w:val="0"/>
            <w:szCs w:val="28"/>
            <w:lang w:eastAsia="zh-CN"/>
          </w:rPr>
          <w:t>(三)、喷涂机行业质量成本管理方案</w:t>
        </w:r>
        <w:r>
          <w:tab/>
        </w:r>
        <w:r>
          <w:fldChar w:fldCharType="begin"/>
        </w:r>
        <w:r>
          <w:instrText xml:space="preserve"> PAGEREF _Toc5515 \h </w:instrText>
        </w:r>
        <w:r>
          <w:fldChar w:fldCharType="separate"/>
        </w:r>
        <w:r>
          <w:t>63</w:t>
        </w:r>
        <w:r>
          <w:fldChar w:fldCharType="end"/>
        </w:r>
      </w:hyperlink>
    </w:p>
    <w:p>
      <w:pPr>
        <w:pStyle w:val="TOC1"/>
        <w:tabs>
          <w:tab w:val="right" w:leader="dot" w:pos="8306"/>
        </w:tabs>
      </w:pPr>
      <w:hyperlink w:anchor="_Toc4672" w:history="1">
        <w:r>
          <w:rPr>
            <w:rFonts w:ascii="微软雅黑" w:eastAsia="微软雅黑" w:hAnsi="微软雅黑" w:cs="微软雅黑" w:hint="eastAsia"/>
            <w:color w:val="001CAC" w:themeColor="hyperlink" w:themeShade="BF"/>
            <w:szCs w:val="32"/>
            <w:lang w:eastAsia="zh-CN"/>
          </w:rPr>
          <w:t>十二、喷涂机行业投资管理策略</w:t>
        </w:r>
        <w:r>
          <w:tab/>
        </w:r>
        <w:r>
          <w:fldChar w:fldCharType="begin"/>
        </w:r>
        <w:r>
          <w:instrText xml:space="preserve"> PAGEREF _Toc4672 \h </w:instrText>
        </w:r>
        <w:r>
          <w:fldChar w:fldCharType="separate"/>
        </w:r>
        <w:r>
          <w:t>64</w:t>
        </w:r>
        <w:r>
          <w:fldChar w:fldCharType="end"/>
        </w:r>
      </w:hyperlink>
    </w:p>
    <w:p>
      <w:pPr>
        <w:pStyle w:val="TOC2"/>
        <w:tabs>
          <w:tab w:val="right" w:leader="dot" w:pos="8306"/>
        </w:tabs>
      </w:pPr>
      <w:hyperlink w:anchor="_Toc4422" w:history="1">
        <w:r>
          <w:rPr>
            <w:rFonts w:ascii="宋体" w:eastAsia="宋体" w:hAnsi="宋体" w:cs="宋体" w:hint="eastAsia"/>
            <w:bCs w:val="0"/>
            <w:szCs w:val="28"/>
            <w:lang w:eastAsia="zh-CN"/>
          </w:rPr>
          <w:t>(一)、喷涂机行业投资估算主要内容</w:t>
        </w:r>
        <w:r>
          <w:tab/>
        </w:r>
        <w:r>
          <w:fldChar w:fldCharType="begin"/>
        </w:r>
        <w:r>
          <w:instrText xml:space="preserve"> PAGEREF _Toc4422 \h </w:instrText>
        </w:r>
        <w:r>
          <w:fldChar w:fldCharType="separate"/>
        </w:r>
        <w:r>
          <w:t>64</w:t>
        </w:r>
        <w:r>
          <w:fldChar w:fldCharType="end"/>
        </w:r>
      </w:hyperlink>
    </w:p>
    <w:p>
      <w:pPr>
        <w:pStyle w:val="TOC2"/>
        <w:tabs>
          <w:tab w:val="right" w:leader="dot" w:pos="8306"/>
        </w:tabs>
      </w:pPr>
      <w:hyperlink w:anchor="_Toc6259" w:history="1">
        <w:r>
          <w:rPr>
            <w:rFonts w:ascii="宋体" w:eastAsia="宋体" w:hAnsi="宋体" w:cs="宋体" w:hint="eastAsia"/>
            <w:bCs w:val="0"/>
            <w:szCs w:val="28"/>
            <w:lang w:eastAsia="zh-CN"/>
          </w:rPr>
          <w:t>(二)、喷涂机行业设备购置投资费用管理</w:t>
        </w:r>
        <w:r>
          <w:tab/>
        </w:r>
        <w:r>
          <w:fldChar w:fldCharType="begin"/>
        </w:r>
        <w:r>
          <w:instrText xml:space="preserve"> PAGEREF _Toc6259 \h </w:instrText>
        </w:r>
        <w:r>
          <w:fldChar w:fldCharType="separate"/>
        </w:r>
        <w:r>
          <w:t>67</w:t>
        </w:r>
        <w:r>
          <w:fldChar w:fldCharType="end"/>
        </w:r>
      </w:hyperlink>
    </w:p>
    <w:p>
      <w:pPr>
        <w:pStyle w:val="TOC2"/>
        <w:tabs>
          <w:tab w:val="right" w:leader="dot" w:pos="8306"/>
        </w:tabs>
      </w:pPr>
      <w:hyperlink w:anchor="_Toc2845" w:history="1">
        <w:r>
          <w:rPr>
            <w:rFonts w:ascii="宋体" w:eastAsia="宋体" w:hAnsi="宋体" w:cs="宋体" w:hint="eastAsia"/>
            <w:bCs w:val="0"/>
            <w:szCs w:val="28"/>
            <w:lang w:eastAsia="zh-CN"/>
          </w:rPr>
          <w:t>(三)、喷涂机行业装修施工投资费用管理</w:t>
        </w:r>
        <w:r>
          <w:tab/>
        </w:r>
        <w:r>
          <w:fldChar w:fldCharType="begin"/>
        </w:r>
        <w:r>
          <w:instrText xml:space="preserve"> PAGEREF _Toc2845 \h </w:instrText>
        </w:r>
        <w:r>
          <w:fldChar w:fldCharType="separate"/>
        </w:r>
        <w:r>
          <w:t>71</w:t>
        </w:r>
        <w:r>
          <w:fldChar w:fldCharType="end"/>
        </w:r>
      </w:hyperlink>
    </w:p>
    <w:p>
      <w:pPr>
        <w:pStyle w:val="TOC2"/>
        <w:tabs>
          <w:tab w:val="right" w:leader="dot" w:pos="8306"/>
        </w:tabs>
      </w:pPr>
      <w:hyperlink w:anchor="_Toc7108" w:history="1">
        <w:r>
          <w:rPr>
            <w:rFonts w:ascii="宋体" w:eastAsia="宋体" w:hAnsi="宋体" w:cs="宋体" w:hint="eastAsia"/>
            <w:bCs w:val="0"/>
            <w:szCs w:val="28"/>
            <w:lang w:eastAsia="zh-CN"/>
          </w:rPr>
          <w:t>(四)、喷涂机行业流动资金管理</w:t>
        </w:r>
        <w:r>
          <w:tab/>
        </w:r>
        <w:r>
          <w:fldChar w:fldCharType="begin"/>
        </w:r>
        <w:r>
          <w:instrText xml:space="preserve"> PAGEREF _Toc7108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5568"/>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喷涂机行业研究报告致力于对喷涂机行业进行详尽研究和分析，旨在为喷涂机行业相关从业人员提供参考和借鉴。报告所包含的内容仅供学术研究和学习交流，不可用作商业用途。通过对行业发展历程、市场趋势和竞争态势的深入考察，本报告力求准确呈现行业现状和未来发展方向，为读者提供全面而有价值的行业洞察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5805"/>
      <w:r>
        <w:rPr>
          <w:rFonts w:ascii="微软雅黑" w:eastAsia="微软雅黑" w:hAnsi="微软雅黑" w:cs="微软雅黑" w:hint="eastAsia"/>
          <w:color w:val="2E54A1" w:themeColor="accent1" w:themeShade="BF"/>
          <w:sz w:val="32"/>
          <w:szCs w:val="32"/>
          <w:lang w:eastAsia="zh-CN"/>
        </w:rPr>
        <w:t>一、喷涂机行业制度建设与执行</w:t>
      </w:r>
      <w:bookmarkEnd w:id="2"/>
    </w:p>
    <w:p>
      <w:pPr>
        <w:pStyle w:val="Heading2"/>
        <w:spacing w:line="480" w:lineRule="auto"/>
        <w:rPr>
          <w:rFonts w:ascii="宋体" w:eastAsia="宋体" w:hAnsi="宋体" w:cs="宋体" w:hint="eastAsia"/>
          <w:bCs w:val="0"/>
          <w:sz w:val="28"/>
          <w:szCs w:val="28"/>
          <w:lang w:eastAsia="zh-CN"/>
        </w:rPr>
      </w:pPr>
      <w:bookmarkStart w:id="3" w:name="_Toc773"/>
      <w:r>
        <w:rPr>
          <w:rFonts w:ascii="宋体" w:eastAsia="宋体" w:hAnsi="宋体" w:cs="宋体" w:hint="eastAsia"/>
          <w:b/>
          <w:bCs w:val="0"/>
          <w:sz w:val="28"/>
          <w:szCs w:val="28"/>
          <w:lang w:eastAsia="zh-CN"/>
        </w:rPr>
        <w:t>(一)、公司制度体系规划</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公司制度体系规划是确保企业内部运营有序、高效的关键步骤。</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在喷涂机行业,我们致力于建立一套完备而灵活的公司制度体系，以促进组织内部的协同合作、明确责任、规范行为。下面是我们公司制度体系规划的主要方向：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法律法规合规：</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法治社会,公司治理的首要任务之一是确保公司的各项运营活动符合国家和地区的法律法规。我们制定了明确而全面的合规制度，涵盖了从生产经营到员工权益的各个层面。首先，我们建立了专业的法务团队,负责定期对公司的各项运营活动进行法律审核和风险评估。其次，我们积极参与喷涂机行业协会，保持对喷涂机行业法规的敏感性和及时性,以确保公司在法规变化中能够做出迅速而准确的调整。此外，我们强调员工的法律意识培养，定期开展法律法规的培训，使全体员工都能够清晰理解和遵守相关法规,从而构建一个合法合规的企业运营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人力资源管理：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公司治理的框架下,人力资源是企业发展的核心。我们着重于建立全面而灵活的人力资源管理制度,以保证员工的合法权益和公司的长期发展。首先，我们规定了招聘的程序和标准，确保招聘过程的公正与透明。其次，我们关注员工培训，建立了系统的培训计划，根据员工的职业发展路径和业务需求进行有针对性的培训。此外，我们实行了灵活的薪酬体系，以激励员工的工作积极性和创造力。绩效考核与薪酬激励相结合，确保员工的付出与公司整体目标的一致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财务管理：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财务管理是公司治理的核心之一,直接关系到公司的经济健康和稳定性。我们制定了严格的财务管理制度，确保公司的财务运作合理透明。首先，我们遵循国家的会计准则，定期对财务报表进行编制和审核，以确保报表的真实准确。其次，我们实行了预算管理制度，对各项支出进行明确的预算安排，从而提高对财务风险的控制水平。此外，我们注重内部审计，定期进行内部审计，发现潜在问题并及时进行调整。这一全面的财务管理制度确保了公司经济运作的安全性和可持续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4.信息技术安全：在数字化时代，信息技术安全至关重要。我们规划了信息技术安全制度，包括网络安全、数据隐私保护、信息系统管理等方面，以应对日益复杂的网络威胁。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信息技术管理：</w:t>
      </w:r>
    </w:p>
    <w:p>
      <w:pPr>
        <w:spacing w:line="480" w:lineRule="auto"/>
        <w:ind w:firstLine="420" w:firstLineChars="0"/>
        <w:rPr>
          <w:rFonts w:ascii="宋体" w:eastAsia="宋体" w:hAnsi="宋体" w:cs="宋体" w:hint="eastAsia"/>
          <w:sz w:val="24"/>
        </w:rPr>
      </w:pP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https://d.book118.com/985123021020011100</w:t>
        </w:r>
      </w:hyperlink>
    </w:p>
    <w:p>
      <w:pPr>
        <w:spacing w:line="480" w:lineRule="auto"/>
        <w:ind w:firstLine="420" w:firstLineChars="0"/>
        <w:rPr>
          <w:rFonts w:ascii="宋体" w:eastAsia="宋体" w:hAnsi="宋体" w:cs="宋体" w:hint="eastAsia"/>
          <w:sz w:val="24"/>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3DAC44EE"/>
    <w:rsid w:val="453746B4"/>
    <w:rsid w:val="482775B3"/>
    <w:rsid w:val="49C53810"/>
    <w:rsid w:val="4E155AC7"/>
    <w:rsid w:val="50930768"/>
    <w:rsid w:val="62A91464"/>
    <w:rsid w:val="692E1C42"/>
    <w:rsid w:val="6E1E18F8"/>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85123021020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2024-01-17T06:03:08Z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