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监测环境污染的卫星系统行业相关公司设立可行性研究报告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(七)、监测环境污染的卫星系统项目建设必要性分析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_Toc17777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五、监测环境污染的卫星系统项目概况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(二)、监测环境污染的卫星系统项目提出的理由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(三)、监测环境污染的卫星系统项目选址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eastAsia="zh-CN"/>
          </w:rPr>
          <w:t>(六)、监测环境污染的卫星系统项目投资</w:t>
        </w:r>
        <w:r>
          <w:tab/>
        </w:r>
        <w:r>
          <w:fldChar w:fldCharType="begin"/>
        </w:r>
        <w:r>
          <w:instrText xml:space="preserve"> PAGEREF _Toc12749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9" w:history="1">
        <w:r>
          <w:rPr>
            <w:rFonts w:ascii="仿宋" w:eastAsia="仿宋" w:hAnsi="仿宋" w:cs="仿宋" w:hint="eastAsia"/>
            <w:lang w:eastAsia="zh-CN"/>
          </w:rPr>
          <w:t>(七)、监测环境污染的卫星系统项目进度规划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(九)、监测环境污染的卫星系统项目综合评价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(一)、监测环境污染的卫星系统项目进度安排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(二)、监测环境污染的卫星系统项目实施保障措施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" w:history="1">
        <w:r>
          <w:rPr>
            <w:rFonts w:ascii="仿宋" w:eastAsia="仿宋" w:hAnsi="仿宋" w:cs="仿宋" w:hint="eastAsia"/>
            <w:lang w:eastAsia="zh-CN"/>
          </w:rPr>
          <w:t>(一)、监测环境污染的卫星系统项目背景分析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(二)、监测环境污染的卫星系统项目建设必要性分析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(五)、监测环境污染的卫星系统项目总投资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_Toc25055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十三、监测环境污染的卫星系统项目总结分析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_Toc15999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6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7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https://d.book118.com/985144032010011102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5144032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2024-01-20T06:31:00Z</dcterms:created>
  <dcterms:modified xsi:type="dcterms:W3CDTF">2024-01-20T06:32:08Z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8A901BB0A0E14840A56ACE2CF6B41241_11</vt:lpwstr>
  </property>
  <property fmtid="{D5CDD505-2E9C-101B-9397-08002B2CF9AE}" pid="3" name="KSOProductBuildVer">
    <vt:lpwstr>2052-12.1.0.16120</vt:lpwstr>
  </property>
</Properties>
</file>