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17"/>
        </w:rPr>
      </w:pPr>
    </w:p>
    <w:p>
      <w:pPr>
        <w:pStyle w:val="Title"/>
      </w:pPr>
      <w:r>
        <w:rPr>
          <w:w w:val="110"/>
        </w:rPr>
        <w:t xml:space="preserve">高速公路服务区设计规范 </w:t>
      </w:r>
    </w:p>
    <w:p>
      <w:pPr>
        <w:spacing w:after="0"/>
        <w:sectPr>
          <w:type w:val="continuous"/>
          <w:pgSz w:w="11910" w:h="16840"/>
          <w:pgMar w:top="1600" w:right="820" w:bottom="280" w:left="900" w:header="720" w:footer="720" w:gutter="0"/>
          <w:cols w:num="1" w:space="7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</w:p>
    <w:p>
      <w:pPr>
        <w:spacing w:before="71"/>
        <w:ind w:left="2261" w:right="1897" w:firstLine="0"/>
        <w:jc w:val="center"/>
        <w:rPr>
          <w:sz w:val="29"/>
        </w:rPr>
      </w:pPr>
      <w:r>
        <w:rPr>
          <w:w w:val="110"/>
          <w:sz w:val="29"/>
        </w:rPr>
        <w:t xml:space="preserve">目    次 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tabs>
          <w:tab w:val="left" w:leader="dot" w:pos="9554"/>
        </w:tabs>
        <w:ind w:left="517"/>
        <w:rPr>
          <w:rFonts w:ascii="Constantia" w:eastAsia="Constantia"/>
          <w:sz w:val="5"/>
        </w:rPr>
      </w:pPr>
      <w:r>
        <w:rPr>
          <w:w w:val="110"/>
        </w:rPr>
        <w:t>1</w:t>
      </w:r>
      <w:r>
        <w:rPr>
          <w:spacing w:val="2"/>
          <w:w w:val="110"/>
        </w:rPr>
        <w:t xml:space="preserve"> </w:t>
      </w:r>
      <w:r>
        <w:rPr>
          <w:w w:val="110"/>
        </w:rPr>
        <w:t>范围</w:t>
      </w:r>
      <w:r>
        <w:rPr>
          <w:w w:val="110"/>
        </w:rPr>
        <w:tab/>
      </w:r>
      <w:r>
        <w:rPr>
          <w:w w:val="110"/>
        </w:rPr>
        <w:t>1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554"/>
        </w:tabs>
        <w:spacing w:before="147"/>
        <w:ind w:left="517"/>
        <w:rPr>
          <w:rFonts w:ascii="Constantia" w:eastAsia="Constantia"/>
          <w:sz w:val="5"/>
        </w:rPr>
      </w:pPr>
      <w:r>
        <w:rPr>
          <w:w w:val="110"/>
        </w:rPr>
        <w:t>2</w:t>
      </w:r>
      <w:r>
        <w:rPr>
          <w:spacing w:val="3"/>
          <w:w w:val="110"/>
        </w:rPr>
        <w:t xml:space="preserve"> </w:t>
      </w:r>
      <w:r>
        <w:rPr>
          <w:w w:val="110"/>
        </w:rPr>
        <w:t>规范性引用文件</w:t>
      </w:r>
      <w:r>
        <w:rPr>
          <w:w w:val="110"/>
        </w:rPr>
        <w:tab/>
      </w:r>
      <w:r>
        <w:rPr>
          <w:w w:val="110"/>
        </w:rPr>
        <w:t>1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554"/>
        </w:tabs>
        <w:spacing w:before="146"/>
        <w:ind w:left="517"/>
        <w:rPr>
          <w:rFonts w:ascii="Constantia" w:eastAsia="Constantia"/>
          <w:sz w:val="5"/>
        </w:rPr>
      </w:pPr>
      <w:r>
        <w:rPr>
          <w:w w:val="110"/>
        </w:rPr>
        <w:t>3</w:t>
      </w:r>
      <w:r>
        <w:rPr>
          <w:spacing w:val="2"/>
          <w:w w:val="110"/>
        </w:rPr>
        <w:t xml:space="preserve"> </w:t>
      </w:r>
      <w:r>
        <w:rPr>
          <w:w w:val="110"/>
        </w:rPr>
        <w:t>术语和定义</w:t>
      </w:r>
      <w:r>
        <w:rPr>
          <w:w w:val="110"/>
        </w:rPr>
        <w:tab/>
      </w:r>
      <w:r>
        <w:rPr>
          <w:w w:val="110"/>
        </w:rPr>
        <w:t>2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554"/>
        </w:tabs>
        <w:spacing w:before="147"/>
        <w:ind w:left="517"/>
        <w:rPr>
          <w:rFonts w:ascii="Constantia" w:eastAsia="Constantia"/>
          <w:sz w:val="5"/>
        </w:rPr>
      </w:pPr>
      <w:r>
        <w:rPr>
          <w:w w:val="110"/>
        </w:rPr>
        <w:t>4</w:t>
      </w:r>
      <w:r>
        <w:rPr>
          <w:spacing w:val="2"/>
          <w:w w:val="110"/>
        </w:rPr>
        <w:t xml:space="preserve"> </w:t>
      </w:r>
      <w:r>
        <w:rPr>
          <w:w w:val="110"/>
        </w:rPr>
        <w:t>总则</w:t>
      </w:r>
      <w:r>
        <w:rPr>
          <w:w w:val="110"/>
        </w:rPr>
        <w:tab/>
      </w:r>
      <w:r>
        <w:rPr>
          <w:w w:val="110"/>
        </w:rPr>
        <w:t>2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554"/>
        </w:tabs>
        <w:spacing w:before="146"/>
        <w:ind w:left="517"/>
        <w:rPr>
          <w:rFonts w:ascii="Constantia" w:eastAsia="Constantia"/>
          <w:sz w:val="5"/>
        </w:rPr>
      </w:pPr>
      <w:r>
        <w:rPr>
          <w:w w:val="110"/>
        </w:rPr>
        <w:t>5</w:t>
      </w:r>
      <w:r>
        <w:rPr>
          <w:spacing w:val="2"/>
          <w:w w:val="110"/>
        </w:rPr>
        <w:t xml:space="preserve"> </w:t>
      </w:r>
      <w:r>
        <w:rPr>
          <w:w w:val="110"/>
        </w:rPr>
        <w:t>选址</w:t>
      </w:r>
      <w:r>
        <w:rPr>
          <w:w w:val="110"/>
        </w:rPr>
        <w:tab/>
      </w:r>
      <w:r>
        <w:rPr>
          <w:w w:val="110"/>
        </w:rPr>
        <w:t>3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554"/>
        </w:tabs>
        <w:spacing w:before="147"/>
        <w:ind w:left="517"/>
        <w:rPr>
          <w:rFonts w:ascii="Constantia" w:eastAsia="Constantia"/>
          <w:sz w:val="5"/>
        </w:rPr>
      </w:pPr>
      <w:r>
        <w:rPr>
          <w:w w:val="110"/>
        </w:rPr>
        <w:t>6</w:t>
      </w:r>
      <w:r>
        <w:rPr>
          <w:spacing w:val="2"/>
          <w:w w:val="110"/>
        </w:rPr>
        <w:t xml:space="preserve"> </w:t>
      </w:r>
      <w:r>
        <w:rPr>
          <w:w w:val="110"/>
        </w:rPr>
        <w:t>功能要素</w:t>
      </w:r>
      <w:r>
        <w:rPr>
          <w:w w:val="110"/>
        </w:rPr>
        <w:tab/>
      </w:r>
      <w:r>
        <w:rPr>
          <w:w w:val="110"/>
        </w:rPr>
        <w:t>3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554"/>
        </w:tabs>
        <w:spacing w:before="146"/>
        <w:ind w:left="517"/>
        <w:rPr>
          <w:rFonts w:ascii="Constantia" w:eastAsia="Constantia"/>
          <w:sz w:val="5"/>
        </w:rPr>
      </w:pPr>
      <w:r>
        <w:rPr>
          <w:w w:val="110"/>
        </w:rPr>
        <w:t>7</w:t>
      </w:r>
      <w:r>
        <w:rPr>
          <w:spacing w:val="3"/>
          <w:w w:val="110"/>
        </w:rPr>
        <w:t xml:space="preserve"> </w:t>
      </w:r>
      <w:r>
        <w:rPr>
          <w:w w:val="110"/>
        </w:rPr>
        <w:t>建设规模</w:t>
      </w:r>
      <w:r>
        <w:rPr>
          <w:w w:val="110"/>
        </w:rPr>
        <w:tab/>
      </w:r>
      <w:r>
        <w:rPr>
          <w:w w:val="110"/>
        </w:rPr>
        <w:t>5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554"/>
        </w:tabs>
        <w:spacing w:before="147"/>
        <w:ind w:left="517"/>
        <w:rPr>
          <w:rFonts w:ascii="Constantia" w:eastAsia="Constantia"/>
          <w:sz w:val="5"/>
        </w:rPr>
      </w:pPr>
      <w:r>
        <w:rPr>
          <w:w w:val="110"/>
        </w:rPr>
        <w:t>8</w:t>
      </w:r>
      <w:r>
        <w:rPr>
          <w:spacing w:val="3"/>
          <w:w w:val="110"/>
        </w:rPr>
        <w:t xml:space="preserve"> </w:t>
      </w:r>
      <w:r>
        <w:rPr>
          <w:w w:val="110"/>
        </w:rPr>
        <w:t>场地总体设计</w:t>
      </w:r>
      <w:r>
        <w:rPr>
          <w:w w:val="110"/>
        </w:rPr>
        <w:tab/>
      </w:r>
      <w:r>
        <w:rPr>
          <w:w w:val="110"/>
        </w:rPr>
        <w:t>8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448"/>
        </w:tabs>
        <w:spacing w:before="147"/>
        <w:ind w:left="517"/>
        <w:rPr>
          <w:rFonts w:ascii="Constantia" w:eastAsia="Constantia"/>
          <w:sz w:val="5"/>
        </w:rPr>
      </w:pPr>
      <w:r>
        <w:rPr>
          <w:w w:val="110"/>
        </w:rPr>
        <w:t>9</w:t>
      </w:r>
      <w:r>
        <w:rPr>
          <w:spacing w:val="3"/>
          <w:w w:val="110"/>
        </w:rPr>
        <w:t xml:space="preserve"> </w:t>
      </w:r>
      <w:r>
        <w:rPr>
          <w:w w:val="110"/>
        </w:rPr>
        <w:t>建筑设施</w:t>
      </w:r>
      <w:r>
        <w:rPr>
          <w:w w:val="110"/>
        </w:rPr>
        <w:tab/>
      </w:r>
      <w:r>
        <w:rPr>
          <w:w w:val="110"/>
        </w:rPr>
        <w:t>11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448"/>
        </w:tabs>
        <w:spacing w:before="146"/>
        <w:ind w:left="517"/>
        <w:rPr>
          <w:rFonts w:ascii="Constantia" w:eastAsia="Constantia"/>
          <w:sz w:val="5"/>
        </w:rPr>
      </w:pPr>
      <w:r>
        <w:rPr>
          <w:w w:val="110"/>
        </w:rPr>
        <w:t>10</w:t>
      </w:r>
      <w:r>
        <w:rPr>
          <w:spacing w:val="2"/>
          <w:w w:val="110"/>
        </w:rPr>
        <w:t xml:space="preserve"> </w:t>
      </w:r>
      <w:r>
        <w:rPr>
          <w:w w:val="110"/>
        </w:rPr>
        <w:t>景观绿化</w:t>
      </w:r>
      <w:r>
        <w:rPr>
          <w:w w:val="110"/>
        </w:rPr>
        <w:tab/>
      </w:r>
      <w:r>
        <w:rPr>
          <w:w w:val="110"/>
        </w:rPr>
        <w:t>15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448"/>
        </w:tabs>
        <w:spacing w:before="147"/>
        <w:ind w:left="517"/>
        <w:rPr>
          <w:rFonts w:ascii="Constantia" w:eastAsia="Constantia"/>
          <w:sz w:val="5"/>
        </w:rPr>
      </w:pPr>
      <w:r>
        <w:rPr>
          <w:w w:val="110"/>
        </w:rPr>
        <w:t>11</w:t>
      </w:r>
      <w:r>
        <w:rPr>
          <w:spacing w:val="2"/>
          <w:w w:val="110"/>
        </w:rPr>
        <w:t xml:space="preserve"> </w:t>
      </w:r>
      <w:r>
        <w:rPr>
          <w:w w:val="110"/>
        </w:rPr>
        <w:t>智能系统</w:t>
      </w:r>
      <w:r>
        <w:rPr>
          <w:w w:val="110"/>
        </w:rPr>
        <w:tab/>
      </w:r>
      <w:r>
        <w:rPr>
          <w:w w:val="110"/>
        </w:rPr>
        <w:t>16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448"/>
        </w:tabs>
        <w:spacing w:before="146"/>
        <w:ind w:left="517"/>
        <w:rPr>
          <w:rFonts w:ascii="Constantia" w:eastAsia="Constantia"/>
          <w:sz w:val="5"/>
        </w:rPr>
      </w:pPr>
      <w:r>
        <w:rPr>
          <w:w w:val="110"/>
        </w:rPr>
        <w:t>12</w:t>
      </w:r>
      <w:r>
        <w:rPr>
          <w:spacing w:val="2"/>
          <w:w w:val="110"/>
        </w:rPr>
        <w:t xml:space="preserve"> </w:t>
      </w:r>
      <w:r>
        <w:rPr>
          <w:w w:val="110"/>
        </w:rPr>
        <w:t>安全应急</w:t>
      </w:r>
      <w:r>
        <w:rPr>
          <w:w w:val="110"/>
        </w:rPr>
        <w:tab/>
      </w:r>
      <w:r>
        <w:rPr>
          <w:w w:val="110"/>
        </w:rPr>
        <w:t>17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448"/>
        </w:tabs>
        <w:spacing w:before="147"/>
        <w:ind w:left="517"/>
        <w:rPr>
          <w:rFonts w:ascii="Constantia" w:eastAsia="Constantia"/>
          <w:sz w:val="5"/>
        </w:rPr>
      </w:pPr>
      <w:r>
        <w:rPr>
          <w:w w:val="110"/>
        </w:rPr>
        <w:t>13</w:t>
      </w:r>
      <w:r>
        <w:rPr>
          <w:spacing w:val="2"/>
          <w:w w:val="110"/>
        </w:rPr>
        <w:t xml:space="preserve"> </w:t>
      </w:r>
      <w:r>
        <w:rPr>
          <w:w w:val="110"/>
        </w:rPr>
        <w:t>节能环保</w:t>
      </w:r>
      <w:r>
        <w:rPr>
          <w:w w:val="110"/>
        </w:rPr>
        <w:tab/>
      </w:r>
      <w:r>
        <w:rPr>
          <w:w w:val="110"/>
        </w:rPr>
        <w:t>17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448"/>
        </w:tabs>
        <w:spacing w:before="146"/>
        <w:ind w:left="517"/>
        <w:rPr>
          <w:rFonts w:ascii="Constantia" w:eastAsia="Constantia"/>
          <w:sz w:val="5"/>
        </w:rPr>
      </w:pPr>
      <w:r>
        <w:rPr>
          <w:w w:val="110"/>
        </w:rPr>
        <w:t>附录</w:t>
      </w:r>
      <w:r>
        <w:rPr>
          <w:spacing w:val="-49"/>
          <w:w w:val="110"/>
        </w:rPr>
        <w:t xml:space="preserve"> </w:t>
      </w:r>
      <w:r>
        <w:rPr>
          <w:w w:val="110"/>
        </w:rPr>
        <w:t>A（资料性附录）本标准用词说明</w:t>
      </w:r>
      <w:r>
        <w:rPr>
          <w:w w:val="110"/>
        </w:rPr>
        <w:tab/>
      </w:r>
      <w:r>
        <w:rPr>
          <w:w w:val="110"/>
        </w:rPr>
        <w:t>20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tabs>
          <w:tab w:val="left" w:leader="dot" w:pos="9448"/>
        </w:tabs>
        <w:spacing w:before="147"/>
        <w:ind w:left="517"/>
        <w:rPr>
          <w:rFonts w:ascii="Constantia" w:eastAsia="Constantia"/>
          <w:sz w:val="5"/>
        </w:rPr>
      </w:pPr>
      <w:r>
        <w:rPr>
          <w:w w:val="110"/>
        </w:rPr>
        <w:t>附录</w:t>
      </w:r>
      <w:r>
        <w:rPr>
          <w:spacing w:val="-48"/>
          <w:w w:val="110"/>
        </w:rPr>
        <w:t xml:space="preserve"> </w:t>
      </w:r>
      <w:r>
        <w:rPr>
          <w:w w:val="110"/>
        </w:rPr>
        <w:t>B（资料性附录）服务区布置示意图</w:t>
      </w:r>
      <w:r>
        <w:rPr>
          <w:w w:val="110"/>
        </w:rPr>
        <w:tab/>
      </w:r>
      <w:r>
        <w:rPr>
          <w:w w:val="110"/>
        </w:rPr>
        <w:t>21</w:t>
      </w:r>
      <w:r>
        <w:rPr>
          <w:rFonts w:ascii="Constantia" w:eastAsia="Constantia"/>
          <w:w w:val="420"/>
          <w:sz w:val="5"/>
        </w:rPr>
        <w:t xml:space="preserve"> </w:t>
      </w:r>
    </w:p>
    <w:p>
      <w:pPr>
        <w:pStyle w:val="BodyText"/>
        <w:spacing w:before="146"/>
        <w:ind w:left="937"/>
      </w:pPr>
      <w:r>
        <w:rPr>
          <w:w w:val="111"/>
        </w:rPr>
        <w:t xml:space="preserve"> 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spacing w:before="104"/>
        <w:ind w:left="0" w:right="417" w:firstLine="0"/>
        <w:jc w:val="right"/>
        <w:rPr>
          <w:sz w:val="12"/>
        </w:rPr>
      </w:pPr>
      <w:r>
        <w:rPr>
          <w:w w:val="150"/>
          <w:sz w:val="12"/>
        </w:rPr>
        <w:t xml:space="preserve">I </w:t>
      </w:r>
    </w:p>
    <w:p>
      <w:pPr>
        <w:spacing w:after="0"/>
        <w:jc w:val="right"/>
        <w:rPr>
          <w:sz w:val="12"/>
        </w:rPr>
        <w:sectPr>
          <w:pgSz w:w="11910" w:h="16840"/>
          <w:pgMar w:top="1600" w:right="820" w:bottom="280" w:left="900" w:header="720" w:footer="720" w:gutter="0"/>
          <w:pgNumType w:start="2"/>
          <w:cols w:num="1" w:space="7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4"/>
        </w:rPr>
      </w:pPr>
    </w:p>
    <w:p>
      <w:pPr>
        <w:spacing w:before="65"/>
        <w:ind w:left="2261" w:right="1895" w:firstLine="0"/>
        <w:jc w:val="center"/>
        <w:rPr>
          <w:sz w:val="30"/>
        </w:rPr>
      </w:pPr>
      <w:r>
        <w:rPr>
          <w:w w:val="105"/>
          <w:sz w:val="30"/>
        </w:rPr>
        <w:t xml:space="preserve">高速公路服务区设计规范 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spacing w:before="84"/>
        <w:ind w:left="518"/>
      </w:pPr>
      <w:r>
        <w:rPr>
          <w:w w:val="110"/>
        </w:rPr>
        <w:t xml:space="preserve">1 范 围 </w:t>
      </w:r>
    </w:p>
    <w:p>
      <w:pPr>
        <w:pStyle w:val="BodyText"/>
        <w:rPr>
          <w:sz w:val="21"/>
        </w:rPr>
      </w:pPr>
    </w:p>
    <w:p>
      <w:pPr>
        <w:pStyle w:val="BodyText"/>
        <w:spacing w:line="268" w:lineRule="auto"/>
        <w:ind w:left="518" w:right="215" w:firstLine="420"/>
      </w:pPr>
      <w:r>
        <w:rPr>
          <w:spacing w:val="-1"/>
          <w:w w:val="110"/>
        </w:rPr>
        <w:t>本标准规定了</w:t>
      </w:r>
      <w:r>
        <w:rPr>
          <w:rFonts w:hint="eastAsia"/>
          <w:spacing w:val="-1"/>
          <w:w w:val="110"/>
          <w:lang w:val="en-US" w:eastAsia="zh-CN"/>
        </w:rPr>
        <w:t>高</w:t>
      </w:r>
      <w:r>
        <w:rPr>
          <w:spacing w:val="-1"/>
          <w:w w:val="110"/>
        </w:rPr>
        <w:t>速公路服务区的选址、功能要素、建设规模、场地总体设计、</w:t>
      </w:r>
      <w:r>
        <w:rPr>
          <w:spacing w:val="-10"/>
          <w:w w:val="110"/>
        </w:rPr>
        <w:t>建筑设施、景观绿化、智能系统、安全应急、节能环保等设计要求；规定了服务区类型，分为Ⅰ类</w:t>
      </w:r>
      <w:r>
        <w:rPr>
          <w:w w:val="110"/>
        </w:rPr>
        <w:t xml:space="preserve">～Ⅲ 类。 </w:t>
      </w:r>
    </w:p>
    <w:p>
      <w:pPr>
        <w:pStyle w:val="BodyText"/>
        <w:spacing w:line="504" w:lineRule="auto"/>
        <w:ind w:left="518" w:right="2208" w:firstLine="420"/>
        <w:rPr>
          <w:w w:val="110"/>
        </w:rPr>
      </w:pPr>
      <w:r>
        <w:rPr>
          <w:w w:val="110"/>
        </w:rPr>
        <w:t xml:space="preserve">本标准适用于境内高速公路服务区新建或改（扩）建设计。 </w:t>
      </w:r>
    </w:p>
    <w:p>
      <w:pPr>
        <w:pStyle w:val="BodyText"/>
        <w:spacing w:line="504" w:lineRule="auto"/>
        <w:ind w:right="2208" w:firstLine="380" w:firstLineChars="200"/>
      </w:pPr>
      <w:bookmarkStart w:id="0" w:name="_GoBack"/>
      <w:bookmarkEnd w:id="0"/>
      <w:r>
        <w:rPr>
          <w:w w:val="110"/>
        </w:rPr>
        <w:t xml:space="preserve">2 规范性引用文件 </w:t>
      </w:r>
    </w:p>
    <w:p>
      <w:pPr>
        <w:pStyle w:val="BodyText"/>
        <w:spacing w:before="2" w:line="268" w:lineRule="auto"/>
        <w:ind w:left="518" w:right="310" w:firstLine="420"/>
      </w:pPr>
      <w:r>
        <w:rPr>
          <w:spacing w:val="-6"/>
          <w:w w:val="110"/>
        </w:rPr>
        <w:t>下列文件对于本文件的应用是必不可少的。凡是注日期的引用文件，仅所注日期的版本适用于本文</w:t>
      </w:r>
      <w:r>
        <w:rPr>
          <w:w w:val="110"/>
        </w:rPr>
        <w:t xml:space="preserve">件。凡是不注日期的引用文件，其最新版本（包括所有的修改单）适用于本文件。 </w:t>
      </w:r>
    </w:p>
    <w:p>
      <w:pPr>
        <w:pStyle w:val="BodyText"/>
        <w:spacing w:line="243" w:lineRule="exact"/>
        <w:ind w:left="938"/>
      </w:pPr>
      <w:r>
        <w:rPr>
          <w:w w:val="110"/>
        </w:rPr>
        <w:t xml:space="preserve">GB 5749 生活饮用水卫生标准 </w:t>
      </w:r>
    </w:p>
    <w:p>
      <w:pPr>
        <w:pStyle w:val="BodyText"/>
        <w:spacing w:before="29" w:line="268" w:lineRule="auto"/>
        <w:ind w:left="938" w:right="4939"/>
      </w:pPr>
      <w:r>
        <w:rPr>
          <w:w w:val="110"/>
        </w:rPr>
        <w:t xml:space="preserve">GB 5768（所有部分）  道路交通标志和标线GB 8978 污水综合排放标准  </w:t>
      </w:r>
      <w:r>
        <w:rPr>
          <w:w w:val="111"/>
        </w:rPr>
        <w:t xml:space="preserve"> </w:t>
      </w:r>
    </w:p>
    <w:p>
      <w:pPr>
        <w:pStyle w:val="BodyText"/>
        <w:spacing w:line="268" w:lineRule="auto"/>
        <w:ind w:left="938" w:right="5568"/>
      </w:pPr>
      <w:r>
        <w:rPr>
          <w:w w:val="110"/>
        </w:rPr>
        <w:t>GB</w:t>
      </w:r>
      <w:r>
        <w:rPr>
          <w:spacing w:val="32"/>
          <w:w w:val="110"/>
        </w:rPr>
        <w:t xml:space="preserve">  </w:t>
      </w:r>
      <w:r>
        <w:rPr>
          <w:w w:val="110"/>
        </w:rPr>
        <w:t>15630</w:t>
      </w:r>
      <w:r>
        <w:rPr>
          <w:spacing w:val="2"/>
          <w:w w:val="110"/>
        </w:rPr>
        <w:t xml:space="preserve">   消防安全标志设置要求 GB</w:t>
      </w:r>
      <w:r>
        <w:rPr>
          <w:spacing w:val="65"/>
          <w:w w:val="110"/>
        </w:rPr>
        <w:t xml:space="preserve"> </w:t>
      </w:r>
      <w:r>
        <w:rPr>
          <w:w w:val="110"/>
        </w:rPr>
        <w:t>16297</w:t>
      </w:r>
      <w:r>
        <w:rPr>
          <w:spacing w:val="2"/>
          <w:w w:val="110"/>
        </w:rPr>
        <w:t xml:space="preserve">  大气污染物综合排放标准 GB </w:t>
      </w:r>
      <w:r>
        <w:rPr>
          <w:w w:val="110"/>
        </w:rPr>
        <w:t xml:space="preserve">18483 饮食业油烟排放标准 </w:t>
      </w:r>
      <w:r>
        <w:rPr>
          <w:spacing w:val="-2"/>
          <w:w w:val="110"/>
        </w:rPr>
        <w:t xml:space="preserve"> </w:t>
      </w:r>
      <w:r>
        <w:rPr>
          <w:w w:val="111"/>
        </w:rPr>
        <w:t xml:space="preserve"> </w:t>
      </w:r>
    </w:p>
    <w:p>
      <w:pPr>
        <w:pStyle w:val="BodyText"/>
        <w:spacing w:line="268" w:lineRule="auto"/>
        <w:ind w:left="938" w:right="3679"/>
      </w:pPr>
      <w:r>
        <w:rPr>
          <w:w w:val="110"/>
        </w:rPr>
        <w:t>GB</w:t>
      </w:r>
      <w:r>
        <w:rPr>
          <w:spacing w:val="68"/>
          <w:w w:val="110"/>
        </w:rPr>
        <w:t xml:space="preserve"> </w:t>
      </w:r>
      <w:r>
        <w:rPr>
          <w:w w:val="110"/>
        </w:rPr>
        <w:t>18599  一般工业固体废物贮存、处置场污染控制标准GB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50013 室外给水设计规范 </w:t>
      </w:r>
    </w:p>
    <w:p>
      <w:pPr>
        <w:pStyle w:val="BodyText"/>
        <w:spacing w:line="243" w:lineRule="exact"/>
        <w:ind w:left="938"/>
      </w:pPr>
      <w:r>
        <w:rPr>
          <w:w w:val="110"/>
        </w:rPr>
        <w:t>GB</w:t>
      </w:r>
      <w:r>
        <w:rPr>
          <w:spacing w:val="3"/>
          <w:w w:val="110"/>
        </w:rPr>
        <w:t xml:space="preserve"> </w:t>
      </w:r>
      <w:r>
        <w:rPr>
          <w:w w:val="110"/>
        </w:rPr>
        <w:t xml:space="preserve">50014  室外排水设计规范 </w:t>
      </w:r>
    </w:p>
    <w:p>
      <w:pPr>
        <w:pStyle w:val="BodyText"/>
        <w:spacing w:before="26" w:line="268" w:lineRule="auto"/>
        <w:ind w:left="938" w:right="5988"/>
      </w:pPr>
      <w:r>
        <w:rPr>
          <w:w w:val="110"/>
        </w:rPr>
        <w:t>GB</w:t>
      </w:r>
      <w:r>
        <w:rPr>
          <w:spacing w:val="3"/>
          <w:w w:val="110"/>
        </w:rPr>
        <w:t xml:space="preserve"> </w:t>
      </w:r>
      <w:r>
        <w:rPr>
          <w:w w:val="110"/>
        </w:rPr>
        <w:t>50015  建筑给水排水设计规范GB</w:t>
      </w:r>
      <w:r>
        <w:rPr>
          <w:spacing w:val="2"/>
          <w:w w:val="110"/>
        </w:rPr>
        <w:t xml:space="preserve"> </w:t>
      </w:r>
      <w:r>
        <w:rPr>
          <w:w w:val="110"/>
        </w:rPr>
        <w:t xml:space="preserve">50016 建筑设计防火规范 </w:t>
      </w:r>
    </w:p>
    <w:p>
      <w:pPr>
        <w:pStyle w:val="BodyText"/>
        <w:spacing w:line="268" w:lineRule="auto"/>
        <w:ind w:left="938" w:right="6198"/>
      </w:pPr>
      <w:r>
        <w:rPr>
          <w:w w:val="110"/>
        </w:rPr>
        <w:t>GB</w:t>
      </w:r>
      <w:r>
        <w:rPr>
          <w:spacing w:val="63"/>
          <w:w w:val="110"/>
        </w:rPr>
        <w:t xml:space="preserve"> </w:t>
      </w:r>
      <w:r>
        <w:rPr>
          <w:w w:val="110"/>
        </w:rPr>
        <w:t>50034</w:t>
      </w:r>
      <w:r>
        <w:rPr>
          <w:spacing w:val="5"/>
          <w:w w:val="110"/>
        </w:rPr>
        <w:t xml:space="preserve">  建筑照明设计标准 GB</w:t>
      </w:r>
      <w:r>
        <w:rPr>
          <w:spacing w:val="3"/>
          <w:w w:val="110"/>
        </w:rPr>
        <w:t xml:space="preserve"> </w:t>
      </w:r>
      <w:r>
        <w:rPr>
          <w:w w:val="110"/>
        </w:rPr>
        <w:t xml:space="preserve">50057 建筑物防雷设计规范 </w:t>
      </w:r>
    </w:p>
    <w:p>
      <w:pPr>
        <w:pStyle w:val="BodyText"/>
        <w:spacing w:line="268" w:lineRule="auto"/>
        <w:ind w:left="938" w:right="4518"/>
      </w:pPr>
      <w:r>
        <w:rPr>
          <w:w w:val="110"/>
        </w:rPr>
        <w:t xml:space="preserve">GB 50067  汽车库、修车库、停车场设计防火规范GB 50084 自动喷水灭火系统设计规范 </w:t>
      </w:r>
    </w:p>
    <w:p>
      <w:pPr>
        <w:pStyle w:val="BodyText"/>
        <w:spacing w:line="243" w:lineRule="exact"/>
        <w:ind w:left="938"/>
      </w:pPr>
      <w:r>
        <w:rPr>
          <w:w w:val="110"/>
        </w:rPr>
        <w:t xml:space="preserve">GB/T 50103 总图制图标准 </w:t>
      </w:r>
    </w:p>
    <w:p>
      <w:pPr>
        <w:pStyle w:val="BodyText"/>
        <w:spacing w:before="28"/>
        <w:ind w:left="938"/>
      </w:pPr>
      <w:r>
        <w:rPr>
          <w:w w:val="110"/>
        </w:rPr>
        <w:t xml:space="preserve">GB 50140 建筑灭火器配置设计规范 </w:t>
      </w:r>
    </w:p>
    <w:p>
      <w:pPr>
        <w:pStyle w:val="BodyText"/>
        <w:spacing w:before="29" w:line="268" w:lineRule="auto"/>
        <w:ind w:left="938" w:right="5148"/>
      </w:pPr>
      <w:r>
        <w:rPr>
          <w:w w:val="110"/>
        </w:rPr>
        <w:t>GB</w:t>
      </w:r>
      <w:r>
        <w:rPr>
          <w:spacing w:val="4"/>
          <w:w w:val="110"/>
        </w:rPr>
        <w:t xml:space="preserve"> </w:t>
      </w:r>
      <w:r>
        <w:rPr>
          <w:w w:val="110"/>
        </w:rPr>
        <w:t>50156  汽车加油加气站设计与施工规范GB</w:t>
      </w:r>
      <w:r>
        <w:rPr>
          <w:spacing w:val="1"/>
          <w:w w:val="110"/>
        </w:rPr>
        <w:t xml:space="preserve"> </w:t>
      </w:r>
      <w:r>
        <w:rPr>
          <w:w w:val="110"/>
        </w:rPr>
        <w:t>50176 民用建筑热工设计规范</w:t>
      </w:r>
      <w:r>
        <w:rPr>
          <w:spacing w:val="-2"/>
          <w:w w:val="110"/>
        </w:rPr>
        <w:t xml:space="preserve"> </w:t>
      </w:r>
      <w:r>
        <w:rPr>
          <w:w w:val="111"/>
        </w:rPr>
        <w:t xml:space="preserve"> </w:t>
      </w:r>
    </w:p>
    <w:p>
      <w:pPr>
        <w:pStyle w:val="BodyText"/>
        <w:spacing w:line="243" w:lineRule="exact"/>
        <w:ind w:left="938"/>
      </w:pPr>
      <w:r>
        <w:rPr>
          <w:w w:val="110"/>
        </w:rPr>
        <w:t>GB</w:t>
      </w:r>
      <w:r>
        <w:rPr>
          <w:spacing w:val="4"/>
          <w:w w:val="110"/>
        </w:rPr>
        <w:t xml:space="preserve"> </w:t>
      </w:r>
      <w:r>
        <w:rPr>
          <w:w w:val="110"/>
        </w:rPr>
        <w:t>50189  公共建筑节能设计标准</w:t>
      </w:r>
      <w:r>
        <w:rPr>
          <w:spacing w:val="-2"/>
          <w:w w:val="110"/>
        </w:rPr>
        <w:t xml:space="preserve"> </w:t>
      </w:r>
      <w:r>
        <w:rPr>
          <w:w w:val="111"/>
        </w:rPr>
        <w:t xml:space="preserve"> </w:t>
      </w:r>
    </w:p>
    <w:p>
      <w:pPr>
        <w:pStyle w:val="BodyText"/>
        <w:spacing w:before="29"/>
        <w:ind w:left="938"/>
      </w:pPr>
      <w:r>
        <w:rPr>
          <w:w w:val="110"/>
        </w:rPr>
        <w:t xml:space="preserve">GB 50222 建筑内部装修设计防火规范 </w:t>
      </w:r>
    </w:p>
    <w:p>
      <w:pPr>
        <w:pStyle w:val="BodyText"/>
        <w:spacing w:before="29"/>
        <w:ind w:left="938"/>
      </w:pPr>
      <w:r>
        <w:rPr>
          <w:w w:val="110"/>
        </w:rPr>
        <w:t xml:space="preserve">GB 50395 视频安防监控系统工程设计规范 </w:t>
      </w:r>
    </w:p>
    <w:p>
      <w:pPr>
        <w:pStyle w:val="BodyText"/>
        <w:spacing w:before="29" w:line="268" w:lineRule="auto"/>
        <w:ind w:left="938" w:right="4098"/>
      </w:pPr>
      <w:r>
        <w:rPr>
          <w:w w:val="110"/>
        </w:rPr>
        <w:t xml:space="preserve">GB 50461  石油化工静设备安装工程施工质量验收规范GB 50763 无障碍设计规范 </w:t>
      </w:r>
    </w:p>
    <w:p>
      <w:pPr>
        <w:pStyle w:val="BodyText"/>
        <w:spacing w:line="243" w:lineRule="exact"/>
        <w:ind w:left="938"/>
      </w:pPr>
      <w:r>
        <w:rPr>
          <w:w w:val="110"/>
        </w:rPr>
        <w:t xml:space="preserve">GB 50966 电动汽车充电站设计规范 </w:t>
      </w:r>
    </w:p>
    <w:p>
      <w:pPr>
        <w:pStyle w:val="BodyText"/>
        <w:spacing w:before="29" w:line="268" w:lineRule="auto"/>
        <w:ind w:left="938" w:right="5148"/>
      </w:pPr>
      <w:r>
        <w:rPr>
          <w:w w:val="110"/>
        </w:rPr>
        <w:t>GB</w:t>
      </w:r>
      <w:r>
        <w:rPr>
          <w:spacing w:val="4"/>
          <w:w w:val="110"/>
        </w:rPr>
        <w:t xml:space="preserve"> </w:t>
      </w:r>
      <w:r>
        <w:rPr>
          <w:w w:val="110"/>
        </w:rPr>
        <w:t>50974  消防给水及消火栓系统技术规范GB</w:t>
      </w:r>
      <w:r>
        <w:rPr>
          <w:spacing w:val="7"/>
          <w:w w:val="110"/>
        </w:rPr>
        <w:t xml:space="preserve">  </w:t>
      </w:r>
      <w:r>
        <w:rPr>
          <w:w w:val="110"/>
        </w:rPr>
        <w:t>50981   建筑机电工程抗震设计规范CJJ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14 城市公共厕所设计标准 </w:t>
      </w:r>
    </w:p>
    <w:p>
      <w:pPr>
        <w:pStyle w:val="BodyText"/>
        <w:spacing w:line="243" w:lineRule="exact"/>
        <w:ind w:left="938"/>
      </w:pPr>
      <w:r>
        <w:rPr>
          <w:w w:val="110"/>
        </w:rPr>
        <w:t>CJ/T</w:t>
      </w:r>
      <w:r>
        <w:rPr>
          <w:spacing w:val="3"/>
          <w:w w:val="110"/>
        </w:rPr>
        <w:t xml:space="preserve"> </w:t>
      </w:r>
      <w:r>
        <w:rPr>
          <w:w w:val="110"/>
        </w:rPr>
        <w:t>164  节水型生活用水器具</w:t>
      </w:r>
      <w:r>
        <w:rPr>
          <w:w w:val="111"/>
        </w:rPr>
        <w:t xml:space="preserve"> </w:t>
      </w:r>
    </w:p>
    <w:p>
      <w:pPr>
        <w:pStyle w:val="BodyText"/>
        <w:spacing w:before="29" w:line="268" w:lineRule="auto"/>
        <w:ind w:left="938" w:right="3154"/>
      </w:pPr>
      <w:r>
        <w:rPr>
          <w:w w:val="110"/>
        </w:rPr>
        <w:t xml:space="preserve">HJ/T 431  储油库、加油站大气污染治理项目验收检测技术规范JGJ 36 宿舍建筑设计规范 </w:t>
      </w:r>
    </w:p>
    <w:p>
      <w:pPr>
        <w:pStyle w:val="BodyText"/>
        <w:spacing w:line="242" w:lineRule="exact"/>
        <w:ind w:left="938"/>
      </w:pPr>
      <w:r>
        <w:rPr>
          <w:w w:val="110"/>
        </w:rPr>
        <w:t xml:space="preserve">JGJ/T 60 交通客运站建筑设计规范 </w:t>
      </w:r>
    </w:p>
    <w:p>
      <w:pPr>
        <w:spacing w:after="0" w:line="242" w:lineRule="exact"/>
        <w:sectPr>
          <w:footerReference w:type="default" r:id="rId5"/>
          <w:pgSz w:w="11910" w:h="16840"/>
          <w:pgMar w:top="1600" w:right="820" w:bottom="1300" w:left="900" w:header="0" w:footer="1114" w:gutter="0"/>
          <w:pgNumType w:start="3"/>
          <w:cols w:num="1" w:space="720"/>
        </w:sectPr>
      </w:pPr>
    </w:p>
    <w:p>
      <w:pPr>
        <w:pStyle w:val="BodyText"/>
        <w:spacing w:before="3"/>
      </w:pPr>
    </w:p>
    <w:p>
      <w:pPr>
        <w:pStyle w:val="BodyText"/>
        <w:spacing w:before="84" w:line="268" w:lineRule="auto"/>
        <w:ind w:left="654" w:right="6902" w:hanging="1"/>
      </w:pPr>
      <w:r>
        <w:rPr>
          <w:w w:val="110"/>
        </w:rPr>
        <w:t xml:space="preserve">JGJ 62 旅馆建筑设计规范JGJ 64 饮食建筑设计标准 </w:t>
      </w:r>
    </w:p>
    <w:p>
      <w:pPr>
        <w:pStyle w:val="BodyText"/>
        <w:spacing w:line="268" w:lineRule="auto"/>
        <w:ind w:left="654" w:right="5222" w:hanging="1"/>
      </w:pPr>
      <w:r>
        <w:rPr>
          <w:w w:val="110"/>
        </w:rPr>
        <w:t xml:space="preserve">JGJ 75 夏热冬暖地区居住建筑节能设计标准JGJ 100 车库建筑设计规范 </w:t>
      </w:r>
    </w:p>
    <w:p>
      <w:pPr>
        <w:pStyle w:val="BodyText"/>
        <w:spacing w:line="268" w:lineRule="auto"/>
        <w:ind w:left="654" w:right="5118" w:hanging="1"/>
      </w:pPr>
      <w:r>
        <w:rPr>
          <w:w w:val="110"/>
        </w:rPr>
        <w:t xml:space="preserve">JGJ 134 夏热冬冷地区居住建筑节能设计标准JGJ/T 163 城市夜景照明设计规范 </w:t>
      </w:r>
    </w:p>
    <w:p>
      <w:pPr>
        <w:pStyle w:val="BodyText"/>
        <w:spacing w:line="243" w:lineRule="exact"/>
        <w:ind w:left="654"/>
      </w:pPr>
      <w:r>
        <w:rPr>
          <w:w w:val="110"/>
        </w:rPr>
        <w:t xml:space="preserve">JGJ 243 交通建筑电气设计规范 </w:t>
      </w:r>
    </w:p>
    <w:p>
      <w:pPr>
        <w:pStyle w:val="BodyText"/>
        <w:spacing w:before="28"/>
        <w:ind w:left="654"/>
      </w:pPr>
      <w:r>
        <w:rPr>
          <w:w w:val="110"/>
        </w:rPr>
        <w:t>JT/T 645.1 公路服务区污水再生利用 第1部分：水质</w:t>
      </w:r>
      <w:r>
        <w:rPr>
          <w:w w:val="111"/>
        </w:rPr>
        <w:t xml:space="preserve"> </w:t>
      </w:r>
    </w:p>
    <w:p>
      <w:pPr>
        <w:pStyle w:val="BodyText"/>
        <w:spacing w:before="28"/>
        <w:ind w:left="654"/>
      </w:pPr>
      <w:r>
        <w:rPr>
          <w:w w:val="110"/>
        </w:rPr>
        <w:t xml:space="preserve">JT/T 645.2 公路服务区污水再生利用 第2部分：处理系统技术要求 </w:t>
      </w:r>
    </w:p>
    <w:p>
      <w:pPr>
        <w:pStyle w:val="BodyText"/>
        <w:spacing w:before="30" w:line="266" w:lineRule="auto"/>
        <w:ind w:left="654" w:right="2073"/>
      </w:pPr>
      <w:r>
        <w:rPr>
          <w:w w:val="110"/>
        </w:rPr>
        <w:t xml:space="preserve">JT/T 1147.2 公路服务区污水处理设施技术要求 第2部分：人工湿地处理系统DB45/T 566 汽车旅游营地星级的划分评定 </w:t>
      </w:r>
    </w:p>
    <w:p>
      <w:pPr>
        <w:pStyle w:val="BodyText"/>
        <w:spacing w:before="3" w:line="268" w:lineRule="auto"/>
        <w:ind w:left="654" w:right="4593"/>
        <w:jc w:val="both"/>
      </w:pPr>
      <w:r>
        <w:rPr>
          <w:w w:val="110"/>
        </w:rPr>
        <w:t xml:space="preserve">DB45/T 933 广西旅游咨询服务中心设置与服务规范DBJ45/ 029 广西壮族自治区居住建筑节能设计标准DBJ45/ 042 公共建筑节能设计标准 </w:t>
      </w:r>
    </w:p>
    <w:p>
      <w:pPr>
        <w:spacing w:before="0" w:line="494" w:lineRule="auto"/>
        <w:ind w:left="234" w:right="6902" w:firstLine="420"/>
        <w:jc w:val="left"/>
        <w:rPr>
          <w:sz w:val="20"/>
        </w:rPr>
      </w:pPr>
      <w:r>
        <w:rPr>
          <w:w w:val="110"/>
          <w:sz w:val="19"/>
        </w:rPr>
        <w:t xml:space="preserve">《高速公路监控技术要求》 </w:t>
      </w:r>
      <w:r>
        <w:rPr>
          <w:w w:val="110"/>
          <w:sz w:val="20"/>
        </w:rPr>
        <w:t>3</w:t>
      </w:r>
      <w:r>
        <w:rPr>
          <w:spacing w:val="14"/>
          <w:w w:val="110"/>
          <w:sz w:val="20"/>
        </w:rPr>
        <w:t xml:space="preserve"> 术语和定义 </w:t>
      </w:r>
    </w:p>
    <w:p>
      <w:pPr>
        <w:spacing w:before="0" w:line="376" w:lineRule="auto"/>
        <w:ind w:left="234" w:right="6482" w:firstLine="420"/>
        <w:jc w:val="left"/>
        <w:rPr>
          <w:sz w:val="20"/>
        </w:rPr>
      </w:pPr>
      <w:r>
        <w:rPr>
          <w:w w:val="110"/>
          <w:sz w:val="19"/>
        </w:rPr>
        <w:t>下列术语和定义适用于本文件。</w:t>
      </w:r>
      <w:r>
        <w:rPr>
          <w:w w:val="110"/>
          <w:sz w:val="20"/>
        </w:rPr>
        <w:t xml:space="preserve">3.1 </w:t>
      </w:r>
      <w:r>
        <w:rPr>
          <w:sz w:val="20"/>
        </w:rPr>
        <w:t xml:space="preserve"> </w:t>
      </w:r>
      <w:r>
        <w:rPr>
          <w:w w:val="105"/>
          <w:sz w:val="20"/>
        </w:rPr>
        <w:t xml:space="preserve"> </w:t>
      </w:r>
    </w:p>
    <w:p>
      <w:pPr>
        <w:pStyle w:val="Heading1"/>
        <w:spacing w:before="0" w:line="247" w:lineRule="exact"/>
        <w:ind w:left="654"/>
      </w:pPr>
      <w:r>
        <w:rPr>
          <w:w w:val="105"/>
        </w:rPr>
        <w:t xml:space="preserve">高速公路服务区 expressway service area </w:t>
      </w:r>
    </w:p>
    <w:p>
      <w:pPr>
        <w:pStyle w:val="BodyText"/>
        <w:spacing w:before="21" w:line="268" w:lineRule="auto"/>
        <w:ind w:left="233" w:right="594" w:firstLine="420"/>
        <w:jc w:val="both"/>
      </w:pPr>
      <w:r>
        <w:rPr>
          <w:spacing w:val="-7"/>
          <w:w w:val="110"/>
        </w:rPr>
        <w:t>设置在高速公路上，按照公路工程技术标准建设，主要为车辆、驾乘人员和旅客提供休息、停车和</w:t>
      </w:r>
      <w:r>
        <w:rPr>
          <w:spacing w:val="-11"/>
          <w:w w:val="110"/>
        </w:rPr>
        <w:t>服务，并结合交旅融合、精准扶贫、地方特色商业拓展的场所及建筑设施。高速公路服务区根据功能和</w:t>
      </w:r>
      <w:r>
        <w:rPr>
          <w:w w:val="110"/>
        </w:rPr>
        <w:t xml:space="preserve">规模大小，分为Ⅰ、Ⅱ、Ⅲ类服务区。 </w:t>
      </w:r>
    </w:p>
    <w:p>
      <w:pPr>
        <w:pStyle w:val="Heading1"/>
        <w:spacing w:before="109"/>
        <w:ind w:left="233"/>
        <w:jc w:val="both"/>
      </w:pPr>
      <w:r>
        <w:rPr>
          <w:w w:val="105"/>
        </w:rPr>
        <w:t xml:space="preserve">3.2 </w:t>
      </w:r>
      <w:r>
        <w:t xml:space="preserve"> </w:t>
      </w:r>
      <w:r>
        <w:rPr>
          <w:w w:val="105"/>
        </w:rPr>
        <w:t xml:space="preserve"> </w:t>
      </w:r>
    </w:p>
    <w:p>
      <w:pPr>
        <w:spacing w:before="136" w:line="264" w:lineRule="auto"/>
        <w:ind w:left="653" w:right="6062" w:firstLine="0"/>
        <w:jc w:val="left"/>
        <w:rPr>
          <w:sz w:val="19"/>
        </w:rPr>
      </w:pPr>
      <w:r>
        <w:rPr>
          <w:w w:val="110"/>
          <w:sz w:val="20"/>
        </w:rPr>
        <w:t xml:space="preserve">驾乘人员 drivers and passengers </w:t>
      </w:r>
      <w:r>
        <w:rPr>
          <w:w w:val="110"/>
          <w:sz w:val="19"/>
        </w:rPr>
        <w:t xml:space="preserve">交通工具上的工作人员和乘坐人员。 </w:t>
      </w:r>
    </w:p>
    <w:p>
      <w:pPr>
        <w:pStyle w:val="Heading1"/>
        <w:spacing w:before="115"/>
        <w:ind w:left="233"/>
      </w:pPr>
      <w:r>
        <w:rPr>
          <w:w w:val="105"/>
        </w:rPr>
        <w:t xml:space="preserve">3.3 </w:t>
      </w:r>
      <w:r>
        <w:t xml:space="preserve"> </w:t>
      </w:r>
      <w:r>
        <w:rPr>
          <w:w w:val="105"/>
        </w:rPr>
        <w:t xml:space="preserve"> </w:t>
      </w:r>
    </w:p>
    <w:p>
      <w:pPr>
        <w:spacing w:before="136"/>
        <w:ind w:left="653" w:right="0" w:firstLine="0"/>
        <w:jc w:val="left"/>
        <w:rPr>
          <w:sz w:val="20"/>
        </w:rPr>
      </w:pPr>
      <w:r>
        <w:rPr>
          <w:w w:val="105"/>
          <w:sz w:val="20"/>
        </w:rPr>
        <w:t xml:space="preserve">贯穿车道 through lane </w:t>
      </w:r>
    </w:p>
    <w:p>
      <w:pPr>
        <w:pStyle w:val="BodyText"/>
        <w:spacing w:before="26" w:line="376" w:lineRule="auto"/>
        <w:ind w:left="233" w:right="2702" w:firstLine="420"/>
        <w:rPr>
          <w:sz w:val="20"/>
        </w:rPr>
      </w:pPr>
      <w:r>
        <w:rPr>
          <w:w w:val="110"/>
        </w:rPr>
        <w:t>界于高速公路与服务区之间，连接服务区出口、入口和功能设施的车道。</w:t>
      </w:r>
      <w:r>
        <w:rPr>
          <w:w w:val="110"/>
          <w:sz w:val="20"/>
        </w:rPr>
        <w:t xml:space="preserve">3.4 </w:t>
      </w:r>
      <w:r>
        <w:rPr>
          <w:sz w:val="20"/>
        </w:rPr>
        <w:t xml:space="preserve"> </w:t>
      </w:r>
      <w:r>
        <w:rPr>
          <w:w w:val="105"/>
          <w:sz w:val="20"/>
        </w:rPr>
        <w:t xml:space="preserve"> </w:t>
      </w:r>
    </w:p>
    <w:p>
      <w:pPr>
        <w:pStyle w:val="Heading1"/>
        <w:spacing w:before="0" w:line="247" w:lineRule="exact"/>
        <w:ind w:left="653"/>
      </w:pPr>
      <w:r>
        <w:rPr>
          <w:w w:val="105"/>
        </w:rPr>
        <w:t xml:space="preserve">联络通道 interconnection road </w:t>
      </w:r>
    </w:p>
    <w:p>
      <w:pPr>
        <w:pStyle w:val="BodyText"/>
        <w:spacing w:before="27" w:line="376" w:lineRule="auto"/>
        <w:ind w:left="233" w:right="3332" w:firstLine="420"/>
        <w:rPr>
          <w:sz w:val="20"/>
        </w:rPr>
      </w:pPr>
      <w:r>
        <w:rPr>
          <w:w w:val="110"/>
        </w:rPr>
        <w:t>将服务区两侧连接起来，供内部车辆和工作人员通行使用的通道。</w:t>
      </w:r>
      <w:r>
        <w:rPr>
          <w:w w:val="110"/>
          <w:sz w:val="20"/>
        </w:rPr>
        <w:t xml:space="preserve">3.5 </w:t>
      </w:r>
      <w:r>
        <w:rPr>
          <w:sz w:val="20"/>
        </w:rPr>
        <w:t xml:space="preserve"> </w:t>
      </w:r>
      <w:r>
        <w:rPr>
          <w:w w:val="105"/>
          <w:sz w:val="20"/>
        </w:rPr>
        <w:t xml:space="preserve"> </w:t>
      </w:r>
    </w:p>
    <w:p>
      <w:pPr>
        <w:pStyle w:val="Heading1"/>
        <w:spacing w:before="0" w:line="245" w:lineRule="exact"/>
        <w:ind w:left="653"/>
      </w:pPr>
      <w:r>
        <w:rPr>
          <w:w w:val="105"/>
        </w:rPr>
        <w:t xml:space="preserve">低影响开发 low impact development( LID) </w:t>
      </w:r>
    </w:p>
    <w:p>
      <w:pPr>
        <w:pStyle w:val="BodyText"/>
        <w:spacing w:before="26" w:line="268" w:lineRule="auto"/>
        <w:ind w:left="234" w:right="595" w:firstLine="419"/>
      </w:pPr>
      <w:r>
        <w:rPr>
          <w:spacing w:val="-7"/>
          <w:w w:val="110"/>
        </w:rPr>
        <w:t>在服务区开发建设过程中，通过生态化措施、尽可能的维持场地开发前后水文特征不变，有效缓解</w:t>
      </w:r>
      <w:r>
        <w:rPr>
          <w:w w:val="110"/>
        </w:rPr>
        <w:t xml:space="preserve">不透水面积增加造成的径流总量、径流污染、径流峰值等的增加对环境造成的不利影响。 </w:t>
      </w:r>
    </w:p>
    <w:p>
      <w:pPr>
        <w:pStyle w:val="BodyText"/>
        <w:spacing w:before="11"/>
        <w:rPr>
          <w:sz w:val="17"/>
        </w:rPr>
      </w:pPr>
    </w:p>
    <w:p>
      <w:pPr>
        <w:pStyle w:val="Heading1"/>
        <w:spacing w:before="0"/>
        <w:ind w:left="234"/>
      </w:pPr>
      <w:r>
        <w:rPr>
          <w:w w:val="105"/>
        </w:rPr>
        <w:t xml:space="preserve">4 总 则 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val="left" w:pos="551"/>
        </w:tabs>
        <w:spacing w:before="0" w:after="0" w:line="264" w:lineRule="auto"/>
        <w:ind w:left="234" w:right="602" w:firstLine="0"/>
        <w:jc w:val="left"/>
        <w:rPr>
          <w:sz w:val="19"/>
        </w:rPr>
      </w:pPr>
      <w:r>
        <w:rPr>
          <w:spacing w:val="-1"/>
          <w:w w:val="110"/>
          <w:sz w:val="19"/>
        </w:rPr>
        <w:t xml:space="preserve">根据国家现行标准、规范，结合本地实际，统一广西壮族自治区高速公路服务区设计的标准、建设规模，指导工程建设。 </w:t>
      </w:r>
    </w:p>
    <w:p>
      <w:pPr>
        <w:pStyle w:val="ListParagraph"/>
        <w:numPr>
          <w:ilvl w:val="1"/>
          <w:numId w:val="1"/>
        </w:numPr>
        <w:tabs>
          <w:tab w:val="left" w:pos="551"/>
        </w:tabs>
        <w:spacing w:before="0" w:after="0" w:line="251" w:lineRule="exact"/>
        <w:ind w:left="550" w:right="0" w:hanging="317"/>
        <w:jc w:val="left"/>
        <w:rPr>
          <w:sz w:val="19"/>
        </w:rPr>
      </w:pPr>
      <w:r>
        <w:rPr>
          <w:w w:val="110"/>
          <w:sz w:val="19"/>
        </w:rPr>
        <w:t xml:space="preserve">服务区可与公路主体工程同步规划、同步设计，亦可单独设计和实施。 </w:t>
      </w:r>
    </w:p>
    <w:p>
      <w:pPr>
        <w:pStyle w:val="ListParagraph"/>
        <w:numPr>
          <w:ilvl w:val="1"/>
          <w:numId w:val="1"/>
        </w:numPr>
        <w:tabs>
          <w:tab w:val="left" w:pos="551"/>
        </w:tabs>
        <w:spacing w:before="16" w:after="0" w:line="264" w:lineRule="auto"/>
        <w:ind w:left="234" w:right="602" w:firstLine="0"/>
        <w:jc w:val="left"/>
        <w:rPr>
          <w:sz w:val="19"/>
        </w:rPr>
      </w:pPr>
      <w:r>
        <w:rPr>
          <w:spacing w:val="-1"/>
          <w:w w:val="110"/>
          <w:sz w:val="19"/>
        </w:rPr>
        <w:t xml:space="preserve">服务区设计应按照“统筹规划，因地制宜，经济实用”的原则，做到安全可靠、实用方便、技术先进、经济合理、富有地方特色，满足高速公路日益增长的交通需求。 </w:t>
      </w:r>
    </w:p>
    <w:p>
      <w:pPr>
        <w:pStyle w:val="BodyText"/>
        <w:spacing w:before="8"/>
        <w:rPr>
          <w:sz w:val="13"/>
        </w:rPr>
      </w:pPr>
    </w:p>
    <w:p>
      <w:pPr>
        <w:spacing w:before="105"/>
        <w:ind w:left="454" w:right="0" w:firstLine="0"/>
        <w:jc w:val="left"/>
        <w:rPr>
          <w:sz w:val="12"/>
        </w:rPr>
      </w:pPr>
      <w:r>
        <w:rPr>
          <w:w w:val="150"/>
          <w:sz w:val="12"/>
        </w:rPr>
        <w:t xml:space="preserve">2 </w:t>
      </w:r>
    </w:p>
    <w:p>
      <w:pPr>
        <w:spacing w:after="0"/>
        <w:jc w:val="left"/>
        <w:rPr>
          <w:sz w:val="12"/>
        </w:rPr>
        <w:sectPr>
          <w:footerReference w:type="even" r:id="rId6"/>
          <w:footerReference w:type="default" r:id="rId7"/>
          <w:pgSz w:w="11910" w:h="16840"/>
          <w:pgMar w:top="1600" w:right="820" w:bottom="280" w:left="900" w:header="0" w:footer="0" w:gutter="0"/>
          <w:pgNumType w:start="4"/>
          <w:cols w:num="1" w:space="720"/>
        </w:sectPr>
      </w:pPr>
    </w:p>
    <w:p>
      <w:pPr>
        <w:pStyle w:val="BodyText"/>
        <w:spacing w:before="3"/>
      </w:pPr>
    </w:p>
    <w:p>
      <w:pPr>
        <w:pStyle w:val="ListParagraph"/>
        <w:numPr>
          <w:ilvl w:val="1"/>
          <w:numId w:val="1"/>
        </w:numPr>
        <w:tabs>
          <w:tab w:val="left" w:pos="835"/>
        </w:tabs>
        <w:spacing w:before="84" w:after="0" w:line="268" w:lineRule="auto"/>
        <w:ind w:left="518" w:right="214" w:firstLine="0"/>
        <w:jc w:val="left"/>
        <w:rPr>
          <w:sz w:val="19"/>
        </w:rPr>
      </w:pPr>
      <w:r>
        <w:rPr>
          <w:w w:val="110"/>
          <w:sz w:val="19"/>
        </w:rPr>
        <w:t>服务区设计应统筹各类使用者需求，根据交通量的增长情况和路网规划变化，科学确定服务区间距</w:t>
      </w:r>
      <w:r>
        <w:rPr>
          <w:spacing w:val="-1"/>
          <w:w w:val="110"/>
          <w:sz w:val="19"/>
        </w:rPr>
        <w:t xml:space="preserve">、位置、规模，优化服务区内设施布置，合理分配各功能区位置和建筑面积，完善人性化服务设施，提高土地利用率。 </w:t>
      </w:r>
    </w:p>
    <w:p>
      <w:pPr>
        <w:pStyle w:val="ListParagraph"/>
        <w:numPr>
          <w:ilvl w:val="1"/>
          <w:numId w:val="1"/>
        </w:numPr>
        <w:tabs>
          <w:tab w:val="left" w:pos="835"/>
        </w:tabs>
        <w:spacing w:before="0" w:after="0" w:line="243" w:lineRule="exact"/>
        <w:ind w:left="835" w:right="0" w:hanging="317"/>
        <w:jc w:val="left"/>
        <w:rPr>
          <w:sz w:val="19"/>
        </w:rPr>
      </w:pPr>
      <w:r>
        <w:rPr>
          <w:w w:val="110"/>
          <w:sz w:val="19"/>
        </w:rPr>
        <w:t xml:space="preserve">新增服务区，应提前征求运营单位或其主管部门意见。 </w:t>
      </w:r>
    </w:p>
    <w:p>
      <w:pPr>
        <w:pStyle w:val="ListParagraph"/>
        <w:numPr>
          <w:ilvl w:val="1"/>
          <w:numId w:val="1"/>
        </w:numPr>
        <w:tabs>
          <w:tab w:val="left" w:pos="835"/>
        </w:tabs>
        <w:spacing w:before="29" w:after="0" w:line="268" w:lineRule="auto"/>
        <w:ind w:left="518" w:right="318" w:firstLine="0"/>
        <w:jc w:val="left"/>
        <w:rPr>
          <w:sz w:val="19"/>
        </w:rPr>
      </w:pPr>
      <w:r>
        <w:rPr>
          <w:w w:val="110"/>
          <w:sz w:val="19"/>
        </w:rPr>
        <w:t>已通车的高速公路服务区改（扩）</w:t>
      </w:r>
      <w:r>
        <w:rPr>
          <w:spacing w:val="-1"/>
          <w:w w:val="110"/>
          <w:sz w:val="19"/>
        </w:rPr>
        <w:t xml:space="preserve">建，可结合交通量增长、服务水平等相关情况，就单一服务区进行改（扩）建。 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before="1"/>
        <w:ind w:left="518"/>
      </w:pPr>
      <w:r>
        <w:rPr>
          <w:w w:val="110"/>
        </w:rPr>
        <w:t xml:space="preserve">5 选 址 </w:t>
      </w:r>
    </w:p>
    <w:p>
      <w:pPr>
        <w:pStyle w:val="BodyText"/>
        <w:spacing w:before="12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val="left" w:pos="835"/>
        </w:tabs>
        <w:spacing w:before="0" w:after="0" w:line="240" w:lineRule="auto"/>
        <w:ind w:left="835" w:right="0" w:hanging="317"/>
        <w:jc w:val="left"/>
        <w:rPr>
          <w:sz w:val="19"/>
        </w:rPr>
      </w:pPr>
      <w:r>
        <w:rPr>
          <w:w w:val="110"/>
          <w:sz w:val="19"/>
        </w:rPr>
        <w:t xml:space="preserve">选址原则 </w:t>
      </w:r>
    </w:p>
    <w:p>
      <w:pPr>
        <w:pStyle w:val="ListParagraph"/>
        <w:numPr>
          <w:ilvl w:val="2"/>
          <w:numId w:val="2"/>
        </w:numPr>
        <w:tabs>
          <w:tab w:val="left" w:pos="1045"/>
        </w:tabs>
        <w:spacing w:before="149" w:after="0" w:line="268" w:lineRule="auto"/>
        <w:ind w:left="518" w:right="318" w:firstLine="0"/>
        <w:jc w:val="left"/>
        <w:rPr>
          <w:sz w:val="19"/>
        </w:rPr>
      </w:pPr>
      <w:r>
        <w:rPr>
          <w:spacing w:val="-1"/>
          <w:w w:val="110"/>
          <w:sz w:val="19"/>
        </w:rPr>
        <w:t xml:space="preserve">服务区选址时应综合考虑交通量、地形、地质、环境条件、旅游资源情况以及水源、电源、排污、防灾相关基础设施条件等因素确定。 </w:t>
      </w:r>
    </w:p>
    <w:p>
      <w:pPr>
        <w:pStyle w:val="ListParagraph"/>
        <w:numPr>
          <w:ilvl w:val="2"/>
          <w:numId w:val="2"/>
        </w:numPr>
        <w:tabs>
          <w:tab w:val="left" w:pos="1045"/>
        </w:tabs>
        <w:spacing w:before="0" w:after="0" w:line="268" w:lineRule="auto"/>
        <w:ind w:left="518" w:right="205" w:hanging="1"/>
        <w:jc w:val="left"/>
        <w:rPr>
          <w:sz w:val="19"/>
        </w:rPr>
      </w:pPr>
      <w:r>
        <w:rPr>
          <w:w w:val="110"/>
          <w:sz w:val="19"/>
        </w:rPr>
        <w:t>Ⅰ类服务区应选址在靠近人口规模</w:t>
      </w:r>
      <w:r>
        <w:rPr>
          <w:spacing w:val="-43"/>
          <w:sz w:val="19"/>
        </w:rPr>
        <w:t xml:space="preserve"> </w:t>
      </w:r>
      <w:r>
        <w:rPr>
          <w:spacing w:val="-2"/>
          <w:w w:val="111"/>
          <w:sz w:val="19"/>
        </w:rPr>
        <w:t>2</w:t>
      </w:r>
      <w:r>
        <w:rPr>
          <w:w w:val="111"/>
          <w:sz w:val="19"/>
        </w:rPr>
        <w:t>0</w:t>
      </w:r>
      <w:r>
        <w:rPr>
          <w:spacing w:val="-43"/>
          <w:sz w:val="19"/>
        </w:rPr>
        <w:t xml:space="preserve"> </w:t>
      </w:r>
      <w:r>
        <w:rPr>
          <w:spacing w:val="-13"/>
          <w:w w:val="110"/>
          <w:sz w:val="19"/>
        </w:rPr>
        <w:t xml:space="preserve">万以上的城镇或旅游资源丰富、物流比较发达的地方；Ⅱ、 Ⅲ类服务区有条件时，一般宜选址在靠近城镇的地方。 </w:t>
      </w:r>
    </w:p>
    <w:p>
      <w:pPr>
        <w:pStyle w:val="ListParagraph"/>
        <w:numPr>
          <w:ilvl w:val="1"/>
          <w:numId w:val="2"/>
        </w:numPr>
        <w:tabs>
          <w:tab w:val="left" w:pos="835"/>
        </w:tabs>
        <w:spacing w:before="118" w:after="0" w:line="240" w:lineRule="auto"/>
        <w:ind w:left="835" w:right="0" w:hanging="317"/>
        <w:jc w:val="left"/>
        <w:rPr>
          <w:sz w:val="19"/>
        </w:rPr>
      </w:pPr>
      <w:r>
        <w:rPr>
          <w:w w:val="110"/>
          <w:sz w:val="19"/>
        </w:rPr>
        <w:t xml:space="preserve">场址要求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149" w:after="0" w:line="268" w:lineRule="auto"/>
        <w:ind w:left="518" w:right="318" w:firstLine="0"/>
        <w:jc w:val="both"/>
        <w:rPr>
          <w:sz w:val="19"/>
        </w:rPr>
      </w:pPr>
      <w:r>
        <w:rPr>
          <w:spacing w:val="-1"/>
          <w:w w:val="110"/>
          <w:sz w:val="19"/>
        </w:rPr>
        <w:t xml:space="preserve">选址应优先选择环境优美并可以接入市政给水系统的场址，沿线靠近主线有旅游景区的可考虑交旅融合。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0" w:after="0" w:line="243" w:lineRule="exact"/>
        <w:ind w:left="1045" w:right="0" w:hanging="528"/>
        <w:jc w:val="both"/>
        <w:rPr>
          <w:sz w:val="19"/>
        </w:rPr>
      </w:pPr>
      <w:r>
        <w:rPr>
          <w:w w:val="110"/>
          <w:sz w:val="19"/>
        </w:rPr>
        <w:t xml:space="preserve">与主线联系密切，流向合理、出入方便。场址线形指标应符合部颁技术标准、规范要求。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29" w:after="0" w:line="268" w:lineRule="auto"/>
        <w:ind w:left="518" w:right="368" w:firstLine="0"/>
        <w:jc w:val="both"/>
        <w:rPr>
          <w:sz w:val="19"/>
        </w:rPr>
      </w:pPr>
      <w:r>
        <w:rPr>
          <w:w w:val="110"/>
          <w:sz w:val="19"/>
        </w:rPr>
        <w:t>场址宜选择在地形起伏不大，填挖高度≤10</w:t>
      </w:r>
      <w:r>
        <w:rPr>
          <w:spacing w:val="-58"/>
          <w:w w:val="110"/>
          <w:position w:val="11"/>
          <w:sz w:val="19"/>
        </w:rPr>
        <w:t xml:space="preserve"> </w:t>
      </w:r>
      <w:r>
        <w:rPr>
          <w:w w:val="110"/>
          <w:sz w:val="19"/>
        </w:rPr>
        <w:t xml:space="preserve">m，工程地质条件较好的地方，应避免选择低洼易淹和有山洪、断层、滑坡等不良地质灾害的地方。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0" w:after="0" w:line="243" w:lineRule="exact"/>
        <w:ind w:left="1045" w:right="0" w:hanging="528"/>
        <w:jc w:val="both"/>
        <w:rPr>
          <w:sz w:val="19"/>
        </w:rPr>
      </w:pPr>
      <w:r>
        <w:rPr>
          <w:w w:val="110"/>
          <w:sz w:val="19"/>
        </w:rPr>
        <w:t xml:space="preserve">场址应禁止选在生态保护红线、永久基本农田和其它特定保护区内。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29" w:after="0" w:line="268" w:lineRule="auto"/>
        <w:ind w:left="518" w:right="318" w:firstLine="0"/>
        <w:jc w:val="both"/>
        <w:rPr>
          <w:sz w:val="19"/>
        </w:rPr>
      </w:pPr>
      <w:r>
        <w:rPr>
          <w:spacing w:val="-1"/>
          <w:w w:val="110"/>
          <w:sz w:val="19"/>
        </w:rPr>
        <w:t xml:space="preserve">场址的土地使用应符合国家和自治区政策，宜充分利用主线的弃方区域、挖方区域，不占或少占耕地，特别是优质耕地和永久基本农田，并减少拆迁和填挖方工程量。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0" w:after="0" w:line="230" w:lineRule="auto"/>
        <w:ind w:left="518" w:right="310" w:firstLine="0"/>
        <w:jc w:val="both"/>
        <w:rPr>
          <w:sz w:val="19"/>
        </w:rPr>
      </w:pPr>
      <w:r>
        <w:rPr>
          <w:w w:val="110"/>
          <w:sz w:val="19"/>
        </w:rPr>
        <w:t>应保证安全，场址与隧道出口、互通</w:t>
      </w:r>
      <w:r>
        <w:rPr>
          <w:rFonts w:ascii="华文细黑" w:eastAsia="华文细黑" w:hAnsi="华文细黑" w:hint="eastAsia"/>
          <w:w w:val="110"/>
          <w:sz w:val="19"/>
        </w:rPr>
        <w:t>立</w:t>
      </w:r>
      <w:r>
        <w:rPr>
          <w:w w:val="110"/>
          <w:sz w:val="19"/>
        </w:rPr>
        <w:t>交应保持一定的距</w:t>
      </w:r>
      <w:r>
        <w:rPr>
          <w:rFonts w:ascii="华文细黑" w:eastAsia="华文细黑" w:hAnsi="华文细黑" w:hint="eastAsia"/>
          <w:w w:val="110"/>
          <w:sz w:val="19"/>
        </w:rPr>
        <w:t>离</w:t>
      </w:r>
      <w:r>
        <w:rPr>
          <w:w w:val="110"/>
          <w:sz w:val="19"/>
        </w:rPr>
        <w:t>，通</w:t>
      </w:r>
      <w:r>
        <w:rPr>
          <w:rFonts w:ascii="华文细黑" w:eastAsia="华文细黑" w:hAnsi="华文细黑" w:hint="eastAsia"/>
          <w:w w:val="110"/>
          <w:sz w:val="19"/>
        </w:rPr>
        <w:t>常</w:t>
      </w:r>
      <w:r>
        <w:rPr>
          <w:w w:val="110"/>
          <w:sz w:val="19"/>
        </w:rPr>
        <w:t>与隧道间距</w:t>
      </w:r>
      <w:r>
        <w:rPr>
          <w:rFonts w:ascii="华文细黑" w:eastAsia="华文细黑" w:hAnsi="华文细黑" w:hint="eastAsia"/>
          <w:w w:val="110"/>
          <w:sz w:val="19"/>
        </w:rPr>
        <w:t>≥</w:t>
      </w:r>
      <w:r>
        <w:rPr>
          <w:w w:val="110"/>
          <w:sz w:val="19"/>
        </w:rPr>
        <w:t>1</w:t>
      </w:r>
      <w:r>
        <w:rPr>
          <w:spacing w:val="-67"/>
          <w:w w:val="110"/>
          <w:position w:val="11"/>
          <w:sz w:val="19"/>
        </w:rPr>
        <w:t xml:space="preserve"> </w:t>
      </w:r>
      <w:r>
        <w:rPr>
          <w:rFonts w:ascii="华文细黑" w:eastAsia="华文细黑" w:hAnsi="华文细黑" w:hint="eastAsia"/>
          <w:w w:val="110"/>
          <w:sz w:val="19"/>
        </w:rPr>
        <w:t>k</w:t>
      </w:r>
      <w:r>
        <w:rPr>
          <w:w w:val="110"/>
          <w:sz w:val="19"/>
        </w:rPr>
        <w:t>m，与互通</w:t>
      </w:r>
      <w:r>
        <w:rPr>
          <w:rFonts w:ascii="华文细黑" w:eastAsia="华文细黑" w:hAnsi="华文细黑" w:hint="eastAsia"/>
          <w:w w:val="110"/>
          <w:sz w:val="19"/>
        </w:rPr>
        <w:t>立</w:t>
      </w:r>
      <w:r>
        <w:rPr>
          <w:w w:val="110"/>
          <w:sz w:val="19"/>
        </w:rPr>
        <w:t>交出入口间距</w:t>
      </w:r>
      <w:r>
        <w:rPr>
          <w:rFonts w:ascii="华文细黑" w:eastAsia="华文细黑" w:hAnsi="华文细黑" w:hint="eastAsia"/>
          <w:w w:val="110"/>
          <w:sz w:val="19"/>
        </w:rPr>
        <w:t>≥</w:t>
      </w:r>
      <w:r>
        <w:rPr>
          <w:w w:val="110"/>
          <w:sz w:val="19"/>
        </w:rPr>
        <w:t>2</w:t>
      </w:r>
      <w:r>
        <w:rPr>
          <w:spacing w:val="-101"/>
          <w:w w:val="110"/>
          <w:position w:val="11"/>
          <w:sz w:val="19"/>
        </w:rPr>
        <w:t xml:space="preserve"> </w:t>
      </w:r>
      <w:r>
        <w:rPr>
          <w:rFonts w:ascii="华文细黑" w:eastAsia="华文细黑" w:hAnsi="华文细黑" w:hint="eastAsia"/>
          <w:spacing w:val="-4"/>
          <w:w w:val="110"/>
          <w:sz w:val="19"/>
        </w:rPr>
        <w:t>k</w:t>
      </w:r>
      <w:r>
        <w:rPr>
          <w:spacing w:val="-4"/>
          <w:w w:val="110"/>
          <w:sz w:val="19"/>
        </w:rPr>
        <w:t>m</w:t>
      </w:r>
      <w:r>
        <w:rPr>
          <w:spacing w:val="-2"/>
          <w:w w:val="110"/>
          <w:sz w:val="19"/>
        </w:rPr>
        <w:t>，条件</w:t>
      </w:r>
      <w:r>
        <w:rPr>
          <w:rFonts w:ascii="华文细黑" w:eastAsia="华文细黑" w:hAnsi="华文细黑" w:hint="eastAsia"/>
          <w:w w:val="110"/>
          <w:sz w:val="19"/>
        </w:rPr>
        <w:t>受</w:t>
      </w:r>
      <w:r>
        <w:rPr>
          <w:spacing w:val="-2"/>
          <w:w w:val="110"/>
          <w:sz w:val="19"/>
        </w:rPr>
        <w:t>限制时，间距可适</w:t>
      </w:r>
      <w:r>
        <w:rPr>
          <w:rFonts w:ascii="华文细黑" w:eastAsia="华文细黑" w:hAnsi="华文细黑" w:hint="eastAsia"/>
          <w:w w:val="110"/>
          <w:sz w:val="19"/>
        </w:rPr>
        <w:t>当</w:t>
      </w:r>
      <w:r>
        <w:rPr>
          <w:spacing w:val="-3"/>
          <w:w w:val="110"/>
          <w:sz w:val="19"/>
        </w:rPr>
        <w:t>减小，</w:t>
      </w:r>
      <w:r>
        <w:rPr>
          <w:rFonts w:ascii="华文细黑" w:eastAsia="华文细黑" w:hAnsi="华文细黑" w:hint="eastAsia"/>
          <w:w w:val="110"/>
          <w:sz w:val="19"/>
        </w:rPr>
        <w:t>但</w:t>
      </w:r>
      <w:r>
        <w:rPr>
          <w:w w:val="110"/>
          <w:sz w:val="19"/>
        </w:rPr>
        <w:t>上一入口</w:t>
      </w:r>
      <w:r>
        <w:rPr>
          <w:rFonts w:ascii="华文细黑" w:eastAsia="华文细黑" w:hAnsi="华文细黑" w:hint="eastAsia"/>
          <w:w w:val="110"/>
          <w:sz w:val="19"/>
        </w:rPr>
        <w:t>终点至</w:t>
      </w:r>
      <w:r>
        <w:rPr>
          <w:w w:val="110"/>
          <w:sz w:val="19"/>
        </w:rPr>
        <w:t>下一</w:t>
      </w:r>
      <w:r>
        <w:rPr>
          <w:rFonts w:ascii="华文细黑" w:eastAsia="华文细黑" w:hAnsi="华文细黑" w:hint="eastAsia"/>
          <w:w w:val="110"/>
          <w:sz w:val="19"/>
        </w:rPr>
        <w:t>个</w:t>
      </w:r>
      <w:r>
        <w:rPr>
          <w:w w:val="110"/>
          <w:sz w:val="19"/>
        </w:rPr>
        <w:t>出口起</w:t>
      </w:r>
      <w:r>
        <w:rPr>
          <w:rFonts w:ascii="华文细黑" w:eastAsia="华文细黑" w:hAnsi="华文细黑" w:hint="eastAsia"/>
          <w:w w:val="110"/>
          <w:sz w:val="19"/>
        </w:rPr>
        <w:t>点</w:t>
      </w:r>
      <w:r>
        <w:rPr>
          <w:w w:val="110"/>
          <w:sz w:val="19"/>
        </w:rPr>
        <w:t>的距</w:t>
      </w:r>
      <w:r>
        <w:rPr>
          <w:rFonts w:ascii="华文细黑" w:eastAsia="华文细黑" w:hAnsi="华文细黑" w:hint="eastAsia"/>
          <w:w w:val="110"/>
          <w:sz w:val="19"/>
        </w:rPr>
        <w:t>离</w:t>
      </w:r>
      <w:r>
        <w:rPr>
          <w:w w:val="110"/>
          <w:sz w:val="19"/>
        </w:rPr>
        <w:t>不应</w:t>
      </w:r>
      <w:r>
        <w:rPr>
          <w:rFonts w:ascii="华文细黑" w:eastAsia="华文细黑" w:hAnsi="华文细黑" w:hint="eastAsia"/>
          <w:w w:val="110"/>
          <w:sz w:val="19"/>
        </w:rPr>
        <w:t>＜</w:t>
      </w:r>
      <w:r>
        <w:rPr>
          <w:w w:val="110"/>
          <w:sz w:val="19"/>
        </w:rPr>
        <w:t>1</w:t>
      </w:r>
      <w:r>
        <w:rPr>
          <w:spacing w:val="-75"/>
          <w:w w:val="110"/>
          <w:position w:val="11"/>
          <w:sz w:val="19"/>
        </w:rPr>
        <w:t xml:space="preserve"> </w:t>
      </w:r>
      <w:r>
        <w:rPr>
          <w:rFonts w:ascii="华文细黑" w:eastAsia="华文细黑" w:hAnsi="华文细黑" w:hint="eastAsia"/>
          <w:w w:val="110"/>
          <w:sz w:val="19"/>
        </w:rPr>
        <w:t>k</w:t>
      </w:r>
      <w:r>
        <w:rPr>
          <w:w w:val="110"/>
          <w:sz w:val="19"/>
        </w:rPr>
        <w:t xml:space="preserve">m。 </w:t>
      </w:r>
    </w:p>
    <w:p>
      <w:pPr>
        <w:pStyle w:val="ListParagraph"/>
        <w:numPr>
          <w:ilvl w:val="1"/>
          <w:numId w:val="2"/>
        </w:numPr>
        <w:tabs>
          <w:tab w:val="left" w:pos="835"/>
        </w:tabs>
        <w:spacing w:before="119" w:after="0" w:line="240" w:lineRule="auto"/>
        <w:ind w:left="835" w:right="0" w:hanging="317"/>
        <w:jc w:val="both"/>
        <w:rPr>
          <w:sz w:val="19"/>
        </w:rPr>
      </w:pPr>
      <w:r>
        <w:rPr>
          <w:w w:val="110"/>
          <w:sz w:val="19"/>
        </w:rPr>
        <w:t xml:space="preserve">间距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142" w:after="0" w:line="230" w:lineRule="auto"/>
        <w:ind w:left="518" w:right="310" w:firstLine="0"/>
        <w:jc w:val="both"/>
        <w:rPr>
          <w:sz w:val="19"/>
        </w:rPr>
      </w:pPr>
      <w:r>
        <w:rPr>
          <w:spacing w:val="-4"/>
          <w:w w:val="110"/>
          <w:sz w:val="19"/>
        </w:rPr>
        <w:t>Ⅰ、Ⅱ类服务区的平</w:t>
      </w:r>
      <w:r>
        <w:rPr>
          <w:rFonts w:ascii="华文细黑" w:eastAsia="华文细黑" w:hAnsi="华文细黑" w:hint="eastAsia"/>
          <w:w w:val="110"/>
          <w:sz w:val="19"/>
        </w:rPr>
        <w:t>均</w:t>
      </w:r>
      <w:r>
        <w:rPr>
          <w:spacing w:val="-6"/>
          <w:w w:val="110"/>
          <w:sz w:val="19"/>
        </w:rPr>
        <w:t xml:space="preserve">间距宜为 </w:t>
      </w:r>
      <w:r>
        <w:rPr>
          <w:w w:val="110"/>
          <w:sz w:val="19"/>
        </w:rPr>
        <w:t>50</w:t>
      </w:r>
      <w:r>
        <w:rPr>
          <w:spacing w:val="-104"/>
          <w:w w:val="110"/>
          <w:position w:val="11"/>
          <w:sz w:val="19"/>
        </w:rPr>
        <w:t xml:space="preserve"> </w:t>
      </w:r>
      <w:r>
        <w:rPr>
          <w:rFonts w:ascii="华文细黑" w:eastAsia="华文细黑" w:hAnsi="华文细黑" w:hint="eastAsia"/>
          <w:w w:val="110"/>
          <w:sz w:val="19"/>
        </w:rPr>
        <w:t>k</w:t>
      </w:r>
      <w:r>
        <w:rPr>
          <w:w w:val="110"/>
          <w:sz w:val="19"/>
        </w:rPr>
        <w:t>m</w:t>
      </w:r>
      <w:r>
        <w:rPr>
          <w:spacing w:val="-6"/>
          <w:w w:val="110"/>
          <w:sz w:val="19"/>
        </w:rPr>
        <w:t>。对于山区高速公路，因沿线城镇分布</w:t>
      </w:r>
      <w:r>
        <w:rPr>
          <w:rFonts w:ascii="华文细黑" w:eastAsia="华文细黑" w:hAnsi="华文细黑" w:hint="eastAsia"/>
          <w:w w:val="110"/>
          <w:sz w:val="19"/>
        </w:rPr>
        <w:t>稀疏</w:t>
      </w:r>
      <w:r>
        <w:rPr>
          <w:spacing w:val="-6"/>
          <w:w w:val="110"/>
          <w:sz w:val="19"/>
        </w:rPr>
        <w:t>，在水、电等基础设施条件</w:t>
      </w:r>
      <w:r>
        <w:rPr>
          <w:rFonts w:ascii="华文细黑" w:eastAsia="华文细黑" w:hAnsi="华文细黑" w:hint="eastAsia"/>
          <w:spacing w:val="-6"/>
          <w:w w:val="110"/>
          <w:sz w:val="19"/>
        </w:rPr>
        <w:t>欠缺且</w:t>
      </w:r>
      <w:r>
        <w:rPr>
          <w:spacing w:val="-6"/>
          <w:w w:val="110"/>
          <w:sz w:val="19"/>
        </w:rPr>
        <w:t>供给</w:t>
      </w:r>
      <w:r>
        <w:rPr>
          <w:rFonts w:ascii="华文细黑" w:eastAsia="华文细黑" w:hAnsi="华文细黑" w:hint="eastAsia"/>
          <w:spacing w:val="-6"/>
          <w:w w:val="110"/>
          <w:sz w:val="19"/>
        </w:rPr>
        <w:t>困难</w:t>
      </w:r>
      <w:r>
        <w:rPr>
          <w:spacing w:val="-6"/>
          <w:w w:val="110"/>
          <w:sz w:val="19"/>
        </w:rPr>
        <w:t>的路</w:t>
      </w:r>
      <w:r>
        <w:rPr>
          <w:rFonts w:ascii="华文细黑" w:eastAsia="华文细黑" w:hAnsi="华文细黑" w:hint="eastAsia"/>
          <w:spacing w:val="-6"/>
          <w:w w:val="110"/>
          <w:sz w:val="19"/>
        </w:rPr>
        <w:t>段</w:t>
      </w:r>
      <w:r>
        <w:rPr>
          <w:spacing w:val="-6"/>
          <w:w w:val="110"/>
          <w:sz w:val="19"/>
        </w:rPr>
        <w:t>，以及需要考虑治</w:t>
      </w:r>
      <w:r>
        <w:rPr>
          <w:rFonts w:ascii="华文细黑" w:eastAsia="华文细黑" w:hAnsi="华文细黑" w:hint="eastAsia"/>
          <w:w w:val="110"/>
          <w:sz w:val="19"/>
        </w:rPr>
        <w:t>超</w:t>
      </w:r>
      <w:r>
        <w:rPr>
          <w:spacing w:val="-12"/>
          <w:w w:val="110"/>
          <w:sz w:val="19"/>
        </w:rPr>
        <w:t>、应急</w:t>
      </w:r>
      <w:r>
        <w:rPr>
          <w:rFonts w:ascii="华文细黑" w:eastAsia="华文细黑" w:hAnsi="华文细黑" w:hint="eastAsia"/>
          <w:w w:val="110"/>
          <w:sz w:val="19"/>
        </w:rPr>
        <w:t>救援</w:t>
      </w:r>
      <w:r>
        <w:rPr>
          <w:spacing w:val="-5"/>
          <w:w w:val="110"/>
          <w:sz w:val="19"/>
        </w:rPr>
        <w:t>等功能设置的服务区，可结合实际情况</w:t>
      </w:r>
      <w:r>
        <w:rPr>
          <w:rFonts w:ascii="华文细黑" w:eastAsia="华文细黑" w:hAnsi="华文细黑" w:hint="eastAsia"/>
          <w:spacing w:val="-5"/>
          <w:w w:val="110"/>
          <w:sz w:val="19"/>
        </w:rPr>
        <w:t>调整</w:t>
      </w:r>
      <w:r>
        <w:rPr>
          <w:spacing w:val="-5"/>
          <w:w w:val="110"/>
          <w:sz w:val="19"/>
        </w:rPr>
        <w:t xml:space="preserve">服务区的间距。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0" w:after="0" w:line="242" w:lineRule="auto"/>
        <w:ind w:left="518" w:right="318" w:firstLine="0"/>
        <w:jc w:val="both"/>
        <w:rPr>
          <w:sz w:val="19"/>
        </w:rPr>
      </w:pPr>
      <w:r>
        <w:rPr>
          <w:w w:val="110"/>
          <w:sz w:val="19"/>
        </w:rPr>
        <w:t>Ⅰ类服务区和Ⅱ、Ⅲ类服务区可间断设置，两</w:t>
      </w:r>
      <w:r>
        <w:rPr>
          <w:rFonts w:ascii="华文细黑" w:eastAsia="华文细黑" w:hAnsi="华文细黑" w:hint="eastAsia"/>
          <w:w w:val="110"/>
          <w:sz w:val="19"/>
        </w:rPr>
        <w:t>个</w:t>
      </w:r>
      <w:r>
        <w:rPr>
          <w:w w:val="110"/>
          <w:sz w:val="19"/>
        </w:rPr>
        <w:t>Ⅰ类服务区之间可连</w:t>
      </w:r>
      <w:r>
        <w:rPr>
          <w:rFonts w:ascii="华文细黑" w:eastAsia="华文细黑" w:hAnsi="华文细黑" w:hint="eastAsia"/>
          <w:w w:val="110"/>
          <w:sz w:val="19"/>
        </w:rPr>
        <w:t>续</w:t>
      </w:r>
      <w:r>
        <w:rPr>
          <w:w w:val="110"/>
          <w:sz w:val="19"/>
        </w:rPr>
        <w:t>设置</w:t>
      </w:r>
      <w:r>
        <w:rPr>
          <w:rFonts w:ascii="华文细黑" w:eastAsia="华文细黑" w:hAnsi="华文细黑" w:hint="eastAsia"/>
          <w:w w:val="110"/>
          <w:sz w:val="19"/>
        </w:rPr>
        <w:t>多个</w:t>
      </w:r>
      <w:r>
        <w:rPr>
          <w:spacing w:val="-3"/>
          <w:w w:val="110"/>
          <w:sz w:val="19"/>
        </w:rPr>
        <w:t xml:space="preserve">Ⅱ、Ⅲ类服务区。 </w:t>
      </w:r>
    </w:p>
    <w:p>
      <w:pPr>
        <w:pStyle w:val="ListParagraph"/>
        <w:numPr>
          <w:ilvl w:val="2"/>
          <w:numId w:val="2"/>
        </w:numPr>
        <w:tabs>
          <w:tab w:val="left" w:pos="1045"/>
        </w:tabs>
        <w:spacing w:before="3" w:after="0" w:line="278" w:lineRule="exact"/>
        <w:ind w:left="1045" w:right="0" w:hanging="527"/>
        <w:jc w:val="both"/>
        <w:rPr>
          <w:sz w:val="19"/>
        </w:rPr>
      </w:pPr>
      <w:r>
        <w:rPr>
          <w:w w:val="110"/>
          <w:sz w:val="19"/>
        </w:rPr>
        <w:t>Ⅲ类服务区可设在两</w:t>
      </w:r>
      <w:r>
        <w:rPr>
          <w:rFonts w:ascii="华文细黑" w:eastAsia="华文细黑" w:hAnsi="华文细黑" w:hint="eastAsia"/>
          <w:w w:val="110"/>
          <w:sz w:val="19"/>
        </w:rPr>
        <w:t>个</w:t>
      </w:r>
      <w:r>
        <w:rPr>
          <w:spacing w:val="-3"/>
          <w:w w:val="110"/>
          <w:sz w:val="19"/>
        </w:rPr>
        <w:t>Ⅰ、Ⅱ类服务区之间，与相</w:t>
      </w:r>
      <w:r>
        <w:rPr>
          <w:rFonts w:ascii="华文细黑" w:eastAsia="华文细黑" w:hAnsi="华文细黑" w:hint="eastAsia"/>
          <w:w w:val="110"/>
          <w:sz w:val="19"/>
        </w:rPr>
        <w:t>邻</w:t>
      </w:r>
      <w:r>
        <w:rPr>
          <w:w w:val="110"/>
          <w:sz w:val="19"/>
        </w:rPr>
        <w:t>服务区的间距不宜</w:t>
      </w:r>
      <w:r>
        <w:rPr>
          <w:rFonts w:ascii="华文细黑" w:eastAsia="华文细黑" w:hAnsi="华文细黑" w:hint="eastAsia"/>
          <w:w w:val="110"/>
          <w:sz w:val="19"/>
        </w:rPr>
        <w:t>＞</w:t>
      </w:r>
      <w:r>
        <w:rPr>
          <w:w w:val="110"/>
          <w:sz w:val="19"/>
        </w:rPr>
        <w:t>25</w:t>
      </w:r>
      <w:r>
        <w:rPr>
          <w:spacing w:val="-104"/>
          <w:w w:val="110"/>
          <w:position w:val="11"/>
          <w:sz w:val="19"/>
        </w:rPr>
        <w:t xml:space="preserve"> </w:t>
      </w:r>
      <w:r>
        <w:rPr>
          <w:rFonts w:ascii="华文细黑" w:eastAsia="华文细黑" w:hAnsi="华文细黑" w:hint="eastAsia"/>
          <w:spacing w:val="-3"/>
          <w:w w:val="110"/>
          <w:sz w:val="19"/>
        </w:rPr>
        <w:t>k</w:t>
      </w:r>
      <w:r>
        <w:rPr>
          <w:spacing w:val="-3"/>
          <w:w w:val="110"/>
          <w:sz w:val="19"/>
        </w:rPr>
        <w:t>m</w:t>
      </w:r>
      <w:r>
        <w:rPr>
          <w:spacing w:val="-2"/>
          <w:w w:val="110"/>
          <w:sz w:val="19"/>
        </w:rPr>
        <w:t>，最大间距不宜</w:t>
      </w:r>
    </w:p>
    <w:p>
      <w:pPr>
        <w:pStyle w:val="BodyText"/>
        <w:spacing w:before="2" w:line="230" w:lineRule="auto"/>
        <w:ind w:left="518" w:right="368"/>
      </w:pPr>
      <w:r>
        <w:rPr>
          <w:rFonts w:ascii="华文细黑" w:eastAsia="华文细黑" w:hAnsi="华文细黑" w:hint="eastAsia"/>
          <w:w w:val="110"/>
        </w:rPr>
        <w:t>＞</w:t>
      </w:r>
      <w:r>
        <w:rPr>
          <w:w w:val="110"/>
        </w:rPr>
        <w:t>30</w:t>
      </w:r>
      <w:r>
        <w:rPr>
          <w:spacing w:val="-57"/>
          <w:w w:val="110"/>
          <w:position w:val="11"/>
        </w:rPr>
        <w:t xml:space="preserve"> </w:t>
      </w:r>
      <w:r>
        <w:rPr>
          <w:rFonts w:ascii="华文细黑" w:eastAsia="华文细黑" w:hAnsi="华文细黑" w:hint="eastAsia"/>
          <w:w w:val="110"/>
        </w:rPr>
        <w:t>k</w:t>
      </w:r>
      <w:r>
        <w:rPr>
          <w:w w:val="110"/>
        </w:rPr>
        <w:t>m。</w:t>
      </w:r>
      <w:r>
        <w:rPr>
          <w:rFonts w:ascii="华文细黑" w:eastAsia="华文细黑" w:hAnsi="华文细黑" w:hint="eastAsia"/>
          <w:w w:val="110"/>
        </w:rPr>
        <w:t>如果</w:t>
      </w:r>
      <w:r>
        <w:rPr>
          <w:w w:val="110"/>
        </w:rPr>
        <w:t>在高速公路的</w:t>
      </w:r>
      <w:r>
        <w:rPr>
          <w:rFonts w:ascii="华文细黑" w:eastAsia="华文细黑" w:hAnsi="华文细黑" w:hint="eastAsia"/>
          <w:w w:val="110"/>
        </w:rPr>
        <w:t>某</w:t>
      </w:r>
      <w:r>
        <w:rPr>
          <w:w w:val="110"/>
        </w:rPr>
        <w:t>一路</w:t>
      </w:r>
      <w:r>
        <w:rPr>
          <w:rFonts w:ascii="华文细黑" w:eastAsia="华文细黑" w:hAnsi="华文细黑" w:hint="eastAsia"/>
          <w:w w:val="110"/>
        </w:rPr>
        <w:t>段</w:t>
      </w:r>
      <w:r>
        <w:rPr>
          <w:w w:val="110"/>
        </w:rPr>
        <w:t>，因场地选择</w:t>
      </w:r>
      <w:r>
        <w:rPr>
          <w:rFonts w:ascii="华文细黑" w:eastAsia="华文细黑" w:hAnsi="华文细黑" w:hint="eastAsia"/>
          <w:w w:val="110"/>
        </w:rPr>
        <w:t>困难</w:t>
      </w:r>
      <w:r>
        <w:rPr>
          <w:w w:val="110"/>
        </w:rPr>
        <w:t>、水、电等基础设施条件</w:t>
      </w:r>
      <w:r>
        <w:rPr>
          <w:rFonts w:ascii="华文细黑" w:eastAsia="华文细黑" w:hAnsi="华文细黑" w:hint="eastAsia"/>
          <w:w w:val="110"/>
        </w:rPr>
        <w:t>差</w:t>
      </w:r>
      <w:r>
        <w:rPr>
          <w:w w:val="110"/>
        </w:rPr>
        <w:t>，不宜设置Ⅲ类服务区，应将Ⅲ类服务区用地、建筑等指标</w:t>
      </w:r>
      <w:r>
        <w:rPr>
          <w:rFonts w:ascii="华文细黑" w:eastAsia="华文细黑" w:hAnsi="华文细黑" w:hint="eastAsia"/>
          <w:w w:val="110"/>
        </w:rPr>
        <w:t>调整至</w:t>
      </w:r>
      <w:r>
        <w:rPr>
          <w:w w:val="110"/>
        </w:rPr>
        <w:t xml:space="preserve">Ⅰ、Ⅱ类服务区合并建设，以满足功能需求。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0" w:after="0" w:line="242" w:lineRule="auto"/>
        <w:ind w:left="518" w:right="310" w:firstLine="0"/>
        <w:jc w:val="left"/>
        <w:rPr>
          <w:sz w:val="19"/>
        </w:rPr>
      </w:pPr>
      <w:r>
        <w:rPr>
          <w:spacing w:val="-3"/>
          <w:w w:val="110"/>
          <w:sz w:val="19"/>
        </w:rPr>
        <w:t>高速公路设计的连接线较长，</w:t>
      </w:r>
      <w:r>
        <w:rPr>
          <w:rFonts w:ascii="华文细黑" w:eastAsia="华文细黑" w:hint="eastAsia"/>
          <w:w w:val="110"/>
          <w:sz w:val="19"/>
        </w:rPr>
        <w:t>且</w:t>
      </w:r>
      <w:r>
        <w:rPr>
          <w:w w:val="110"/>
          <w:sz w:val="19"/>
        </w:rPr>
        <w:t>连接线</w:t>
      </w:r>
      <w:r>
        <w:rPr>
          <w:rFonts w:ascii="华文细黑" w:eastAsia="华文细黑" w:hint="eastAsia"/>
          <w:w w:val="110"/>
          <w:sz w:val="19"/>
        </w:rPr>
        <w:t>终点</w:t>
      </w:r>
      <w:r>
        <w:rPr>
          <w:w w:val="110"/>
          <w:sz w:val="19"/>
        </w:rPr>
        <w:t>与高速公路上</w:t>
      </w:r>
      <w:r>
        <w:rPr>
          <w:rFonts w:ascii="华文细黑" w:eastAsia="华文细黑" w:hint="eastAsia"/>
          <w:w w:val="110"/>
          <w:sz w:val="19"/>
        </w:rPr>
        <w:t>临</w:t>
      </w:r>
      <w:r>
        <w:rPr>
          <w:w w:val="110"/>
          <w:sz w:val="19"/>
        </w:rPr>
        <w:t>近服务区距</w:t>
      </w:r>
      <w:r>
        <w:rPr>
          <w:rFonts w:ascii="华文细黑" w:eastAsia="华文细黑" w:hint="eastAsia"/>
          <w:w w:val="110"/>
          <w:sz w:val="19"/>
        </w:rPr>
        <w:t>离＞</w:t>
      </w:r>
      <w:r>
        <w:rPr>
          <w:w w:val="110"/>
          <w:sz w:val="19"/>
        </w:rPr>
        <w:t>50</w:t>
      </w:r>
      <w:r>
        <w:rPr>
          <w:spacing w:val="-104"/>
          <w:w w:val="110"/>
          <w:position w:val="11"/>
          <w:sz w:val="19"/>
        </w:rPr>
        <w:t xml:space="preserve"> </w:t>
      </w:r>
      <w:r>
        <w:rPr>
          <w:rFonts w:ascii="华文细黑" w:eastAsia="华文细黑" w:hint="eastAsia"/>
          <w:w w:val="110"/>
          <w:sz w:val="19"/>
        </w:rPr>
        <w:t>k</w:t>
      </w:r>
      <w:r>
        <w:rPr>
          <w:w w:val="110"/>
          <w:sz w:val="19"/>
        </w:rPr>
        <w:t>m</w:t>
      </w:r>
      <w:r>
        <w:rPr>
          <w:spacing w:val="-10"/>
          <w:w w:val="110"/>
          <w:sz w:val="19"/>
        </w:rPr>
        <w:t xml:space="preserve"> 时，可在连接线上设置服务区。 </w:t>
      </w:r>
    </w:p>
    <w:p>
      <w:pPr>
        <w:pStyle w:val="ListParagraph"/>
        <w:numPr>
          <w:ilvl w:val="1"/>
          <w:numId w:val="2"/>
        </w:numPr>
        <w:tabs>
          <w:tab w:val="left" w:pos="835"/>
        </w:tabs>
        <w:spacing w:before="138" w:after="0" w:line="240" w:lineRule="auto"/>
        <w:ind w:left="835" w:right="0" w:hanging="317"/>
        <w:jc w:val="left"/>
        <w:rPr>
          <w:sz w:val="19"/>
        </w:rPr>
      </w:pPr>
      <w:r>
        <w:rPr>
          <w:w w:val="110"/>
          <w:sz w:val="19"/>
        </w:rPr>
        <w:t xml:space="preserve">资源合理利用和保护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134" w:after="0" w:line="278" w:lineRule="exact"/>
        <w:ind w:left="1045" w:right="0" w:hanging="528"/>
        <w:jc w:val="left"/>
        <w:rPr>
          <w:sz w:val="19"/>
        </w:rPr>
      </w:pPr>
      <w:r>
        <w:rPr>
          <w:w w:val="110"/>
          <w:sz w:val="19"/>
        </w:rPr>
        <w:t>服务区建设、运营应</w:t>
      </w:r>
      <w:r>
        <w:rPr>
          <w:rFonts w:ascii="华文细黑" w:eastAsia="华文细黑" w:hint="eastAsia"/>
          <w:w w:val="110"/>
          <w:sz w:val="19"/>
        </w:rPr>
        <w:t>采取</w:t>
      </w:r>
      <w:r>
        <w:rPr>
          <w:w w:val="110"/>
          <w:sz w:val="19"/>
        </w:rPr>
        <w:t>有效的水土保持措施，防止水土流</w:t>
      </w:r>
      <w:r>
        <w:rPr>
          <w:rFonts w:ascii="华文细黑" w:eastAsia="华文细黑" w:hint="eastAsia"/>
          <w:w w:val="110"/>
          <w:sz w:val="19"/>
        </w:rPr>
        <w:t>失</w:t>
      </w:r>
      <w:r>
        <w:rPr>
          <w:w w:val="110"/>
          <w:sz w:val="19"/>
        </w:rPr>
        <w:t xml:space="preserve">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0" w:after="0" w:line="272" w:lineRule="exact"/>
        <w:ind w:left="1045" w:right="0" w:hanging="528"/>
        <w:jc w:val="left"/>
        <w:rPr>
          <w:sz w:val="19"/>
        </w:rPr>
      </w:pPr>
      <w:r>
        <w:rPr>
          <w:w w:val="110"/>
          <w:sz w:val="19"/>
        </w:rPr>
        <w:t>服务区建设、运营应注</w:t>
      </w:r>
      <w:r>
        <w:rPr>
          <w:rFonts w:ascii="华文细黑" w:eastAsia="华文细黑" w:hint="eastAsia"/>
          <w:w w:val="110"/>
          <w:sz w:val="19"/>
        </w:rPr>
        <w:t>重</w:t>
      </w:r>
      <w:r>
        <w:rPr>
          <w:w w:val="110"/>
          <w:sz w:val="19"/>
        </w:rPr>
        <w:t>对</w:t>
      </w:r>
      <w:r>
        <w:rPr>
          <w:rFonts w:ascii="华文细黑" w:eastAsia="华文细黑" w:hint="eastAsia"/>
          <w:w w:val="110"/>
          <w:sz w:val="19"/>
        </w:rPr>
        <w:t>太阳</w:t>
      </w:r>
      <w:r>
        <w:rPr>
          <w:w w:val="110"/>
          <w:sz w:val="19"/>
        </w:rPr>
        <w:t>能、</w:t>
      </w:r>
      <w:r>
        <w:rPr>
          <w:rFonts w:ascii="华文细黑" w:eastAsia="华文细黑" w:hint="eastAsia"/>
          <w:w w:val="110"/>
          <w:sz w:val="19"/>
        </w:rPr>
        <w:t>风</w:t>
      </w:r>
      <w:r>
        <w:rPr>
          <w:w w:val="110"/>
          <w:sz w:val="19"/>
        </w:rPr>
        <w:t xml:space="preserve">能等可再生资源的利用。 </w:t>
      </w:r>
    </w:p>
    <w:p>
      <w:pPr>
        <w:pStyle w:val="ListParagraph"/>
        <w:numPr>
          <w:ilvl w:val="2"/>
          <w:numId w:val="2"/>
        </w:numPr>
        <w:tabs>
          <w:tab w:val="left" w:pos="1046"/>
        </w:tabs>
        <w:spacing w:before="0" w:after="0" w:line="278" w:lineRule="exact"/>
        <w:ind w:left="1045" w:right="0" w:hanging="528"/>
        <w:jc w:val="left"/>
        <w:rPr>
          <w:sz w:val="19"/>
        </w:rPr>
      </w:pPr>
      <w:r>
        <w:rPr>
          <w:w w:val="110"/>
          <w:sz w:val="19"/>
        </w:rPr>
        <w:t>服务区尽可能实现生活污水再生利用和</w:t>
      </w:r>
      <w:r>
        <w:rPr>
          <w:rFonts w:ascii="华文细黑" w:eastAsia="华文细黑" w:hint="eastAsia"/>
          <w:w w:val="110"/>
          <w:sz w:val="19"/>
        </w:rPr>
        <w:t>垃圾</w:t>
      </w:r>
      <w:r>
        <w:rPr>
          <w:w w:val="110"/>
          <w:sz w:val="19"/>
        </w:rPr>
        <w:t xml:space="preserve">资源化利用。 </w:t>
      </w:r>
    </w:p>
    <w:p>
      <w:pPr>
        <w:pStyle w:val="BodyText"/>
      </w:pPr>
    </w:p>
    <w:p>
      <w:pPr>
        <w:pStyle w:val="BodyText"/>
        <w:ind w:left="518"/>
        <w:jc w:val="both"/>
      </w:pPr>
      <w:r>
        <w:rPr>
          <w:w w:val="110"/>
        </w:rPr>
        <w:t xml:space="preserve">6 功能要素 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3"/>
        </w:numPr>
        <w:tabs>
          <w:tab w:val="left" w:pos="836"/>
        </w:tabs>
        <w:spacing w:before="0" w:after="0" w:line="240" w:lineRule="auto"/>
        <w:ind w:left="835" w:right="0" w:hanging="318"/>
        <w:jc w:val="left"/>
        <w:rPr>
          <w:sz w:val="19"/>
        </w:rPr>
      </w:pPr>
      <w:r>
        <w:rPr>
          <w:w w:val="110"/>
          <w:sz w:val="19"/>
        </w:rPr>
        <w:t xml:space="preserve">服务区功能要素 </w:t>
      </w:r>
    </w:p>
    <w:p>
      <w:pPr>
        <w:spacing w:after="0" w:line="240" w:lineRule="auto"/>
        <w:jc w:val="left"/>
        <w:rPr>
          <w:sz w:val="19"/>
        </w:rPr>
      </w:pPr>
      <w:r>
        <w:rPr>
          <w:sz w:val="19"/>
        </w:rPr>
        <w:br/>
      </w:r>
      <w:r>
        <w:rPr>
          <w:sz w:val="1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https://d.book118.com/985244342202011043</w:t>
        </w:r>
      </w:hyperlink>
    </w:p>
    <w:p>
      <w:pPr>
        <w:spacing w:after="0" w:line="240" w:lineRule="auto"/>
        <w:jc w:val="left"/>
        <w:rPr>
          <w:sz w:val="19"/>
        </w:rPr>
      </w:pPr>
    </w:p>
    <w:sectPr>
      <w:footerReference w:type="even" r:id="rId9"/>
      <w:footerReference w:type="default" r:id="rId10"/>
      <w:pgSz w:w="11910" w:h="16840"/>
      <w:pgMar w:top="1600" w:right="820" w:bottom="1300" w:left="900" w:header="0" w:footer="1114" w:gutter="0"/>
      <w:pgNumType w:start="5"/>
      <w:cols w:num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401FF" w:csb1="00000000"/>
  </w:font>
  <w:font w:name="Constantia">
    <w:panose1 w:val="02030602050306030303"/>
    <w:charset w:val="00"/>
    <w:family w:val="roman"/>
    <w:pitch w:val="default"/>
    <w:sig w:usb0="A00002EF" w:usb1="4000204B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o:spid="_x0000_s2049" type="#_x0000_t202" style="width:11pt;height:8.3pt;margin-top:775.25pt;margin-left:523.2pt;mso-height-relative:page;mso-position-horizontal-relative:page;mso-position-vertical-relative:page;mso-width-relative:page;position:absolute;z-index:-251658240" coordsize="21600,21600" filled="f" stroked="f">
          <v:stroke joinstyle="miter"/>
          <v:textbox inset="0,0,0,0">
            <w:txbxContent>
              <w:p>
                <w:pPr>
                  <w:spacing w:before="24" w:line="141" w:lineRule="exact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w w:val="150"/>
                    <w:sz w:val="12"/>
                  </w:rPr>
                  <w:t xml:space="preserve">1 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o:spid="_x0000_s2050" type="#_x0000_t202" style="width:11pt;height:8.3pt;margin-top:775.25pt;margin-left:523.2pt;mso-height-relative:page;mso-position-horizontal-relative:page;mso-position-vertical-relative:page;mso-width-relative:page;position:absolute;z-index:-251657216" coordsize="21600,21600" filled="f" stroked="f">
          <v:stroke joinstyle="miter"/>
          <v:textbox inset="0,0,0,0">
            <w:txbxContent>
              <w:p>
                <w:pPr>
                  <w:spacing w:before="24" w:line="141" w:lineRule="exact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w w:val="150"/>
                    <w:sz w:val="12"/>
                  </w:rPr>
                  <w:t xml:space="preserve">1 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52" type="#_x0000_t202" style="width:13pt;height:10.4pt;margin-top:774.05pt;margin-left:64.7pt;mso-height-relative:page;mso-position-horizontal-relative:page;mso-position-vertical-relative:page;mso-width-relative:page;position:absolute;z-index:-251655168" coordsize="21600,21600" filled="f" stroked="f">
          <v:stroke joinstyle="miter"/>
          <v:textbox inset="0,0,0,0">
            <w:txbxContent>
              <w:p>
                <w:pPr>
                  <w:spacing w:before="0" w:line="208" w:lineRule="exact"/>
                  <w:ind w:left="60" w:right="0" w:firstLine="0"/>
                  <w:jc w:val="left"/>
                  <w:rPr>
                    <w:sz w:val="17"/>
                  </w:rPr>
                </w:pPr>
                <w:r>
                  <w:rPr>
                    <w:w w:val="105"/>
                    <w:sz w:val="17"/>
                  </w:rPr>
                  <w:t xml:space="preserve">4 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51" type="#_x0000_t202" style="width:11pt;height:8.3pt;margin-top:775.25pt;margin-left:523.2pt;mso-height-relative:page;mso-position-horizontal-relative:page;mso-position-vertical-relative:page;mso-width-relative:page;position:absolute;z-index:-251656192" coordsize="21600,21600" filled="f" stroked="f">
          <v:stroke joinstyle="miter"/>
          <v:textbox inset="0,0,0,0">
            <w:txbxContent>
              <w:p>
                <w:pPr>
                  <w:spacing w:before="24" w:line="141" w:lineRule="exact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w w:val="150"/>
                    <w:sz w:val="12"/>
                  </w:rPr>
                  <w:t xml:space="preserve">3 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239341B"/>
    <w:multiLevelType w:val="multilevel"/>
    <w:tmpl w:val="9239341B"/>
    <w:lvl w:ilvl="0">
      <w:start w:val="1"/>
      <w:numFmt w:val="lowerLetter"/>
      <w:lvlText w:val="%1)"/>
      <w:lvlJc w:val="left"/>
      <w:pPr>
        <w:ind w:left="1072" w:hanging="203"/>
        <w:jc w:val="left"/>
      </w:pPr>
      <w:rPr>
        <w:rFonts w:ascii="宋体" w:eastAsia="宋体" w:hAnsi="宋体" w:cs="宋体" w:hint="default"/>
        <w:spacing w:val="-1"/>
        <w:w w:val="118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990" w:hanging="203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900" w:hanging="203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811" w:hanging="20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721" w:hanging="20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632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542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453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63" w:hanging="203"/>
      </w:pPr>
      <w:rPr>
        <w:rFonts w:hint="default"/>
        <w:lang w:val="zh-CN" w:eastAsia="zh-CN" w:bidi="zh-CN"/>
      </w:rPr>
    </w:lvl>
  </w:abstractNum>
  <w:abstractNum w:abstractNumId="1">
    <w:nsid w:val="9C8AC8EF"/>
    <w:multiLevelType w:val="multilevel"/>
    <w:tmpl w:val="9C8AC8EF"/>
    <w:lvl w:ilvl="0">
      <w:start w:val="1"/>
      <w:numFmt w:val="lowerLetter"/>
      <w:lvlText w:val="%1)"/>
      <w:lvlJc w:val="left"/>
      <w:pPr>
        <w:ind w:left="856" w:hanging="203"/>
        <w:jc w:val="left"/>
      </w:pPr>
      <w:rPr>
        <w:rFonts w:ascii="宋体" w:eastAsia="宋体" w:hAnsi="宋体" w:cs="宋体" w:hint="default"/>
        <w:spacing w:val="-1"/>
        <w:w w:val="111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792" w:hanging="203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724" w:hanging="203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657" w:hanging="20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589" w:hanging="20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522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454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387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19" w:hanging="203"/>
      </w:pPr>
      <w:rPr>
        <w:rFonts w:hint="default"/>
        <w:lang w:val="zh-CN" w:eastAsia="zh-CN" w:bidi="zh-CN"/>
      </w:rPr>
    </w:lvl>
  </w:abstractNum>
  <w:abstractNum w:abstractNumId="2">
    <w:nsid w:val="B0F1ACD9"/>
    <w:multiLevelType w:val="multilevel"/>
    <w:tmpl w:val="B0F1ACD9"/>
    <w:lvl w:ilvl="0">
      <w:start w:val="13"/>
      <w:numFmt w:val="decimal"/>
      <w:lvlText w:val="%1"/>
      <w:lvlJc w:val="left"/>
      <w:pPr>
        <w:ind w:left="234" w:hanging="843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234" w:hanging="843"/>
        <w:jc w:val="left"/>
      </w:pPr>
      <w:rPr>
        <w:rFonts w:hint="default"/>
        <w:lang w:val="zh-CN" w:eastAsia="zh-CN" w:bidi="zh-CN"/>
      </w:rPr>
    </w:lvl>
    <w:lvl w:ilvl="2">
      <w:start w:val="3"/>
      <w:numFmt w:val="decimal"/>
      <w:lvlText w:val="%1.%2.%3"/>
      <w:lvlJc w:val="left"/>
      <w:pPr>
        <w:ind w:left="234" w:hanging="843"/>
        <w:jc w:val="left"/>
      </w:pPr>
      <w:rPr>
        <w:rFonts w:hint="default"/>
        <w:lang w:val="zh-CN" w:eastAsia="zh-CN" w:bidi="zh-CN"/>
      </w:rPr>
    </w:lvl>
    <w:lvl w:ilvl="3">
      <w:start w:val="1"/>
      <w:numFmt w:val="decimal"/>
      <w:lvlText w:val="%1.%2.%3.%4"/>
      <w:lvlJc w:val="left"/>
      <w:pPr>
        <w:ind w:left="234" w:hanging="84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217" w:hanging="84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212" w:hanging="84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206" w:hanging="84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201" w:hanging="84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95" w:hanging="843"/>
      </w:pPr>
      <w:rPr>
        <w:rFonts w:hint="default"/>
        <w:lang w:val="zh-CN" w:eastAsia="zh-CN" w:bidi="zh-CN"/>
      </w:rPr>
    </w:lvl>
  </w:abstractNum>
  <w:abstractNum w:abstractNumId="3">
    <w:nsid w:val="B5E306ED"/>
    <w:multiLevelType w:val="multilevel"/>
    <w:tmpl w:val="B5E306ED"/>
    <w:lvl w:ilvl="0">
      <w:start w:val="7"/>
      <w:numFmt w:val="decimal"/>
      <w:lvlText w:val="%1"/>
      <w:lvlJc w:val="left"/>
      <w:pPr>
        <w:ind w:left="835" w:hanging="317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835" w:hanging="317"/>
        <w:jc w:val="righ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1045" w:hanging="52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0"/>
      <w:numFmt w:val="bullet"/>
      <w:lvlText w:val="•"/>
      <w:lvlJc w:val="left"/>
      <w:pPr>
        <w:ind w:left="1040" w:hanging="527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2346" w:hanging="52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3652" w:hanging="52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4959" w:hanging="52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265" w:hanging="52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571" w:hanging="527"/>
      </w:pPr>
      <w:rPr>
        <w:rFonts w:hint="default"/>
        <w:lang w:val="zh-CN" w:eastAsia="zh-CN" w:bidi="zh-CN"/>
      </w:rPr>
    </w:lvl>
  </w:abstractNum>
  <w:abstractNum w:abstractNumId="4">
    <w:nsid w:val="BE923771"/>
    <w:multiLevelType w:val="multilevel"/>
    <w:tmpl w:val="BE923771"/>
    <w:lvl w:ilvl="0">
      <w:start w:val="2"/>
      <w:numFmt w:val="upperLetter"/>
      <w:lvlText w:val="%1"/>
      <w:lvlJc w:val="left"/>
      <w:pPr>
        <w:ind w:left="1045" w:hanging="527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1045" w:hanging="527"/>
        <w:jc w:val="left"/>
      </w:pPr>
      <w:rPr>
        <w:rFonts w:hint="default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1045" w:hanging="52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783" w:hanging="527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697" w:hanging="52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612" w:hanging="52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526" w:hanging="52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441" w:hanging="52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55" w:hanging="527"/>
      </w:pPr>
      <w:rPr>
        <w:rFonts w:hint="default"/>
        <w:lang w:val="zh-CN" w:eastAsia="zh-CN" w:bidi="zh-CN"/>
      </w:rPr>
    </w:lvl>
  </w:abstractNum>
  <w:abstractNum w:abstractNumId="5">
    <w:nsid w:val="BF205925"/>
    <w:multiLevelType w:val="multilevel"/>
    <w:tmpl w:val="BF205925"/>
    <w:lvl w:ilvl="0">
      <w:start w:val="6"/>
      <w:numFmt w:val="decimal"/>
      <w:lvlText w:val="%1"/>
      <w:lvlJc w:val="left"/>
      <w:pPr>
        <w:ind w:left="234" w:hanging="527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234" w:hanging="527"/>
        <w:jc w:val="left"/>
      </w:pPr>
      <w:rPr>
        <w:rFonts w:hint="default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234" w:hanging="52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223" w:hanging="527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217" w:hanging="52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212" w:hanging="52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206" w:hanging="52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201" w:hanging="52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95" w:hanging="527"/>
      </w:pPr>
      <w:rPr>
        <w:rFonts w:hint="default"/>
        <w:lang w:val="zh-CN" w:eastAsia="zh-CN" w:bidi="zh-CN"/>
      </w:rPr>
    </w:lvl>
  </w:abstractNum>
  <w:abstractNum w:abstractNumId="6">
    <w:nsid w:val="C8879AEF"/>
    <w:multiLevelType w:val="multilevel"/>
    <w:tmpl w:val="C8879AEF"/>
    <w:lvl w:ilvl="0">
      <w:start w:val="1"/>
      <w:numFmt w:val="lowerLetter"/>
      <w:lvlText w:val="%1)"/>
      <w:lvlJc w:val="left"/>
      <w:pPr>
        <w:ind w:left="856" w:hanging="203"/>
        <w:jc w:val="left"/>
      </w:pPr>
      <w:rPr>
        <w:rFonts w:ascii="宋体" w:eastAsia="宋体" w:hAnsi="宋体" w:cs="宋体" w:hint="default"/>
        <w:spacing w:val="-1"/>
        <w:w w:val="118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792" w:hanging="203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724" w:hanging="203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657" w:hanging="20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589" w:hanging="20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522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454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387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19" w:hanging="203"/>
      </w:pPr>
      <w:rPr>
        <w:rFonts w:hint="default"/>
        <w:lang w:val="zh-CN" w:eastAsia="zh-CN" w:bidi="zh-CN"/>
      </w:rPr>
    </w:lvl>
  </w:abstractNum>
  <w:abstractNum w:abstractNumId="7">
    <w:nsid w:val="CF092B84"/>
    <w:multiLevelType w:val="multilevel"/>
    <w:tmpl w:val="CF092B84"/>
    <w:lvl w:ilvl="0">
      <w:start w:val="5"/>
      <w:numFmt w:val="decimal"/>
      <w:lvlText w:val="%1"/>
      <w:lvlJc w:val="left"/>
      <w:pPr>
        <w:ind w:left="835" w:hanging="317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835" w:hanging="31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518" w:hanging="52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183" w:hanging="527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326" w:hanging="52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469" w:hanging="52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612" w:hanging="52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755" w:hanging="52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898" w:hanging="527"/>
      </w:pPr>
      <w:rPr>
        <w:rFonts w:hint="default"/>
        <w:lang w:val="zh-CN" w:eastAsia="zh-CN" w:bidi="zh-CN"/>
      </w:rPr>
    </w:lvl>
  </w:abstractNum>
  <w:abstractNum w:abstractNumId="8">
    <w:nsid w:val="D7F9FE59"/>
    <w:multiLevelType w:val="multilevel"/>
    <w:tmpl w:val="D7F9FE59"/>
    <w:lvl w:ilvl="0">
      <w:start w:val="10"/>
      <w:numFmt w:val="decimal"/>
      <w:lvlText w:val="%1"/>
      <w:lvlJc w:val="left"/>
      <w:pPr>
        <w:ind w:left="940" w:hanging="423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940" w:hanging="42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1150" w:hanging="63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165" w:hanging="63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168" w:hanging="63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170" w:hanging="63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173" w:hanging="63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176" w:hanging="63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78" w:hanging="633"/>
      </w:pPr>
      <w:rPr>
        <w:rFonts w:hint="default"/>
        <w:lang w:val="zh-CN" w:eastAsia="zh-CN" w:bidi="zh-CN"/>
      </w:rPr>
    </w:lvl>
  </w:abstractNum>
  <w:abstractNum w:abstractNumId="9">
    <w:nsid w:val="DCBA6B53"/>
    <w:multiLevelType w:val="multilevel"/>
    <w:tmpl w:val="DCBA6B53"/>
    <w:lvl w:ilvl="0">
      <w:start w:val="9"/>
      <w:numFmt w:val="decimal"/>
      <w:lvlText w:val="%1"/>
      <w:lvlJc w:val="left"/>
      <w:pPr>
        <w:ind w:left="835" w:hanging="317"/>
        <w:jc w:val="left"/>
      </w:pPr>
      <w:rPr>
        <w:rFonts w:hint="default"/>
        <w:lang w:val="zh-CN" w:eastAsia="zh-CN" w:bidi="zh-CN"/>
      </w:rPr>
    </w:lvl>
    <w:lvl w:ilvl="1">
      <w:start w:val="5"/>
      <w:numFmt w:val="decimal"/>
      <w:lvlText w:val="%1.%2"/>
      <w:lvlJc w:val="left"/>
      <w:pPr>
        <w:ind w:left="835" w:hanging="317"/>
        <w:jc w:val="right"/>
      </w:pPr>
      <w:rPr>
        <w:rFonts w:ascii="宋体" w:eastAsia="宋体" w:hAnsi="宋体" w:cs="宋体" w:hint="default"/>
        <w:spacing w:val="-2"/>
        <w:w w:val="105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518" w:hanging="527"/>
        <w:jc w:val="right"/>
      </w:pPr>
      <w:rPr>
        <w:rFonts w:ascii="宋体" w:eastAsia="宋体" w:hAnsi="宋体" w:cs="宋体" w:hint="default"/>
        <w:spacing w:val="-2"/>
        <w:w w:val="105"/>
        <w:sz w:val="19"/>
        <w:szCs w:val="19"/>
        <w:lang w:val="zh-CN" w:eastAsia="zh-CN" w:bidi="zh-CN"/>
      </w:rPr>
    </w:lvl>
    <w:lvl w:ilvl="3">
      <w:start w:val="1"/>
      <w:numFmt w:val="lowerLetter"/>
      <w:lvlText w:val="%4)"/>
      <w:lvlJc w:val="left"/>
      <w:pPr>
        <w:ind w:left="1357" w:hanging="203"/>
        <w:jc w:val="left"/>
      </w:pPr>
      <w:rPr>
        <w:rFonts w:ascii="宋体" w:eastAsia="宋体" w:hAnsi="宋体" w:cs="宋体" w:hint="default"/>
        <w:spacing w:val="-2"/>
        <w:w w:val="118"/>
        <w:sz w:val="18"/>
        <w:szCs w:val="18"/>
        <w:lang w:val="zh-CN" w:eastAsia="zh-CN" w:bidi="zh-CN"/>
      </w:rPr>
    </w:lvl>
    <w:lvl w:ilvl="4">
      <w:start w:val="0"/>
      <w:numFmt w:val="bullet"/>
      <w:lvlText w:val="•"/>
      <w:lvlJc w:val="left"/>
      <w:pPr>
        <w:ind w:left="1360" w:hanging="20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2830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4301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5772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242" w:hanging="203"/>
      </w:pPr>
      <w:rPr>
        <w:rFonts w:hint="default"/>
        <w:lang w:val="zh-CN" w:eastAsia="zh-CN" w:bidi="zh-CN"/>
      </w:rPr>
    </w:lvl>
  </w:abstractNum>
  <w:abstractNum w:abstractNumId="10">
    <w:nsid w:val="F4B5D9F5"/>
    <w:multiLevelType w:val="multilevel"/>
    <w:tmpl w:val="F4B5D9F5"/>
    <w:lvl w:ilvl="0">
      <w:start w:val="9"/>
      <w:numFmt w:val="decimal"/>
      <w:lvlText w:val="%1"/>
      <w:lvlJc w:val="left"/>
      <w:pPr>
        <w:ind w:left="518" w:hanging="737"/>
        <w:jc w:val="left"/>
      </w:pPr>
      <w:rPr>
        <w:rFonts w:hint="default"/>
        <w:lang w:val="zh-CN" w:eastAsia="zh-CN" w:bidi="zh-CN"/>
      </w:rPr>
    </w:lvl>
    <w:lvl w:ilvl="1">
      <w:start w:val="4"/>
      <w:numFmt w:val="decimal"/>
      <w:lvlText w:val="%1.%2"/>
      <w:lvlJc w:val="left"/>
      <w:pPr>
        <w:ind w:left="518" w:hanging="737"/>
        <w:jc w:val="left"/>
      </w:pPr>
      <w:rPr>
        <w:rFonts w:hint="default"/>
        <w:lang w:val="zh-CN" w:eastAsia="zh-CN" w:bidi="zh-CN"/>
      </w:rPr>
    </w:lvl>
    <w:lvl w:ilvl="2">
      <w:start w:val="5"/>
      <w:numFmt w:val="decimal"/>
      <w:lvlText w:val="%1.%2.%3"/>
      <w:lvlJc w:val="left"/>
      <w:pPr>
        <w:ind w:left="518" w:hanging="737"/>
        <w:jc w:val="left"/>
      </w:pPr>
      <w:rPr>
        <w:rFonts w:hint="default"/>
        <w:lang w:val="zh-CN" w:eastAsia="zh-CN" w:bidi="zh-CN"/>
      </w:rPr>
    </w:lvl>
    <w:lvl w:ilvl="3">
      <w:start w:val="1"/>
      <w:numFmt w:val="decimal"/>
      <w:lvlText w:val="%1.%2.%3.%4"/>
      <w:lvlJc w:val="left"/>
      <w:pPr>
        <w:ind w:left="518" w:hanging="737"/>
        <w:jc w:val="left"/>
      </w:pPr>
      <w:rPr>
        <w:rFonts w:ascii="宋体" w:eastAsia="宋体" w:hAnsi="宋体" w:cs="宋体" w:hint="default"/>
        <w:spacing w:val="-2"/>
        <w:w w:val="105"/>
        <w:sz w:val="19"/>
        <w:szCs w:val="19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85" w:hanging="73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52" w:hanging="73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318" w:hanging="73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285" w:hanging="73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251" w:hanging="737"/>
      </w:pPr>
      <w:rPr>
        <w:rFonts w:hint="default"/>
        <w:lang w:val="zh-CN" w:eastAsia="zh-CN" w:bidi="zh-CN"/>
      </w:rPr>
    </w:lvl>
  </w:abstractNum>
  <w:abstractNum w:abstractNumId="11">
    <w:nsid w:val="0053208E"/>
    <w:multiLevelType w:val="multilevel"/>
    <w:tmpl w:val="0053208E"/>
    <w:lvl w:ilvl="0">
      <w:start w:val="4"/>
      <w:numFmt w:val="decimal"/>
      <w:lvlText w:val="%1"/>
      <w:lvlJc w:val="left"/>
      <w:pPr>
        <w:ind w:left="234" w:hanging="317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234" w:hanging="317"/>
        <w:jc w:val="right"/>
      </w:pPr>
      <w:rPr>
        <w:rFonts w:ascii="宋体" w:eastAsia="宋体" w:hAnsi="宋体" w:cs="宋体" w:hint="default"/>
        <w:spacing w:val="-2"/>
        <w:w w:val="105"/>
        <w:sz w:val="19"/>
        <w:szCs w:val="19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228" w:hanging="317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223" w:hanging="317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217" w:hanging="31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212" w:hanging="31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206" w:hanging="31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201" w:hanging="31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95" w:hanging="317"/>
      </w:pPr>
      <w:rPr>
        <w:rFonts w:hint="default"/>
        <w:lang w:val="zh-CN" w:eastAsia="zh-CN" w:bidi="zh-CN"/>
      </w:rPr>
    </w:lvl>
  </w:abstractNum>
  <w:abstractNum w:abstractNumId="12">
    <w:nsid w:val="0248C179"/>
    <w:multiLevelType w:val="multilevel"/>
    <w:tmpl w:val="0248C179"/>
    <w:lvl w:ilvl="0">
      <w:start w:val="8"/>
      <w:numFmt w:val="decimal"/>
      <w:lvlText w:val="%1"/>
      <w:lvlJc w:val="left"/>
      <w:pPr>
        <w:ind w:left="550" w:hanging="317"/>
        <w:jc w:val="left"/>
      </w:pPr>
      <w:rPr>
        <w:rFonts w:hint="default"/>
        <w:lang w:val="zh-CN" w:eastAsia="zh-CN" w:bidi="zh-CN"/>
      </w:rPr>
    </w:lvl>
    <w:lvl w:ilvl="1">
      <w:start w:val="7"/>
      <w:numFmt w:val="decimal"/>
      <w:lvlText w:val="%1.%2"/>
      <w:lvlJc w:val="left"/>
      <w:pPr>
        <w:ind w:left="550" w:hanging="317"/>
        <w:jc w:val="righ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234" w:hanging="52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1"/>
      <w:numFmt w:val="decimal"/>
      <w:lvlText w:val="%1.%2.%3.%4"/>
      <w:lvlJc w:val="left"/>
      <w:pPr>
        <w:ind w:left="970" w:hanging="73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4">
      <w:start w:val="1"/>
      <w:numFmt w:val="lowerLetter"/>
      <w:lvlText w:val="%5)"/>
      <w:lvlJc w:val="left"/>
      <w:pPr>
        <w:ind w:left="856" w:hanging="203"/>
        <w:jc w:val="left"/>
      </w:pPr>
      <w:rPr>
        <w:rFonts w:ascii="宋体" w:eastAsia="宋体" w:hAnsi="宋体" w:cs="宋体" w:hint="default"/>
        <w:spacing w:val="-1"/>
        <w:w w:val="118"/>
        <w:sz w:val="18"/>
        <w:szCs w:val="18"/>
        <w:lang w:val="zh-CN" w:eastAsia="zh-CN" w:bidi="zh-CN"/>
      </w:rPr>
    </w:lvl>
    <w:lvl w:ilvl="5">
      <w:start w:val="0"/>
      <w:numFmt w:val="bullet"/>
      <w:lvlText w:val="•"/>
      <w:lvlJc w:val="left"/>
      <w:pPr>
        <w:ind w:left="980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1160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3416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5672" w:hanging="203"/>
      </w:pPr>
      <w:rPr>
        <w:rFonts w:hint="default"/>
        <w:lang w:val="zh-CN" w:eastAsia="zh-CN" w:bidi="zh-CN"/>
      </w:rPr>
    </w:lvl>
  </w:abstractNum>
  <w:abstractNum w:abstractNumId="13">
    <w:nsid w:val="03D62ECE"/>
    <w:multiLevelType w:val="multilevel"/>
    <w:tmpl w:val="03D62ECE"/>
    <w:lvl w:ilvl="0">
      <w:start w:val="8"/>
      <w:numFmt w:val="decimal"/>
      <w:lvlText w:val="%1"/>
      <w:lvlJc w:val="left"/>
      <w:pPr>
        <w:ind w:left="550" w:hanging="317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550" w:hanging="31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233" w:hanging="52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1"/>
      <w:numFmt w:val="lowerLetter"/>
      <w:lvlText w:val="%4)"/>
      <w:lvlJc w:val="left"/>
      <w:pPr>
        <w:ind w:left="1357" w:hanging="203"/>
        <w:jc w:val="left"/>
      </w:pPr>
      <w:rPr>
        <w:rFonts w:ascii="宋体" w:eastAsia="宋体" w:hAnsi="宋体" w:cs="宋体" w:hint="default"/>
        <w:spacing w:val="-2"/>
        <w:w w:val="118"/>
        <w:sz w:val="18"/>
        <w:szCs w:val="18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566" w:hanging="20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669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772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875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978" w:hanging="203"/>
      </w:pPr>
      <w:rPr>
        <w:rFonts w:hint="default"/>
        <w:lang w:val="zh-CN" w:eastAsia="zh-CN" w:bidi="zh-CN"/>
      </w:rPr>
    </w:lvl>
  </w:abstractNum>
  <w:abstractNum w:abstractNumId="14">
    <w:nsid w:val="0E640482"/>
    <w:multiLevelType w:val="multilevel"/>
    <w:tmpl w:val="0E640482"/>
    <w:lvl w:ilvl="0">
      <w:start w:val="12"/>
      <w:numFmt w:val="decimal"/>
      <w:lvlText w:val="%1"/>
      <w:lvlJc w:val="left"/>
      <w:pPr>
        <w:ind w:left="940" w:hanging="423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940" w:hanging="42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518" w:hanging="63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994" w:hanging="63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021" w:hanging="63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048" w:hanging="63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075" w:hanging="63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102" w:hanging="63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30" w:hanging="633"/>
      </w:pPr>
      <w:rPr>
        <w:rFonts w:hint="default"/>
        <w:lang w:val="zh-CN" w:eastAsia="zh-CN" w:bidi="zh-CN"/>
      </w:rPr>
    </w:lvl>
  </w:abstractNum>
  <w:abstractNum w:abstractNumId="15">
    <w:nsid w:val="2470EC97"/>
    <w:multiLevelType w:val="multilevel"/>
    <w:tmpl w:val="2470EC97"/>
    <w:lvl w:ilvl="0">
      <w:start w:val="9"/>
      <w:numFmt w:val="decimal"/>
      <w:lvlText w:val="%1"/>
      <w:lvlJc w:val="left"/>
      <w:pPr>
        <w:ind w:left="1044" w:hanging="527"/>
        <w:jc w:val="left"/>
      </w:pPr>
      <w:rPr>
        <w:rFonts w:hint="default"/>
        <w:lang w:val="zh-CN" w:eastAsia="zh-CN" w:bidi="zh-CN"/>
      </w:rPr>
    </w:lvl>
    <w:lvl w:ilvl="1">
      <w:start w:val="4"/>
      <w:numFmt w:val="decimal"/>
      <w:lvlText w:val="%1.%2"/>
      <w:lvlJc w:val="left"/>
      <w:pPr>
        <w:ind w:left="1044" w:hanging="527"/>
        <w:jc w:val="left"/>
      </w:pPr>
      <w:rPr>
        <w:rFonts w:hint="default"/>
        <w:lang w:val="zh-CN" w:eastAsia="zh-CN" w:bidi="zh-CN"/>
      </w:rPr>
    </w:lvl>
    <w:lvl w:ilvl="2">
      <w:start w:val="6"/>
      <w:numFmt w:val="decimal"/>
      <w:lvlText w:val="%1.%2.%3"/>
      <w:lvlJc w:val="left"/>
      <w:pPr>
        <w:ind w:left="1044" w:hanging="527"/>
        <w:jc w:val="left"/>
      </w:pPr>
      <w:rPr>
        <w:rFonts w:ascii="宋体" w:eastAsia="宋体" w:hAnsi="宋体" w:cs="宋体" w:hint="default"/>
        <w:spacing w:val="-2"/>
        <w:w w:val="105"/>
        <w:sz w:val="19"/>
        <w:szCs w:val="19"/>
        <w:lang w:val="zh-CN" w:eastAsia="zh-CN" w:bidi="zh-CN"/>
      </w:rPr>
    </w:lvl>
    <w:lvl w:ilvl="3">
      <w:start w:val="1"/>
      <w:numFmt w:val="decimal"/>
      <w:lvlText w:val="%1.%2.%3.%4"/>
      <w:lvlJc w:val="left"/>
      <w:pPr>
        <w:ind w:left="1255" w:hanging="737"/>
        <w:jc w:val="left"/>
      </w:pPr>
      <w:rPr>
        <w:rFonts w:ascii="宋体" w:eastAsia="宋体" w:hAnsi="宋体" w:cs="宋体" w:hint="default"/>
        <w:spacing w:val="-2"/>
        <w:w w:val="105"/>
        <w:sz w:val="19"/>
        <w:szCs w:val="19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234" w:hanging="73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226" w:hanging="73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218" w:hanging="73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209" w:hanging="73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201" w:hanging="737"/>
      </w:pPr>
      <w:rPr>
        <w:rFonts w:hint="default"/>
        <w:lang w:val="zh-CN" w:eastAsia="zh-CN" w:bidi="zh-CN"/>
      </w:rPr>
    </w:lvl>
  </w:abstractNum>
  <w:abstractNum w:abstractNumId="16">
    <w:nsid w:val="25B654F3"/>
    <w:multiLevelType w:val="multilevel"/>
    <w:tmpl w:val="25B654F3"/>
    <w:lvl w:ilvl="0">
      <w:start w:val="8"/>
      <w:numFmt w:val="decimal"/>
      <w:lvlText w:val="%1"/>
      <w:lvlJc w:val="left"/>
      <w:pPr>
        <w:ind w:left="1045" w:hanging="527"/>
        <w:jc w:val="left"/>
      </w:pPr>
      <w:rPr>
        <w:rFonts w:hint="default"/>
        <w:lang w:val="zh-CN" w:eastAsia="zh-CN" w:bidi="zh-CN"/>
      </w:rPr>
    </w:lvl>
    <w:lvl w:ilvl="1">
      <w:start w:val="5"/>
      <w:numFmt w:val="decimal"/>
      <w:lvlText w:val="%1.%2"/>
      <w:lvlJc w:val="left"/>
      <w:pPr>
        <w:ind w:left="1045" w:hanging="527"/>
        <w:jc w:val="left"/>
      </w:pPr>
      <w:rPr>
        <w:rFonts w:hint="default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1045" w:hanging="52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1"/>
      <w:numFmt w:val="lowerLetter"/>
      <w:lvlText w:val="%4)"/>
      <w:lvlJc w:val="left"/>
      <w:pPr>
        <w:ind w:left="1140" w:hanging="203"/>
        <w:jc w:val="left"/>
      </w:pPr>
      <w:rPr>
        <w:rFonts w:ascii="宋体" w:eastAsia="宋体" w:hAnsi="宋体" w:cs="宋体" w:hint="default"/>
        <w:spacing w:val="-2"/>
        <w:w w:val="118"/>
        <w:sz w:val="18"/>
        <w:szCs w:val="18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154" w:hanging="20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159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164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169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74" w:hanging="203"/>
      </w:pPr>
      <w:rPr>
        <w:rFonts w:hint="default"/>
        <w:lang w:val="zh-CN" w:eastAsia="zh-CN" w:bidi="zh-CN"/>
      </w:rPr>
    </w:lvl>
  </w:abstractNum>
  <w:abstractNum w:abstractNumId="17">
    <w:nsid w:val="2A8F537B"/>
    <w:multiLevelType w:val="multilevel"/>
    <w:tmpl w:val="2A8F537B"/>
    <w:lvl w:ilvl="0">
      <w:start w:val="1"/>
      <w:numFmt w:val="lowerLetter"/>
      <w:lvlText w:val="%1)"/>
      <w:lvlJc w:val="left"/>
      <w:pPr>
        <w:ind w:left="1140" w:hanging="203"/>
        <w:jc w:val="left"/>
      </w:pPr>
      <w:rPr>
        <w:rFonts w:ascii="宋体" w:eastAsia="宋体" w:hAnsi="宋体" w:cs="宋体" w:hint="default"/>
        <w:spacing w:val="-2"/>
        <w:w w:val="118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2044" w:hanging="203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948" w:hanging="203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853" w:hanging="20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757" w:hanging="20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662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566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471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75" w:hanging="203"/>
      </w:pPr>
      <w:rPr>
        <w:rFonts w:hint="default"/>
        <w:lang w:val="zh-CN" w:eastAsia="zh-CN" w:bidi="zh-CN"/>
      </w:rPr>
    </w:lvl>
  </w:abstractNum>
  <w:abstractNum w:abstractNumId="18">
    <w:nsid w:val="46A08BB8"/>
    <w:multiLevelType w:val="multilevel"/>
    <w:tmpl w:val="46A08BB8"/>
    <w:lvl w:ilvl="0">
      <w:start w:val="13"/>
      <w:numFmt w:val="decimal"/>
      <w:lvlText w:val="%1"/>
      <w:lvlJc w:val="left"/>
      <w:pPr>
        <w:ind w:left="940" w:hanging="423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940" w:hanging="423"/>
        <w:jc w:val="righ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1150" w:hanging="633"/>
        <w:jc w:val="righ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1"/>
      <w:numFmt w:val="decimal"/>
      <w:lvlText w:val="%1.%2.%3.%4"/>
      <w:lvlJc w:val="left"/>
      <w:pPr>
        <w:ind w:left="518" w:hanging="84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4">
      <w:start w:val="1"/>
      <w:numFmt w:val="lowerLetter"/>
      <w:lvlText w:val="%5)"/>
      <w:lvlJc w:val="left"/>
      <w:pPr>
        <w:ind w:left="1140" w:hanging="203"/>
        <w:jc w:val="left"/>
      </w:pPr>
      <w:rPr>
        <w:rFonts w:ascii="宋体" w:eastAsia="宋体" w:hAnsi="宋体" w:cs="宋体" w:hint="default"/>
        <w:spacing w:val="-2"/>
        <w:w w:val="118"/>
        <w:sz w:val="18"/>
        <w:szCs w:val="18"/>
        <w:lang w:val="zh-CN" w:eastAsia="zh-CN" w:bidi="zh-CN"/>
      </w:rPr>
    </w:lvl>
    <w:lvl w:ilvl="5">
      <w:start w:val="0"/>
      <w:numFmt w:val="bullet"/>
      <w:lvlText w:val="•"/>
      <w:lvlJc w:val="left"/>
      <w:pPr>
        <w:ind w:left="1140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1160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1360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4301" w:hanging="203"/>
      </w:pPr>
      <w:rPr>
        <w:rFonts w:hint="default"/>
        <w:lang w:val="zh-CN" w:eastAsia="zh-CN" w:bidi="zh-CN"/>
      </w:rPr>
    </w:lvl>
  </w:abstractNum>
  <w:abstractNum w:abstractNumId="19">
    <w:nsid w:val="4C1BAE26"/>
    <w:multiLevelType w:val="multilevel"/>
    <w:tmpl w:val="4C1BAE26"/>
    <w:lvl w:ilvl="0">
      <w:start w:val="10"/>
      <w:numFmt w:val="decimal"/>
      <w:lvlText w:val="%1"/>
      <w:lvlJc w:val="left"/>
      <w:pPr>
        <w:ind w:left="234" w:hanging="633"/>
        <w:jc w:val="left"/>
      </w:pPr>
      <w:rPr>
        <w:rFonts w:hint="default"/>
        <w:lang w:val="zh-CN" w:eastAsia="zh-CN" w:bidi="zh-CN"/>
      </w:rPr>
    </w:lvl>
    <w:lvl w:ilvl="1">
      <w:start w:val="2"/>
      <w:numFmt w:val="decimal"/>
      <w:lvlText w:val="%1.%2"/>
      <w:lvlJc w:val="left"/>
      <w:pPr>
        <w:ind w:left="234" w:hanging="633"/>
        <w:jc w:val="left"/>
      </w:pPr>
      <w:rPr>
        <w:rFonts w:hint="default"/>
        <w:lang w:val="zh-CN" w:eastAsia="zh-CN" w:bidi="zh-CN"/>
      </w:rPr>
    </w:lvl>
    <w:lvl w:ilvl="2">
      <w:start w:val="6"/>
      <w:numFmt w:val="decimal"/>
      <w:lvlText w:val="%1.%2.%3"/>
      <w:lvlJc w:val="left"/>
      <w:pPr>
        <w:ind w:left="234" w:hanging="63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1"/>
      <w:numFmt w:val="lowerLetter"/>
      <w:lvlText w:val="%4)"/>
      <w:lvlJc w:val="left"/>
      <w:pPr>
        <w:ind w:left="1072" w:hanging="203"/>
        <w:jc w:val="left"/>
      </w:pPr>
      <w:rPr>
        <w:rFonts w:ascii="宋体" w:eastAsia="宋体" w:hAnsi="宋体" w:cs="宋体" w:hint="default"/>
        <w:spacing w:val="-1"/>
        <w:w w:val="111"/>
        <w:sz w:val="18"/>
        <w:szCs w:val="18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114" w:hanging="20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126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138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149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61" w:hanging="203"/>
      </w:pPr>
      <w:rPr>
        <w:rFonts w:hint="default"/>
        <w:lang w:val="zh-CN" w:eastAsia="zh-CN" w:bidi="zh-CN"/>
      </w:rPr>
    </w:lvl>
  </w:abstractNum>
  <w:abstractNum w:abstractNumId="20">
    <w:nsid w:val="4D4DC07F"/>
    <w:multiLevelType w:val="multilevel"/>
    <w:tmpl w:val="4D4DC07F"/>
    <w:lvl w:ilvl="0">
      <w:start w:val="9"/>
      <w:numFmt w:val="decimal"/>
      <w:lvlText w:val="%1"/>
      <w:lvlJc w:val="left"/>
      <w:pPr>
        <w:ind w:left="234" w:hanging="737"/>
        <w:jc w:val="left"/>
      </w:pPr>
      <w:rPr>
        <w:rFonts w:hint="default"/>
        <w:lang w:val="zh-CN" w:eastAsia="zh-CN" w:bidi="zh-CN"/>
      </w:rPr>
    </w:lvl>
    <w:lvl w:ilvl="1">
      <w:start w:val="2"/>
      <w:numFmt w:val="decimal"/>
      <w:lvlText w:val="%1.%2"/>
      <w:lvlJc w:val="left"/>
      <w:pPr>
        <w:ind w:left="234" w:hanging="737"/>
        <w:jc w:val="left"/>
      </w:pPr>
      <w:rPr>
        <w:rFonts w:hint="default"/>
        <w:lang w:val="zh-CN" w:eastAsia="zh-CN" w:bidi="zh-CN"/>
      </w:rPr>
    </w:lvl>
    <w:lvl w:ilvl="2">
      <w:start w:val="6"/>
      <w:numFmt w:val="decimal"/>
      <w:lvlText w:val="%1.%2.%3"/>
      <w:lvlJc w:val="left"/>
      <w:pPr>
        <w:ind w:left="234" w:hanging="737"/>
        <w:jc w:val="left"/>
      </w:pPr>
      <w:rPr>
        <w:rFonts w:hint="default"/>
        <w:lang w:val="zh-CN" w:eastAsia="zh-CN" w:bidi="zh-CN"/>
      </w:rPr>
    </w:lvl>
    <w:lvl w:ilvl="3">
      <w:start w:val="1"/>
      <w:numFmt w:val="decimal"/>
      <w:lvlText w:val="%1.%2.%3.%4"/>
      <w:lvlJc w:val="left"/>
      <w:pPr>
        <w:ind w:left="234" w:hanging="737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217" w:hanging="73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212" w:hanging="73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206" w:hanging="73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201" w:hanging="73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95" w:hanging="737"/>
      </w:pPr>
      <w:rPr>
        <w:rFonts w:hint="default"/>
        <w:lang w:val="zh-CN" w:eastAsia="zh-CN" w:bidi="zh-CN"/>
      </w:rPr>
    </w:lvl>
  </w:abstractNum>
  <w:abstractNum w:abstractNumId="21">
    <w:nsid w:val="59ADCABA"/>
    <w:multiLevelType w:val="multilevel"/>
    <w:tmpl w:val="59ADCABA"/>
    <w:lvl w:ilvl="0">
      <w:start w:val="6"/>
      <w:numFmt w:val="decimal"/>
      <w:lvlText w:val="%1"/>
      <w:lvlJc w:val="left"/>
      <w:pPr>
        <w:ind w:left="835" w:hanging="317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835" w:hanging="317"/>
        <w:jc w:val="righ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708" w:hanging="317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643" w:hanging="317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577" w:hanging="31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512" w:hanging="31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446" w:hanging="31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381" w:hanging="31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15" w:hanging="317"/>
      </w:pPr>
      <w:rPr>
        <w:rFonts w:hint="default"/>
        <w:lang w:val="zh-CN" w:eastAsia="zh-CN" w:bidi="zh-CN"/>
      </w:rPr>
    </w:lvl>
  </w:abstractNum>
  <w:abstractNum w:abstractNumId="22">
    <w:nsid w:val="5A241D34"/>
    <w:multiLevelType w:val="multilevel"/>
    <w:tmpl w:val="5A241D34"/>
    <w:lvl w:ilvl="0">
      <w:start w:val="9"/>
      <w:numFmt w:val="decimal"/>
      <w:lvlText w:val="%1"/>
      <w:lvlJc w:val="left"/>
      <w:pPr>
        <w:ind w:left="835" w:hanging="317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835" w:hanging="317"/>
        <w:jc w:val="right"/>
      </w:pPr>
      <w:rPr>
        <w:rFonts w:ascii="宋体" w:eastAsia="宋体" w:hAnsi="宋体" w:cs="宋体" w:hint="default"/>
        <w:spacing w:val="-2"/>
        <w:w w:val="105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518" w:hanging="527"/>
        <w:jc w:val="left"/>
      </w:pPr>
      <w:rPr>
        <w:rFonts w:ascii="宋体" w:eastAsia="宋体" w:hAnsi="宋体" w:cs="宋体" w:hint="default"/>
        <w:spacing w:val="-2"/>
        <w:w w:val="105"/>
        <w:sz w:val="19"/>
        <w:szCs w:val="19"/>
        <w:lang w:val="zh-CN" w:eastAsia="zh-CN" w:bidi="zh-CN"/>
      </w:rPr>
    </w:lvl>
    <w:lvl w:ilvl="3">
      <w:start w:val="1"/>
      <w:numFmt w:val="decimal"/>
      <w:lvlText w:val="%1.%2.%3.%4"/>
      <w:lvlJc w:val="left"/>
      <w:pPr>
        <w:ind w:left="518" w:hanging="737"/>
        <w:jc w:val="right"/>
      </w:pPr>
      <w:rPr>
        <w:rFonts w:ascii="宋体" w:eastAsia="宋体" w:hAnsi="宋体" w:cs="宋体" w:hint="default"/>
        <w:spacing w:val="-2"/>
        <w:w w:val="105"/>
        <w:sz w:val="19"/>
        <w:szCs w:val="19"/>
        <w:lang w:val="zh-CN" w:eastAsia="zh-CN" w:bidi="zh-CN"/>
      </w:rPr>
    </w:lvl>
    <w:lvl w:ilvl="4">
      <w:start w:val="1"/>
      <w:numFmt w:val="lowerLetter"/>
      <w:lvlText w:val="%5)"/>
      <w:lvlJc w:val="left"/>
      <w:pPr>
        <w:ind w:left="1072" w:hanging="203"/>
        <w:jc w:val="left"/>
      </w:pPr>
      <w:rPr>
        <w:rFonts w:ascii="宋体" w:eastAsia="宋体" w:hAnsi="宋体" w:cs="宋体" w:hint="default"/>
        <w:spacing w:val="-1"/>
        <w:w w:val="118"/>
        <w:sz w:val="18"/>
        <w:szCs w:val="18"/>
        <w:lang w:val="zh-CN" w:eastAsia="zh-CN" w:bidi="zh-CN"/>
      </w:rPr>
    </w:lvl>
    <w:lvl w:ilvl="5">
      <w:start w:val="0"/>
      <w:numFmt w:val="bullet"/>
      <w:lvlText w:val="•"/>
      <w:lvlJc w:val="left"/>
      <w:pPr>
        <w:ind w:left="1040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1080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1260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4234" w:hanging="203"/>
      </w:pPr>
      <w:rPr>
        <w:rFonts w:hint="default"/>
        <w:lang w:val="zh-CN" w:eastAsia="zh-CN" w:bidi="zh-CN"/>
      </w:rPr>
    </w:lvl>
  </w:abstractNum>
  <w:abstractNum w:abstractNumId="23">
    <w:nsid w:val="60382F6E"/>
    <w:multiLevelType w:val="multilevel"/>
    <w:tmpl w:val="60382F6E"/>
    <w:lvl w:ilvl="0">
      <w:start w:val="11"/>
      <w:numFmt w:val="decimal"/>
      <w:lvlText w:val="%1"/>
      <w:lvlJc w:val="left"/>
      <w:pPr>
        <w:ind w:left="656" w:hanging="423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656" w:hanging="423"/>
        <w:jc w:val="righ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234" w:hanging="633"/>
        <w:jc w:val="righ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1"/>
      <w:numFmt w:val="lowerLetter"/>
      <w:lvlText w:val="%4)"/>
      <w:lvlJc w:val="left"/>
      <w:pPr>
        <w:ind w:left="856" w:hanging="203"/>
        <w:jc w:val="left"/>
      </w:pPr>
      <w:rPr>
        <w:rFonts w:ascii="宋体" w:eastAsia="宋体" w:hAnsi="宋体" w:cs="宋体" w:hint="default"/>
        <w:spacing w:val="-1"/>
        <w:w w:val="111"/>
        <w:sz w:val="18"/>
        <w:szCs w:val="18"/>
        <w:lang w:val="zh-CN" w:eastAsia="zh-CN" w:bidi="zh-CN"/>
      </w:rPr>
    </w:lvl>
    <w:lvl w:ilvl="4">
      <w:start w:val="0"/>
      <w:numFmt w:val="bullet"/>
      <w:lvlText w:val="•"/>
      <w:lvlJc w:val="left"/>
      <w:pPr>
        <w:ind w:left="1360" w:hanging="20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2830" w:hanging="20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4301" w:hanging="20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5772" w:hanging="20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242" w:hanging="203"/>
      </w:pPr>
      <w:rPr>
        <w:rFonts w:hint="default"/>
        <w:lang w:val="zh-CN" w:eastAsia="zh-CN" w:bidi="zh-CN"/>
      </w:rPr>
    </w:lvl>
  </w:abstractNum>
  <w:abstractNum w:abstractNumId="24">
    <w:nsid w:val="72183CF9"/>
    <w:multiLevelType w:val="multilevel"/>
    <w:tmpl w:val="72183CF9"/>
    <w:lvl w:ilvl="0">
      <w:start w:val="8"/>
      <w:numFmt w:val="decimal"/>
      <w:lvlText w:val="%1"/>
      <w:lvlJc w:val="left"/>
      <w:pPr>
        <w:ind w:left="518" w:hanging="527"/>
        <w:jc w:val="left"/>
      </w:pPr>
      <w:rPr>
        <w:rFonts w:hint="default"/>
        <w:lang w:val="zh-CN" w:eastAsia="zh-CN" w:bidi="zh-CN"/>
      </w:rPr>
    </w:lvl>
    <w:lvl w:ilvl="1">
      <w:start w:val="6"/>
      <w:numFmt w:val="decimal"/>
      <w:lvlText w:val="%1.%2"/>
      <w:lvlJc w:val="left"/>
      <w:pPr>
        <w:ind w:left="518" w:hanging="527"/>
        <w:jc w:val="left"/>
      </w:pPr>
      <w:rPr>
        <w:rFonts w:hint="default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518" w:hanging="527"/>
        <w:jc w:val="righ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419" w:hanging="527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85" w:hanging="52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52" w:hanging="52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318" w:hanging="52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285" w:hanging="52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251" w:hanging="527"/>
      </w:pPr>
      <w:rPr>
        <w:rFonts w:hint="default"/>
        <w:lang w:val="zh-CN" w:eastAsia="zh-CN" w:bidi="zh-CN"/>
      </w:rPr>
    </w:lvl>
  </w:abstractNum>
  <w:abstractNum w:abstractNumId="25">
    <w:nsid w:val="77ECEA79"/>
    <w:multiLevelType w:val="multilevel"/>
    <w:tmpl w:val="77ECEA79"/>
    <w:lvl w:ilvl="0">
      <w:start w:val="13"/>
      <w:numFmt w:val="decimal"/>
      <w:lvlText w:val="%1"/>
      <w:lvlJc w:val="left"/>
      <w:pPr>
        <w:ind w:left="866" w:hanging="633"/>
        <w:jc w:val="left"/>
      </w:pPr>
      <w:rPr>
        <w:rFonts w:hint="default"/>
        <w:lang w:val="zh-CN" w:eastAsia="zh-CN" w:bidi="zh-CN"/>
      </w:rPr>
    </w:lvl>
    <w:lvl w:ilvl="1">
      <w:start w:val="2"/>
      <w:numFmt w:val="decimal"/>
      <w:lvlText w:val="%1.%2"/>
      <w:lvlJc w:val="left"/>
      <w:pPr>
        <w:ind w:left="866" w:hanging="633"/>
        <w:jc w:val="left"/>
      </w:pPr>
      <w:rPr>
        <w:rFonts w:hint="default"/>
        <w:lang w:val="zh-CN" w:eastAsia="zh-CN" w:bidi="zh-CN"/>
      </w:rPr>
    </w:lvl>
    <w:lvl w:ilvl="2">
      <w:start w:val="5"/>
      <w:numFmt w:val="decimal"/>
      <w:lvlText w:val="%1.%2.%3"/>
      <w:lvlJc w:val="left"/>
      <w:pPr>
        <w:ind w:left="866" w:hanging="63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3">
      <w:start w:val="1"/>
      <w:numFmt w:val="decimal"/>
      <w:lvlText w:val="%1.%2.%3.%4"/>
      <w:lvlJc w:val="left"/>
      <w:pPr>
        <w:ind w:left="234" w:hanging="84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356" w:hanging="84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494" w:hanging="84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632" w:hanging="84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770" w:hanging="84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908" w:hanging="843"/>
      </w:pPr>
      <w:rPr>
        <w:rFonts w:hint="default"/>
        <w:lang w:val="zh-CN" w:eastAsia="zh-CN" w:bidi="zh-CN"/>
      </w:rPr>
    </w:lvl>
  </w:abstractNum>
  <w:abstractNum w:abstractNumId="26">
    <w:nsid w:val="7C246926"/>
    <w:multiLevelType w:val="multilevel"/>
    <w:tmpl w:val="7C246926"/>
    <w:lvl w:ilvl="0">
      <w:start w:val="13"/>
      <w:numFmt w:val="decimal"/>
      <w:lvlText w:val="%1"/>
      <w:lvlJc w:val="left"/>
      <w:pPr>
        <w:ind w:left="234" w:hanging="843"/>
        <w:jc w:val="left"/>
      </w:pPr>
      <w:rPr>
        <w:rFonts w:hint="default"/>
        <w:lang w:val="zh-CN" w:eastAsia="zh-CN" w:bidi="zh-CN"/>
      </w:rPr>
    </w:lvl>
    <w:lvl w:ilvl="1">
      <w:start w:val="2"/>
      <w:numFmt w:val="decimal"/>
      <w:lvlText w:val="%1.%2"/>
      <w:lvlJc w:val="left"/>
      <w:pPr>
        <w:ind w:left="234" w:hanging="843"/>
        <w:jc w:val="left"/>
      </w:pPr>
      <w:rPr>
        <w:rFonts w:hint="default"/>
        <w:lang w:val="zh-CN" w:eastAsia="zh-CN" w:bidi="zh-CN"/>
      </w:rPr>
    </w:lvl>
    <w:lvl w:ilvl="2">
      <w:start w:val="4"/>
      <w:numFmt w:val="decimal"/>
      <w:lvlText w:val="%1.%2.%3"/>
      <w:lvlJc w:val="left"/>
      <w:pPr>
        <w:ind w:left="234" w:hanging="843"/>
        <w:jc w:val="left"/>
      </w:pPr>
      <w:rPr>
        <w:rFonts w:hint="default"/>
        <w:lang w:val="zh-CN" w:eastAsia="zh-CN" w:bidi="zh-CN"/>
      </w:rPr>
    </w:lvl>
    <w:lvl w:ilvl="3">
      <w:start w:val="1"/>
      <w:numFmt w:val="decimal"/>
      <w:lvlText w:val="%1.%2.%3.%4"/>
      <w:lvlJc w:val="left"/>
      <w:pPr>
        <w:ind w:left="234" w:hanging="843"/>
        <w:jc w:val="left"/>
      </w:pPr>
      <w:rPr>
        <w:rFonts w:ascii="宋体" w:eastAsia="宋体" w:hAnsi="宋体" w:cs="宋体" w:hint="default"/>
        <w:spacing w:val="-2"/>
        <w:w w:val="111"/>
        <w:sz w:val="19"/>
        <w:szCs w:val="19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217" w:hanging="84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212" w:hanging="84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206" w:hanging="84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201" w:hanging="84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95" w:hanging="843"/>
      </w:pPr>
      <w:rPr>
        <w:rFonts w:hint="default"/>
        <w:lang w:val="zh-CN" w:eastAsia="zh-CN" w:bidi="zh-CN"/>
      </w:rPr>
    </w:lvl>
  </w:abstractNum>
  <w:num w:numId="1">
    <w:abstractNumId w:val="11"/>
  </w:num>
  <w:num w:numId="2">
    <w:abstractNumId w:val="7"/>
  </w:num>
  <w:num w:numId="3">
    <w:abstractNumId w:val="21"/>
  </w:num>
  <w:num w:numId="4">
    <w:abstractNumId w:val="5"/>
  </w:num>
  <w:num w:numId="5">
    <w:abstractNumId w:val="3"/>
  </w:num>
  <w:num w:numId="6">
    <w:abstractNumId w:val="13"/>
  </w:num>
  <w:num w:numId="7">
    <w:abstractNumId w:val="16"/>
  </w:num>
  <w:num w:numId="8">
    <w:abstractNumId w:val="24"/>
  </w:num>
  <w:num w:numId="9">
    <w:abstractNumId w:val="12"/>
  </w:num>
  <w:num w:numId="10">
    <w:abstractNumId w:val="0"/>
  </w:num>
  <w:num w:numId="11">
    <w:abstractNumId w:val="17"/>
  </w:num>
  <w:num w:numId="12">
    <w:abstractNumId w:val="22"/>
  </w:num>
  <w:num w:numId="13">
    <w:abstractNumId w:val="6"/>
  </w:num>
  <w:num w:numId="14">
    <w:abstractNumId w:val="20"/>
  </w:num>
  <w:num w:numId="15">
    <w:abstractNumId w:val="10"/>
  </w:num>
  <w:num w:numId="16">
    <w:abstractNumId w:val="15"/>
  </w:num>
  <w:num w:numId="17">
    <w:abstractNumId w:val="9"/>
  </w:num>
  <w:num w:numId="18">
    <w:abstractNumId w:val="8"/>
  </w:num>
  <w:num w:numId="19">
    <w:abstractNumId w:val="1"/>
  </w:num>
  <w:num w:numId="20">
    <w:abstractNumId w:val="19"/>
  </w:num>
  <w:num w:numId="21">
    <w:abstractNumId w:val="23"/>
  </w:num>
  <w:num w:numId="22">
    <w:abstractNumId w:val="14"/>
  </w:num>
  <w:num w:numId="23">
    <w:abstractNumId w:val="18"/>
  </w:num>
  <w:num w:numId="24">
    <w:abstractNumId w:val="2"/>
  </w:num>
  <w:num w:numId="25">
    <w:abstractNumId w:val="26"/>
  </w:num>
  <w:num w:numId="26">
    <w:abstractNumId w:val="2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C323D7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1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1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1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zh-CN" w:eastAsia="zh-CN" w:bidi="zh-CN"/>
    </w:rPr>
  </w:style>
  <w:style w:type="paragraph" w:styleId="Heading1">
    <w:name w:val="heading 1"/>
    <w:basedOn w:val="Normal"/>
    <w:next w:val="Normal"/>
    <w:uiPriority w:val="1"/>
    <w:qFormat/>
    <w:pPr>
      <w:spacing w:before="136"/>
      <w:ind w:left="1044"/>
      <w:outlineLvl w:val="0"/>
    </w:pPr>
    <w:rPr>
      <w:rFonts w:ascii="宋体" w:eastAsia="宋体" w:hAnsi="宋体" w:cs="宋体"/>
      <w:sz w:val="20"/>
      <w:szCs w:val="20"/>
      <w:lang w:val="zh-CN" w:eastAsia="zh-CN" w:bidi="zh-CN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19"/>
      <w:szCs w:val="19"/>
      <w:lang w:val="zh-CN" w:eastAsia="zh-CN" w:bidi="zh-CN"/>
    </w:rPr>
  </w:style>
  <w:style w:type="paragraph" w:styleId="Title">
    <w:name w:val="Title"/>
    <w:basedOn w:val="Normal"/>
    <w:uiPriority w:val="1"/>
    <w:qFormat/>
    <w:pPr>
      <w:spacing w:before="51"/>
      <w:ind w:left="2261" w:right="2080"/>
      <w:jc w:val="center"/>
    </w:pPr>
    <w:rPr>
      <w:rFonts w:ascii="宋体" w:eastAsia="宋体" w:hAnsi="宋体" w:cs="宋体"/>
      <w:sz w:val="48"/>
      <w:szCs w:val="48"/>
      <w:lang w:val="zh-CN" w:eastAsia="zh-CN" w:bidi="zh-CN"/>
    </w:rPr>
  </w:style>
  <w:style w:type="table" w:customStyle="1" w:styleId="TableNormal0">
    <w:name w:val="Table Normal_0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518"/>
    </w:pPr>
    <w:rPr>
      <w:rFonts w:ascii="宋体" w:eastAsia="宋体" w:hAnsi="宋体" w:cs="宋体"/>
      <w:lang w:val="zh-CN" w:eastAsia="zh-CN" w:bidi="zh-CN"/>
    </w:rPr>
  </w:style>
  <w:style w:type="paragraph" w:customStyle="1" w:styleId="TableParagraph">
    <w:name w:val="Table Paragraph"/>
    <w:basedOn w:val="Normal"/>
    <w:uiPriority w:val="1"/>
    <w:qFormat/>
    <w:pPr>
      <w:ind w:left="137"/>
      <w:jc w:val="center"/>
    </w:pPr>
    <w:rPr>
      <w:rFonts w:ascii="宋体" w:eastAsia="宋体" w:hAnsi="宋体" w:cs="宋体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85244342202011043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5"/>
    <customShpInfo spid="_x0000_s2054"/>
    <customShpInfo spid="_x0000_s2057"/>
    <customShpInfo spid="_x0000_s2056"/>
    <customShpInfo spid="_x0000_s2058"/>
    <customShpInfo spid="_x0000_s2059"/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&lt;4D6963726F736F667420576F7264202D20444234355420323035322D323031392DB8DFCBD9B9ABC2B7B7FECEF1C7F8C9E8BCC6B9E6B7B62D30333237&gt;</dc:title>
  <dc:creator>I</dc:creator>
  <cp:lastModifiedBy>0744</cp:lastModifiedBy>
  <cp:revision>0</cp:revision>
  <dcterms:created xsi:type="dcterms:W3CDTF">2024-01-19T06:48:00Z</dcterms:created>
  <dcterms:modified xsi:type="dcterms:W3CDTF">2024-01-19T06:50:19Z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2020-04-08T00:00:00Z</vt:filetime>
  </property>
  <property fmtid="{D5CDD505-2E9C-101B-9397-08002B2CF9AE}" pid="3" name="Creator">
    <vt:lpwstr>PScript5.dll Version 5.2.2</vt:lpwstr>
  </property>
  <property fmtid="{D5CDD505-2E9C-101B-9397-08002B2CF9AE}" pid="4" name="ICV">
    <vt:lpwstr>88F868AB32DD4318A086B44541089C5C</vt:lpwstr>
  </property>
  <property fmtid="{D5CDD505-2E9C-101B-9397-08002B2CF9AE}" pid="5" name="KSOProductBuildVer">
    <vt:lpwstr>2052-11.8.2.11718</vt:lpwstr>
  </property>
  <property fmtid="{D5CDD505-2E9C-101B-9397-08002B2CF9AE}" pid="6" name="LastSaved">
    <vt:filetime>2024-01-19T00:00:00Z</vt:filetime>
  </property>
</Properties>
</file>