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ascii="黑体" w:eastAsia="黑体" w:hAnsi="黑体" w:cs="黑体" w:hint="eastAsia"/>
          <w:sz w:val="32"/>
          <w:szCs w:val="32"/>
        </w:rPr>
      </w:pPr>
      <w:r>
        <w:rPr>
          <w:rFonts w:ascii="黑体" w:eastAsia="黑体" w:hAnsi="黑体" w:cs="黑体" w:hint="eastAsia"/>
          <w:sz w:val="32"/>
          <w:szCs w:val="32"/>
        </w:rPr>
        <w:t>中小企业应收账款管理分析——以瑞康医药为例</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ascii="黑体" w:eastAsia="黑体" w:hAnsi="黑体" w:cs="黑体" w:hint="eastAsia"/>
          <w:sz w:val="32"/>
          <w:szCs w:val="32"/>
        </w:rPr>
      </w:pP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outlineLvl w:val="0"/>
        <w:rPr>
          <w:rFonts w:ascii="黑体" w:eastAsia="黑体" w:hAnsi="黑体" w:cs="黑体" w:hint="eastAsia"/>
          <w:sz w:val="30"/>
          <w:szCs w:val="30"/>
        </w:rPr>
      </w:pPr>
      <w:bookmarkStart w:id="0" w:name="_Toc10520"/>
      <w:r>
        <w:rPr>
          <w:rFonts w:ascii="黑体" w:eastAsia="黑体" w:hAnsi="黑体" w:cs="黑体" w:hint="eastAsia"/>
          <w:sz w:val="30"/>
          <w:szCs w:val="30"/>
        </w:rPr>
        <w:t>摘要</w:t>
      </w:r>
      <w:bookmarkEnd w:id="0"/>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ascii="黑体" w:eastAsia="黑体" w:hAnsi="黑体" w:cs="黑体" w:hint="eastAsia"/>
          <w:sz w:val="30"/>
          <w:szCs w:val="30"/>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sz w:val="24"/>
        </w:rPr>
      </w:pPr>
      <w:r>
        <w:rPr>
          <w:rFonts w:ascii="宋体" w:eastAsia="宋体" w:hAnsi="宋体" w:cs="宋体" w:hint="eastAsia"/>
          <w:sz w:val="24"/>
        </w:rPr>
        <w:t>近年来我国宏观经济</w:t>
      </w:r>
      <w:r>
        <w:rPr>
          <w:rFonts w:ascii="宋体" w:eastAsia="宋体" w:hAnsi="宋体" w:cs="宋体" w:hint="eastAsia"/>
          <w:sz w:val="24"/>
          <w:lang w:eastAsia="zh-CN"/>
        </w:rPr>
        <w:t>已</w:t>
      </w:r>
      <w:r>
        <w:rPr>
          <w:rFonts w:ascii="宋体" w:eastAsia="宋体" w:hAnsi="宋体" w:cs="宋体" w:hint="eastAsia"/>
          <w:sz w:val="24"/>
        </w:rPr>
        <w:t>由过去高速增长转变为中低速平稳增长，给</w:t>
      </w:r>
      <w:r>
        <w:rPr>
          <w:rFonts w:ascii="宋体" w:eastAsia="宋体" w:hAnsi="宋体" w:cs="宋体" w:hint="eastAsia"/>
          <w:sz w:val="24"/>
          <w:lang w:eastAsia="zh-CN"/>
        </w:rPr>
        <w:t>企</w:t>
      </w:r>
      <w:r>
        <w:rPr>
          <w:rFonts w:ascii="宋体" w:eastAsia="宋体" w:hAnsi="宋体" w:cs="宋体" w:hint="eastAsia"/>
          <w:sz w:val="24"/>
        </w:rPr>
        <w:t>业的发展带来了更大的挑战。由于中小企业受自身规模相对较小的限制，在人才、资本等资源的获取和利用上存在缺陷，因此在战略的选择上无法采取多元化经营以分散经营风险，同时也无法采取成本竞争战略通过提高产量与规模较大的企业竞争。在此基础上，信用销售成为中小企业普遍采用的销售方式，能够帮助中小企业扩大销售规模、提高市场占有率、提升企业竞争力。赊销的广泛采用，直接导致企业的应收账款不断增加，使得应收账款管理成为企业必须积极应对的一个重要课题，应收账款的管理成为影响中小企业发展的重要因素之一。针对企业的发展而言，应收账款属于双刃剑，一方面，其会给企业的发展带来威胁；另一方面，也会让企业获得更多机会。应收账款管理得当的话，企业能够提升销量，获得更多经济收益，实现稳定发展，在行业中的综合实力也能全面提升；反之，则可能占用大量资金，导致企业出现资金缺乏的问题，阻碍企业经营发展。面对应收账款带来的风险更多的是采取事后补救的办法，对于潜在财务危机的识别能力还较低。毫无疑问，及时采取措施解决应收账款管理问题对企业发展具有重要意义。本文主要对瑞康医药集团股份有限公司应收账款进行分析，找出企业应收账款存在的问题，并得出可供借鉴的管理方法。</w:t>
      </w:r>
    </w:p>
    <w:p>
      <w:pPr>
        <w:keepNext w:val="0"/>
        <w:keepLines w:val="0"/>
        <w:pageBreakBefore w:val="0"/>
        <w:widowControl w:val="0"/>
        <w:kinsoku/>
        <w:wordWrap/>
        <w:overflowPunct/>
        <w:topLinePunct w:val="0"/>
        <w:autoSpaceDE/>
        <w:autoSpaceDN/>
        <w:bidi w:val="0"/>
        <w:adjustRightInd/>
        <w:snapToGrid/>
        <w:spacing w:before="312" w:beforeLines="100" w:line="300" w:lineRule="auto"/>
        <w:textAlignment w:val="auto"/>
        <w:rPr>
          <w:rFonts w:ascii="宋体" w:eastAsia="宋体" w:hAnsi="宋体" w:cs="宋体"/>
          <w:sz w:val="24"/>
        </w:rPr>
      </w:pPr>
      <w:bookmarkStart w:id="1" w:name="_Toc184"/>
      <w:bookmarkStart w:id="2" w:name="_Toc21305"/>
      <w:bookmarkStart w:id="3" w:name="_Toc22600"/>
      <w:r>
        <w:rPr>
          <w:rFonts w:ascii="黑体" w:eastAsia="黑体" w:hAnsi="黑体" w:cs="黑体" w:hint="eastAsia"/>
          <w:sz w:val="24"/>
          <w:szCs w:val="24"/>
        </w:rPr>
        <w:t>关键词</w:t>
      </w:r>
      <w:r>
        <w:rPr>
          <w:rFonts w:ascii="黑体" w:eastAsia="黑体" w:hAnsi="黑体" w:cs="黑体" w:hint="eastAsia"/>
          <w:szCs w:val="21"/>
        </w:rPr>
        <w:t>：</w:t>
      </w:r>
      <w:bookmarkEnd w:id="1"/>
      <w:bookmarkEnd w:id="2"/>
      <w:bookmarkEnd w:id="3"/>
      <w:r>
        <w:rPr>
          <w:rFonts w:ascii="宋体" w:eastAsia="宋体" w:hAnsi="宋体" w:cs="宋体" w:hint="eastAsia"/>
          <w:sz w:val="24"/>
        </w:rPr>
        <w:t>应收账款；流动资产；管理方法</w:t>
      </w:r>
    </w:p>
    <w:p/>
    <w:p>
      <w:pPr>
        <w:spacing w:line="300" w:lineRule="auto"/>
        <w:rPr>
          <w:rFonts w:ascii="宋体" w:eastAsia="宋体" w:hAnsi="宋体" w:cs="宋体"/>
          <w:sz w:val="24"/>
        </w:rPr>
      </w:pPr>
    </w:p>
    <w:p>
      <w:pPr>
        <w:spacing w:line="300" w:lineRule="auto"/>
        <w:rPr>
          <w:rFonts w:ascii="宋体" w:eastAsia="宋体" w:hAnsi="宋体" w:cs="宋体"/>
          <w:sz w:val="24"/>
        </w:rPr>
      </w:pPr>
    </w:p>
    <w:p>
      <w:pPr>
        <w:spacing w:line="360" w:lineRule="auto"/>
        <w:ind w:firstLine="480" w:firstLineChars="200"/>
        <w:rPr>
          <w:rFonts w:ascii="宋体" w:eastAsia="宋体" w:hAnsi="宋体" w:cs="宋体"/>
          <w:sz w:val="24"/>
        </w:rPr>
        <w:sectPr>
          <w:headerReference w:type="default" r:id="rId5"/>
          <w:footerReference w:type="default" r:id="rId6"/>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upperRoman" w:start="1"/>
          <w:cols w:num="1" w:space="0"/>
          <w:rtlGutter w:val="0"/>
          <w:docGrid w:type="lines" w:linePitch="312" w:charSpace="0"/>
        </w:sectPr>
      </w:pPr>
    </w:p>
    <w:p>
      <w:pPr>
        <w:spacing w:line="300" w:lineRule="auto"/>
        <w:jc w:val="center"/>
        <w:rPr>
          <w:rFonts w:ascii="Times New Roman" w:eastAsia="宋体" w:hAnsi="Times New Roman" w:cs="Times New Roman" w:hint="eastAsia"/>
          <w:b/>
          <w:bCs/>
          <w:sz w:val="30"/>
          <w:szCs w:val="30"/>
        </w:rPr>
      </w:pPr>
      <w:r>
        <w:rPr>
          <w:rFonts w:ascii="Times New Roman" w:eastAsia="宋体" w:hAnsi="Times New Roman" w:cs="Times New Roman" w:hint="eastAsia"/>
          <w:b/>
          <w:bCs/>
          <w:sz w:val="30"/>
          <w:szCs w:val="30"/>
        </w:rPr>
        <w:t>Ruikang pharmaceutical accounts receivable brief analysis</w:t>
      </w:r>
    </w:p>
    <w:p>
      <w:pPr>
        <w:spacing w:line="300" w:lineRule="auto"/>
        <w:jc w:val="center"/>
        <w:rPr>
          <w:rFonts w:ascii="Times New Roman" w:eastAsia="宋体" w:hAnsi="Times New Roman" w:cs="Times New Roman" w:hint="eastAsia"/>
          <w:b/>
          <w:bCs/>
          <w:sz w:val="30"/>
          <w:szCs w:val="30"/>
        </w:rPr>
      </w:pPr>
    </w:p>
    <w:p>
      <w:pPr>
        <w:spacing w:line="300" w:lineRule="auto"/>
        <w:jc w:val="center"/>
        <w:outlineLvl w:val="0"/>
        <w:rPr>
          <w:rFonts w:ascii="Times New Roman" w:eastAsia="宋体" w:hAnsi="Times New Roman" w:cs="Times New Roman"/>
          <w:b/>
          <w:bCs/>
          <w:sz w:val="30"/>
          <w:szCs w:val="30"/>
        </w:rPr>
      </w:pPr>
      <w:bookmarkStart w:id="4" w:name="_Toc12953"/>
      <w:r>
        <w:rPr>
          <w:rFonts w:ascii="Times New Roman" w:eastAsia="宋体" w:hAnsi="Times New Roman" w:cs="Times New Roman"/>
          <w:b/>
          <w:bCs/>
          <w:sz w:val="30"/>
          <w:szCs w:val="30"/>
        </w:rPr>
        <w:t>Abstract</w:t>
      </w:r>
      <w:bookmarkEnd w:id="4"/>
    </w:p>
    <w:p>
      <w:pPr>
        <w:spacing w:line="300" w:lineRule="auto"/>
        <w:jc w:val="center"/>
        <w:rPr>
          <w:rFonts w:ascii="Times New Roman" w:eastAsia="宋体" w:hAnsi="Times New Roman" w:cs="Times New Roman"/>
          <w:b/>
          <w:bCs/>
          <w:sz w:val="30"/>
          <w:szCs w:val="30"/>
        </w:rPr>
      </w:pPr>
    </w:p>
    <w:p>
      <w:pPr>
        <w:spacing w:line="300" w:lineRule="auto"/>
        <w:ind w:firstLine="480" w:firstLineChars="200"/>
        <w:rPr>
          <w:rFonts w:ascii="Times New Roman" w:eastAsia="宋体" w:hAnsi="Times New Roman" w:cs="Times New Roman"/>
          <w:sz w:val="24"/>
        </w:rPr>
        <w:sectPr>
          <w:headerReference w:type="default" r:id="rId7"/>
          <w:footerReference w:type="default" r:id="rId8"/>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upperRoman" w:start="2"/>
          <w:cols w:num="1" w:space="0"/>
          <w:titlePg w:val="0"/>
          <w:rtlGutter w:val="0"/>
          <w:docGrid w:type="lines" w:linePitch="312" w:charSpace="0"/>
        </w:sectPr>
      </w:pPr>
      <w:r>
        <w:rPr>
          <w:rFonts w:ascii="Times New Roman" w:eastAsia="宋体" w:hAnsi="Times New Roman" w:cs="Times New Roman"/>
          <w:sz w:val="24"/>
        </w:rPr>
        <w:t xml:space="preserve"> </w:t>
      </w:r>
      <w:r>
        <w:rPr>
          <w:rFonts w:ascii="Times New Roman" w:eastAsia="宋体" w:hAnsi="Times New Roman" w:cs="Times New Roman" w:hint="eastAsia"/>
          <w:sz w:val="24"/>
        </w:rPr>
        <w:t>In recent years, China's macro economy has changed from the past high growth to medium-low and steady growth, which has brought greater challenges to the development of enterprises.As small and medium-sized enterprises are limited by their relatively small scale and have defects in the acquisition and utilization of talents, capital and other resources, they cannot adopt diversified operation to diversify operational risks in the choice of strategy, and they cannot adopt cost competition strategy to compete with large-scale enterprises by increasing output.On this basis, credit sales has become a common sales method used by small and medium-sized enterprises, which can help them expand their sales scale, improve their market share and enhance the competitiveness of enterprises.The widespread use of credit sales directly leads to the continuous increase of accounts receivable of enterprises, making the receivables management become an important topic that enterprises must actively deal with, and the management of accounts receivable has become one of the important factors affecting the development of small and medium-sized enterprises.For the development of enterprises, accounts receivable is a double-edged sword. On the one hand, it will pose a threat to the enterprise development; on the other hand, it will also get more opportunities.If accounts receivable are properly managed, the enterprise can increase sales, obtain more economic benefits, achieve stable development, and the comprehensive strength in the industry can be comprehensively improved; otherwise, it may occupy a large amount of capital, leading to the lack of lack of funds and hindering the operation and development of the enterprise.In the face of accounts receivable, more risk is adopted, and the ability to identify potential financial crises is still low.There is no doubt that taking timely measures to solve the accounts receivable management problem is of great significance to the development of enterprises.This paper mainly analyzes the receivables of Ruikang Pharmaceutical Group Co., Ltd., finds out the problems existing in the receivables of enterprises, and obtains the management methods for reference.</w:t>
      </w:r>
    </w:p>
    <w:p>
      <w:pPr>
        <w:keepNext w:val="0"/>
        <w:keepLines w:val="0"/>
        <w:pageBreakBefore w:val="0"/>
        <w:widowControl w:val="0"/>
        <w:kinsoku/>
        <w:wordWrap/>
        <w:overflowPunct/>
        <w:topLinePunct w:val="0"/>
        <w:autoSpaceDE/>
        <w:autoSpaceDN/>
        <w:bidi w:val="0"/>
        <w:adjustRightInd/>
        <w:snapToGrid/>
        <w:spacing w:before="312" w:beforeLines="100" w:line="300" w:lineRule="auto"/>
        <w:textAlignment w:val="auto"/>
        <w:rPr>
          <w:rFonts w:ascii="Times New Roman" w:eastAsia="宋体" w:hAnsi="Times New Roman" w:cs="Times New Roman"/>
          <w:sz w:val="24"/>
        </w:rPr>
        <w:sectPr>
          <w:headerReference w:type="default" r:id="rId9"/>
          <w:footerReference w:type="default" r:id="rId10"/>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upperRoman" w:start="3"/>
          <w:cols w:num="1" w:space="0"/>
          <w:titlePg w:val="0"/>
          <w:rtlGutter w:val="0"/>
          <w:docGrid w:type="lines" w:linePitch="312" w:charSpace="0"/>
        </w:sectPr>
      </w:pPr>
      <w:r>
        <w:rPr>
          <w:rFonts w:ascii="Times New Roman" w:eastAsia="宋体" w:hAnsi="Times New Roman" w:cs="Times New Roman"/>
          <w:b/>
          <w:bCs/>
          <w:sz w:val="24"/>
          <w:szCs w:val="24"/>
        </w:rPr>
        <w:t>Key words:</w:t>
      </w:r>
      <w:r>
        <w:rPr>
          <w:rFonts w:ascii="Times New Roman" w:eastAsia="宋体" w:hAnsi="Times New Roman" w:cs="Times New Roman"/>
          <w:sz w:val="24"/>
          <w:szCs w:val="24"/>
        </w:rPr>
        <w:t xml:space="preserve"> accounts receivable; current assets; management methods</w:t>
      </w:r>
    </w:p>
    <w:sdt>
      <w:sdtPr>
        <w:rPr>
          <w:rFonts w:ascii="黑体" w:eastAsia="黑体" w:hAnsi="黑体" w:cs="黑体" w:hint="eastAsia"/>
          <w:b w:val="0"/>
          <w:bCs w:val="0"/>
          <w:sz w:val="30"/>
          <w:szCs w:val="30"/>
        </w:rPr>
        <w:id w:val="147465832"/>
        <w:docPartObj>
          <w:docPartGallery w:val="Table of Contents"/>
          <w:docPartUnique/>
        </w:docPartObj>
        <w15:color w:val="DBDBDB"/>
      </w:sdtPr>
      <w:sdtEndPr>
        <w:rPr>
          <w:rFonts w:ascii="黑体" w:eastAsia="黑体" w:hAnsi="黑体" w:cs="黑体" w:hint="eastAsia"/>
          <w:b/>
          <w:bCs/>
          <w:sz w:val="21"/>
          <w:szCs w:val="30"/>
        </w:rPr>
      </w:sdtEndPr>
      <w:sdtContent>
        <w:p>
          <w:pPr>
            <w:spacing w:after="240" w:line="300" w:lineRule="auto"/>
            <w:jc w:val="center"/>
            <w:rPr>
              <w:rFonts w:ascii="宋体" w:eastAsia="宋体" w:hAnsi="宋体" w:cs="宋体" w:hint="eastAsia"/>
            </w:rPr>
          </w:pPr>
          <w:r>
            <w:rPr>
              <w:rFonts w:ascii="黑体" w:eastAsia="黑体" w:hAnsi="黑体" w:cs="黑体" w:hint="eastAsia"/>
              <w:b w:val="0"/>
              <w:bCs w:val="0"/>
              <w:sz w:val="30"/>
              <w:szCs w:val="30"/>
            </w:rPr>
            <w:t>目录</w:t>
          </w:r>
          <w:r>
            <w:rPr>
              <w:rFonts w:ascii="宋体" w:hAnsi="宋体" w:cs="宋体" w:hint="eastAsia"/>
              <w:sz w:val="24"/>
              <w:szCs w:val="24"/>
            </w:rPr>
            <w:fldChar w:fldCharType="begin"/>
          </w:r>
          <w:r>
            <w:rPr>
              <w:rFonts w:ascii="宋体" w:hAnsi="宋体" w:cs="宋体" w:hint="eastAsia"/>
              <w:sz w:val="24"/>
              <w:szCs w:val="24"/>
            </w:rPr>
            <w:instrText xml:space="preserve">TOC \o "1-3" \h \u </w:instrText>
          </w:r>
          <w:r>
            <w:rPr>
              <w:rFonts w:ascii="宋体" w:hAnsi="宋体" w:cs="宋体" w:hint="eastAsia"/>
              <w:sz w:val="24"/>
              <w:szCs w:val="24"/>
            </w:rPr>
            <w:fldChar w:fldCharType="separate"/>
          </w:r>
        </w:p>
        <w:p>
          <w:pPr>
            <w:pStyle w:val="TOC1"/>
            <w:tabs>
              <w:tab w:val="right" w:leader="dot" w:pos="9072"/>
            </w:tabs>
            <w:rPr>
              <w:rFonts w:asciiTheme="minorEastAsia" w:eastAsiaTheme="minorEastAsia" w:hAnsiTheme="minorEastAsia" w:cstheme="minorEastAsia" w:hint="eastAsia"/>
              <w:sz w:val="24"/>
              <w:szCs w:val="24"/>
            </w:rPr>
          </w:pPr>
          <w:hyperlink w:anchor="_Toc10520" w:history="1">
            <w:r>
              <w:rPr>
                <w:rFonts w:asciiTheme="minorEastAsia" w:eastAsiaTheme="minorEastAsia" w:hAnsiTheme="minorEastAsia" w:cstheme="minorEastAsia" w:hint="eastAsia"/>
                <w:sz w:val="24"/>
                <w:szCs w:val="24"/>
              </w:rPr>
              <w:t>摘要</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_Toc10520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I</w:t>
            </w:r>
            <w:r>
              <w:rPr>
                <w:rFonts w:asciiTheme="minorEastAsia" w:eastAsiaTheme="minorEastAsia" w:hAnsiTheme="minorEastAsia" w:cstheme="minorEastAsia" w:hint="eastAsia"/>
                <w:sz w:val="24"/>
                <w:szCs w:val="24"/>
              </w:rPr>
              <w:fldChar w:fldCharType="end"/>
            </w:r>
          </w:hyperlink>
        </w:p>
        <w:p>
          <w:pPr>
            <w:pStyle w:val="TOC1"/>
            <w:tabs>
              <w:tab w:val="right" w:leader="dot" w:pos="9072"/>
            </w:tabs>
            <w:rPr>
              <w:rFonts w:asciiTheme="minorEastAsia" w:eastAsiaTheme="minorEastAsia" w:hAnsiTheme="minorEastAsia" w:cstheme="minorEastAsia" w:hint="eastAsia"/>
              <w:sz w:val="24"/>
              <w:szCs w:val="24"/>
            </w:rPr>
          </w:pPr>
          <w:hyperlink w:anchor="_Toc12953" w:history="1">
            <w:r>
              <w:rPr>
                <w:rFonts w:asciiTheme="minorEastAsia" w:eastAsiaTheme="minorEastAsia" w:hAnsiTheme="minorEastAsia" w:cstheme="minorEastAsia" w:hint="eastAsia"/>
                <w:bCs/>
                <w:sz w:val="24"/>
                <w:szCs w:val="24"/>
              </w:rPr>
              <w:t>Abstract</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_Toc12953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II</w:t>
            </w:r>
            <w:r>
              <w:rPr>
                <w:rFonts w:asciiTheme="minorEastAsia" w:eastAsiaTheme="minorEastAsia" w:hAnsiTheme="minorEastAsia" w:cstheme="minorEastAsia" w:hint="eastAsia"/>
                <w:sz w:val="24"/>
                <w:szCs w:val="24"/>
              </w:rPr>
              <w:fldChar w:fldCharType="end"/>
            </w:r>
          </w:hyperlink>
        </w:p>
        <w:p>
          <w:pPr>
            <w:pStyle w:val="TOC1"/>
            <w:tabs>
              <w:tab w:val="right" w:leader="dot" w:pos="9072"/>
            </w:tabs>
            <w:rPr>
              <w:rFonts w:asciiTheme="minorEastAsia" w:eastAsiaTheme="minorEastAsia" w:hAnsiTheme="minorEastAsia" w:cstheme="minorEastAsia" w:hint="eastAsia"/>
              <w:sz w:val="24"/>
              <w:szCs w:val="24"/>
            </w:rPr>
          </w:pPr>
          <w:hyperlink w:anchor="_Toc28057" w:history="1">
            <w:r>
              <w:rPr>
                <w:rFonts w:asciiTheme="minorEastAsia" w:eastAsiaTheme="minorEastAsia" w:hAnsiTheme="minorEastAsia" w:cstheme="minorEastAsia" w:hint="eastAsia"/>
                <w:sz w:val="24"/>
                <w:szCs w:val="24"/>
                <w:lang w:eastAsia="zh-CN"/>
              </w:rPr>
              <w:t>一、绪论</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_Toc28057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4635" w:history="1">
            <w:r>
              <w:rPr>
                <w:rFonts w:asciiTheme="minorEastAsia" w:eastAsiaTheme="minorEastAsia" w:hAnsiTheme="minorEastAsia" w:cstheme="minorEastAsia" w:hint="eastAsia"/>
                <w:sz w:val="24"/>
                <w:szCs w:val="24"/>
                <w:lang w:val="en-US" w:eastAsia="zh-CN"/>
              </w:rPr>
              <w:t>（一）研究背景</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_Toc24635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4289" w:history="1">
            <w:r>
              <w:rPr>
                <w:rFonts w:asciiTheme="minorEastAsia" w:eastAsiaTheme="minorEastAsia" w:hAnsiTheme="minorEastAsia" w:cstheme="minorEastAsia" w:hint="eastAsia"/>
                <w:sz w:val="24"/>
                <w:szCs w:val="24"/>
                <w:lang w:val="en-US" w:eastAsia="zh-CN"/>
              </w:rPr>
              <w:t>（二）研究意义</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_Toc24289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3295" w:history="1">
            <w:r>
              <w:rPr>
                <w:rFonts w:asciiTheme="minorEastAsia" w:eastAsiaTheme="minorEastAsia" w:hAnsiTheme="minorEastAsia" w:cstheme="minorEastAsia" w:hint="eastAsia"/>
                <w:sz w:val="24"/>
                <w:szCs w:val="24"/>
                <w:lang w:val="en-US" w:eastAsia="zh-CN"/>
              </w:rPr>
              <w:t>（三） 国内外研究现状</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_Toc23295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19304" w:history="1">
            <w:r>
              <w:rPr>
                <w:rFonts w:asciiTheme="minorEastAsia" w:eastAsiaTheme="minorEastAsia" w:hAnsiTheme="minorEastAsia" w:cstheme="minorEastAsia" w:hint="eastAsia"/>
                <w:sz w:val="24"/>
                <w:szCs w:val="24"/>
                <w:lang w:val="en-US" w:eastAsia="zh-CN"/>
              </w:rPr>
              <w:t>1、国外研究现状</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_Toc19304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9487" w:history="1">
            <w:r>
              <w:rPr>
                <w:rFonts w:asciiTheme="minorEastAsia" w:eastAsiaTheme="minorEastAsia" w:hAnsiTheme="minorEastAsia" w:cstheme="minorEastAsia" w:hint="eastAsia"/>
                <w:sz w:val="24"/>
                <w:szCs w:val="24"/>
                <w:lang w:val="en-US" w:eastAsia="zh-CN"/>
              </w:rPr>
              <w:t>2、国内研究现状</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_Toc9487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19428" w:history="1">
            <w:r>
              <w:rPr>
                <w:rFonts w:asciiTheme="minorEastAsia" w:eastAsiaTheme="minorEastAsia" w:hAnsiTheme="minorEastAsia" w:cstheme="minorEastAsia" w:hint="eastAsia"/>
                <w:sz w:val="24"/>
                <w:szCs w:val="24"/>
                <w:lang w:val="en-US" w:eastAsia="zh-CN"/>
              </w:rPr>
              <w:t>（四） 研究方法</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_Toc19428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fldChar w:fldCharType="end"/>
            </w:r>
          </w:hyperlink>
        </w:p>
        <w:p>
          <w:pPr>
            <w:pStyle w:val="TOC1"/>
            <w:tabs>
              <w:tab w:val="right" w:leader="dot" w:pos="9072"/>
            </w:tabs>
            <w:rPr>
              <w:rFonts w:asciiTheme="minorEastAsia" w:eastAsiaTheme="minorEastAsia" w:hAnsiTheme="minorEastAsia" w:cstheme="minorEastAsia" w:hint="eastAsia"/>
              <w:sz w:val="24"/>
              <w:szCs w:val="24"/>
            </w:rPr>
          </w:pPr>
          <w:hyperlink w:anchor="_Toc24250" w:history="1">
            <w:r>
              <w:rPr>
                <w:rFonts w:asciiTheme="minorEastAsia" w:eastAsiaTheme="minorEastAsia" w:hAnsiTheme="minorEastAsia" w:cstheme="minorEastAsia" w:hint="eastAsia"/>
                <w:sz w:val="24"/>
                <w:szCs w:val="24"/>
                <w:lang w:eastAsia="zh-CN"/>
              </w:rPr>
              <w:t>二</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应收账款管理相关理论</w:t>
            </w:r>
            <w:r>
              <w:rPr>
                <w:rFonts w:asciiTheme="minorEastAsia" w:eastAsiaTheme="minorEastAsia" w:hAnsiTheme="minorEastAsia" w:cstheme="minorEastAsia" w:hint="eastAsia"/>
                <w:sz w:val="24"/>
                <w:szCs w:val="24"/>
              </w:rPr>
              <w:t>概述</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_Toc24250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6664" w:history="1">
            <w:r>
              <w:rPr>
                <w:rFonts w:asciiTheme="minorEastAsia" w:eastAsiaTheme="minorEastAsia" w:hAnsiTheme="minorEastAsia" w:cstheme="minorEastAsia" w:hint="eastAsia"/>
                <w:sz w:val="24"/>
                <w:szCs w:val="24"/>
              </w:rPr>
              <w:t>（一）应收账款的概念</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_Toc26664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15934" w:history="1">
            <w:r>
              <w:rPr>
                <w:rFonts w:asciiTheme="minorEastAsia" w:eastAsiaTheme="minorEastAsia" w:hAnsiTheme="minorEastAsia" w:cstheme="minorEastAsia" w:hint="eastAsia"/>
                <w:sz w:val="24"/>
                <w:szCs w:val="24"/>
                <w:lang w:eastAsia="zh-CN"/>
              </w:rPr>
              <w:t>（二）应收账款的特征</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_Toc15934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31821" w:history="1">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三</w:t>
            </w:r>
            <w:r>
              <w:rPr>
                <w:rFonts w:asciiTheme="minorEastAsia" w:eastAsiaTheme="minorEastAsia" w:hAnsiTheme="minorEastAsia" w:cstheme="minorEastAsia" w:hint="eastAsia"/>
                <w:sz w:val="24"/>
                <w:szCs w:val="24"/>
              </w:rPr>
              <w:t>）应收账款管理的意义</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_Toc31821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fldChar w:fldCharType="end"/>
            </w:r>
          </w:hyperlink>
        </w:p>
        <w:p>
          <w:pPr>
            <w:pStyle w:val="TOC1"/>
            <w:tabs>
              <w:tab w:val="right" w:leader="dot" w:pos="9072"/>
            </w:tabs>
            <w:rPr>
              <w:rFonts w:asciiTheme="minorEastAsia" w:eastAsiaTheme="minorEastAsia" w:hAnsiTheme="minorEastAsia" w:cstheme="minorEastAsia" w:hint="eastAsia"/>
              <w:sz w:val="24"/>
              <w:szCs w:val="24"/>
            </w:rPr>
          </w:pPr>
          <w:hyperlink w:anchor="_Toc31449" w:history="1">
            <w:r>
              <w:rPr>
                <w:rFonts w:asciiTheme="minorEastAsia" w:eastAsiaTheme="minorEastAsia" w:hAnsiTheme="minorEastAsia" w:cstheme="minorEastAsia" w:hint="eastAsia"/>
                <w:sz w:val="24"/>
                <w:szCs w:val="24"/>
                <w:lang w:eastAsia="zh-CN"/>
              </w:rPr>
              <w:t>三</w:t>
            </w:r>
            <w:r>
              <w:rPr>
                <w:rFonts w:asciiTheme="minorEastAsia" w:eastAsiaTheme="minorEastAsia" w:hAnsiTheme="minorEastAsia" w:cstheme="minorEastAsia" w:hint="eastAsia"/>
                <w:sz w:val="24"/>
                <w:szCs w:val="24"/>
              </w:rPr>
              <w:t>、中小企业应收账款管理现状分析——以瑞康医药为例</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_Toc31449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10236" w:history="1">
            <w:r>
              <w:rPr>
                <w:rFonts w:asciiTheme="minorEastAsia" w:eastAsiaTheme="minorEastAsia" w:hAnsiTheme="minorEastAsia" w:cstheme="minorEastAsia" w:hint="eastAsia"/>
                <w:sz w:val="24"/>
                <w:szCs w:val="24"/>
              </w:rPr>
              <w:t>（一）瑞康医药发展简介</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_Toc10236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8013" w:history="1">
            <w:r>
              <w:rPr>
                <w:rFonts w:asciiTheme="minorEastAsia" w:eastAsiaTheme="minorEastAsia" w:hAnsiTheme="minorEastAsia" w:cstheme="minorEastAsia" w:hint="eastAsia"/>
                <w:sz w:val="24"/>
                <w:szCs w:val="24"/>
              </w:rPr>
              <w:t>（二）瑞康医药应收账款管理的主要方法</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_Toc28013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8450" w:history="1">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en-US" w:eastAsia="zh-CN"/>
              </w:rPr>
              <w:t>、</w:t>
            </w:r>
            <w:r>
              <w:rPr>
                <w:rFonts w:asciiTheme="minorEastAsia" w:eastAsiaTheme="minorEastAsia" w:hAnsiTheme="minorEastAsia" w:cstheme="minorEastAsia" w:hint="eastAsia"/>
                <w:sz w:val="24"/>
                <w:szCs w:val="24"/>
              </w:rPr>
              <w:t>根据账龄分析计提坏账准备</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_Toc8450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31546" w:history="1">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制定收款责任体系</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_Toc31546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19358" w:history="1">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启用收账程序</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_Toc19358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17278" w:history="1">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建立客户档案信息</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_Toc17278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0008" w:history="1">
            <w:r>
              <w:rPr>
                <w:rFonts w:asciiTheme="minorEastAsia" w:eastAsiaTheme="minorEastAsia" w:hAnsiTheme="minorEastAsia" w:cstheme="minorEastAsia" w:hint="eastAsia"/>
                <w:sz w:val="24"/>
                <w:szCs w:val="24"/>
              </w:rPr>
              <w:t>（三）瑞康医药应收账款相关指标的分析</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_Toc20008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3834" w:history="1">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应收账款占流动资产比重分析</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_Toc3834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17153" w:history="1">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应收账款占营业收入比重</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_Toc17153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sectPr>
              <w:headerReference w:type="default" r:id="rId11"/>
              <w:footerReference w:type="default" r:id="rId12"/>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upperRoman" w:start="4"/>
              <w:cols w:num="1" w:space="0"/>
              <w:titlePg w:val="0"/>
              <w:rtlGutter w:val="0"/>
              <w:docGrid w:type="lines" w:linePitch="312" w:charSpace="0"/>
            </w:sectPr>
          </w:pPr>
          <w:hyperlink w:anchor="_Toc14505" w:history="1">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应收账款周转率和周转天数关系的分析</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_Toc14505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fldChar w:fldCharType="end"/>
            </w:r>
          </w:hyperlink>
        </w:p>
      </w:sdtContent>
    </w:sdt>
    <w:sdt>
      <w:sdtPr>
        <w:rPr>
          <w:rFonts w:ascii="黑体" w:eastAsia="黑体" w:hAnsi="黑体" w:cs="黑体" w:hint="eastAsia"/>
          <w:b w:val="0"/>
          <w:bCs w:val="0"/>
          <w:sz w:val="30"/>
          <w:szCs w:val="30"/>
        </w:rPr>
        <w:id w:val="2137821239"/>
        <w:docPartObj>
          <w:docPartGallery w:val="Table of Contents"/>
          <w:docPartUnique/>
        </w:docPartObj>
        <w15:color w:val="DBDBDB"/>
      </w:sdtPr>
      <w:sdtEndPr>
        <w:rPr>
          <w:rFonts w:ascii="黑体" w:eastAsia="黑体" w:hAnsi="黑体" w:cs="黑体" w:hint="eastAsia"/>
          <w:b/>
          <w:bCs/>
          <w:sz w:val="21"/>
          <w:szCs w:val="30"/>
        </w:rPr>
      </w:sdtEndPr>
      <w:sdtContent>
        <w:p>
          <w:pPr>
            <w:pStyle w:val="TOC3"/>
            <w:tabs>
              <w:tab w:val="right" w:leader="dot" w:pos="9072"/>
            </w:tabs>
            <w:rPr>
              <w:rFonts w:asciiTheme="minorEastAsia" w:eastAsiaTheme="minorEastAsia" w:hAnsiTheme="minorEastAsia" w:cstheme="minorEastAsia" w:hint="eastAsia"/>
              <w:sz w:val="24"/>
              <w:szCs w:val="24"/>
            </w:rPr>
          </w:pPr>
          <w:hyperlink w:anchor="_Toc746" w:history="1">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现金流量净额分析</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_Toc746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16687" w:history="1">
            <w:r>
              <w:rPr>
                <w:rFonts w:asciiTheme="minorEastAsia" w:eastAsiaTheme="minorEastAsia" w:hAnsiTheme="minorEastAsia" w:cstheme="minorEastAsia" w:hint="eastAsia"/>
                <w:sz w:val="24"/>
                <w:szCs w:val="24"/>
              </w:rPr>
              <w:t>（四）瑞康医药应收账款管理中存在的问题</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_Toc16687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4917" w:history="1">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存在较高的应收账款风险</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_Toc4917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2766" w:history="1">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应收账款的增长速度大于营业收入的增长速度</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_Toc2766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24181" w:history="1">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应收账款周转率低于企业的标准值</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_Toc24181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27098" w:history="1">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现金流量净额逐年地降低</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_Toc27098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1388" w:history="1">
            <w:r>
              <w:rPr>
                <w:rFonts w:asciiTheme="minorEastAsia" w:eastAsiaTheme="minorEastAsia" w:hAnsiTheme="minorEastAsia" w:cstheme="minorEastAsia" w:hint="eastAsia"/>
                <w:sz w:val="24"/>
                <w:szCs w:val="24"/>
              </w:rPr>
              <w:t>（五）瑞康医药应收账款管理不善的原因剖析</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_Toc21388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22025" w:history="1">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没有及时对应收账款的账龄进行分析，增大了企业的风险</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_Toc22025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9799" w:history="1">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客户信息档案不完善，使得应收的账款持续地提升</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_Toc9799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11031" w:history="1">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应收账款管理不善，加速了企业的现金流出</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_Toc11031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fldChar w:fldCharType="end"/>
            </w:r>
          </w:hyperlink>
        </w:p>
        <w:p>
          <w:pPr>
            <w:pStyle w:val="TOC3"/>
            <w:tabs>
              <w:tab w:val="right" w:leader="dot" w:pos="9072"/>
            </w:tabs>
            <w:rPr>
              <w:rFonts w:asciiTheme="minorEastAsia" w:eastAsiaTheme="minorEastAsia" w:hAnsiTheme="minorEastAsia" w:cstheme="minorEastAsia" w:hint="eastAsia"/>
              <w:sz w:val="24"/>
              <w:szCs w:val="24"/>
            </w:rPr>
          </w:pPr>
          <w:hyperlink w:anchor="_Toc1531" w:history="1">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应收账款的收账程序不规范，使得催收的费用大量地提升了</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_Toc1531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11</w:t>
            </w:r>
            <w:r>
              <w:rPr>
                <w:rFonts w:asciiTheme="minorEastAsia" w:eastAsiaTheme="minorEastAsia" w:hAnsiTheme="minorEastAsia" w:cstheme="minorEastAsia" w:hint="eastAsia"/>
                <w:sz w:val="24"/>
                <w:szCs w:val="24"/>
              </w:rPr>
              <w:fldChar w:fldCharType="end"/>
            </w:r>
          </w:hyperlink>
        </w:p>
        <w:p>
          <w:pPr>
            <w:pStyle w:val="TOC1"/>
            <w:tabs>
              <w:tab w:val="right" w:leader="dot" w:pos="9072"/>
            </w:tabs>
            <w:rPr>
              <w:rFonts w:asciiTheme="minorEastAsia" w:eastAsiaTheme="minorEastAsia" w:hAnsiTheme="minorEastAsia" w:cstheme="minorEastAsia" w:hint="eastAsia"/>
              <w:sz w:val="24"/>
              <w:szCs w:val="24"/>
            </w:rPr>
          </w:pPr>
          <w:hyperlink w:anchor="_Toc7048" w:history="1">
            <w:r>
              <w:rPr>
                <w:rFonts w:asciiTheme="minorEastAsia" w:eastAsiaTheme="minorEastAsia" w:hAnsiTheme="minorEastAsia" w:cstheme="minorEastAsia" w:hint="eastAsia"/>
                <w:sz w:val="24"/>
                <w:szCs w:val="24"/>
                <w:lang w:eastAsia="zh-CN"/>
              </w:rPr>
              <w:t>四</w:t>
            </w:r>
            <w:r>
              <w:rPr>
                <w:rFonts w:asciiTheme="minorEastAsia" w:eastAsiaTheme="minorEastAsia" w:hAnsiTheme="minorEastAsia" w:cstheme="minorEastAsia" w:hint="eastAsia"/>
                <w:sz w:val="24"/>
                <w:szCs w:val="24"/>
              </w:rPr>
              <w:t>、中小企业应收账款管理的优化对策</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_Toc7048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12</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426" w:history="1">
            <w:r>
              <w:rPr>
                <w:rFonts w:asciiTheme="minorEastAsia" w:eastAsiaTheme="minorEastAsia" w:hAnsiTheme="minorEastAsia" w:cstheme="minorEastAsia" w:hint="eastAsia"/>
                <w:sz w:val="24"/>
                <w:szCs w:val="24"/>
              </w:rPr>
              <w:t>（一）健全收款责任体系</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_Toc426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12</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0119" w:history="1">
            <w:r>
              <w:rPr>
                <w:rFonts w:asciiTheme="minorEastAsia" w:eastAsiaTheme="minorEastAsia" w:hAnsiTheme="minorEastAsia" w:cstheme="minorEastAsia" w:hint="eastAsia"/>
                <w:sz w:val="24"/>
                <w:szCs w:val="24"/>
              </w:rPr>
              <w:t>（二）加强对客户的信用档案管理</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_Toc20119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12</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20162" w:history="1">
            <w:r>
              <w:rPr>
                <w:rFonts w:asciiTheme="minorEastAsia" w:eastAsiaTheme="minorEastAsia" w:hAnsiTheme="minorEastAsia" w:cstheme="minorEastAsia" w:hint="eastAsia"/>
                <w:sz w:val="24"/>
                <w:szCs w:val="24"/>
              </w:rPr>
              <w:t>（三）改进企业的信用政策</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_Toc20162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12</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10905" w:history="1">
            <w:r>
              <w:rPr>
                <w:rFonts w:asciiTheme="minorEastAsia" w:eastAsiaTheme="minorEastAsia" w:hAnsiTheme="minorEastAsia" w:cstheme="minorEastAsia" w:hint="eastAsia"/>
                <w:sz w:val="24"/>
                <w:szCs w:val="24"/>
              </w:rPr>
              <w:t>（四）完善公司内部约束激励机制</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_Toc10905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13</w:t>
            </w:r>
            <w:r>
              <w:rPr>
                <w:rFonts w:asciiTheme="minorEastAsia" w:eastAsiaTheme="minorEastAsia" w:hAnsiTheme="minorEastAsia" w:cstheme="minorEastAsia" w:hint="eastAsia"/>
                <w:sz w:val="24"/>
                <w:szCs w:val="24"/>
              </w:rPr>
              <w:fldChar w:fldCharType="end"/>
            </w:r>
          </w:hyperlink>
        </w:p>
        <w:p>
          <w:pPr>
            <w:pStyle w:val="TOC2"/>
            <w:tabs>
              <w:tab w:val="right" w:leader="dot" w:pos="9072"/>
            </w:tabs>
            <w:rPr>
              <w:rFonts w:asciiTheme="minorEastAsia" w:eastAsiaTheme="minorEastAsia" w:hAnsiTheme="minorEastAsia" w:cstheme="minorEastAsia" w:hint="eastAsia"/>
              <w:sz w:val="24"/>
              <w:szCs w:val="24"/>
            </w:rPr>
          </w:pPr>
          <w:hyperlink w:anchor="_Toc3707" w:history="1">
            <w:r>
              <w:rPr>
                <w:rFonts w:asciiTheme="minorEastAsia" w:eastAsiaTheme="minorEastAsia" w:hAnsiTheme="minorEastAsia" w:cstheme="minorEastAsia" w:hint="eastAsia"/>
                <w:sz w:val="24"/>
                <w:szCs w:val="24"/>
              </w:rPr>
              <w:t>（五）规范应收账款的收账程序</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_Toc3707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13</w:t>
            </w:r>
            <w:r>
              <w:rPr>
                <w:rFonts w:asciiTheme="minorEastAsia" w:eastAsiaTheme="minorEastAsia" w:hAnsiTheme="minorEastAsia" w:cstheme="minorEastAsia" w:hint="eastAsia"/>
                <w:sz w:val="24"/>
                <w:szCs w:val="24"/>
              </w:rPr>
              <w:fldChar w:fldCharType="end"/>
            </w:r>
          </w:hyperlink>
        </w:p>
        <w:p>
          <w:pPr>
            <w:pStyle w:val="TOC1"/>
            <w:tabs>
              <w:tab w:val="right" w:leader="dot" w:pos="9072"/>
            </w:tabs>
            <w:rPr>
              <w:rFonts w:asciiTheme="minorEastAsia" w:eastAsiaTheme="minorEastAsia" w:hAnsiTheme="minorEastAsia" w:cstheme="minorEastAsia" w:hint="eastAsia"/>
              <w:sz w:val="24"/>
              <w:szCs w:val="24"/>
            </w:rPr>
          </w:pPr>
          <w:hyperlink w:anchor="_Toc5968" w:history="1">
            <w:r>
              <w:rPr>
                <w:rFonts w:asciiTheme="minorEastAsia" w:eastAsiaTheme="minorEastAsia" w:hAnsiTheme="minorEastAsia" w:cstheme="minorEastAsia" w:hint="eastAsia"/>
                <w:sz w:val="24"/>
                <w:szCs w:val="24"/>
              </w:rPr>
              <w:t>致谢</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_Toc5968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14</w:t>
            </w:r>
            <w:r>
              <w:rPr>
                <w:rFonts w:asciiTheme="minorEastAsia" w:eastAsiaTheme="minorEastAsia" w:hAnsiTheme="minorEastAsia" w:cstheme="minorEastAsia" w:hint="eastAsia"/>
                <w:sz w:val="24"/>
                <w:szCs w:val="24"/>
              </w:rPr>
              <w:fldChar w:fldCharType="end"/>
            </w:r>
          </w:hyperlink>
        </w:p>
        <w:p>
          <w:pPr>
            <w:pStyle w:val="TOC1"/>
            <w:tabs>
              <w:tab w:val="right" w:leader="dot" w:pos="9072"/>
            </w:tabs>
          </w:pPr>
          <w:hyperlink w:anchor="_Toc20303" w:history="1">
            <w:r>
              <w:rPr>
                <w:rFonts w:asciiTheme="minorEastAsia" w:eastAsiaTheme="minorEastAsia" w:hAnsiTheme="minorEastAsia" w:cstheme="minorEastAsia" w:hint="eastAsia"/>
                <w:sz w:val="24"/>
                <w:szCs w:val="24"/>
              </w:rPr>
              <w:t>参考文献</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fldChar w:fldCharType="begin"/>
            </w:r>
            <w:r>
              <w:rPr>
                <w:rFonts w:asciiTheme="minorEastAsia" w:eastAsiaTheme="minorEastAsia" w:hAnsiTheme="minorEastAsia" w:cstheme="minorEastAsia" w:hint="eastAsia"/>
                <w:sz w:val="24"/>
                <w:szCs w:val="24"/>
              </w:rPr>
              <w:instrText xml:space="preserve"> PAGEREF _Toc20303 \h </w:instrText>
            </w:r>
            <w:r>
              <w:rPr>
                <w:rFonts w:asciiTheme="minorEastAsia" w:eastAsiaTheme="minorEastAsia" w:hAnsiTheme="minorEastAsia" w:cstheme="minorEastAsia" w:hint="eastAsia"/>
                <w:sz w:val="24"/>
                <w:szCs w:val="24"/>
              </w:rPr>
              <w:fldChar w:fldCharType="separate"/>
            </w:r>
            <w:r>
              <w:rPr>
                <w:rFonts w:asciiTheme="minorEastAsia" w:eastAsiaTheme="minorEastAsia" w:hAnsiTheme="minorEastAsia" w:cstheme="minorEastAsia" w:hint="eastAsia"/>
                <w:sz w:val="24"/>
                <w:szCs w:val="24"/>
              </w:rPr>
              <w:t>15</w:t>
            </w:r>
            <w:r>
              <w:rPr>
                <w:rFonts w:asciiTheme="minorEastAsia" w:eastAsiaTheme="minorEastAsia" w:hAnsiTheme="minorEastAsia" w:cstheme="minorEastAsia" w:hint="eastAsia"/>
                <w:sz w:val="24"/>
                <w:szCs w:val="24"/>
              </w:rPr>
              <w:fldChar w:fldCharType="end"/>
            </w:r>
          </w:hyperlink>
        </w:p>
        <w:p>
          <w:pPr>
            <w:spacing w:after="240" w:line="300" w:lineRule="auto"/>
            <w:jc w:val="center"/>
            <w:rPr>
              <w:rFonts w:ascii="黑体" w:eastAsia="黑体" w:hAnsi="黑体" w:cs="黑体"/>
              <w:sz w:val="30"/>
              <w:szCs w:val="30"/>
            </w:rPr>
            <w:sectPr>
              <w:headerReference w:type="default" r:id="rId13"/>
              <w:footerReference w:type="default" r:id="rId14"/>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upperRoman" w:start="5"/>
              <w:cols w:num="1" w:space="0"/>
              <w:titlePg w:val="0"/>
              <w:rtlGutter w:val="0"/>
              <w:docGrid w:type="lines" w:linePitch="312" w:charSpace="0"/>
            </w:sectPr>
          </w:pPr>
          <w:r>
            <w:rPr>
              <w:rFonts w:ascii="宋体" w:eastAsia="宋体" w:hAnsi="宋体" w:cs="宋体" w:hint="eastAsia"/>
            </w:rPr>
            <w:fldChar w:fldCharType="end"/>
          </w:r>
        </w:p>
      </w:sdtContent>
    </w:sdt>
    <w:p>
      <w:pPr>
        <w:pStyle w:val="Heading1"/>
        <w:bidi w:val="0"/>
        <w:rPr>
          <w:rFonts w:hint="eastAsia"/>
          <w:lang w:eastAsia="zh-CN"/>
        </w:rPr>
      </w:pPr>
      <w:bookmarkStart w:id="5" w:name="_Toc28057"/>
      <w:r>
        <w:rPr>
          <w:rFonts w:hint="eastAsia"/>
          <w:lang w:eastAsia="zh-CN"/>
        </w:rPr>
        <w:t>一、绪论</w:t>
      </w:r>
      <w:bookmarkEnd w:id="5"/>
    </w:p>
    <w:p>
      <w:pPr>
        <w:spacing w:line="360" w:lineRule="auto"/>
        <w:outlineLvl w:val="1"/>
        <w:rPr>
          <w:rFonts w:ascii="黑体" w:eastAsia="黑体" w:hAnsi="黑体" w:cs="黑体" w:hint="default"/>
          <w:sz w:val="28"/>
          <w:szCs w:val="28"/>
        </w:rPr>
      </w:pPr>
      <w:bookmarkStart w:id="6" w:name="_Toc24635"/>
      <w:r>
        <w:rPr>
          <w:rFonts w:ascii="黑体" w:eastAsia="黑体" w:hAnsi="黑体" w:cs="黑体" w:hint="eastAsia"/>
          <w:sz w:val="28"/>
          <w:szCs w:val="28"/>
          <w:lang w:val="en-US" w:eastAsia="zh-CN"/>
        </w:rPr>
        <w:t>（一）研究背景</w:t>
      </w:r>
      <w:bookmarkEnd w:id="6"/>
    </w:p>
    <w:p>
      <w:pPr>
        <w:spacing w:line="300" w:lineRule="auto"/>
        <w:ind w:firstLine="480" w:firstLineChars="200"/>
        <w:rPr>
          <w:rFonts w:ascii="宋体" w:eastAsia="宋体" w:hAnsi="宋体" w:cs="宋体" w:hint="eastAsia"/>
          <w:sz w:val="24"/>
        </w:rPr>
      </w:pPr>
      <w:r>
        <w:rPr>
          <w:rFonts w:ascii="宋体" w:eastAsia="宋体" w:hAnsi="宋体" w:cs="宋体" w:hint="eastAsia"/>
          <w:sz w:val="24"/>
        </w:rPr>
        <w:t>在当今经济飞速发展的时代，企业之间的竞争已经变得非常激烈，因此，促进企业的健康稳定发展十分关键。现阶段，我国很多中小企业为了提升销量，加强竞争力，利用分期付款、赊销等方法来增长利润。与此同时，产生了企业应收账款，若管理方式不正确、不及时的话，就会增加企业的坏账，影响企业的资金流转，并增加企业费用支出。鉴于此，企业要高度关注管理应收账款的问题，并制定科学的管理对策。</w:t>
      </w:r>
    </w:p>
    <w:p>
      <w:pPr>
        <w:spacing w:line="360" w:lineRule="auto"/>
        <w:outlineLvl w:val="1"/>
        <w:rPr>
          <w:rFonts w:ascii="黑体" w:eastAsia="黑体" w:hAnsi="黑体" w:cs="黑体" w:hint="eastAsia"/>
          <w:sz w:val="28"/>
          <w:szCs w:val="28"/>
        </w:rPr>
      </w:pPr>
      <w:bookmarkStart w:id="7" w:name="_Toc24289"/>
      <w:r>
        <w:rPr>
          <w:rFonts w:ascii="黑体" w:eastAsia="黑体" w:hAnsi="黑体" w:cs="黑体" w:hint="eastAsia"/>
          <w:sz w:val="28"/>
          <w:szCs w:val="28"/>
          <w:lang w:val="en-US" w:eastAsia="zh-CN"/>
        </w:rPr>
        <w:t>（二）研究意义</w:t>
      </w:r>
      <w:bookmarkEnd w:id="7"/>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pPr>
      <w:r>
        <w:rPr>
          <w:rFonts w:ascii="宋体" w:eastAsia="宋体" w:hAnsi="宋体" w:cs="宋体" w:hint="eastAsia"/>
          <w:sz w:val="24"/>
        </w:rPr>
        <w:t>作为企业管理的重要组成部分，应收账款的管控应根据企业发展阶段和企业的具体特点，以增加企业利润、提高风险控制能力、加强提升核心竞争力。中小企业在经济中的作用。在此基础上，本文回顾和推导了迄今为止已经建立和验证的应收账款管理理论和方法，并通过对中小企业应收账款的分析，寻求支持中小企业反映其客观工作的途径。改善企业状况和存在的风险，进一步优化应收账款管理方式，提高应收账款管理水平，促进企业持续健康发展。另一方面，关于未上市中小企业应收账款管理分析的相关研究较少，本文选择中小企业应收账款管理作为研究对象，对丰富文献研究成果具有一定意义。</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textAlignment w:val="auto"/>
        <w:outlineLvl w:val="1"/>
        <w:rPr>
          <w:rFonts w:ascii="黑体" w:eastAsia="黑体" w:hAnsi="黑体" w:cs="黑体" w:hint="eastAsia"/>
          <w:sz w:val="28"/>
          <w:szCs w:val="28"/>
        </w:rPr>
      </w:pPr>
      <w:bookmarkStart w:id="8" w:name="_Toc23295"/>
      <w:r>
        <w:rPr>
          <w:rFonts w:ascii="黑体" w:eastAsia="黑体" w:hAnsi="黑体" w:cs="黑体" w:hint="eastAsia"/>
          <w:sz w:val="28"/>
          <w:szCs w:val="28"/>
          <w:lang w:val="en-US" w:eastAsia="zh-CN"/>
        </w:rPr>
        <w:t>国内外研究现状</w:t>
      </w:r>
      <w:bookmarkEnd w:id="8"/>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ascii="黑体" w:eastAsia="黑体" w:hAnsi="黑体" w:cs="黑体" w:hint="eastAsia"/>
          <w:sz w:val="24"/>
        </w:rPr>
      </w:pPr>
      <w:bookmarkStart w:id="9" w:name="_Toc19304"/>
      <w:r>
        <w:rPr>
          <w:rFonts w:ascii="黑体" w:eastAsia="黑体" w:hAnsi="黑体" w:cs="黑体" w:hint="eastAsia"/>
          <w:sz w:val="24"/>
          <w:lang w:val="en-US" w:eastAsia="zh-CN"/>
        </w:rPr>
        <w:t>1、国外研究现状</w:t>
      </w:r>
      <w:bookmarkEnd w:id="9"/>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pPr>
      <w:r>
        <w:rPr>
          <w:rFonts w:ascii="宋体" w:eastAsia="宋体" w:hAnsi="宋体" w:cs="宋体" w:hint="eastAsia"/>
          <w:sz w:val="24"/>
          <w:lang w:val="en-US" w:eastAsia="zh-CN"/>
        </w:rPr>
        <w:t>ThomasR（2018）从企业经营的角度结合相关理论分析了应收账款现金流对企业实际经营的影响，认为企业应收账款对企业的可持续发展非常重要。它应该是一家公司，一家公司。它是运营管理中最重要的流动资产之一。</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pPr>
      <w:r>
        <w:rPr>
          <w:rFonts w:ascii="宋体" w:eastAsia="宋体" w:hAnsi="宋体" w:cs="宋体" w:hint="eastAsia"/>
          <w:sz w:val="24"/>
          <w:lang w:val="en-US" w:eastAsia="zh-CN"/>
        </w:rPr>
        <w:t>WiiDD（2020）从企业风险管理的角度分析了应收账款与企业各种经营风险的关系，提出了企业可以衡量和评估应收账款实际风险的评价模型。客户信用状况与应收账款管理风险的关系。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sectPr>
          <w:headerReference w:type="default" r:id="rId15"/>
          <w:footerReference w:type="default" r:id="rId16"/>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decimal" w:start="1"/>
          <w:cols w:num="1" w:space="0"/>
          <w:rtlGutter w:val="0"/>
          <w:docGrid w:type="lines" w:linePitch="312" w:charSpace="0"/>
        </w:sectPr>
      </w:pPr>
      <w:r>
        <w:rPr>
          <w:rFonts w:ascii="宋体" w:eastAsia="宋体" w:hAnsi="宋体" w:cs="宋体" w:hint="eastAsia"/>
          <w:sz w:val="24"/>
          <w:lang w:val="en-US" w:eastAsia="zh-CN"/>
        </w:rPr>
        <w:t>GunyaV  和BieloaertsevV（2019）分析了影响应收账款风险的因素，认为影响应收账款风险的因素都来自公司内部和外部的影响。要完善贸易应收账款综合管理办法，通过多种方式更合理地转移应收账款风险。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ascii="黑体" w:eastAsia="黑体" w:hAnsi="黑体" w:cs="黑体" w:hint="eastAsia"/>
          <w:sz w:val="24"/>
        </w:rPr>
      </w:pPr>
      <w:bookmarkStart w:id="10" w:name="_Toc9487"/>
      <w:r>
        <w:rPr>
          <w:rFonts w:ascii="黑体" w:eastAsia="黑体" w:hAnsi="黑体" w:cs="黑体" w:hint="eastAsia"/>
          <w:sz w:val="24"/>
          <w:lang w:val="en-US" w:eastAsia="zh-CN"/>
        </w:rPr>
        <w:t>2、国内研究现状</w:t>
      </w:r>
      <w:bookmarkEnd w:id="10"/>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lang w:eastAsia="zh-CN"/>
        </w:rPr>
        <w:t>罗万里（2018）从国家宏观经济角度分析了如何利用新的融资工具——应收账款保理，解决中小企业融资难的问题。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lang w:eastAsia="zh-CN"/>
        </w:rPr>
        <w:t>薛梦婷、程克群、孟令杰（2020）提出了中小企业应收账款筹集的具体方法和建议。模糊综合评价模型用于比较特定中小企业各种融资方式的有效性等因素，而在当前情况下，最有效的融资方式是无诉保理融资，可作为一定程度上影响了中小企业的应收款贷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lang w:eastAsia="zh-CN"/>
        </w:rPr>
        <w:t>苏晓玲（2020）分析了当前中国企业应收账款保理业务存在的问题，提出了发展应收账款保理作为一种新的融资方式，加强法律和信用体系的相关政策建议。 发展专业保理公司等。</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textAlignment w:val="auto"/>
        <w:outlineLvl w:val="1"/>
        <w:rPr>
          <w:rFonts w:ascii="黑体" w:eastAsia="黑体" w:hAnsi="黑体" w:cs="黑体" w:hint="eastAsia"/>
          <w:sz w:val="28"/>
          <w:szCs w:val="28"/>
        </w:rPr>
      </w:pPr>
      <w:bookmarkStart w:id="11" w:name="_Toc19428"/>
      <w:r>
        <w:rPr>
          <w:rFonts w:ascii="黑体" w:eastAsia="黑体" w:hAnsi="黑体" w:cs="黑体" w:hint="eastAsia"/>
          <w:sz w:val="28"/>
          <w:szCs w:val="28"/>
          <w:lang w:val="en-US" w:eastAsia="zh-CN"/>
        </w:rPr>
        <w:t>研究方法</w:t>
      </w:r>
      <w:bookmarkEnd w:id="11"/>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文献研究方法。本论文总结了国内外贸易应收账款研究文献，梳理了该领域的研究发展脉络，梳理了近期贸易应收账款研究的热点问题，发现了</w:t>
      </w:r>
      <w:r>
        <w:rPr>
          <w:rFonts w:ascii="宋体" w:eastAsia="宋体" w:hAnsi="宋体" w:cs="宋体" w:hint="eastAsia"/>
          <w:sz w:val="24"/>
          <w:szCs w:val="24"/>
          <w:lang w:eastAsia="zh-CN"/>
        </w:rPr>
        <w:t>我国</w:t>
      </w:r>
      <w:r>
        <w:rPr>
          <w:rFonts w:ascii="宋体" w:eastAsia="宋体" w:hAnsi="宋体" w:cs="宋体" w:hint="eastAsia"/>
          <w:sz w:val="24"/>
          <w:szCs w:val="24"/>
        </w:rPr>
        <w:t>学术界对贸易应收账款的最新研究。在此基础上确定了本论文的研究课题。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sectPr>
          <w:headerReference w:type="default" r:id="rId17"/>
          <w:footerReference w:type="default" r:id="rId18"/>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12" w:charSpace="0"/>
        </w:sectPr>
      </w:pPr>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案例分析方法。本文以瑞康药业为案例研究对象，对应收账款进行具体分析、综合指数分析等财务分析方法，深入挖掘企业应收账款管理存在问题的案例研究，并运用相关理论。它为问题提供了特定的路径和解决方案。</w:t>
      </w:r>
    </w:p>
    <w:p>
      <w:pPr>
        <w:pStyle w:val="Heading1"/>
        <w:bidi w:val="0"/>
      </w:pPr>
      <w:bookmarkStart w:id="12" w:name="_Toc24250"/>
      <w:r>
        <w:rPr>
          <w:rFonts w:hint="eastAsia"/>
          <w:lang w:eastAsia="zh-CN"/>
        </w:rPr>
        <w:t>二</w:t>
      </w:r>
      <w:r>
        <w:rPr>
          <w:rFonts w:hint="eastAsia"/>
        </w:rPr>
        <w:t>、</w:t>
      </w:r>
      <w:r>
        <w:rPr>
          <w:rFonts w:hint="eastAsia"/>
          <w:lang w:eastAsia="zh-CN"/>
        </w:rPr>
        <w:t>应收账款管理相关理论</w:t>
      </w:r>
      <w:r>
        <w:rPr>
          <w:rFonts w:hint="eastAsia"/>
        </w:rPr>
        <w:t>概述</w:t>
      </w:r>
      <w:bookmarkEnd w:id="12"/>
    </w:p>
    <w:p>
      <w:pPr>
        <w:spacing w:line="360" w:lineRule="auto"/>
        <w:outlineLvl w:val="1"/>
        <w:rPr>
          <w:rFonts w:ascii="黑体" w:eastAsia="黑体" w:hAnsi="黑体" w:cs="黑体"/>
          <w:sz w:val="28"/>
          <w:szCs w:val="28"/>
        </w:rPr>
      </w:pPr>
      <w:bookmarkStart w:id="13" w:name="_Toc26664"/>
      <w:r>
        <w:rPr>
          <w:rFonts w:ascii="黑体" w:eastAsia="黑体" w:hAnsi="黑体" w:cs="黑体" w:hint="eastAsia"/>
          <w:sz w:val="28"/>
          <w:szCs w:val="28"/>
        </w:rPr>
        <w:t>（一）应收账款的概念</w:t>
      </w:r>
      <w:bookmarkEnd w:id="13"/>
    </w:p>
    <w:p>
      <w:pPr>
        <w:spacing w:line="300" w:lineRule="auto"/>
        <w:ind w:firstLine="480" w:firstLineChars="200"/>
        <w:rPr>
          <w:rFonts w:ascii="宋体" w:eastAsia="宋体" w:hAnsi="宋体" w:cs="宋体" w:hint="eastAsia"/>
          <w:sz w:val="24"/>
        </w:rPr>
      </w:pPr>
      <w:r>
        <w:rPr>
          <w:rFonts w:ascii="宋体" w:eastAsia="宋体" w:hAnsi="宋体" w:cs="宋体" w:hint="eastAsia"/>
          <w:sz w:val="24"/>
        </w:rPr>
        <w:t>应收账款指的是企业在销售产品或服务之后既定的阶段内需要回收的款项。从狭义角度理解，应收账款指的是企业由于提供服务和销售产品而应该购买服务或商品的客户收取的各项费用。其构成了企业流动资产的内容之一，是企业信用销售产生的债权类资产</w:t>
      </w:r>
      <w:r>
        <w:rPr>
          <w:rFonts w:ascii="宋体" w:eastAsia="宋体" w:hAnsi="宋体" w:cs="宋体" w:hint="eastAsia"/>
          <w:sz w:val="24"/>
          <w:vertAlign w:val="superscript"/>
          <w:lang w:val="en-US" w:eastAsia="zh-CN"/>
        </w:rPr>
        <w:t>[1]</w:t>
      </w:r>
      <w:r>
        <w:rPr>
          <w:rFonts w:ascii="宋体" w:eastAsia="宋体" w:hAnsi="宋体" w:cs="宋体" w:hint="eastAsia"/>
          <w:sz w:val="24"/>
        </w:rPr>
        <w:t>。</w:t>
      </w:r>
    </w:p>
    <w:p>
      <w:pPr>
        <w:spacing w:line="360" w:lineRule="auto"/>
        <w:outlineLvl w:val="1"/>
        <w:rPr>
          <w:rFonts w:ascii="黑体" w:eastAsia="黑体" w:hAnsi="黑体" w:cs="黑体" w:hint="eastAsia"/>
          <w:sz w:val="28"/>
          <w:szCs w:val="28"/>
        </w:rPr>
      </w:pPr>
      <w:bookmarkStart w:id="14" w:name="_Toc15934"/>
      <w:r>
        <w:rPr>
          <w:rFonts w:ascii="黑体" w:eastAsia="黑体" w:hAnsi="黑体" w:cs="黑体" w:hint="eastAsia"/>
          <w:sz w:val="28"/>
          <w:szCs w:val="28"/>
          <w:lang w:eastAsia="zh-CN"/>
        </w:rPr>
        <w:t>（二）应收账款的特征</w:t>
      </w:r>
      <w:bookmarkEnd w:id="14"/>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1、应收账款表示企业在销售过程中被购买单位所占用的资金。</w:t>
      </w:r>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2、企业应及时收回应收账款，以弥补生产经营过程中的各种支出，保证企业的持续经营；</w:t>
      </w:r>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3、应采取措施收回拖欠的应收账款；</w:t>
      </w:r>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4、对能够收回的应收账款不收回的，符合坏账要求的，应当按照规定的程序取得有关证明，报经批准之后，作坏账损失处理。</w:t>
      </w:r>
    </w:p>
    <w:p>
      <w:pPr>
        <w:spacing w:line="360" w:lineRule="auto"/>
        <w:outlineLvl w:val="1"/>
        <w:rPr>
          <w:rFonts w:ascii="黑体" w:eastAsia="黑体" w:hAnsi="黑体" w:cs="黑体"/>
          <w:sz w:val="28"/>
          <w:szCs w:val="28"/>
        </w:rPr>
      </w:pPr>
      <w:bookmarkStart w:id="15" w:name="_Toc31821"/>
      <w:r>
        <w:rPr>
          <w:rFonts w:ascii="黑体" w:eastAsia="黑体" w:hAnsi="黑体" w:cs="黑体" w:hint="eastAsia"/>
          <w:sz w:val="28"/>
          <w:szCs w:val="28"/>
        </w:rPr>
        <w:t>（</w:t>
      </w:r>
      <w:r>
        <w:rPr>
          <w:rFonts w:ascii="黑体" w:eastAsia="黑体" w:hAnsi="黑体" w:cs="黑体" w:hint="eastAsia"/>
          <w:sz w:val="28"/>
          <w:szCs w:val="28"/>
          <w:lang w:eastAsia="zh-CN"/>
        </w:rPr>
        <w:t>三</w:t>
      </w:r>
      <w:r>
        <w:rPr>
          <w:rFonts w:ascii="黑体" w:eastAsia="黑体" w:hAnsi="黑体" w:cs="黑体" w:hint="eastAsia"/>
          <w:sz w:val="28"/>
          <w:szCs w:val="28"/>
        </w:rPr>
        <w:t>）应收账款管理的意义</w:t>
      </w:r>
      <w:bookmarkEnd w:id="15"/>
    </w:p>
    <w:p>
      <w:pPr>
        <w:spacing w:line="300" w:lineRule="auto"/>
        <w:ind w:firstLine="480" w:firstLineChars="200"/>
        <w:rPr>
          <w:rFonts w:ascii="宋体" w:eastAsia="宋体" w:hAnsi="宋体" w:cs="宋体" w:hint="eastAsia"/>
          <w:sz w:val="24"/>
        </w:rPr>
      </w:pPr>
      <w:r>
        <w:rPr>
          <w:rFonts w:ascii="宋体" w:eastAsia="宋体" w:hAnsi="宋体" w:cs="宋体" w:hint="eastAsia"/>
          <w:sz w:val="24"/>
        </w:rPr>
        <w:t>应收账款有助于企业加快资金流转的速度，避免产生财务风险。</w:t>
      </w:r>
    </w:p>
    <w:p>
      <w:pPr>
        <w:spacing w:line="300" w:lineRule="auto"/>
        <w:ind w:firstLine="480" w:firstLineChars="200"/>
        <w:rPr>
          <w:rFonts w:ascii="宋体" w:eastAsia="宋体" w:hAnsi="宋体" w:cs="宋体"/>
          <w:sz w:val="24"/>
        </w:rPr>
      </w:pPr>
      <w:r>
        <w:rPr>
          <w:rFonts w:ascii="宋体" w:eastAsia="宋体" w:hAnsi="宋体" w:cs="宋体" w:hint="eastAsia"/>
          <w:sz w:val="24"/>
        </w:rPr>
        <w:t>加强对企业应收账款的管理，有利于促进中小企业资金的顺畅运行，增强企业信用。有效管理应收账款有助于中小企业控制风险，使得财务指标不出问题，避免产生财务风险，对企业发展产生负面影响。</w:t>
      </w:r>
    </w:p>
    <w:p>
      <w:pPr>
        <w:spacing w:line="300" w:lineRule="auto"/>
        <w:ind w:firstLine="480" w:firstLineChars="200"/>
        <w:rPr>
          <w:rFonts w:ascii="宋体" w:eastAsia="宋体" w:hAnsi="宋体" w:cs="宋体"/>
          <w:sz w:val="24"/>
        </w:rPr>
        <w:sectPr>
          <w:headerReference w:type="default" r:id="rId19"/>
          <w:footerReference w:type="default" r:id="rId20"/>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decimal" w:start="3"/>
          <w:cols w:num="1" w:space="0"/>
          <w:titlePg w:val="0"/>
          <w:rtlGutter w:val="0"/>
          <w:docGrid w:type="lines" w:linePitch="312" w:charSpace="0"/>
        </w:sectPr>
      </w:pPr>
      <w:r>
        <w:rPr>
          <w:rFonts w:ascii="宋体" w:eastAsia="宋体" w:hAnsi="宋体" w:cs="宋体" w:hint="eastAsia"/>
          <w:sz w:val="24"/>
        </w:rPr>
        <w:t>应收账款还可以减少公司的库存，有效控制业务发展成本。在业务发展过程中，存货压力较大。对于小型企业，如果库存过多</w:t>
      </w:r>
      <w:r>
        <w:rPr>
          <w:rFonts w:ascii="宋体" w:eastAsia="宋体" w:hAnsi="宋体" w:cs="宋体" w:hint="eastAsia"/>
          <w:sz w:val="24"/>
          <w:lang w:eastAsia="zh-CN"/>
        </w:rPr>
        <w:t>，</w:t>
      </w:r>
      <w:r>
        <w:rPr>
          <w:rFonts w:ascii="宋体" w:eastAsia="宋体" w:hAnsi="宋体" w:cs="宋体" w:hint="eastAsia"/>
          <w:sz w:val="24"/>
        </w:rPr>
        <w:t>会有人员、库存等各种费用压力</w:t>
      </w:r>
      <w:r>
        <w:rPr>
          <w:rFonts w:ascii="宋体" w:eastAsia="宋体" w:hAnsi="宋体" w:cs="宋体" w:hint="eastAsia"/>
          <w:sz w:val="24"/>
          <w:vertAlign w:val="superscript"/>
          <w:lang w:val="en-US" w:eastAsia="zh-CN"/>
        </w:rPr>
        <w:t>[2]</w:t>
      </w:r>
    </w:p>
    <w:p>
      <w:pPr>
        <w:spacing w:line="300" w:lineRule="auto"/>
        <w:ind w:firstLine="480" w:firstLineChars="200"/>
        <w:rPr>
          <w:rFonts w:ascii="宋体" w:eastAsia="宋体" w:hAnsi="宋体" w:cs="宋体"/>
          <w:sz w:val="24"/>
        </w:rPr>
        <w:sectPr>
          <w:headerReference w:type="default" r:id="rId21"/>
          <w:footerReference w:type="default" r:id="rId22"/>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decimal" w:start="4"/>
          <w:cols w:num="1" w:space="0"/>
          <w:titlePg w:val="0"/>
          <w:rtlGutter w:val="0"/>
          <w:docGrid w:type="lines" w:linePitch="312" w:charSpace="0"/>
        </w:sectPr>
      </w:pPr>
      <w:r>
        <w:rPr>
          <w:rFonts w:ascii="宋体" w:eastAsia="宋体" w:hAnsi="宋体" w:cs="宋体" w:hint="eastAsia"/>
          <w:sz w:val="24"/>
        </w:rPr>
        <w:t>。有效管理应收账款，能够使得压力得到减轻。贸易应收款项主要来自赊销的应用。在业务发展过程中，中小企业会通过选择赊销方式接受和调整付款人的付款时间，以扩大业务，应对激烈的市场竞争。获得更多客户，增加您的市场影响力。这种交易模式可以减少中小企业的库存，压力能够释放。同时，中小企业还通过银行资金筹集渠道和保理业务，将风险细化，使得资金的流动效率提升，避免应收账款大量占用流动资金。其能够使得中小企业的费用支出得到以有效控制，也能够使得中小企业经营的灵活性和主动性得到提升。</w:t>
      </w:r>
    </w:p>
    <w:p>
      <w:pPr>
        <w:pStyle w:val="Heading1"/>
        <w:bidi w:val="0"/>
      </w:pPr>
      <w:bookmarkStart w:id="16" w:name="_Toc31449"/>
      <w:r>
        <w:rPr>
          <w:rFonts w:hint="eastAsia"/>
          <w:lang w:eastAsia="zh-CN"/>
        </w:rPr>
        <w:t>三</w:t>
      </w:r>
      <w:r>
        <w:rPr>
          <w:rFonts w:hint="eastAsia"/>
        </w:rPr>
        <w:t>、中小企业应收账款管理现状分析——以瑞康医药为例</w:t>
      </w:r>
      <w:bookmarkEnd w:id="16"/>
    </w:p>
    <w:p>
      <w:pPr>
        <w:spacing w:line="360" w:lineRule="auto"/>
        <w:outlineLvl w:val="1"/>
        <w:rPr>
          <w:rFonts w:ascii="黑体" w:eastAsia="黑体" w:hAnsi="黑体" w:cs="黑体"/>
          <w:sz w:val="28"/>
          <w:szCs w:val="28"/>
        </w:rPr>
      </w:pPr>
      <w:bookmarkStart w:id="17" w:name="_Toc10236"/>
      <w:r>
        <w:rPr>
          <w:rFonts w:ascii="黑体" w:eastAsia="黑体" w:hAnsi="黑体" w:cs="黑体" w:hint="eastAsia"/>
          <w:sz w:val="28"/>
          <w:szCs w:val="28"/>
        </w:rPr>
        <w:t>（一）瑞康医药发展简介</w:t>
      </w:r>
      <w:bookmarkEnd w:id="17"/>
    </w:p>
    <w:p>
      <w:pPr>
        <w:spacing w:line="300" w:lineRule="auto"/>
        <w:ind w:firstLine="480" w:firstLineChars="200"/>
        <w:rPr>
          <w:rFonts w:ascii="宋体" w:eastAsia="宋体" w:hAnsi="宋体" w:cs="宋体"/>
          <w:sz w:val="24"/>
        </w:rPr>
      </w:pPr>
      <w:r>
        <w:rPr>
          <w:rFonts w:ascii="宋体" w:eastAsia="宋体" w:hAnsi="宋体" w:cs="宋体" w:hint="eastAsia"/>
          <w:sz w:val="24"/>
        </w:rPr>
        <w:t>2004年9月，瑞康药业有限公司在山东烟台成立。 2011年6月深圳A股上市，股票代码：002589.SZ。主营业务为药品分销，药品批发占比80%，医疗器械占比20%。瑞康药业是山东省医药流通行业的龙头，现阶段省级公立医院和基层医疗机构分别占有98%和96%的股份。瑞康药业上市以来，管理层积极发展从最初的山东省医院配送业务到第三方物流、移动医疗信息服务、医疗物流服务、医疗器械供应链服务、药品。供应链服务。它们彼此促进，优化发展，全面转型医疗服务机构综合服务商。</w:t>
      </w:r>
    </w:p>
    <w:p>
      <w:pPr>
        <w:spacing w:line="360" w:lineRule="auto"/>
        <w:outlineLvl w:val="1"/>
        <w:rPr>
          <w:rFonts w:ascii="黑体" w:eastAsia="黑体" w:hAnsi="黑体" w:cs="黑体"/>
          <w:sz w:val="28"/>
          <w:szCs w:val="28"/>
        </w:rPr>
      </w:pPr>
      <w:bookmarkStart w:id="18" w:name="_Toc28013"/>
      <w:r>
        <w:rPr>
          <w:rFonts w:ascii="黑体" w:eastAsia="黑体" w:hAnsi="黑体" w:cs="黑体" w:hint="eastAsia"/>
          <w:sz w:val="28"/>
          <w:szCs w:val="28"/>
        </w:rPr>
        <w:t>（二）瑞康医药应收账款管理的主要方法</w:t>
      </w:r>
      <w:bookmarkEnd w:id="18"/>
    </w:p>
    <w:p>
      <w:pPr>
        <w:spacing w:line="360" w:lineRule="auto"/>
        <w:outlineLvl w:val="2"/>
        <w:rPr>
          <w:rFonts w:ascii="黑体" w:eastAsia="黑体" w:hAnsi="黑体" w:cs="黑体"/>
          <w:sz w:val="24"/>
        </w:rPr>
      </w:pPr>
      <w:bookmarkStart w:id="19" w:name="_Toc8450"/>
      <w:r>
        <w:rPr>
          <w:rFonts w:ascii="黑体" w:eastAsia="黑体" w:hAnsi="黑体" w:cs="黑体" w:hint="eastAsia"/>
          <w:sz w:val="24"/>
        </w:rPr>
        <w:t>1</w:t>
      </w:r>
      <w:r>
        <w:rPr>
          <w:rFonts w:ascii="黑体" w:eastAsia="黑体" w:hAnsi="黑体" w:cs="黑体" w:hint="eastAsia"/>
          <w:sz w:val="24"/>
          <w:lang w:val="en-US" w:eastAsia="zh-CN"/>
        </w:rPr>
        <w:t>、</w:t>
      </w:r>
      <w:r>
        <w:rPr>
          <w:rFonts w:ascii="黑体" w:eastAsia="黑体" w:hAnsi="黑体" w:cs="黑体" w:hint="eastAsia"/>
          <w:sz w:val="24"/>
        </w:rPr>
        <w:t>根据账龄分析计提坏账准备</w:t>
      </w:r>
      <w:bookmarkEnd w:id="19"/>
    </w:p>
    <w:p>
      <w:pPr>
        <w:spacing w:line="300" w:lineRule="auto"/>
        <w:ind w:firstLine="480" w:firstLineChars="200"/>
        <w:rPr>
          <w:rFonts w:ascii="宋体" w:eastAsia="宋体" w:hAnsi="宋体" w:cs="宋体"/>
          <w:sz w:val="24"/>
        </w:rPr>
      </w:pPr>
      <w:r>
        <w:rPr>
          <w:rFonts w:ascii="宋体" w:eastAsia="宋体" w:hAnsi="宋体" w:cs="宋体" w:hint="eastAsia"/>
          <w:sz w:val="24"/>
        </w:rPr>
        <w:t>瑞康药业采用账龄分析法编制坏账准备，将各个账龄组的应收账款组合在一起，并结合坏账产生的具体数据和信息，明确各个账龄组的坏账损失估计比例。如果我们计算每个年龄组的预计贷款损失准备率，并将每个年龄组的应收金额乘以相应的预计坏账率，计算出每个组的预计贷款损失准备总额，即预计坏账损失总额当前期间</w:t>
      </w:r>
      <w:r>
        <w:rPr>
          <w:rFonts w:ascii="宋体" w:eastAsia="宋体" w:hAnsi="宋体" w:cs="宋体" w:hint="eastAsia"/>
          <w:sz w:val="24"/>
          <w:lang w:eastAsia="zh-CN"/>
        </w:rPr>
        <w:t>，</w:t>
      </w:r>
      <w:r>
        <w:rPr>
          <w:rFonts w:ascii="宋体" w:eastAsia="宋体" w:hAnsi="宋体" w:cs="宋体" w:hint="eastAsia"/>
          <w:sz w:val="24"/>
        </w:rPr>
        <w:t>表</w:t>
      </w:r>
      <w:r>
        <w:rPr>
          <w:rFonts w:ascii="宋体" w:eastAsia="宋体" w:hAnsi="宋体" w:cs="宋体" w:hint="eastAsia"/>
          <w:sz w:val="24"/>
          <w:lang w:val="en-US" w:eastAsia="zh-CN"/>
        </w:rPr>
        <w:t>3</w:t>
      </w:r>
      <w:r>
        <w:rPr>
          <w:rFonts w:ascii="宋体" w:eastAsia="宋体" w:hAnsi="宋体" w:cs="宋体" w:hint="eastAsia"/>
          <w:sz w:val="24"/>
        </w:rPr>
        <w:t>.1为瑞康医药应收账款计提坏账准备的比例：</w:t>
      </w:r>
    </w:p>
    <w:p>
      <w:pPr>
        <w:spacing w:line="300" w:lineRule="auto"/>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hint="eastAsia"/>
          <w:szCs w:val="21"/>
          <w:lang w:val="en-US" w:eastAsia="zh-CN"/>
        </w:rPr>
        <w:t>3</w:t>
      </w:r>
      <w:r>
        <w:rPr>
          <w:rFonts w:ascii="黑体" w:eastAsia="黑体" w:hAnsi="黑体" w:cs="黑体" w:hint="eastAsia"/>
          <w:szCs w:val="21"/>
        </w:rPr>
        <w:t>.1账龄分析法计提标准</w:t>
      </w:r>
    </w:p>
    <w:tbl>
      <w:tblPr>
        <w:tblStyle w:val="TableNormal"/>
        <w:tblW w:w="8419" w:type="dxa"/>
        <w:jc w:val="center"/>
        <w:tblInd w:w="0" w:type="dxa"/>
        <w:tblBorders>
          <w:top w:val="single" w:sz="12" w:space="0" w:color="7F7F7F"/>
          <w:left w:val="single" w:sz="12" w:space="0" w:color="7F7F7F"/>
          <w:bottom w:val="single" w:sz="12" w:space="0" w:color="7F7F7F"/>
          <w:right w:val="single" w:sz="12" w:space="0" w:color="7F7F7F"/>
          <w:insideH w:val="single" w:sz="12" w:space="0" w:color="7F7F7F"/>
          <w:insideV w:val="single" w:sz="12" w:space="0" w:color="7F7F7F"/>
        </w:tblBorders>
        <w:tblLayout w:type="fixed"/>
        <w:tblCellMar>
          <w:top w:w="0" w:type="dxa"/>
          <w:left w:w="0" w:type="dxa"/>
          <w:bottom w:w="0" w:type="dxa"/>
          <w:right w:w="0" w:type="dxa"/>
        </w:tblCellMar>
      </w:tblPr>
      <w:tblGrid>
        <w:gridCol w:w="3059"/>
        <w:gridCol w:w="5360"/>
      </w:tblGrid>
      <w:tr>
        <w:tblPrEx>
          <w:tblW w:w="8419" w:type="dxa"/>
          <w:jc w:val="center"/>
          <w:tblInd w:w="0" w:type="dxa"/>
          <w:tblBorders>
            <w:top w:val="single" w:sz="12" w:space="0" w:color="7F7F7F"/>
            <w:left w:val="single" w:sz="12" w:space="0" w:color="7F7F7F"/>
            <w:bottom w:val="single" w:sz="12" w:space="0" w:color="7F7F7F"/>
            <w:right w:val="single" w:sz="12" w:space="0" w:color="7F7F7F"/>
            <w:insideH w:val="single" w:sz="12" w:space="0" w:color="7F7F7F"/>
            <w:insideV w:val="single" w:sz="12" w:space="0" w:color="7F7F7F"/>
          </w:tblBorders>
          <w:tblLayout w:type="fixed"/>
          <w:tblCellMar>
            <w:top w:w="0" w:type="dxa"/>
            <w:left w:w="0" w:type="dxa"/>
            <w:bottom w:w="0" w:type="dxa"/>
            <w:right w:w="0" w:type="dxa"/>
          </w:tblCellMar>
        </w:tblPrEx>
        <w:trPr>
          <w:trHeight w:val="387"/>
          <w:jc w:val="center"/>
        </w:trPr>
        <w:tc>
          <w:tcPr>
            <w:tcW w:w="3059" w:type="dxa"/>
            <w:tcBorders>
              <w:top w:val="single" w:sz="12" w:space="0" w:color="000000"/>
              <w:left w:val="nil"/>
              <w:bottom w:val="single" w:sz="4" w:space="0" w:color="000000"/>
              <w:right w:val="nil"/>
            </w:tcBorders>
          </w:tcPr>
          <w:p>
            <w:pPr>
              <w:pStyle w:val="TableParagraph"/>
              <w:spacing w:before="15" w:line="265" w:lineRule="exact"/>
              <w:ind w:left="22"/>
              <w:jc w:val="center"/>
            </w:pPr>
            <w:r>
              <w:rPr>
                <w:color w:val="191919"/>
              </w:rPr>
              <w:t>账龄</w:t>
            </w:r>
          </w:p>
        </w:tc>
        <w:tc>
          <w:tcPr>
            <w:tcW w:w="5360" w:type="dxa"/>
            <w:tcBorders>
              <w:top w:val="single" w:sz="12" w:space="0" w:color="000000"/>
              <w:left w:val="nil"/>
              <w:bottom w:val="single" w:sz="4" w:space="0" w:color="000000"/>
              <w:right w:val="nil"/>
            </w:tcBorders>
          </w:tcPr>
          <w:p>
            <w:pPr>
              <w:pStyle w:val="TableParagraph"/>
              <w:spacing w:before="15" w:line="265" w:lineRule="exact"/>
              <w:ind w:left="15"/>
              <w:jc w:val="center"/>
            </w:pPr>
            <w:r>
              <w:rPr>
                <w:color w:val="191919"/>
              </w:rPr>
              <w:t>应收账款计提比例</w:t>
            </w:r>
          </w:p>
        </w:tc>
      </w:tr>
      <w:tr>
        <w:tblPrEx>
          <w:tblW w:w="8419" w:type="dxa"/>
          <w:jc w:val="center"/>
          <w:tblInd w:w="0" w:type="dxa"/>
          <w:tblLayout w:type="fixed"/>
          <w:tblCellMar>
            <w:top w:w="0" w:type="dxa"/>
            <w:left w:w="0" w:type="dxa"/>
            <w:bottom w:w="0" w:type="dxa"/>
            <w:right w:w="0" w:type="dxa"/>
          </w:tblCellMar>
        </w:tblPrEx>
        <w:trPr>
          <w:trHeight w:val="368"/>
          <w:jc w:val="center"/>
        </w:trPr>
        <w:tc>
          <w:tcPr>
            <w:tcW w:w="3059" w:type="dxa"/>
            <w:tcBorders>
              <w:top w:val="single" w:sz="4" w:space="0" w:color="000000"/>
              <w:left w:val="nil"/>
              <w:bottom w:val="single" w:sz="4" w:space="0" w:color="000000"/>
              <w:right w:val="nil"/>
            </w:tcBorders>
          </w:tcPr>
          <w:p>
            <w:pPr>
              <w:pStyle w:val="TableParagraph"/>
              <w:spacing w:before="15" w:line="265" w:lineRule="exact"/>
              <w:ind w:left="22"/>
              <w:jc w:val="center"/>
            </w:pPr>
            <w:r>
              <w:rPr>
                <w:color w:val="191919"/>
              </w:rPr>
              <w:t>6个月以内</w:t>
            </w:r>
          </w:p>
        </w:tc>
        <w:tc>
          <w:tcPr>
            <w:tcW w:w="5360" w:type="dxa"/>
            <w:tcBorders>
              <w:top w:val="single" w:sz="4" w:space="0" w:color="000000"/>
              <w:left w:val="nil"/>
              <w:bottom w:val="single" w:sz="4" w:space="0" w:color="000000"/>
              <w:right w:val="nil"/>
            </w:tcBorders>
          </w:tcPr>
          <w:p>
            <w:pPr>
              <w:pStyle w:val="TableParagraph"/>
              <w:spacing w:before="15" w:line="265" w:lineRule="exact"/>
              <w:ind w:left="15"/>
              <w:jc w:val="center"/>
            </w:pPr>
            <w:r>
              <w:rPr>
                <w:color w:val="191919"/>
              </w:rPr>
              <w:t>1%</w:t>
            </w:r>
          </w:p>
        </w:tc>
      </w:tr>
      <w:tr>
        <w:tblPrEx>
          <w:tblW w:w="8419" w:type="dxa"/>
          <w:jc w:val="center"/>
          <w:tblInd w:w="0" w:type="dxa"/>
          <w:tblLayout w:type="fixed"/>
          <w:tblCellMar>
            <w:top w:w="0" w:type="dxa"/>
            <w:left w:w="0" w:type="dxa"/>
            <w:bottom w:w="0" w:type="dxa"/>
            <w:right w:w="0" w:type="dxa"/>
          </w:tblCellMar>
        </w:tblPrEx>
        <w:trPr>
          <w:trHeight w:val="368"/>
          <w:jc w:val="center"/>
        </w:trPr>
        <w:tc>
          <w:tcPr>
            <w:tcW w:w="3059" w:type="dxa"/>
            <w:tcBorders>
              <w:top w:val="single" w:sz="4" w:space="0" w:color="000000"/>
              <w:left w:val="nil"/>
              <w:bottom w:val="single" w:sz="4" w:space="0" w:color="000000"/>
              <w:right w:val="nil"/>
            </w:tcBorders>
          </w:tcPr>
          <w:p>
            <w:pPr>
              <w:pStyle w:val="TableParagraph"/>
              <w:spacing w:before="15" w:line="265" w:lineRule="exact"/>
              <w:ind w:left="22"/>
              <w:jc w:val="center"/>
            </w:pPr>
            <w:r>
              <w:rPr>
                <w:color w:val="191919"/>
              </w:rPr>
              <w:t>7-12个月</w:t>
            </w:r>
          </w:p>
        </w:tc>
        <w:tc>
          <w:tcPr>
            <w:tcW w:w="5360" w:type="dxa"/>
            <w:tcBorders>
              <w:top w:val="single" w:sz="4" w:space="0" w:color="000000"/>
              <w:left w:val="nil"/>
              <w:bottom w:val="single" w:sz="4" w:space="0" w:color="000000"/>
              <w:right w:val="nil"/>
            </w:tcBorders>
          </w:tcPr>
          <w:p>
            <w:pPr>
              <w:pStyle w:val="TableParagraph"/>
              <w:spacing w:before="15" w:line="265" w:lineRule="exact"/>
              <w:ind w:left="15"/>
              <w:jc w:val="center"/>
            </w:pPr>
            <w:r>
              <w:rPr>
                <w:color w:val="191919"/>
              </w:rPr>
              <w:t>5%</w:t>
            </w:r>
          </w:p>
        </w:tc>
      </w:tr>
      <w:tr>
        <w:tblPrEx>
          <w:tblW w:w="8419" w:type="dxa"/>
          <w:jc w:val="center"/>
          <w:tblInd w:w="0" w:type="dxa"/>
          <w:tblLayout w:type="fixed"/>
          <w:tblCellMar>
            <w:top w:w="0" w:type="dxa"/>
            <w:left w:w="0" w:type="dxa"/>
            <w:bottom w:w="0" w:type="dxa"/>
            <w:right w:w="0" w:type="dxa"/>
          </w:tblCellMar>
        </w:tblPrEx>
        <w:trPr>
          <w:trHeight w:val="368"/>
          <w:jc w:val="center"/>
        </w:trPr>
        <w:tc>
          <w:tcPr>
            <w:tcW w:w="3059" w:type="dxa"/>
            <w:tcBorders>
              <w:top w:val="single" w:sz="4" w:space="0" w:color="000000"/>
              <w:left w:val="nil"/>
              <w:bottom w:val="single" w:sz="4" w:space="0" w:color="000000"/>
              <w:right w:val="nil"/>
            </w:tcBorders>
          </w:tcPr>
          <w:p>
            <w:pPr>
              <w:pStyle w:val="TableParagraph"/>
              <w:spacing w:before="15" w:line="265" w:lineRule="exact"/>
              <w:ind w:left="22"/>
              <w:jc w:val="center"/>
            </w:pPr>
            <w:r>
              <w:rPr>
                <w:color w:val="191919"/>
              </w:rPr>
              <w:t>1-2年</w:t>
            </w:r>
          </w:p>
        </w:tc>
        <w:tc>
          <w:tcPr>
            <w:tcW w:w="5360" w:type="dxa"/>
            <w:tcBorders>
              <w:top w:val="single" w:sz="4" w:space="0" w:color="000000"/>
              <w:left w:val="nil"/>
              <w:bottom w:val="single" w:sz="4" w:space="0" w:color="000000"/>
              <w:right w:val="nil"/>
            </w:tcBorders>
          </w:tcPr>
          <w:p>
            <w:pPr>
              <w:pStyle w:val="TableParagraph"/>
              <w:spacing w:before="15" w:line="265" w:lineRule="exact"/>
              <w:ind w:left="15"/>
              <w:jc w:val="center"/>
            </w:pPr>
            <w:r>
              <w:rPr>
                <w:color w:val="191919"/>
              </w:rPr>
              <w:t>50%</w:t>
            </w:r>
          </w:p>
        </w:tc>
      </w:tr>
      <w:tr>
        <w:tblPrEx>
          <w:tblW w:w="8419" w:type="dxa"/>
          <w:jc w:val="center"/>
          <w:tblInd w:w="0" w:type="dxa"/>
          <w:tblLayout w:type="fixed"/>
          <w:tblCellMar>
            <w:top w:w="0" w:type="dxa"/>
            <w:left w:w="0" w:type="dxa"/>
            <w:bottom w:w="0" w:type="dxa"/>
            <w:right w:w="0" w:type="dxa"/>
          </w:tblCellMar>
        </w:tblPrEx>
        <w:trPr>
          <w:trHeight w:val="457"/>
          <w:jc w:val="center"/>
        </w:trPr>
        <w:tc>
          <w:tcPr>
            <w:tcW w:w="3059" w:type="dxa"/>
            <w:tcBorders>
              <w:top w:val="single" w:sz="4" w:space="0" w:color="000000"/>
              <w:left w:val="nil"/>
              <w:bottom w:val="single" w:sz="12" w:space="0" w:color="000000"/>
              <w:right w:val="nil"/>
            </w:tcBorders>
          </w:tcPr>
          <w:p>
            <w:pPr>
              <w:pStyle w:val="TableParagraph"/>
              <w:spacing w:before="15" w:line="265" w:lineRule="exact"/>
              <w:ind w:left="22"/>
              <w:jc w:val="center"/>
            </w:pPr>
            <w:r>
              <w:rPr>
                <w:color w:val="191919"/>
              </w:rPr>
              <w:t>2年以上</w:t>
            </w:r>
          </w:p>
        </w:tc>
        <w:tc>
          <w:tcPr>
            <w:tcW w:w="5360" w:type="dxa"/>
            <w:tcBorders>
              <w:top w:val="single" w:sz="4" w:space="0" w:color="000000"/>
              <w:left w:val="nil"/>
              <w:bottom w:val="single" w:sz="12" w:space="0" w:color="000000"/>
              <w:right w:val="nil"/>
            </w:tcBorders>
          </w:tcPr>
          <w:p>
            <w:pPr>
              <w:pStyle w:val="TableParagraph"/>
              <w:spacing w:before="15" w:line="265" w:lineRule="exact"/>
              <w:ind w:left="15"/>
              <w:jc w:val="center"/>
            </w:pPr>
            <w:r>
              <w:rPr>
                <w:color w:val="191919"/>
              </w:rPr>
              <w:t>100%</w:t>
            </w:r>
          </w:p>
        </w:tc>
      </w:tr>
    </w:tbl>
    <w:p>
      <w:pPr>
        <w:spacing w:line="300" w:lineRule="auto"/>
        <w:ind w:firstLine="480" w:firstLineChars="200"/>
        <w:rPr>
          <w:rFonts w:ascii="宋体" w:eastAsia="宋体" w:hAnsi="宋体" w:cs="宋体"/>
          <w:sz w:val="24"/>
        </w:rPr>
      </w:pPr>
      <w:r>
        <w:rPr>
          <w:rFonts w:ascii="宋体" w:eastAsia="宋体" w:hAnsi="宋体" w:cs="宋体" w:hint="eastAsia"/>
          <w:sz w:val="24"/>
        </w:rPr>
        <w:t>根据表</w:t>
      </w:r>
      <w:r>
        <w:rPr>
          <w:rFonts w:ascii="宋体" w:eastAsia="宋体" w:hAnsi="宋体" w:cs="宋体" w:hint="eastAsia"/>
          <w:sz w:val="24"/>
          <w:lang w:val="en-US" w:eastAsia="zh-CN"/>
        </w:rPr>
        <w:t>3</w:t>
      </w:r>
      <w:r>
        <w:rPr>
          <w:rFonts w:ascii="宋体" w:eastAsia="宋体" w:hAnsi="宋体" w:cs="宋体" w:hint="eastAsia"/>
          <w:sz w:val="24"/>
        </w:rPr>
        <w:t>.1，瑞康医药可以准确的计提坏账准备。在计算坏账准备之前，有必要明确应收账款的账龄，也就是对应收账款的具体使用天数进行核对。若大部分都超出了预期的话，需要对企业的信用政策进行检查。</w:t>
      </w:r>
    </w:p>
    <w:p>
      <w:pPr>
        <w:spacing w:line="360" w:lineRule="auto"/>
        <w:outlineLvl w:val="2"/>
        <w:rPr>
          <w:rFonts w:ascii="黑体" w:eastAsia="黑体" w:hAnsi="黑体" w:cs="黑体"/>
          <w:sz w:val="24"/>
        </w:rPr>
      </w:pPr>
      <w:bookmarkStart w:id="20" w:name="_Toc31546"/>
      <w:r>
        <w:rPr>
          <w:rFonts w:ascii="黑体" w:eastAsia="黑体" w:hAnsi="黑体" w:cs="黑体" w:hint="eastAsia"/>
          <w:sz w:val="24"/>
        </w:rPr>
        <w:t>2</w:t>
      </w:r>
      <w:r>
        <w:rPr>
          <w:rFonts w:ascii="黑体" w:eastAsia="黑体" w:hAnsi="黑体" w:cs="黑体" w:hint="eastAsia"/>
          <w:sz w:val="24"/>
          <w:lang w:eastAsia="zh-CN"/>
        </w:rPr>
        <w:t>、</w:t>
      </w:r>
      <w:r>
        <w:rPr>
          <w:rFonts w:ascii="黑体" w:eastAsia="黑体" w:hAnsi="黑体" w:cs="黑体" w:hint="eastAsia"/>
          <w:sz w:val="24"/>
        </w:rPr>
        <w:t>制定收款责任体系</w:t>
      </w:r>
      <w:bookmarkEnd w:id="20"/>
    </w:p>
    <w:p>
      <w:pPr>
        <w:spacing w:line="300" w:lineRule="auto"/>
        <w:ind w:firstLine="480" w:firstLineChars="200"/>
        <w:rPr>
          <w:rFonts w:ascii="宋体" w:eastAsia="宋体" w:hAnsi="宋体" w:cs="宋体"/>
          <w:sz w:val="24"/>
        </w:rPr>
      </w:pPr>
      <w:r>
        <w:rPr>
          <w:rFonts w:ascii="宋体" w:eastAsia="宋体" w:hAnsi="宋体" w:cs="宋体"/>
          <w:sz w:val="24"/>
        </w:rPr>
        <w:br/>
      </w:r>
      <w:r>
        <w:rPr>
          <w:rFonts w:ascii="宋体" w:eastAsia="宋体" w:hAnsi="宋体" w:cs="宋体"/>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https://d.book118.com/985302043020011044</w:t>
        </w:r>
      </w:hyperlink>
    </w:p>
    <w:p>
      <w:pPr>
        <w:spacing w:line="300" w:lineRule="auto"/>
        <w:ind w:firstLine="480" w:firstLineChars="200"/>
        <w:rPr>
          <w:rFonts w:ascii="宋体" w:eastAsia="宋体" w:hAnsi="宋体" w:cs="宋体"/>
          <w:sz w:val="24"/>
        </w:rPr>
      </w:pPr>
    </w:p>
    <w:sectPr>
      <w:headerReference w:type="default" r:id="rId24"/>
      <w:footerReference w:type="default" r:id="rId25"/>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fmt="decimal" w:start="5"/>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embedRegular r:id="rId1" w:subsetted="1" w:fontKey="{C148CA15-187D-4977-9E43-3E79C1EC03C2}"/>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E847E999-4708-4F0E-82D2-E4BC4789391E}"/>
  </w:font>
  <w:font w:name="Calibri">
    <w:panose1 w:val="020F0502020204030204"/>
    <w:charset w:val="00"/>
    <w:family w:val="swiss"/>
    <w:pitch w:val="default"/>
    <w:sig w:usb0="E10002FF" w:usb1="4000ACFF" w:usb2="00000009" w:usb3="00000000" w:csb0="2000019F" w:csb1="00000000"/>
    <w:embedRegular r:id="rId3" w:subsetted="1" w:fontKey="{95E010F9-7E7A-445F-86A2-CC69D960D59C}"/>
  </w:font>
  <w:font w:name="Calibri Light">
    <w:charset w:val="00"/>
    <w:family w:val="auto"/>
    <w:pitch w:val="default"/>
  </w:font>
  <w:font w:name="SimSun">
    <w:charset w:val="00"/>
    <w:family w:val="auto"/>
    <w:pitch w:val="default"/>
    <w:sig w:usb0="00000000" w:usb1="00000000" w:usb2="00000000" w:usb3="00000000" w:csb0="00000001" w:csb1="00000000"/>
    <w:embedRegular r:id="rId4" w:subsetted="1" w:fontKey="{1E50F452-B9E8-4681-85E6-E613A554059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6" o:spid="_x0000_s2050" type="#_x0000_t202" style="width:9.05pt;height:10.35pt;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pStyle w:val="Foote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173395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31445"/>
              <wp:effectExtent l="0" t="0" r="0" b="0"/>
              <wp:wrapNone/>
              <wp:docPr id="93570826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6" o:spid="_x0000_s2052" type="#_x0000_t202" style="width:9.05pt;height:10.35pt;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404335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14935" cy="131445"/>
              <wp:effectExtent l="0" t="0" r="0" b="0"/>
              <wp:wrapNone/>
              <wp:docPr id="96840466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6" o:spid="_x0000_s2054" type="#_x0000_t202" style="width:9.05pt;height:10.35pt;margin-top:0;margin-left:0;mso-position-horizontal:center;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pStyle w:val="Footer"/>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28057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14935" cy="131445"/>
              <wp:effectExtent l="0" t="0" r="0" b="0"/>
              <wp:wrapNone/>
              <wp:docPr id="27664987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6" o:spid="_x0000_s2056" type="#_x0000_t202" style="width:9.05pt;height:10.35pt;margin-top:0;margin-left:0;mso-position-horizontal:center;mso-position-horizontal-relative:margin;mso-wrap-distance-bottom:0;mso-wrap-distance-left:9pt;mso-wrap-distance-right:9pt;mso-wrap-distance-top:0;mso-wrap-style:none;position:absolute;v-text-anchor:top;z-index:251670528" filled="f" fillcolor="this" stroked="f" strokeweight="0.75pt">
              <v:textbox style="mso-fit-shape-to-text:t" inset="0,0,0,0">
                <w:txbxContent>
                  <w:p>
                    <w:pPr>
                      <w:pStyle w:val="Footer"/>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973216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14935" cy="131445"/>
              <wp:effectExtent l="0" t="0" r="0" b="0"/>
              <wp:wrapNone/>
              <wp:docPr id="23694040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6" o:spid="_x0000_s2058" type="#_x0000_t202" style="width:9.05pt;height:10.35pt;margin-top:0;margin-left:0;mso-position-horizontal:center;mso-position-horizontal-relative:margin;mso-wrap-distance-bottom:0;mso-wrap-distance-left:9pt;mso-wrap-distance-right:9pt;mso-wrap-distance-top:0;mso-wrap-style:none;position:absolute;v-text-anchor:top;z-index:251674624" filled="f" fillcolor="this" stroked="f" strokeweight="0.75pt">
              <v:textbox style="mso-fit-shape-to-text:t" inset="0,0,0,0">
                <w:txbxContent>
                  <w:p>
                    <w:pPr>
                      <w:pStyle w:val="Footer"/>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14935" cy="131445"/>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60" type="#_x0000_t202" style="width:9.05pt;height:10.35pt;margin-top:0;margin-left:0;mso-position-horizontal:center;mso-position-horizontal-relative:margin;mso-wrap-distance-bottom:0;mso-wrap-distance-left:9pt;mso-wrap-distance-right:9pt;mso-wrap-distance-top:0;mso-wrap-style:none;position:absolute;v-text-anchor:top;z-index:251678720" filled="f" fillcolor="this" stroked="f" strokeweight="0.75pt">
              <v:textbox style="mso-fit-shape-to-text:t" inset="0,0,0,0">
                <w:txbxContent>
                  <w:p>
                    <w:pPr>
                      <w:pStyle w:val="Footer"/>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981930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14935" cy="131445"/>
              <wp:effectExtent l="0" t="0" r="0" b="0"/>
              <wp:wrapNone/>
              <wp:docPr id="164739275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62" type="#_x0000_t202" style="width:9.05pt;height:10.35pt;margin-top:0;margin-left:0;mso-position-horizontal:center;mso-position-horizontal-relative:margin;mso-wrap-distance-bottom:0;mso-wrap-distance-left:9pt;mso-wrap-distance-right:9pt;mso-wrap-distance-top:0;mso-wrap-style:none;position:absolute;v-text-anchor:top;z-index:251682816" filled="f" fillcolor="this" stroked="f" strokeweight="0.75pt">
              <v:textbox style="mso-fit-shape-to-text:t" inset="0,0,0,0">
                <w:txbxContent>
                  <w:p>
                    <w:pPr>
                      <w:pStyle w:val="Footer"/>
                    </w:pP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741355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14935" cy="131445"/>
              <wp:effectExtent l="0" t="0" r="0" b="0"/>
              <wp:wrapNone/>
              <wp:docPr id="101548269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64" type="#_x0000_t202" style="width:9.05pt;height:10.35pt;margin-top:0;margin-left:0;mso-position-horizontal:center;mso-position-horizontal-relative:margin;mso-wrap-distance-bottom:0;mso-wrap-distance-left:9pt;mso-wrap-distance-right:9pt;mso-wrap-distance-top:0;mso-wrap-style:none;position:absolute;v-text-anchor:top;z-index:251686912" filled="f" fillcolor="this" stroked="f" strokeweight="0.75pt">
              <v:textbox style="mso-fit-shape-to-text:t" inset="0,0,0,0">
                <w:txbxContent>
                  <w:p>
                    <w:pPr>
                      <w:pStyle w:val="Footer"/>
                    </w:pP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847892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14935" cy="131445"/>
              <wp:effectExtent l="0" t="0" r="0" b="0"/>
              <wp:wrapNone/>
              <wp:docPr id="4529071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66" type="#_x0000_t202" style="width:9.05pt;height:10.35pt;margin-top:0;margin-left:0;mso-position-horizontal:center;mso-position-horizontal-relative:margin;mso-wrap-distance-bottom:0;mso-wrap-distance-left:9pt;mso-wrap-distance-right:9pt;mso-wrap-distance-top:0;mso-wrap-style:none;position:absolute;v-text-anchor:top;z-index:251691008" filled="f" fillcolor="this" stroked="f" strokeweight="0.75pt">
              <v:textbox style="mso-fit-shape-to-text:t" inset="0,0,0,0">
                <w:txbxContent>
                  <w:p>
                    <w:pPr>
                      <w:pStyle w:val="Footer"/>
                    </w:pP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863283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14935" cy="131445"/>
              <wp:effectExtent l="0" t="0" r="0" b="0"/>
              <wp:wrapNone/>
              <wp:docPr id="154371798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68" type="#_x0000_t202" style="width:9.05pt;height:10.35pt;margin-top:0;margin-left:0;mso-position-horizontal:center;mso-position-horizontal-relative:margin;mso-wrap-distance-bottom:0;mso-wrap-distance-left:9pt;mso-wrap-distance-right:9pt;mso-wrap-distance-top:0;mso-wrap-style:none;position:absolute;v-text-anchor:top;z-index:251695104" filled="f" fillcolor="this" stroked="f" strokeweight="0.75pt">
              <v:textbox style="mso-fit-shape-to-text:t" inset="0,0,0,0">
                <w:txbxContent>
                  <w:p>
                    <w:pPr>
                      <w:pStyle w:val="Footer"/>
                    </w:pP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8C31697"/>
    <w:multiLevelType w:val="singleLevel"/>
    <w:tmpl w:val="C8C31697"/>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04D93"/>
    <w:rsid w:val="003249C3"/>
    <w:rsid w:val="008E2207"/>
    <w:rsid w:val="00975E6D"/>
    <w:rsid w:val="00AC4920"/>
    <w:rsid w:val="00D54C4A"/>
    <w:rsid w:val="00EA0872"/>
    <w:rsid w:val="00FC01D3"/>
    <w:rsid w:val="020B363A"/>
    <w:rsid w:val="04193998"/>
    <w:rsid w:val="043820C8"/>
    <w:rsid w:val="048B7990"/>
    <w:rsid w:val="049E0F39"/>
    <w:rsid w:val="0595626E"/>
    <w:rsid w:val="06FA77EA"/>
    <w:rsid w:val="071F36EB"/>
    <w:rsid w:val="075838FA"/>
    <w:rsid w:val="07EA247E"/>
    <w:rsid w:val="08B67622"/>
    <w:rsid w:val="08D91B0E"/>
    <w:rsid w:val="091066B6"/>
    <w:rsid w:val="0A513950"/>
    <w:rsid w:val="0A8F5BEA"/>
    <w:rsid w:val="0B0A6878"/>
    <w:rsid w:val="0B3B3792"/>
    <w:rsid w:val="0BA31C8F"/>
    <w:rsid w:val="0E802EB3"/>
    <w:rsid w:val="0F22254C"/>
    <w:rsid w:val="10B93DC2"/>
    <w:rsid w:val="10C55FD8"/>
    <w:rsid w:val="12072D8F"/>
    <w:rsid w:val="16D00A74"/>
    <w:rsid w:val="16FF3B9D"/>
    <w:rsid w:val="19FF0746"/>
    <w:rsid w:val="1B0E4247"/>
    <w:rsid w:val="1CC22A98"/>
    <w:rsid w:val="1DAD0520"/>
    <w:rsid w:val="1F73630F"/>
    <w:rsid w:val="20CA086A"/>
    <w:rsid w:val="21680380"/>
    <w:rsid w:val="235002CB"/>
    <w:rsid w:val="23827689"/>
    <w:rsid w:val="249930A4"/>
    <w:rsid w:val="254271D1"/>
    <w:rsid w:val="28004D93"/>
    <w:rsid w:val="289B4067"/>
    <w:rsid w:val="2A6660C1"/>
    <w:rsid w:val="2B652056"/>
    <w:rsid w:val="2E4067E4"/>
    <w:rsid w:val="2F557896"/>
    <w:rsid w:val="2F6065D1"/>
    <w:rsid w:val="2F627D99"/>
    <w:rsid w:val="2FF010AC"/>
    <w:rsid w:val="303A7652"/>
    <w:rsid w:val="305678CE"/>
    <w:rsid w:val="305F4E7E"/>
    <w:rsid w:val="33E54163"/>
    <w:rsid w:val="33E70B12"/>
    <w:rsid w:val="363C5C65"/>
    <w:rsid w:val="368911E5"/>
    <w:rsid w:val="38292739"/>
    <w:rsid w:val="3958538C"/>
    <w:rsid w:val="3A006A10"/>
    <w:rsid w:val="3AFC4B0C"/>
    <w:rsid w:val="3D2924EF"/>
    <w:rsid w:val="3DC96F46"/>
    <w:rsid w:val="40EC725A"/>
    <w:rsid w:val="40FE6B01"/>
    <w:rsid w:val="47280A93"/>
    <w:rsid w:val="47EF2C6E"/>
    <w:rsid w:val="482B6E84"/>
    <w:rsid w:val="48F87EB5"/>
    <w:rsid w:val="497E4425"/>
    <w:rsid w:val="4C615863"/>
    <w:rsid w:val="4F734876"/>
    <w:rsid w:val="4F840831"/>
    <w:rsid w:val="4F961F9E"/>
    <w:rsid w:val="4FE466E1"/>
    <w:rsid w:val="525F19A5"/>
    <w:rsid w:val="557467B6"/>
    <w:rsid w:val="562A3D0E"/>
    <w:rsid w:val="563F1955"/>
    <w:rsid w:val="56A74CEF"/>
    <w:rsid w:val="58B15C86"/>
    <w:rsid w:val="597E0409"/>
    <w:rsid w:val="5ABD5703"/>
    <w:rsid w:val="5AD563E4"/>
    <w:rsid w:val="5CF90B3B"/>
    <w:rsid w:val="5E093CEE"/>
    <w:rsid w:val="5E734892"/>
    <w:rsid w:val="5EF82C40"/>
    <w:rsid w:val="5FC90FAA"/>
    <w:rsid w:val="60BF317C"/>
    <w:rsid w:val="613433EE"/>
    <w:rsid w:val="6285748E"/>
    <w:rsid w:val="63B73E59"/>
    <w:rsid w:val="65E147C2"/>
    <w:rsid w:val="67CA4DF7"/>
    <w:rsid w:val="681571A7"/>
    <w:rsid w:val="699C04E0"/>
    <w:rsid w:val="6A470E64"/>
    <w:rsid w:val="6B20545A"/>
    <w:rsid w:val="6B5F5E85"/>
    <w:rsid w:val="6B680C1F"/>
    <w:rsid w:val="6C6E4456"/>
    <w:rsid w:val="6F5E252A"/>
    <w:rsid w:val="6FDD05FD"/>
    <w:rsid w:val="72A9667D"/>
    <w:rsid w:val="74DD0860"/>
    <w:rsid w:val="75CD3BC1"/>
    <w:rsid w:val="774B2DBD"/>
    <w:rsid w:val="7819395D"/>
    <w:rsid w:val="79BF70EF"/>
    <w:rsid w:val="79F339FB"/>
    <w:rsid w:val="7AC345CA"/>
    <w:rsid w:val="7C586C76"/>
    <w:rsid w:val="7CD14A9F"/>
    <w:rsid w:val="7D551BA3"/>
    <w:rsid w:val="7DD70DDA"/>
    <w:rsid w:val="7E445BDB"/>
    <w:rsid w:val="7E462E99"/>
    <w:rsid w:val="7EA24406"/>
    <w:rsid w:val="7EE226B8"/>
    <w:rsid w:val="7F1C3F56"/>
  </w:rsids>
  <w:docVars>
    <w:docVar w:name="commondata" w:val="eyJoZGlkIjoiZmUzY2Y5ZDE0Mzc4NzNmNzAzODEyNzNhZWJhNDc5N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lsdException w:name="HTML Sample" w:semiHidden="0" w:uiPriority="0" w:unhideWhenUsed="0" w:qFormat="1"/>
    <w:lsdException w:name="HTML Typewriter" w:semiHidden="0" w:uiPriority="0" w:unhideWhenUsed="0"/>
    <w:lsdException w:name="HTML Variable" w:semiHidden="0" w:uiPriority="0" w:unhideWhenUsed="0" w:qFormat="1"/>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tabs>
        <w:tab w:val="left" w:pos="377"/>
      </w:tabs>
      <w:adjustRightInd w:val="0"/>
      <w:snapToGrid w:val="0"/>
      <w:spacing w:after="240" w:line="360" w:lineRule="auto"/>
      <w:jc w:val="left"/>
      <w:outlineLvl w:val="0"/>
    </w:pPr>
    <w:rPr>
      <w:rFonts w:ascii="黑体" w:eastAsia="黑体" w:hAnsi="黑体"/>
      <w:bCs/>
      <w:kern w:val="44"/>
      <w:sz w:val="28"/>
      <w:szCs w:val="30"/>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pPr>
      <w:ind w:left="102"/>
    </w:pPr>
    <w:rPr>
      <w:rFonts w:ascii="宋体" w:hAnsi="宋体" w:cs="宋体"/>
      <w:sz w:val="24"/>
      <w:szCs w:val="21"/>
      <w:lang w:val="zh-CN" w:bidi="zh-CN"/>
    </w:r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FootnoteText">
    <w:name w:val="footnote text"/>
    <w:basedOn w:val="Normal"/>
    <w:qFormat/>
    <w:pPr>
      <w:snapToGrid w:val="0"/>
      <w:jc w:val="left"/>
    </w:pPr>
    <w:rPr>
      <w:sz w:val="18"/>
    </w:rPr>
  </w:style>
  <w:style w:type="paragraph" w:styleId="TOC2">
    <w:name w:val="toc 2"/>
    <w:basedOn w:val="Normal"/>
    <w:next w:val="Normal"/>
    <w:qFormat/>
    <w:pPr>
      <w:ind w:left="420" w:leftChars="200"/>
    </w:pPr>
  </w:style>
  <w:style w:type="character" w:styleId="FollowedHyperlink">
    <w:name w:val="FollowedHyperlink"/>
    <w:basedOn w:val="DefaultParagraphFont"/>
    <w:qFormat/>
    <w:rPr>
      <w:color w:val="2D64B3"/>
      <w:u w:val="none"/>
    </w:rPr>
  </w:style>
  <w:style w:type="character" w:styleId="Emphasis">
    <w:name w:val="Emphasis"/>
    <w:basedOn w:val="DefaultParagraphFont"/>
    <w:qFormat/>
  </w:style>
  <w:style w:type="character" w:styleId="HTMLDefinition">
    <w:name w:val="HTML Definition"/>
    <w:basedOn w:val="DefaultParagraphFont"/>
    <w:qFormat/>
  </w:style>
  <w:style w:type="character" w:styleId="HTMLVariable">
    <w:name w:val="HTML Variable"/>
    <w:basedOn w:val="DefaultParagraphFont"/>
    <w:qFormat/>
  </w:style>
  <w:style w:type="character" w:styleId="Hyperlink">
    <w:name w:val="Hyperlink"/>
    <w:basedOn w:val="DefaultParagraphFont"/>
    <w:qFormat/>
    <w:rPr>
      <w:color w:val="2D64B3"/>
      <w:u w:val="none"/>
    </w:rPr>
  </w:style>
  <w:style w:type="character" w:styleId="HTMLCode">
    <w:name w:val="HTML Code"/>
    <w:basedOn w:val="DefaultParagraphFont"/>
    <w:qFormat/>
    <w:rPr>
      <w:rFonts w:ascii="Arial" w:hAnsi="Arial" w:cs="Arial" w:hint="eastAsia"/>
      <w:sz w:val="20"/>
    </w:rPr>
  </w:style>
  <w:style w:type="character" w:styleId="CommentReference">
    <w:name w:val="annotation reference"/>
    <w:basedOn w:val="DefaultParagraphFont"/>
    <w:qFormat/>
    <w:rPr>
      <w:sz w:val="21"/>
      <w:szCs w:val="21"/>
    </w:rPr>
  </w:style>
  <w:style w:type="character" w:styleId="HTMLCite">
    <w:name w:val="HTML Cite"/>
    <w:basedOn w:val="DefaultParagraphFont"/>
    <w:qFormat/>
  </w:style>
  <w:style w:type="character" w:styleId="FootnoteReference">
    <w:name w:val="footnote reference"/>
    <w:basedOn w:val="DefaultParagraphFont"/>
    <w:qFormat/>
    <w:rPr>
      <w:vertAlign w:val="superscript"/>
    </w:rPr>
  </w:style>
  <w:style w:type="character" w:styleId="HTMLKeyboard">
    <w:name w:val="HTML Keyboard"/>
    <w:basedOn w:val="DefaultParagraphFont"/>
    <w:qFormat/>
    <w:rPr>
      <w:rFonts w:ascii="Arial" w:hAnsi="Arial" w:cs="Arial" w:hint="default"/>
      <w:sz w:val="20"/>
    </w:rPr>
  </w:style>
  <w:style w:type="character" w:styleId="HTMLSample">
    <w:name w:val="HTML Sample"/>
    <w:basedOn w:val="DefaultParagraphFont"/>
    <w:qFormat/>
    <w:rPr>
      <w:rFonts w:ascii="Arial" w:hAnsi="Arial" w:cs="Arial" w:hint="default"/>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a">
    <w:name w:val="原创声明"/>
    <w:basedOn w:val="Normal"/>
    <w:uiPriority w:val="99"/>
    <w:qFormat/>
    <w:pPr>
      <w:tabs>
        <w:tab w:val="left" w:pos="377"/>
      </w:tabs>
      <w:adjustRightInd w:val="0"/>
      <w:snapToGrid w:val="0"/>
      <w:spacing w:after="240" w:line="360" w:lineRule="auto"/>
      <w:jc w:val="center"/>
    </w:pPr>
    <w:rPr>
      <w:rFonts w:ascii="黑体" w:eastAsia="黑体" w:hAnsi="黑体" w:cs="黑体"/>
      <w:bCs/>
      <w:color w:val="000000"/>
      <w:sz w:val="36"/>
      <w:szCs w:val="44"/>
    </w:rPr>
  </w:style>
  <w:style w:type="paragraph" w:customStyle="1" w:styleId="a0">
    <w:name w:val="授权声明"/>
    <w:basedOn w:val="Normal"/>
    <w:uiPriority w:val="99"/>
    <w:qFormat/>
    <w:pPr>
      <w:adjustRightInd w:val="0"/>
      <w:snapToGrid w:val="0"/>
      <w:spacing w:after="240" w:line="360" w:lineRule="auto"/>
      <w:jc w:val="center"/>
    </w:pPr>
    <w:rPr>
      <w:rFonts w:ascii="黑体" w:eastAsia="黑体" w:hAnsi="黑体" w:cs="黑体"/>
      <w:bCs/>
      <w:color w:val="000000"/>
      <w:sz w:val="36"/>
      <w:szCs w:val="44"/>
    </w:rPr>
  </w:style>
  <w:style w:type="paragraph" w:customStyle="1" w:styleId="Abstract">
    <w:name w:val="Abstract"/>
    <w:basedOn w:val="Normal"/>
    <w:uiPriority w:val="99"/>
    <w:qFormat/>
    <w:pPr>
      <w:adjustRightInd w:val="0"/>
      <w:snapToGrid w:val="0"/>
      <w:spacing w:after="240" w:line="360" w:lineRule="auto"/>
      <w:jc w:val="center"/>
    </w:pPr>
    <w:rPr>
      <w:sz w:val="30"/>
    </w:rPr>
  </w:style>
  <w:style w:type="paragraph" w:customStyle="1" w:styleId="TableParagraph">
    <w:name w:val="Table Paragraph"/>
    <w:basedOn w:val="Normal"/>
    <w:uiPriority w:val="1"/>
    <w:qFormat/>
    <w:pPr>
      <w:spacing w:before="7"/>
      <w:ind w:left="14"/>
    </w:pPr>
    <w:rPr>
      <w:rFonts w:ascii="宋体" w:eastAsia="宋体" w:hAnsi="宋体" w:cs="宋体"/>
      <w:lang w:val="zh-CN" w:bidi="zh-CN"/>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qFormat/>
    <w:pPr>
      <w:ind w:left="400" w:leftChars="400"/>
    </w:pPr>
    <w:rPr>
      <w:rFonts w:asciiTheme="minorHAnsi" w:eastAsiaTheme="minorEastAsia" w:hAnsiTheme="minorHAnsi" w:cstheme="minorBidi"/>
      <w:lang w:val="en-US" w:eastAsia="zh-CN" w:bidi="ar-SA"/>
    </w:rPr>
  </w:style>
  <w:style w:type="paragraph" w:customStyle="1" w:styleId="a1">
    <w:name w:val="绪论"/>
    <w:basedOn w:val="Heading1"/>
    <w:uiPriority w:val="99"/>
    <w:qFormat/>
    <w:rPr>
      <w:bCs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d.book118.com/985302043020011044" TargetMode="Externa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11298</Words>
  <Characters>14432</Characters>
  <Application>Microsoft Office Word</Application>
  <DocSecurity>0</DocSecurity>
  <Lines>111</Lines>
  <Paragraphs>31</Paragraphs>
  <ScaleCrop>false</ScaleCrop>
  <Company/>
  <LinksUpToDate>false</LinksUpToDate>
  <CharactersWithSpaces>15208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Administrator</cp:lastModifiedBy>
  <cp:revision>4</cp:revision>
  <dcterms:created xsi:type="dcterms:W3CDTF">2022-02-22T08:36:00Z</dcterms:created>
  <dcterms:modified xsi:type="dcterms:W3CDTF">2024-01-19T03:03:03Z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0E4686CDB7174F7C9D555DF4E0E170E8</vt:lpwstr>
  </property>
  <property fmtid="{D5CDD505-2E9C-101B-9397-08002B2CF9AE}" pid="3" name="KSOProductBuildVer">
    <vt:lpwstr>2052-11.8.2.8621</vt:lpwstr>
  </property>
</Properties>
</file>