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adjustRightInd w:val="0"/>
        <w:snapToGrid w:val="0"/>
        <w:ind w:left="0" w:firstLine="0" w:leftChars="0" w:firstLineChars="0"/>
        <w:jc w:val="center"/>
        <w:rPr>
          <w:rFonts w:hint="eastAsia"/>
          <w:b/>
          <w:sz w:val="60"/>
          <w:szCs w:val="60"/>
        </w:rPr>
      </w:pPr>
      <w:bookmarkStart w:id="0" w:name="_Toc15386"/>
      <w:bookmarkStart w:id="1" w:name="_Toc306001165"/>
      <w:bookmarkStart w:id="2" w:name="_Toc336964917"/>
      <w:bookmarkStart w:id="3" w:name="_Toc336981539"/>
    </w:p>
    <w:p>
      <w:pPr>
        <w:adjustRightInd w:val="0"/>
        <w:snapToGrid w:val="0"/>
        <w:ind w:left="0" w:firstLine="0" w:leftChars="0" w:firstLineChars="0"/>
        <w:jc w:val="center"/>
        <w:rPr>
          <w:rFonts w:hint="eastAsia"/>
          <w:b/>
          <w:sz w:val="60"/>
          <w:szCs w:val="60"/>
        </w:rPr>
      </w:pPr>
    </w:p>
    <w:p>
      <w:pPr>
        <w:adjustRightInd w:val="0"/>
        <w:snapToGrid w:val="0"/>
        <w:ind w:left="0" w:firstLine="0" w:leftChars="0" w:firstLineChars="0"/>
        <w:jc w:val="center"/>
        <w:rPr>
          <w:rFonts w:hint="eastAsia"/>
          <w:b/>
          <w:sz w:val="60"/>
          <w:szCs w:val="60"/>
        </w:rPr>
      </w:pPr>
      <w:r>
        <w:rPr>
          <w:rFonts w:hint="eastAsia"/>
          <w:b/>
          <w:sz w:val="60"/>
          <w:szCs w:val="60"/>
        </w:rPr>
        <w:t>无锡金鑫商业广场工程</w:t>
      </w: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52"/>
          <w:szCs w:val="52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52"/>
          <w:szCs w:val="52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52"/>
          <w:szCs w:val="52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52"/>
          <w:szCs w:val="52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52"/>
          <w:szCs w:val="52"/>
        </w:rPr>
      </w:pPr>
    </w:p>
    <w:p>
      <w:pPr>
        <w:adjustRightInd w:val="0"/>
        <w:snapToGrid w:val="0"/>
        <w:ind w:left="0" w:firstLine="0" w:leftChars="0" w:firstLineChars="0"/>
        <w:jc w:val="center"/>
        <w:rPr>
          <w:rFonts w:eastAsia="宋体" w:hint="eastAsia"/>
          <w:b/>
          <w:sz w:val="48"/>
          <w:szCs w:val="48"/>
        </w:rPr>
      </w:pPr>
      <w:r>
        <w:rPr>
          <w:rFonts w:hint="eastAsia"/>
          <w:b/>
          <w:sz w:val="60"/>
          <w:szCs w:val="60"/>
          <w:lang w:val="en-US" w:eastAsia="zh-CN"/>
        </w:rPr>
        <w:t>型钢悬挑卸料平台施工方案</w:t>
      </w:r>
    </w:p>
    <w:p>
      <w:pPr>
        <w:adjustRightInd w:val="0"/>
        <w:snapToGrid w:val="0"/>
        <w:spacing w:line="240" w:lineRule="auto"/>
        <w:ind w:left="0" w:firstLine="0" w:leftChars="0" w:firstLineChars="0"/>
        <w:rPr>
          <w:rFonts w:hint="eastAsia"/>
          <w:b/>
          <w:sz w:val="48"/>
          <w:szCs w:val="48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rPr>
          <w:rFonts w:hint="eastAsia"/>
          <w:b/>
          <w:sz w:val="48"/>
          <w:szCs w:val="48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rPr>
          <w:rFonts w:hint="eastAsia"/>
          <w:b/>
          <w:sz w:val="48"/>
          <w:szCs w:val="48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left"/>
        <w:rPr>
          <w:rFonts w:hint="eastAsia"/>
          <w:b/>
          <w:sz w:val="24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left"/>
        <w:rPr>
          <w:rFonts w:hint="eastAsia"/>
          <w:b/>
          <w:sz w:val="24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left"/>
        <w:rPr>
          <w:rFonts w:hint="eastAsia"/>
          <w:b/>
          <w:sz w:val="24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24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both"/>
        <w:rPr>
          <w:rFonts w:hint="eastAsia"/>
          <w:b/>
          <w:sz w:val="24"/>
        </w:rPr>
      </w:pPr>
      <w:r>
        <w:rPr>
          <w:rFonts w:hint="eastAsia"/>
          <w:b/>
          <w:sz w:val="24"/>
          <w:lang w:val="en-US" w:eastAsia="zh-CN"/>
        </w:rPr>
        <w:t xml:space="preserve">                           </w:t>
      </w:r>
      <w:r>
        <w:rPr>
          <w:rFonts w:hint="eastAsia"/>
          <w:b/>
          <w:sz w:val="24"/>
        </w:rPr>
        <w:t>编制人：</w:t>
      </w: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24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both"/>
        <w:rPr>
          <w:rFonts w:hint="eastAsia"/>
          <w:b/>
          <w:sz w:val="24"/>
        </w:rPr>
      </w:pPr>
      <w:r>
        <w:rPr>
          <w:rFonts w:hint="eastAsia"/>
          <w:b/>
          <w:sz w:val="24"/>
          <w:lang w:val="en-US" w:eastAsia="zh-CN"/>
        </w:rPr>
        <w:t xml:space="preserve">                           </w:t>
      </w:r>
      <w:r>
        <w:rPr>
          <w:rFonts w:hint="eastAsia"/>
          <w:b/>
          <w:sz w:val="24"/>
        </w:rPr>
        <w:t>审核人：</w:t>
      </w:r>
    </w:p>
    <w:p>
      <w:pPr>
        <w:adjustRightInd w:val="0"/>
        <w:snapToGrid w:val="0"/>
        <w:spacing w:line="240" w:lineRule="auto"/>
        <w:ind w:left="0" w:firstLine="0" w:leftChars="0" w:firstLineChars="0"/>
        <w:jc w:val="center"/>
        <w:rPr>
          <w:rFonts w:hint="eastAsia"/>
          <w:b/>
          <w:sz w:val="24"/>
        </w:rPr>
      </w:pPr>
    </w:p>
    <w:p>
      <w:pPr>
        <w:adjustRightInd w:val="0"/>
        <w:snapToGrid w:val="0"/>
        <w:spacing w:line="240" w:lineRule="auto"/>
        <w:ind w:left="0" w:firstLine="0" w:leftChars="0" w:firstLineChars="0"/>
        <w:jc w:val="both"/>
        <w:rPr>
          <w:rFonts w:hint="eastAsia"/>
          <w:b/>
          <w:sz w:val="24"/>
        </w:rPr>
      </w:pPr>
      <w:r>
        <w:rPr>
          <w:rFonts w:hint="eastAsia"/>
          <w:b/>
          <w:sz w:val="24"/>
          <w:lang w:val="en-US" w:eastAsia="zh-CN"/>
        </w:rPr>
        <w:t xml:space="preserve">                           </w:t>
      </w:r>
      <w:r>
        <w:rPr>
          <w:rFonts w:hint="eastAsia"/>
          <w:b/>
          <w:sz w:val="24"/>
        </w:rPr>
        <w:t>审批人：</w:t>
      </w:r>
    </w:p>
    <w:p>
      <w:pPr>
        <w:adjustRightInd w:val="0"/>
        <w:snapToGrid w:val="0"/>
        <w:spacing w:line="240" w:lineRule="auto"/>
        <w:ind w:left="0" w:firstLine="0" w:leftChars="0" w:firstLineChars="0"/>
        <w:rPr>
          <w:rFonts w:hint="eastAsia"/>
          <w:b/>
          <w:sz w:val="48"/>
          <w:szCs w:val="48"/>
        </w:rPr>
      </w:pPr>
    </w:p>
    <w:p>
      <w:pPr>
        <w:adjustRightInd w:val="0"/>
        <w:snapToGrid w:val="0"/>
        <w:ind w:left="0" w:firstLine="0" w:leftChars="0" w:firstLineChars="0"/>
        <w:jc w:val="center"/>
        <w:rPr>
          <w:rFonts w:hint="eastAsia"/>
          <w:b/>
          <w:sz w:val="50"/>
          <w:szCs w:val="50"/>
        </w:rPr>
      </w:pPr>
      <w:r>
        <w:rPr>
          <w:rFonts w:hint="eastAsia"/>
          <w:b/>
          <w:sz w:val="50"/>
          <w:szCs w:val="50"/>
        </w:rPr>
        <w:t>江苏南通二建集团</w:t>
      </w:r>
    </w:p>
    <w:p>
      <w:pPr>
        <w:adjustRightInd w:val="0"/>
        <w:snapToGrid w:val="0"/>
        <w:ind w:left="0" w:firstLine="0" w:leftChars="0" w:firstLineChars="0"/>
        <w:rPr>
          <w:rFonts w:hint="eastAsia"/>
          <w:b/>
          <w:sz w:val="48"/>
          <w:szCs w:val="48"/>
        </w:rPr>
      </w:pPr>
    </w:p>
    <w:p>
      <w:pPr>
        <w:pStyle w:val="TOC1"/>
        <w:tabs>
          <w:tab w:val="right" w:leader="dot" w:pos="9071"/>
        </w:tabs>
        <w:jc w:val="center"/>
        <w:rPr>
          <w:rFonts w:hint="eastAsia"/>
          <w:sz w:val="28"/>
          <w:szCs w:val="28"/>
          <w:lang w:val="en-US" w:eastAsia="zh-CN"/>
        </w:rPr>
        <w:sectPr>
          <w:pgSz w:w="11906" w:h="16838"/>
          <w:pgMar w:top="1247" w:right="1134" w:bottom="1247" w:left="1701" w:header="851" w:footer="992" w:gutter="0"/>
          <w:pgNumType w:start="0"/>
          <w:cols w:space="708"/>
          <w:docGrid w:linePitch="312"/>
        </w:sectPr>
      </w:pPr>
      <w:r>
        <w:rPr>
          <w:rFonts w:hint="eastAsia"/>
          <w:b/>
          <w:sz w:val="50"/>
          <w:szCs w:val="50"/>
        </w:rPr>
        <w:t>二〇一六年</w:t>
      </w:r>
      <w:r>
        <w:rPr>
          <w:rFonts w:hint="eastAsia"/>
          <w:b/>
          <w:sz w:val="50"/>
          <w:szCs w:val="50"/>
          <w:lang w:val="en-US" w:eastAsia="zh-CN"/>
        </w:rPr>
        <w:t>九</w:t>
      </w:r>
      <w:r>
        <w:rPr>
          <w:rFonts w:hint="eastAsia"/>
          <w:b/>
          <w:sz w:val="50"/>
          <w:szCs w:val="50"/>
        </w:rPr>
        <w:t>月</w:t>
      </w:r>
    </w:p>
    <w:p>
      <w:pPr>
        <w:pStyle w:val="TOC1"/>
        <w:tabs>
          <w:tab w:val="right" w:leader="dot" w:pos="9071"/>
        </w:tabs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目  录</w:t>
      </w:r>
    </w:p>
    <w:p>
      <w:pPr>
        <w:pStyle w:val="TOC1"/>
        <w:tabs>
          <w:tab w:val="right" w:leader="dot" w:pos="9071"/>
        </w:tabs>
        <w:spacing w:line="480" w:lineRule="auto"/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TOC \o "1-1" \h \u </w:instrText>
      </w:r>
      <w:r>
        <w:rPr>
          <w:rFonts w:hint="eastAsia"/>
          <w:lang w:eastAsia="zh-CN"/>
        </w:rPr>
        <w:fldChar w:fldCharType="separate"/>
      </w:r>
      <w:hyperlink w:anchor="_Toc20617" w:history="1">
        <w:r>
          <w:rPr>
            <w:rFonts w:hint="eastAsia"/>
            <w:lang w:eastAsia="zh-CN"/>
          </w:rPr>
          <w:t>一</w:t>
        </w:r>
        <w:r>
          <w:rPr>
            <w:rFonts w:hint="eastAsia"/>
          </w:rPr>
          <w:t>、工程概况</w:t>
        </w:r>
        <w:r>
          <w:tab/>
        </w:r>
        <w:r>
          <w:fldChar w:fldCharType="begin"/>
        </w:r>
        <w:r>
          <w:instrText xml:space="preserve"> PAGEREF _Toc20617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22376" w:history="1">
        <w:r>
          <w:rPr>
            <w:rFonts w:hint="eastAsia"/>
          </w:rPr>
          <w:t>二、编制依据</w:t>
        </w:r>
        <w:r>
          <w:tab/>
        </w:r>
        <w:r>
          <w:fldChar w:fldCharType="begin"/>
        </w:r>
        <w:r>
          <w:instrText xml:space="preserve"> PAGEREF _Toc22376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2407" w:history="1">
        <w:r>
          <w:rPr>
            <w:rFonts w:hint="eastAsia"/>
          </w:rPr>
          <w:t>三、方案选择及平台位置布置</w:t>
        </w:r>
        <w:r>
          <w:tab/>
        </w:r>
        <w:r>
          <w:fldChar w:fldCharType="begin"/>
        </w:r>
        <w:r>
          <w:instrText xml:space="preserve"> PAGEREF _Toc2407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6018" w:history="1">
        <w:r>
          <w:rPr>
            <w:rFonts w:hint="eastAsia"/>
          </w:rPr>
          <w:t>四、卸料平台的设计</w:t>
        </w:r>
        <w:r>
          <w:tab/>
        </w:r>
        <w:r>
          <w:fldChar w:fldCharType="begin"/>
        </w:r>
        <w:r>
          <w:instrText xml:space="preserve"> PAGEREF _Toc6018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14576" w:history="1">
        <w:r>
          <w:rPr>
            <w:rFonts w:hint="eastAsia"/>
            <w:lang w:eastAsia="zh-CN"/>
          </w:rPr>
          <w:t>五、</w:t>
        </w:r>
        <w:r>
          <w:rPr>
            <w:rFonts w:hint="eastAsia"/>
          </w:rPr>
          <w:t>卸料平台的安装</w:t>
        </w:r>
        <w:r>
          <w:tab/>
        </w:r>
        <w:r>
          <w:fldChar w:fldCharType="begin"/>
        </w:r>
        <w:r>
          <w:instrText xml:space="preserve"> PAGEREF _Toc14576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11683" w:history="1">
        <w:r>
          <w:rPr>
            <w:rFonts w:hint="eastAsia"/>
            <w:lang w:eastAsia="zh-CN"/>
          </w:rPr>
          <w:t>六、卸</w:t>
        </w:r>
        <w:r>
          <w:rPr>
            <w:rFonts w:hint="eastAsia"/>
          </w:rPr>
          <w:t>料平台的拆除</w:t>
        </w:r>
        <w:r>
          <w:tab/>
        </w:r>
        <w:r>
          <w:fldChar w:fldCharType="begin"/>
        </w:r>
        <w:r>
          <w:instrText xml:space="preserve"> PAGEREF _Toc11683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19636" w:history="1">
        <w:r>
          <w:rPr>
            <w:rFonts w:hint="eastAsia"/>
            <w:lang w:eastAsia="zh-CN"/>
          </w:rPr>
          <w:t>七、</w:t>
        </w:r>
        <w:r>
          <w:rPr>
            <w:rFonts w:hint="eastAsia"/>
          </w:rPr>
          <w:t>卸料平台的验收与维护</w:t>
        </w:r>
        <w:r>
          <w:tab/>
        </w:r>
        <w:r>
          <w:fldChar w:fldCharType="begin"/>
        </w:r>
        <w:r>
          <w:instrText xml:space="preserve"> PAGEREF _Toc19636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</w:pPr>
      <w:hyperlink w:anchor="_Toc8824" w:history="1">
        <w:r>
          <w:rPr>
            <w:rFonts w:hint="eastAsia"/>
            <w:lang w:eastAsia="zh-CN"/>
          </w:rPr>
          <w:t>八、安装、拆除及</w:t>
        </w:r>
        <w:r>
          <w:rPr>
            <w:rFonts w:hint="eastAsia"/>
            <w:lang w:eastAsia="zh-CN"/>
          </w:rPr>
          <w:t>运用</w:t>
        </w:r>
        <w:r>
          <w:rPr>
            <w:rFonts w:hint="eastAsia"/>
            <w:lang w:eastAsia="zh-CN"/>
          </w:rPr>
          <w:t>过程中的</w:t>
        </w:r>
        <w:r>
          <w:rPr>
            <w:rFonts w:hint="eastAsia"/>
            <w:lang w:eastAsia="zh-CN"/>
          </w:rPr>
          <w:t>平安</w:t>
        </w:r>
        <w:r>
          <w:rPr>
            <w:rFonts w:hint="eastAsia"/>
            <w:lang w:eastAsia="zh-CN"/>
          </w:rPr>
          <w:t>技术措施</w:t>
        </w:r>
        <w:r>
          <w:tab/>
        </w:r>
        <w:r>
          <w:fldChar w:fldCharType="begin"/>
        </w:r>
        <w:r>
          <w:instrText xml:space="preserve"> PAGEREF _Toc8824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9071"/>
        </w:tabs>
        <w:spacing w:line="480" w:lineRule="auto"/>
        <w:rPr>
          <w:rFonts w:hint="eastAsia"/>
          <w:lang w:eastAsia="zh-CN"/>
        </w:rPr>
      </w:pPr>
      <w:hyperlink w:anchor="_Toc18676" w:history="1">
        <w:r>
          <w:rPr>
            <w:rFonts w:hint="eastAsia"/>
            <w:lang w:val="zh-CN" w:eastAsia="zh-CN"/>
          </w:rPr>
          <w:t>九、</w:t>
        </w:r>
        <w:r>
          <w:rPr>
            <w:rFonts w:hint="eastAsia"/>
            <w:lang w:val="zh-CN"/>
          </w:rPr>
          <w:t>型钢悬挑卸料平台计算书</w:t>
        </w:r>
        <w:r>
          <w:tab/>
        </w:r>
        <w:r>
          <w:fldChar w:fldCharType="begin"/>
        </w:r>
        <w:r>
          <w:instrText xml:space="preserve"> PAGEREF _Toc18676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Heading1"/>
        <w:rPr>
          <w:rFonts w:hint="eastAsia"/>
          <w:lang w:eastAsia="zh-CN"/>
        </w:rPr>
        <w:sectPr>
          <w:type w:val="nextPage"/>
          <w:pgSz w:w="11906" w:h="16838"/>
          <w:pgMar w:top="1247" w:right="1134" w:bottom="1247" w:left="1701" w:header="851" w:footer="992" w:gutter="0"/>
          <w:pgNumType w:start="0"/>
          <w:cols w:space="708"/>
          <w:docGrid w:linePitch="312"/>
        </w:sectPr>
      </w:pPr>
    </w:p>
    <w:p>
      <w:pPr>
        <w:pStyle w:val="Heading1"/>
        <w:rPr>
          <w:rFonts w:hint="eastAsia"/>
        </w:rPr>
      </w:pPr>
      <w:r>
        <w:rPr>
          <w:rFonts w:hint="eastAsia"/>
          <w:lang w:eastAsia="zh-CN"/>
        </w:rPr>
        <w:fldChar w:fldCharType="end"/>
      </w:r>
      <w:bookmarkStart w:id="4" w:name="_Toc20617"/>
      <w:r>
        <w:rPr>
          <w:rFonts w:hint="eastAsia"/>
          <w:lang w:eastAsia="zh-CN"/>
        </w:rPr>
        <w:t>一</w:t>
      </w:r>
      <w:r>
        <w:rPr>
          <w:rFonts w:hint="eastAsia"/>
        </w:rPr>
        <w:t>、工程概况</w:t>
      </w:r>
      <w:bookmarkEnd w:id="0"/>
      <w:bookmarkEnd w:id="4"/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bCs/>
          <w:color w:val="000000"/>
          <w:szCs w:val="24"/>
        </w:rPr>
      </w:pP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1</w:t>
      </w:r>
      <w:r>
        <w:rPr>
          <w:rFonts w:ascii="宋体" w:eastAsia="宋体" w:hAnsi="宋体" w:cs="宋体" w:hint="eastAsia"/>
          <w:bCs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工程名称：无锡金鑫商业广场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bCs/>
          <w:color w:val="000000"/>
          <w:szCs w:val="24"/>
        </w:rPr>
      </w:pP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2</w:t>
      </w:r>
      <w:r>
        <w:rPr>
          <w:rFonts w:ascii="宋体" w:eastAsia="宋体" w:hAnsi="宋体" w:cs="宋体" w:hint="eastAsia"/>
          <w:bCs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工程地点：无锡新区长江路泰山路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szCs w:val="24"/>
        </w:rPr>
      </w:pP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3</w:t>
      </w:r>
      <w:r>
        <w:rPr>
          <w:rFonts w:ascii="宋体" w:eastAsia="宋体" w:hAnsi="宋体" w:cs="宋体" w:hint="eastAsia"/>
          <w:bCs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工程规模：本工程建筑面积47972平方米，其中地下室11567平方米。地下室一层，局部二层，A、B、C栋5层，D栋13层 ，多层商业，高层商业办公。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bCs/>
          <w:color w:val="000000"/>
          <w:szCs w:val="24"/>
        </w:rPr>
      </w:pP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4</w:t>
      </w:r>
      <w:r>
        <w:rPr>
          <w:rFonts w:ascii="宋体" w:eastAsia="宋体" w:hAnsi="宋体" w:cs="宋体" w:hint="eastAsia"/>
          <w:bCs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建设单位：</w:t>
      </w:r>
      <w:r>
        <w:rPr>
          <w:rFonts w:ascii="宋体" w:eastAsia="宋体" w:hAnsi="宋体" w:cs="宋体" w:hint="eastAsia"/>
          <w:sz w:val="24"/>
          <w:szCs w:val="24"/>
        </w:rPr>
        <w:t>无锡宁鑫置业发展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Cs w:val="24"/>
        </w:rPr>
      </w:pP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5</w:t>
      </w:r>
      <w:r>
        <w:rPr>
          <w:rFonts w:ascii="宋体" w:eastAsia="宋体" w:hAnsi="宋体" w:cs="宋体" w:hint="eastAsia"/>
          <w:bCs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设计单位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：南京华东建筑工程设计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b/>
          <w:color w:val="000000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6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勘察单位：江苏省地质工程勘察院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Cs w:val="24"/>
        </w:rPr>
      </w:pP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7</w:t>
      </w:r>
      <w:r>
        <w:rPr>
          <w:rFonts w:ascii="宋体" w:eastAsia="宋体" w:hAnsi="宋体" w:cs="宋体" w:hint="eastAsia"/>
          <w:bCs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Cs/>
          <w:color w:val="000000"/>
          <w:sz w:val="24"/>
          <w:szCs w:val="24"/>
        </w:rPr>
        <w:t>监理单位：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江苏省建院建设监理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8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施工单位：江苏南通二建集团</w:t>
      </w:r>
    </w:p>
    <w:p>
      <w:pPr>
        <w:pStyle w:val="NormalInden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Cs w:val="24"/>
        </w:rPr>
      </w:pPr>
      <w:bookmarkStart w:id="5" w:name="_Toc6051"/>
      <w:bookmarkStart w:id="6" w:name="_Toc16733"/>
      <w:bookmarkStart w:id="7" w:name="_Toc19174"/>
      <w:bookmarkStart w:id="8" w:name="_Toc5901"/>
      <w:bookmarkStart w:id="9" w:name="_Toc26095"/>
      <w:r>
        <w:rPr>
          <w:rFonts w:ascii="宋体" w:eastAsia="宋体" w:hAnsi="宋体" w:cs="宋体" w:hint="eastAsia"/>
          <w:color w:val="000000"/>
          <w:sz w:val="24"/>
          <w:szCs w:val="24"/>
        </w:rPr>
        <w:t>9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工程总工期：447天</w:t>
      </w:r>
      <w:bookmarkEnd w:id="5"/>
      <w:bookmarkEnd w:id="6"/>
      <w:bookmarkEnd w:id="7"/>
      <w:bookmarkEnd w:id="8"/>
      <w:bookmarkEnd w:id="9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20" w:beforeLines="50"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bookmarkEnd w:id="1"/>
      <w:bookmarkEnd w:id="2"/>
      <w:bookmarkEnd w:id="3"/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10、</w:t>
      </w:r>
      <w:r>
        <w:rPr>
          <w:rFonts w:ascii="宋体" w:eastAsia="宋体" w:hAnsi="宋体" w:cs="宋体" w:hint="eastAsia"/>
          <w:color w:val="000000"/>
          <w:sz w:val="24"/>
        </w:rPr>
        <w:t>为解决地上主体结构施工时模板、方木、钢管等周转材料的垂直倒运及</w:t>
      </w:r>
      <w:r>
        <w:rPr>
          <w:rFonts w:ascii="宋体" w:eastAsia="宋体" w:hAnsi="宋体" w:cs="宋体" w:hint="eastAsia"/>
          <w:bCs/>
          <w:sz w:val="24"/>
        </w:rPr>
        <w:t>施工工期、质量和</w:t>
      </w:r>
      <w:r>
        <w:rPr>
          <w:rFonts w:ascii="宋体" w:eastAsia="宋体" w:hAnsi="宋体" w:cs="宋体" w:hint="eastAsia"/>
          <w:bCs/>
          <w:sz w:val="24"/>
        </w:rPr>
        <w:t>平安</w:t>
      </w:r>
      <w:r>
        <w:rPr>
          <w:rFonts w:ascii="宋体" w:eastAsia="宋体" w:hAnsi="宋体" w:cs="宋体" w:hint="eastAsia"/>
          <w:bCs/>
          <w:sz w:val="24"/>
        </w:rPr>
        <w:t>要求</w:t>
      </w:r>
      <w:r>
        <w:rPr>
          <w:rFonts w:ascii="宋体" w:eastAsia="宋体" w:hAnsi="宋体" w:cs="宋体" w:hint="eastAsia"/>
          <w:color w:val="000000"/>
          <w:sz w:val="24"/>
        </w:rPr>
        <w:t>，</w:t>
      </w:r>
      <w:r>
        <w:rPr>
          <w:rFonts w:ascii="宋体" w:eastAsia="宋体" w:hAnsi="宋体" w:cs="宋体" w:hint="eastAsia"/>
          <w:color w:val="000000"/>
          <w:sz w:val="24"/>
        </w:rPr>
        <w:t>须要</w:t>
      </w:r>
      <w:r>
        <w:rPr>
          <w:rFonts w:ascii="宋体" w:eastAsia="宋体" w:hAnsi="宋体" w:cs="宋体" w:hint="eastAsia"/>
          <w:color w:val="000000"/>
          <w:sz w:val="24"/>
        </w:rPr>
        <w:t>搭设型钢悬挑卸料平台。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20" w:beforeLines="50"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</w:p>
    <w:p>
      <w:pPr>
        <w:pStyle w:val="Heading1"/>
        <w:rPr>
          <w:rFonts w:hint="eastAsia"/>
        </w:rPr>
      </w:pPr>
      <w:bookmarkStart w:id="10" w:name="_Toc306001166"/>
      <w:bookmarkStart w:id="11" w:name="_Toc336964918"/>
      <w:bookmarkStart w:id="12" w:name="_Toc336981540"/>
      <w:bookmarkStart w:id="13" w:name="_Toc22376"/>
      <w:r>
        <w:rPr>
          <w:rFonts w:hint="eastAsia"/>
        </w:rPr>
        <w:t>二、编制依据</w:t>
      </w:r>
      <w:bookmarkEnd w:id="10"/>
      <w:bookmarkEnd w:id="11"/>
      <w:bookmarkEnd w:id="12"/>
      <w:bookmarkEnd w:id="13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1、设计</w:t>
      </w:r>
      <w:r>
        <w:rPr>
          <w:rFonts w:ascii="宋体" w:eastAsia="宋体" w:hAnsi="宋体" w:cs="宋体" w:hint="eastAsia"/>
          <w:color w:val="000000"/>
          <w:sz w:val="24"/>
        </w:rPr>
        <w:t>施工图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2、</w:t>
      </w:r>
      <w:r>
        <w:rPr>
          <w:rFonts w:ascii="宋体" w:eastAsia="宋体" w:hAnsi="宋体" w:cs="宋体" w:hint="eastAsia"/>
          <w:color w:val="000000"/>
          <w:sz w:val="24"/>
        </w:rPr>
        <w:t>《建筑施工高空作业</w:t>
      </w:r>
      <w:r>
        <w:rPr>
          <w:rFonts w:ascii="宋体" w:eastAsia="宋体" w:hAnsi="宋体" w:cs="宋体" w:hint="eastAsia"/>
          <w:color w:val="000000"/>
          <w:sz w:val="24"/>
        </w:rPr>
        <w:t>平安</w:t>
      </w:r>
      <w:r>
        <w:rPr>
          <w:rFonts w:ascii="宋体" w:eastAsia="宋体" w:hAnsi="宋体" w:cs="宋体" w:hint="eastAsia"/>
          <w:color w:val="000000"/>
          <w:sz w:val="24"/>
        </w:rPr>
        <w:t>技术规范》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(JGJ80-2011)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3、</w:t>
      </w:r>
      <w:r>
        <w:rPr>
          <w:rFonts w:ascii="宋体" w:eastAsia="宋体" w:hAnsi="宋体" w:cs="宋体" w:hint="eastAsia"/>
          <w:color w:val="000000"/>
          <w:sz w:val="24"/>
        </w:rPr>
        <w:t>《钢结构设计规范》（GB50017-20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14</w:t>
      </w:r>
      <w:r>
        <w:rPr>
          <w:rFonts w:ascii="宋体" w:eastAsia="宋体" w:hAnsi="宋体" w:cs="宋体" w:hint="eastAsia"/>
          <w:color w:val="000000"/>
          <w:sz w:val="24"/>
        </w:rPr>
        <w:t>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4、</w:t>
      </w:r>
      <w:r>
        <w:rPr>
          <w:rFonts w:ascii="宋体" w:eastAsia="宋体" w:hAnsi="宋体" w:cs="宋体" w:hint="eastAsia"/>
          <w:color w:val="000000"/>
          <w:sz w:val="24"/>
        </w:rPr>
        <w:t>《建筑施工</w:t>
      </w:r>
      <w:r>
        <w:rPr>
          <w:rFonts w:ascii="宋体" w:eastAsia="宋体" w:hAnsi="宋体" w:cs="宋体" w:hint="eastAsia"/>
          <w:color w:val="000000"/>
          <w:sz w:val="24"/>
        </w:rPr>
        <w:t>平安</w:t>
      </w:r>
      <w:r>
        <w:rPr>
          <w:rFonts w:ascii="宋体" w:eastAsia="宋体" w:hAnsi="宋体" w:cs="宋体" w:hint="eastAsia"/>
          <w:color w:val="000000"/>
          <w:sz w:val="24"/>
        </w:rPr>
        <w:t>检查标准》（JGJ59-2011）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5、</w:t>
      </w:r>
      <w:r>
        <w:rPr>
          <w:rFonts w:ascii="宋体" w:eastAsia="宋体" w:hAnsi="宋体" w:cs="宋体" w:hint="eastAsia"/>
          <w:color w:val="000000"/>
          <w:sz w:val="24"/>
        </w:rPr>
        <w:t>《建筑结构荷载规范》（GB50009-2012）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6、</w:t>
      </w:r>
      <w:r>
        <w:rPr>
          <w:rFonts w:ascii="宋体" w:eastAsia="宋体" w:hAnsi="宋体" w:cs="宋体" w:hint="eastAsia"/>
          <w:color w:val="000000"/>
          <w:sz w:val="24"/>
        </w:rPr>
        <w:t>《建筑施工手册》第四版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7、</w:t>
      </w:r>
      <w:r>
        <w:rPr>
          <w:rFonts w:ascii="宋体" w:eastAsia="宋体" w:hAnsi="宋体" w:cs="宋体" w:hint="eastAsia"/>
          <w:color w:val="000000"/>
          <w:sz w:val="24"/>
        </w:rPr>
        <w:t>《建筑施工计算手册》</w:t>
      </w:r>
      <w:r>
        <w:rPr>
          <w:rFonts w:ascii="宋体" w:eastAsia="宋体" w:hAnsi="宋体" w:cs="宋体" w:hint="eastAsia"/>
          <w:color w:val="000000"/>
          <w:sz w:val="24"/>
        </w:rPr>
        <w:t>其次</w:t>
      </w:r>
      <w:r>
        <w:rPr>
          <w:rFonts w:ascii="宋体" w:eastAsia="宋体" w:hAnsi="宋体" w:cs="宋体" w:hint="eastAsia"/>
          <w:color w:val="000000"/>
          <w:sz w:val="24"/>
        </w:rPr>
        <w:t>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8、</w:t>
      </w:r>
      <w:r>
        <w:rPr>
          <w:rFonts w:ascii="宋体" w:eastAsia="宋体" w:hAnsi="宋体" w:cs="宋体" w:hint="eastAsia"/>
          <w:sz w:val="24"/>
        </w:rPr>
        <w:t>《低合金高强度结构钢》（GB/T1591）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9、</w:t>
      </w:r>
      <w:r>
        <w:rPr>
          <w:rFonts w:ascii="宋体" w:eastAsia="宋体" w:hAnsi="宋体" w:cs="宋体" w:hint="eastAsia"/>
          <w:sz w:val="24"/>
        </w:rPr>
        <w:t>《碳素钢结构》（GB/T700）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sz w:val="2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sz w:val="2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sz w:val="2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left="0" w:right="0" w:firstLine="0" w:leftChars="0" w:rightChars="0" w:firstLineChars="0"/>
        <w:textAlignment w:val="auto"/>
        <w:rPr>
          <w:rFonts w:ascii="宋体" w:eastAsia="宋体" w:hAnsi="宋体" w:cs="宋体" w:hint="eastAsia"/>
          <w:sz w:val="24"/>
        </w:rPr>
        <w:sectPr>
          <w:type w:val="nextPage"/>
          <w:pgSz w:w="11906" w:h="16838"/>
          <w:pgMar w:top="1247" w:right="1134" w:bottom="1247" w:left="1701" w:header="851" w:footer="992" w:gutter="0"/>
          <w:pgNumType w:fmt="decimal" w:start="0" w:chapStyle="0" w:chapSep="hyphen"/>
          <w:cols w:space="708"/>
          <w:docGrid w:linePitch="312"/>
        </w:sectPr>
      </w:pPr>
    </w:p>
    <w:p>
      <w:pPr>
        <w:pStyle w:val="Heading1"/>
        <w:rPr>
          <w:rFonts w:hint="eastAsia"/>
        </w:rPr>
      </w:pPr>
      <w:bookmarkStart w:id="14" w:name="_Toc336964919"/>
      <w:bookmarkStart w:id="15" w:name="_Toc336981541"/>
      <w:bookmarkStart w:id="16" w:name="_Toc2407"/>
      <w:r>
        <w:rPr>
          <w:rFonts w:hint="eastAsia"/>
        </w:rPr>
        <w:t>三、方案选择及平台位置布置</w:t>
      </w:r>
      <w:bookmarkEnd w:id="14"/>
      <w:bookmarkEnd w:id="15"/>
      <w:bookmarkEnd w:id="1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480" w:lineRule="exact"/>
        <w:ind w:left="0" w:right="0" w:firstLine="0" w:leftChars="0" w:rightChars="0" w:firstLineChars="0"/>
        <w:jc w:val="both"/>
        <w:textAlignment w:val="auto"/>
        <w:outlineLvl w:val="0"/>
        <w:rPr>
          <w:rFonts w:ascii="宋体" w:eastAsia="宋体" w:hAnsi="宋体" w:cs="宋体" w:hint="eastAsia"/>
          <w:bCs/>
          <w:sz w:val="24"/>
        </w:rPr>
      </w:pPr>
      <w:bookmarkStart w:id="17" w:name="_Toc336981542"/>
      <w:bookmarkStart w:id="18" w:name="_Toc23368"/>
      <w:r>
        <w:rPr>
          <w:rFonts w:ascii="宋体" w:eastAsia="宋体" w:hAnsi="宋体" w:cs="宋体" w:hint="eastAsia"/>
          <w:bCs/>
          <w:sz w:val="24"/>
          <w:lang w:eastAsia="zh-CN"/>
        </w:rPr>
        <w:t>（一）</w:t>
      </w:r>
      <w:r>
        <w:rPr>
          <w:rFonts w:ascii="宋体" w:eastAsia="宋体" w:hAnsi="宋体" w:cs="宋体" w:hint="eastAsia"/>
          <w:bCs/>
          <w:sz w:val="24"/>
        </w:rPr>
        <w:t>方案选择</w:t>
      </w:r>
      <w:bookmarkEnd w:id="17"/>
      <w:bookmarkEnd w:id="1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480" w:lineRule="exact"/>
        <w:ind w:left="0" w:right="0" w:firstLine="0" w:leftChars="0" w:rightChars="0" w:firstLineChars="0"/>
        <w:jc w:val="both"/>
        <w:textAlignment w:val="auto"/>
        <w:outlineLvl w:val="0"/>
        <w:rPr>
          <w:rFonts w:ascii="宋体" w:eastAsia="宋体" w:hAnsi="宋体" w:cs="宋体" w:hint="eastAsia"/>
          <w:bCs/>
          <w:sz w:val="24"/>
        </w:rPr>
      </w:pPr>
      <w:bookmarkStart w:id="19" w:name="_Toc336980186"/>
      <w:bookmarkStart w:id="20" w:name="_Toc336981543"/>
      <w:bookmarkStart w:id="21" w:name="_Toc15097"/>
      <w:r>
        <w:rPr>
          <w:rFonts w:ascii="宋体" w:eastAsia="宋体" w:hAnsi="宋体" w:cs="宋体" w:hint="eastAsia"/>
          <w:bCs/>
          <w:sz w:val="24"/>
        </w:rPr>
        <w:t>本工程考虑到施工工期、质量和</w:t>
      </w:r>
      <w:r>
        <w:rPr>
          <w:rFonts w:ascii="宋体" w:eastAsia="宋体" w:hAnsi="宋体" w:cs="宋体" w:hint="eastAsia"/>
          <w:bCs/>
          <w:sz w:val="24"/>
        </w:rPr>
        <w:t>平安</w:t>
      </w:r>
      <w:r>
        <w:rPr>
          <w:rFonts w:ascii="宋体" w:eastAsia="宋体" w:hAnsi="宋体" w:cs="宋体" w:hint="eastAsia"/>
          <w:bCs/>
          <w:sz w:val="24"/>
        </w:rPr>
        <w:t>要求，故在选择方案时，充分考虑以下几点：</w:t>
      </w:r>
      <w:bookmarkEnd w:id="19"/>
      <w:bookmarkEnd w:id="20"/>
      <w:bookmarkEnd w:id="2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480" w:lineRule="exact"/>
        <w:ind w:left="0" w:right="0" w:firstLine="0" w:leftChars="0" w:rightChars="0" w:firstLineChars="0"/>
        <w:jc w:val="left"/>
        <w:textAlignment w:val="auto"/>
        <w:rPr>
          <w:rFonts w:ascii="宋体" w:hAnsi="宋体" w:hint="default"/>
          <w:color w:val="000000"/>
          <w:sz w:val="24"/>
          <w:lang w:val="zh-CN"/>
        </w:rPr>
      </w:pPr>
      <w:r>
        <w:rPr>
          <w:rFonts w:ascii="宋体" w:hAnsi="宋体" w:hint="eastAsia"/>
          <w:color w:val="000000"/>
          <w:sz w:val="24"/>
          <w:lang w:val="en-US" w:eastAsia="zh-CN"/>
        </w:rPr>
        <w:t>1、</w:t>
      </w:r>
      <w:r>
        <w:rPr>
          <w:rFonts w:ascii="宋体" w:hAnsi="宋体" w:hint="default"/>
          <w:color w:val="000000"/>
          <w:sz w:val="24"/>
          <w:lang w:val="zh-CN"/>
        </w:rPr>
        <w:t>依据</w:t>
      </w:r>
      <w:r>
        <w:rPr>
          <w:rFonts w:ascii="宋体" w:hAnsi="宋体" w:hint="default"/>
          <w:color w:val="000000"/>
          <w:sz w:val="24"/>
          <w:lang w:val="zh-CN"/>
        </w:rPr>
        <w:t>现场吊装设备吊装半径，在塔吊司机目视距离内设置</w:t>
      </w:r>
      <w:r>
        <w:rPr>
          <w:rFonts w:ascii="宋体" w:hAnsi="宋体" w:hint="eastAsia"/>
          <w:color w:val="000000"/>
          <w:sz w:val="24"/>
          <w:lang w:val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480" w:lineRule="exact"/>
        <w:ind w:left="0" w:right="0" w:firstLine="0" w:leftChars="0" w:rightChars="0" w:firstLineChars="0"/>
        <w:jc w:val="left"/>
        <w:textAlignment w:val="auto"/>
        <w:rPr>
          <w:rFonts w:ascii="宋体" w:hAnsi="宋体" w:hint="default"/>
          <w:color w:val="000000"/>
          <w:sz w:val="24"/>
          <w:lang w:val="zh-CN"/>
        </w:rPr>
      </w:pPr>
      <w:r>
        <w:rPr>
          <w:rFonts w:ascii="宋体" w:hAnsi="宋体" w:hint="eastAsia"/>
          <w:color w:val="000000"/>
          <w:sz w:val="24"/>
          <w:lang w:val="en-US" w:eastAsia="zh-CN"/>
        </w:rPr>
        <w:t>2、</w:t>
      </w:r>
      <w:r>
        <w:rPr>
          <w:rFonts w:ascii="宋体" w:hAnsi="宋体" w:hint="default"/>
          <w:color w:val="000000"/>
          <w:sz w:val="24"/>
          <w:lang w:val="zh-CN"/>
        </w:rPr>
        <w:t>在结构有柱墙的梁边一侧设置</w:t>
      </w:r>
      <w:r>
        <w:rPr>
          <w:rFonts w:ascii="宋体" w:hAnsi="宋体" w:hint="eastAsia"/>
          <w:color w:val="000000"/>
          <w:sz w:val="24"/>
          <w:lang w:val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480" w:lineRule="exact"/>
        <w:ind w:left="0" w:right="0" w:firstLine="0" w:leftChars="0" w:rightChars="0" w:firstLineChars="0"/>
        <w:jc w:val="left"/>
        <w:textAlignment w:val="auto"/>
        <w:rPr>
          <w:rFonts w:ascii="宋体" w:eastAsia="宋体" w:hAnsi="宋体" w:cs="宋体" w:hint="eastAsia"/>
          <w:bCs/>
          <w:sz w:val="24"/>
        </w:rPr>
      </w:pPr>
      <w:r>
        <w:rPr>
          <w:rFonts w:ascii="宋体" w:hAnsi="宋体" w:hint="eastAsia"/>
          <w:color w:val="000000"/>
          <w:sz w:val="24"/>
          <w:lang w:val="en-US" w:eastAsia="zh-CN"/>
        </w:rPr>
        <w:t>3、</w:t>
      </w:r>
      <w:r>
        <w:rPr>
          <w:rFonts w:ascii="宋体" w:hAnsi="宋体" w:hint="default"/>
          <w:color w:val="000000"/>
          <w:sz w:val="24"/>
          <w:lang w:val="zh-CN"/>
        </w:rPr>
        <w:t>尽量放置在人员活动</w:t>
      </w:r>
      <w:r>
        <w:rPr>
          <w:rFonts w:ascii="宋体" w:hAnsi="宋体" w:hint="default"/>
          <w:color w:val="000000"/>
          <w:sz w:val="24"/>
          <w:lang w:val="zh-CN"/>
        </w:rPr>
        <w:t>稀有</w:t>
      </w:r>
      <w:r>
        <w:rPr>
          <w:rFonts w:ascii="宋体" w:hAnsi="宋体" w:hint="default"/>
          <w:color w:val="000000"/>
          <w:sz w:val="24"/>
          <w:lang w:val="zh-CN"/>
        </w:rPr>
        <w:t>处一侧</w:t>
      </w:r>
      <w:r>
        <w:rPr>
          <w:rFonts w:ascii="宋体" w:hAnsi="宋体" w:hint="eastAsia"/>
          <w:color w:val="000000"/>
          <w:sz w:val="24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480" w:lineRule="exact"/>
        <w:ind w:left="0" w:right="0" w:firstLine="0" w:leftChars="0" w:rightChars="0" w:firstLineChars="0"/>
        <w:jc w:val="both"/>
        <w:textAlignment w:val="auto"/>
        <w:outlineLvl w:val="0"/>
        <w:rPr>
          <w:rFonts w:ascii="宋体" w:eastAsia="宋体" w:hAnsi="宋体" w:cs="宋体" w:hint="eastAsia"/>
          <w:bCs/>
          <w:sz w:val="24"/>
        </w:rPr>
      </w:pPr>
      <w:bookmarkStart w:id="22" w:name="_Toc336980187"/>
      <w:bookmarkStart w:id="23" w:name="_Toc336981544"/>
      <w:bookmarkStart w:id="24" w:name="_Toc13593"/>
      <w:r>
        <w:rPr>
          <w:rFonts w:ascii="宋体" w:eastAsia="宋体" w:hAnsi="宋体" w:cs="宋体" w:hint="eastAsia"/>
          <w:bCs/>
          <w:sz w:val="24"/>
          <w:lang w:val="en-US" w:eastAsia="zh-CN"/>
        </w:rPr>
        <w:t>4、</w:t>
      </w:r>
      <w:r>
        <w:rPr>
          <w:rFonts w:ascii="宋体" w:eastAsia="宋体" w:hAnsi="宋体" w:cs="宋体" w:hint="eastAsia"/>
          <w:bCs/>
          <w:sz w:val="24"/>
        </w:rPr>
        <w:t>结构设计，做到结构</w:t>
      </w:r>
      <w:r>
        <w:rPr>
          <w:rFonts w:ascii="宋体" w:eastAsia="宋体" w:hAnsi="宋体" w:cs="宋体" w:hint="eastAsia"/>
          <w:bCs/>
          <w:sz w:val="24"/>
        </w:rPr>
        <w:t>平安</w:t>
      </w:r>
      <w:r>
        <w:rPr>
          <w:rFonts w:ascii="宋体" w:eastAsia="宋体" w:hAnsi="宋体" w:cs="宋体" w:hint="eastAsia"/>
          <w:bCs/>
          <w:sz w:val="24"/>
        </w:rPr>
        <w:t>牢靠</w:t>
      </w:r>
      <w:r>
        <w:rPr>
          <w:rFonts w:ascii="宋体" w:eastAsia="宋体" w:hAnsi="宋体" w:cs="宋体" w:hint="eastAsia"/>
          <w:bCs/>
          <w:sz w:val="24"/>
        </w:rPr>
        <w:t>，造价经济合理。</w:t>
      </w:r>
      <w:bookmarkEnd w:id="22"/>
      <w:bookmarkEnd w:id="23"/>
      <w:bookmarkEnd w:id="2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480" w:lineRule="exact"/>
        <w:ind w:left="0" w:right="0" w:firstLine="0" w:leftChars="0" w:rightChars="0" w:firstLineChars="0"/>
        <w:jc w:val="both"/>
        <w:textAlignment w:val="auto"/>
        <w:outlineLvl w:val="0"/>
        <w:rPr>
          <w:rFonts w:ascii="宋体" w:eastAsia="宋体" w:hAnsi="宋体" w:cs="宋体" w:hint="eastAsia"/>
          <w:bCs/>
          <w:sz w:val="24"/>
        </w:rPr>
      </w:pPr>
      <w:bookmarkStart w:id="25" w:name="_Toc336980188"/>
      <w:bookmarkStart w:id="26" w:name="_Toc336981545"/>
      <w:bookmarkStart w:id="27" w:name="_Toc28560"/>
      <w:r>
        <w:rPr>
          <w:rFonts w:ascii="宋体" w:eastAsia="宋体" w:hAnsi="宋体" w:cs="宋体" w:hint="eastAsia"/>
          <w:bCs/>
          <w:sz w:val="24"/>
          <w:lang w:val="en-US" w:eastAsia="zh-CN"/>
        </w:rPr>
        <w:t>5、</w:t>
      </w:r>
      <w:r>
        <w:rPr>
          <w:rFonts w:ascii="宋体" w:eastAsia="宋体" w:hAnsi="宋体" w:cs="宋体" w:hint="eastAsia"/>
          <w:bCs/>
          <w:sz w:val="24"/>
        </w:rPr>
        <w:t>在规定的条件下和规定</w:t>
      </w:r>
      <w:r>
        <w:rPr>
          <w:rFonts w:ascii="宋体" w:eastAsia="宋体" w:hAnsi="宋体" w:cs="宋体" w:hint="eastAsia"/>
          <w:bCs/>
          <w:sz w:val="24"/>
        </w:rPr>
        <w:t>运用</w:t>
      </w:r>
      <w:r>
        <w:rPr>
          <w:rFonts w:ascii="宋体" w:eastAsia="宋体" w:hAnsi="宋体" w:cs="宋体" w:hint="eastAsia"/>
          <w:bCs/>
          <w:sz w:val="24"/>
        </w:rPr>
        <w:t>期限内，能够充分</w:t>
      </w:r>
      <w:r>
        <w:rPr>
          <w:rFonts w:ascii="宋体" w:eastAsia="宋体" w:hAnsi="宋体" w:cs="宋体" w:hint="eastAsia"/>
          <w:bCs/>
          <w:sz w:val="24"/>
        </w:rPr>
        <w:t>满意</w:t>
      </w:r>
      <w:r>
        <w:rPr>
          <w:rFonts w:ascii="宋体" w:eastAsia="宋体" w:hAnsi="宋体" w:cs="宋体" w:hint="eastAsia"/>
          <w:bCs/>
          <w:sz w:val="24"/>
        </w:rPr>
        <w:t>预期的</w:t>
      </w:r>
      <w:r>
        <w:rPr>
          <w:rFonts w:ascii="宋体" w:eastAsia="宋体" w:hAnsi="宋体" w:cs="宋体" w:hint="eastAsia"/>
          <w:bCs/>
          <w:sz w:val="24"/>
        </w:rPr>
        <w:t>平安</w:t>
      </w:r>
      <w:r>
        <w:rPr>
          <w:rFonts w:ascii="宋体" w:eastAsia="宋体" w:hAnsi="宋体" w:cs="宋体" w:hint="eastAsia"/>
          <w:bCs/>
          <w:sz w:val="24"/>
        </w:rPr>
        <w:t>性和耐久性。</w:t>
      </w:r>
      <w:bookmarkEnd w:id="25"/>
      <w:bookmarkEnd w:id="26"/>
      <w:bookmarkEnd w:id="2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480" w:lineRule="exact"/>
        <w:ind w:left="0" w:right="0" w:firstLine="0" w:leftChars="0" w:rightChars="0" w:firstLineChars="0"/>
        <w:jc w:val="both"/>
        <w:textAlignment w:val="auto"/>
        <w:outlineLvl w:val="0"/>
        <w:rPr>
          <w:rFonts w:ascii="宋体" w:eastAsia="宋体" w:hAnsi="宋体" w:cs="宋体" w:hint="eastAsia"/>
          <w:bCs/>
          <w:sz w:val="24"/>
        </w:rPr>
      </w:pPr>
      <w:bookmarkStart w:id="28" w:name="_Toc336980191"/>
      <w:bookmarkStart w:id="29" w:name="_Toc336981548"/>
      <w:bookmarkStart w:id="30" w:name="_Toc10321"/>
      <w:r>
        <w:rPr>
          <w:rFonts w:ascii="宋体" w:eastAsia="宋体" w:hAnsi="宋体" w:cs="宋体" w:hint="eastAsia"/>
          <w:bCs/>
          <w:sz w:val="24"/>
          <w:lang w:val="en-US" w:eastAsia="zh-CN"/>
        </w:rPr>
        <w:t>6、</w:t>
      </w:r>
      <w:r>
        <w:rPr>
          <w:rFonts w:ascii="宋体" w:eastAsia="宋体" w:hAnsi="宋体" w:cs="宋体" w:hint="eastAsia"/>
          <w:bCs/>
          <w:sz w:val="24"/>
        </w:rPr>
        <w:t>综合以上几点，同时结合本工程特点及现场实际</w:t>
      </w:r>
      <w:r>
        <w:rPr>
          <w:rFonts w:ascii="宋体" w:eastAsia="宋体" w:hAnsi="宋体" w:cs="宋体" w:hint="eastAsia"/>
          <w:bCs/>
          <w:sz w:val="24"/>
        </w:rPr>
        <w:t>状况</w:t>
      </w:r>
      <w:r>
        <w:rPr>
          <w:rFonts w:ascii="宋体" w:eastAsia="宋体" w:hAnsi="宋体" w:cs="宋体" w:hint="eastAsia"/>
          <w:bCs/>
          <w:sz w:val="24"/>
        </w:rPr>
        <w:t>，综合考虑了以往的施工</w:t>
      </w:r>
      <w:r>
        <w:rPr>
          <w:rFonts w:ascii="宋体" w:eastAsia="宋体" w:hAnsi="宋体" w:cs="宋体" w:hint="eastAsia"/>
          <w:bCs/>
          <w:sz w:val="24"/>
        </w:rPr>
        <w:t>阅历</w:t>
      </w:r>
      <w:r>
        <w:rPr>
          <w:rFonts w:ascii="宋体" w:eastAsia="宋体" w:hAnsi="宋体" w:cs="宋体" w:hint="eastAsia"/>
          <w:bCs/>
          <w:sz w:val="24"/>
        </w:rPr>
        <w:t>，</w:t>
      </w:r>
      <w:r>
        <w:rPr>
          <w:rFonts w:ascii="宋体" w:eastAsia="宋体" w:hAnsi="宋体" w:cs="宋体" w:hint="eastAsia"/>
          <w:bCs/>
          <w:sz w:val="24"/>
        </w:rPr>
        <w:t>确定</w:t>
      </w:r>
      <w:r>
        <w:rPr>
          <w:rFonts w:ascii="宋体" w:eastAsia="宋体" w:hAnsi="宋体" w:cs="宋体" w:hint="eastAsia"/>
          <w:bCs/>
          <w:sz w:val="24"/>
        </w:rPr>
        <w:t>在本工程4栋楼中设置</w:t>
      </w:r>
      <w:r>
        <w:rPr>
          <w:rFonts w:ascii="宋体" w:eastAsia="宋体" w:hAnsi="宋体" w:cs="宋体" w:hint="eastAsia"/>
          <w:bCs/>
          <w:sz w:val="24"/>
          <w:lang w:val="en-US" w:eastAsia="zh-CN"/>
        </w:rPr>
        <w:t>4</w:t>
      </w:r>
      <w:r>
        <w:rPr>
          <w:rFonts w:ascii="宋体" w:eastAsia="宋体" w:hAnsi="宋体" w:cs="宋体" w:hint="eastAsia"/>
          <w:bCs/>
          <w:sz w:val="24"/>
        </w:rPr>
        <w:t>个</w:t>
      </w:r>
      <w:r>
        <w:rPr>
          <w:rFonts w:ascii="宋体" w:eastAsia="宋体" w:hAnsi="宋体" w:cs="宋体" w:hint="eastAsia"/>
          <w:bCs/>
          <w:sz w:val="24"/>
          <w:lang w:eastAsia="zh-CN"/>
        </w:rPr>
        <w:t>型</w:t>
      </w:r>
      <w:r>
        <w:rPr>
          <w:rFonts w:ascii="宋体" w:eastAsia="宋体" w:hAnsi="宋体" w:cs="宋体" w:hint="eastAsia"/>
          <w:bCs/>
          <w:sz w:val="24"/>
        </w:rPr>
        <w:t>钢悬挑卸料平台</w:t>
      </w:r>
      <w:bookmarkStart w:id="31" w:name="_Toc336981549"/>
      <w:bookmarkEnd w:id="28"/>
      <w:bookmarkEnd w:id="29"/>
      <w:r>
        <w:rPr>
          <w:rFonts w:ascii="宋体" w:eastAsia="宋体" w:hAnsi="宋体" w:cs="宋体" w:hint="eastAsia"/>
          <w:bCs/>
          <w:sz w:val="24"/>
          <w:lang w:eastAsia="zh-CN"/>
        </w:rPr>
        <w:t>。</w:t>
      </w:r>
      <w:bookmarkEnd w:id="3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480" w:lineRule="exact"/>
        <w:ind w:left="0" w:right="0" w:firstLine="0" w:leftChars="0" w:rightChars="0" w:firstLineChars="0"/>
        <w:jc w:val="both"/>
        <w:textAlignment w:val="auto"/>
        <w:outlineLvl w:val="0"/>
        <w:rPr>
          <w:rFonts w:ascii="宋体" w:eastAsia="宋体" w:hAnsi="宋体" w:cs="宋体" w:hint="eastAsia"/>
          <w:bCs/>
          <w:sz w:val="24"/>
        </w:rPr>
      </w:pPr>
      <w:bookmarkStart w:id="32" w:name="_Toc23952"/>
      <w:r>
        <w:rPr>
          <w:rFonts w:ascii="宋体" w:eastAsia="宋体" w:hAnsi="宋体" w:cs="宋体" w:hint="eastAsia"/>
          <w:bCs/>
          <w:sz w:val="24"/>
          <w:lang w:eastAsia="zh-CN"/>
        </w:rPr>
        <w:t>（二）、</w:t>
      </w:r>
      <w:r>
        <w:rPr>
          <w:rFonts w:ascii="宋体" w:eastAsia="宋体" w:hAnsi="宋体" w:cs="宋体" w:hint="eastAsia"/>
          <w:bCs/>
          <w:sz w:val="24"/>
        </w:rPr>
        <w:t>卸料平台布置</w:t>
      </w:r>
      <w:bookmarkEnd w:id="31"/>
      <w:r>
        <w:rPr>
          <w:rFonts w:ascii="宋体" w:eastAsia="宋体" w:hAnsi="宋体" w:cs="宋体" w:hint="eastAsia"/>
          <w:bCs/>
          <w:sz w:val="24"/>
          <w:lang w:eastAsia="zh-CN"/>
        </w:rPr>
        <w:t>（详见悬挑卸料平台平面布置图）</w:t>
      </w:r>
      <w:bookmarkEnd w:id="3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1、A栋楼</w:t>
      </w:r>
      <w:r>
        <w:rPr>
          <w:rFonts w:ascii="宋体" w:eastAsia="宋体" w:hAnsi="宋体" w:cs="宋体" w:hint="eastAsia"/>
          <w:color w:val="000000"/>
          <w:sz w:val="24"/>
        </w:rPr>
        <w:t>卸料平台位置布置：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 xml:space="preserve">(A-K)轴--(A-L)轴/(A-1)轴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2、B栋楼</w:t>
      </w:r>
      <w:r>
        <w:rPr>
          <w:rFonts w:ascii="宋体" w:eastAsia="宋体" w:hAnsi="宋体" w:cs="宋体" w:hint="eastAsia"/>
          <w:color w:val="000000"/>
          <w:sz w:val="24"/>
        </w:rPr>
        <w:t>卸料平台位置布置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：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（A-F）轴--（A-G）轴/（A-10）轴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3、C栋楼</w:t>
      </w:r>
      <w:r>
        <w:rPr>
          <w:rFonts w:ascii="宋体" w:eastAsia="宋体" w:hAnsi="宋体" w:cs="宋体" w:hint="eastAsia"/>
          <w:color w:val="000000"/>
          <w:sz w:val="24"/>
        </w:rPr>
        <w:t>卸料平台位置布置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：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（B-J）轴--（B-K）轴/（B-1）轴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4、D栋楼</w:t>
      </w:r>
      <w:r>
        <w:rPr>
          <w:rFonts w:ascii="宋体" w:eastAsia="宋体" w:hAnsi="宋体" w:cs="宋体" w:hint="eastAsia"/>
          <w:color w:val="000000"/>
          <w:sz w:val="24"/>
        </w:rPr>
        <w:t>卸料平台位置布置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：（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B-6）轴--（B-7）轴/(B-A)轴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right="0" w:firstLine="0" w:leftChars="0" w:rightChars="0" w:firstLineChars="0"/>
        <w:jc w:val="both"/>
        <w:textAlignment w:val="auto"/>
        <w:rPr>
          <w:rFonts w:ascii="宋体" w:eastAsia="宋体" w:hAnsi="宋体" w:cs="宋体" w:hint="eastAsia"/>
          <w:color w:val="000000"/>
          <w:sz w:val="24"/>
        </w:rPr>
      </w:pPr>
    </w:p>
    <w:p>
      <w:pPr>
        <w:pStyle w:val="Heading1"/>
        <w:rPr>
          <w:rFonts w:hint="eastAsia"/>
        </w:rPr>
      </w:pPr>
      <w:bookmarkStart w:id="33" w:name="_Toc306001167"/>
      <w:bookmarkStart w:id="34" w:name="_Toc336964920"/>
      <w:bookmarkStart w:id="35" w:name="_Toc336981550"/>
      <w:bookmarkStart w:id="36" w:name="_Toc6018"/>
      <w:r>
        <w:rPr>
          <w:rFonts w:hint="eastAsia"/>
        </w:rPr>
        <w:t>四、卸料平台的设计</w:t>
      </w:r>
      <w:bookmarkEnd w:id="33"/>
      <w:bookmarkEnd w:id="34"/>
      <w:bookmarkEnd w:id="35"/>
      <w:bookmarkEnd w:id="36"/>
    </w:p>
    <w:p>
      <w:pPr>
        <w:pStyle w:val="Heading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60" w:lineRule="auto"/>
        <w:ind w:left="0" w:right="0" w:firstLine="0" w:leftChars="0" w:rightChars="0" w:firstLineChars="0"/>
        <w:jc w:val="left"/>
        <w:textAlignment w:val="auto"/>
        <w:rPr>
          <w:rFonts w:ascii="宋体" w:hAnsi="宋体" w:cs="宋体" w:hint="eastAsia"/>
          <w:sz w:val="24"/>
          <w:szCs w:val="24"/>
        </w:rPr>
      </w:pPr>
      <w:bookmarkStart w:id="37" w:name="_Toc336981553"/>
      <w:bookmarkStart w:id="38" w:name="_Toc336964923"/>
      <w:bookmarkStart w:id="39" w:name="_Toc306001170"/>
      <w:bookmarkStart w:id="40" w:name="_Toc13326"/>
      <w:r>
        <w:rPr>
          <w:rFonts w:ascii="宋体" w:eastAsia="宋体" w:hAnsi="宋体" w:cs="宋体" w:hint="eastAsia"/>
          <w:sz w:val="24"/>
          <w:szCs w:val="24"/>
          <w:lang w:eastAsia="zh-CN"/>
        </w:rPr>
        <w:t>（一）、</w:t>
      </w:r>
      <w:r>
        <w:rPr>
          <w:rFonts w:ascii="宋体" w:eastAsia="宋体" w:hAnsi="宋体" w:cs="宋体" w:hint="eastAsia"/>
          <w:sz w:val="24"/>
          <w:szCs w:val="24"/>
        </w:rPr>
        <w:t>卸料平台材料要求</w:t>
      </w:r>
      <w:bookmarkEnd w:id="37"/>
      <w:bookmarkEnd w:id="38"/>
      <w:bookmarkEnd w:id="39"/>
      <w:bookmarkEnd w:id="40"/>
    </w:p>
    <w:p>
      <w:pPr>
        <w:spacing w:line="360" w:lineRule="auto"/>
        <w:outlineLvl w:val="1"/>
        <w:rPr>
          <w:rFonts w:ascii="宋体" w:eastAsia="宋体" w:hAnsi="宋体" w:cs="宋体" w:hint="eastAsia"/>
          <w:b w:val="0"/>
          <w:bCs/>
          <w:sz w:val="24"/>
        </w:rPr>
      </w:pPr>
      <w:bookmarkStart w:id="41" w:name="_Toc306001171"/>
      <w:bookmarkStart w:id="42" w:name="_Toc336981554"/>
      <w:bookmarkStart w:id="43" w:name="_Toc336964924"/>
      <w:r>
        <w:rPr>
          <w:rFonts w:ascii="宋体" w:eastAsia="宋体" w:hAnsi="宋体" w:cs="宋体" w:hint="eastAsia"/>
          <w:b w:val="0"/>
          <w:bCs/>
          <w:sz w:val="24"/>
        </w:rPr>
        <w:t>1、型钢主、次钢</w:t>
      </w:r>
      <w:bookmarkEnd w:id="41"/>
      <w:r>
        <w:rPr>
          <w:rFonts w:ascii="宋体" w:eastAsia="宋体" w:hAnsi="宋体" w:cs="宋体" w:hint="eastAsia"/>
          <w:b w:val="0"/>
          <w:bCs/>
          <w:sz w:val="24"/>
        </w:rPr>
        <w:t>梁</w:t>
      </w:r>
      <w:bookmarkEnd w:id="42"/>
      <w:bookmarkEnd w:id="43"/>
    </w:p>
    <w:p>
      <w:pPr>
        <w:spacing w:line="360" w:lineRule="auto"/>
        <w:ind w:firstLine="480" w:firstLineChars="20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主梁</w:t>
      </w:r>
      <w:r>
        <w:rPr>
          <w:rFonts w:ascii="宋体" w:eastAsia="宋体" w:hAnsi="宋体" w:cs="宋体" w:hint="eastAsia"/>
          <w:sz w:val="24"/>
        </w:rPr>
        <w:t>采纳</w:t>
      </w: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  <w:lang w:val="en-US" w:eastAsia="zh-CN"/>
        </w:rPr>
        <w:t>8</w:t>
      </w:r>
      <w:r>
        <w:rPr>
          <w:rFonts w:ascii="宋体" w:eastAsia="宋体" w:hAnsi="宋体" w:cs="宋体" w:hint="eastAsia"/>
          <w:sz w:val="24"/>
        </w:rPr>
        <w:t>＃槽钢，槽口相对，次梁</w:t>
      </w:r>
      <w:r>
        <w:rPr>
          <w:rFonts w:ascii="宋体" w:eastAsia="宋体" w:hAnsi="宋体" w:cs="宋体" w:hint="eastAsia"/>
          <w:sz w:val="24"/>
        </w:rPr>
        <w:t>采纳</w:t>
      </w: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  <w:lang w:val="en-US" w:eastAsia="zh-CN"/>
        </w:rPr>
        <w:t>0</w:t>
      </w:r>
      <w:r>
        <w:rPr>
          <w:rFonts w:ascii="宋体" w:eastAsia="宋体" w:hAnsi="宋体" w:cs="宋体" w:hint="eastAsia"/>
          <w:sz w:val="24"/>
        </w:rPr>
        <w:t>＃槽钢，槽口向主体结构方向。钢材强度等级不低于Q235，其质量应符合现行国家标准《碳素钢结构》（GB/T700）和《低合金高强度结构钢》（GB/T1591）的规定</w:t>
      </w:r>
      <w:r>
        <w:rPr>
          <w:rFonts w:ascii="宋体" w:eastAsia="宋体" w:hAnsi="宋体" w:cs="宋体" w:hint="eastAsia"/>
          <w:sz w:val="24"/>
          <w:lang w:eastAsia="zh-CN"/>
        </w:rPr>
        <w:t>。</w:t>
      </w:r>
    </w:p>
    <w:p>
      <w:pPr>
        <w:spacing w:line="360" w:lineRule="auto"/>
        <w:outlineLvl w:val="1"/>
        <w:rPr>
          <w:rFonts w:ascii="宋体" w:eastAsia="宋体" w:hAnsi="宋体" w:cs="宋体" w:hint="eastAsia"/>
          <w:b w:val="0"/>
          <w:bCs/>
          <w:sz w:val="24"/>
        </w:rPr>
      </w:pPr>
      <w:bookmarkStart w:id="44" w:name="_Toc306001172"/>
      <w:bookmarkStart w:id="45" w:name="_Toc336981555"/>
      <w:bookmarkStart w:id="46" w:name="_Toc336964925"/>
      <w:r>
        <w:rPr>
          <w:rFonts w:ascii="宋体" w:eastAsia="宋体" w:hAnsi="宋体" w:cs="宋体" w:hint="eastAsia"/>
          <w:b w:val="0"/>
          <w:bCs/>
          <w:sz w:val="24"/>
        </w:rPr>
        <w:t>2、钢丝绳</w:t>
      </w:r>
      <w:bookmarkEnd w:id="44"/>
      <w:bookmarkEnd w:id="45"/>
      <w:bookmarkEnd w:id="46"/>
    </w:p>
    <w:p>
      <w:pPr>
        <w:spacing w:line="360" w:lineRule="auto"/>
        <w:ind w:firstLine="480" w:firstLineChars="200"/>
        <w:rPr>
          <w:rFonts w:ascii="宋体" w:eastAsia="宋体" w:hAnsi="宋体" w:cs="宋体" w:hint="eastAsia"/>
          <w:color w:val="auto"/>
          <w:sz w:val="24"/>
        </w:rPr>
      </w:pPr>
      <w:r>
        <w:rPr>
          <w:rFonts w:ascii="宋体" w:eastAsia="宋体" w:hAnsi="宋体" w:cs="宋体" w:hint="eastAsia"/>
          <w:sz w:val="24"/>
        </w:rPr>
        <w:t>钢丝绳</w:t>
      </w:r>
      <w:r>
        <w:rPr>
          <w:rFonts w:ascii="宋体" w:eastAsia="宋体" w:hAnsi="宋体" w:cs="宋体" w:hint="eastAsia"/>
          <w:sz w:val="24"/>
        </w:rPr>
        <w:t>采纳</w:t>
      </w:r>
      <w:r>
        <w:rPr>
          <w:rFonts w:ascii="宋体" w:eastAsia="宋体" w:hAnsi="宋体" w:cs="宋体" w:hint="eastAsia"/>
          <w:color w:val="000000"/>
          <w:sz w:val="24"/>
        </w:rPr>
        <w:t>Ф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18</w:t>
      </w:r>
      <w:r>
        <w:rPr>
          <w:rFonts w:ascii="宋体" w:eastAsia="宋体" w:hAnsi="宋体" w:cs="宋体" w:hint="eastAsia"/>
          <w:sz w:val="24"/>
        </w:rPr>
        <w:t>钢丝绳，公称抗拉强度为1</w:t>
      </w:r>
      <w:r>
        <w:rPr>
          <w:rFonts w:ascii="宋体" w:eastAsia="宋体" w:hAnsi="宋体" w:cs="宋体" w:hint="eastAsia"/>
          <w:sz w:val="24"/>
          <w:lang w:val="en-US" w:eastAsia="zh-CN"/>
        </w:rPr>
        <w:t>400</w:t>
      </w:r>
      <w:r>
        <w:rPr>
          <w:rFonts w:ascii="宋体" w:eastAsia="宋体" w:hAnsi="宋体" w:cs="宋体" w:hint="eastAsia"/>
          <w:sz w:val="24"/>
        </w:rPr>
        <w:t>MPa。</w:t>
      </w:r>
      <w:r>
        <w:rPr>
          <w:rFonts w:ascii="宋体" w:eastAsia="宋体" w:hAnsi="宋体" w:cs="宋体" w:hint="eastAsia"/>
          <w:color w:val="auto"/>
          <w:sz w:val="24"/>
        </w:rPr>
        <w:t>当断丝数在一个节距内超过10%、钢丝绳锈蚀或表面磨损达40%以及有死弯、结构变形绳芯挤出等</w:t>
      </w:r>
      <w:r>
        <w:rPr>
          <w:rFonts w:ascii="宋体" w:eastAsia="宋体" w:hAnsi="宋体" w:cs="宋体" w:hint="eastAsia"/>
          <w:color w:val="auto"/>
          <w:sz w:val="24"/>
        </w:rPr>
        <w:t>状况</w:t>
      </w:r>
      <w:r>
        <w:rPr>
          <w:rFonts w:ascii="宋体" w:eastAsia="宋体" w:hAnsi="宋体" w:cs="宋体" w:hint="eastAsia"/>
          <w:color w:val="auto"/>
          <w:sz w:val="24"/>
        </w:rPr>
        <w:t>时，应报废停止</w:t>
      </w:r>
      <w:r>
        <w:rPr>
          <w:rFonts w:ascii="宋体" w:eastAsia="宋体" w:hAnsi="宋体" w:cs="宋体" w:hint="eastAsia"/>
          <w:color w:val="auto"/>
          <w:sz w:val="24"/>
        </w:rPr>
        <w:t>运用</w:t>
      </w:r>
      <w:r>
        <w:rPr>
          <w:rFonts w:ascii="宋体" w:eastAsia="宋体" w:hAnsi="宋体" w:cs="宋体" w:hint="eastAsia"/>
          <w:color w:val="auto"/>
          <w:sz w:val="24"/>
        </w:rPr>
        <w:t>，钢丝绳卡具</w:t>
      </w:r>
      <w:r>
        <w:rPr>
          <w:rFonts w:ascii="宋体" w:eastAsia="宋体" w:hAnsi="宋体" w:cs="宋体" w:hint="eastAsia"/>
          <w:color w:val="000000"/>
          <w:sz w:val="24"/>
        </w:rPr>
        <w:t>的规格与钢丝绳直径匹配</w:t>
      </w:r>
      <w:r>
        <w:rPr>
          <w:rFonts w:ascii="宋体" w:eastAsia="宋体" w:hAnsi="宋体" w:cs="宋体" w:hint="eastAsia"/>
          <w:color w:val="auto"/>
          <w:sz w:val="24"/>
        </w:rPr>
        <w:t>。</w:t>
      </w:r>
    </w:p>
    <w:p>
      <w:pPr>
        <w:spacing w:line="360" w:lineRule="auto"/>
        <w:outlineLvl w:val="1"/>
        <w:rPr>
          <w:rFonts w:ascii="宋体" w:eastAsia="宋体" w:hAnsi="宋体" w:cs="宋体" w:hint="eastAsia"/>
          <w:b w:val="0"/>
          <w:bCs/>
          <w:color w:val="auto"/>
          <w:sz w:val="24"/>
        </w:rPr>
      </w:pPr>
      <w:bookmarkStart w:id="47" w:name="_Toc306001173"/>
      <w:bookmarkStart w:id="48" w:name="_Toc336964926"/>
      <w:bookmarkStart w:id="49" w:name="_Toc336981556"/>
      <w:r>
        <w:rPr>
          <w:rFonts w:ascii="宋体" w:eastAsia="宋体" w:hAnsi="宋体" w:cs="宋体" w:hint="eastAsia"/>
          <w:b w:val="0"/>
          <w:bCs/>
          <w:color w:val="auto"/>
          <w:sz w:val="24"/>
        </w:rPr>
        <w:t>3、</w:t>
      </w:r>
      <w:r>
        <w:rPr>
          <w:rFonts w:ascii="宋体" w:eastAsia="宋体" w:hAnsi="宋体" w:cs="宋体" w:hint="eastAsia"/>
          <w:b w:val="0"/>
          <w:bCs/>
          <w:color w:val="auto"/>
          <w:sz w:val="24"/>
          <w:lang w:eastAsia="zh-CN"/>
        </w:rPr>
        <w:t>可拆卸预埋螺栓压板锚固件</w:t>
      </w:r>
      <w:r>
        <w:rPr>
          <w:rFonts w:ascii="宋体" w:eastAsia="宋体" w:hAnsi="宋体" w:cs="宋体" w:hint="eastAsia"/>
          <w:b w:val="0"/>
          <w:bCs/>
          <w:color w:val="auto"/>
          <w:sz w:val="24"/>
        </w:rPr>
        <w:t>、钢丝绳吊环</w:t>
      </w:r>
      <w:bookmarkEnd w:id="47"/>
      <w:bookmarkEnd w:id="48"/>
      <w:bookmarkEnd w:id="49"/>
    </w:p>
    <w:p>
      <w:pPr>
        <w:spacing w:line="360" w:lineRule="auto"/>
        <w:ind w:firstLine="480" w:firstLineChars="200"/>
        <w:rPr>
          <w:rFonts w:ascii="宋体" w:eastAsia="宋体" w:hAnsi="宋体" w:cs="宋体" w:hint="eastAsia"/>
        </w:rPr>
        <w:sectPr>
          <w:type w:val="nextPage"/>
          <w:pgSz w:w="11906" w:h="16838"/>
          <w:pgMar w:top="1247" w:right="1134" w:bottom="1247" w:left="1701" w:header="851" w:footer="992" w:gutter="0"/>
          <w:pgNumType w:fmt="decimal" w:start="1" w:chapStyle="0" w:chapSep="hyphen"/>
          <w:cols w:space="708"/>
          <w:titlePg w:val="0"/>
          <w:docGrid w:linePitch="312"/>
        </w:sectPr>
      </w:pPr>
      <w:r>
        <w:rPr>
          <w:rFonts w:ascii="宋体" w:eastAsia="宋体" w:hAnsi="宋体" w:cs="宋体" w:hint="eastAsia"/>
          <w:color w:val="000000"/>
          <w:sz w:val="24"/>
          <w:lang w:eastAsia="zh-CN"/>
        </w:rPr>
        <w:t>可拆卸预埋螺栓压板锚固件</w:t>
      </w:r>
      <w:r>
        <w:rPr>
          <w:rFonts w:ascii="宋体" w:eastAsia="宋体" w:hAnsi="宋体" w:cs="宋体" w:hint="eastAsia"/>
          <w:sz w:val="24"/>
        </w:rPr>
        <w:t>采纳</w:t>
      </w:r>
      <w:r>
        <w:rPr>
          <w:rFonts w:ascii="宋体" w:eastAsia="宋体" w:hAnsi="宋体" w:cs="宋体" w:hint="eastAsia"/>
          <w:sz w:val="24"/>
          <w:lang w:val="en-US" w:eastAsia="zh-CN"/>
        </w:rPr>
        <w:t>10mm厚钢板和</w:t>
      </w:r>
      <w:r>
        <w:rPr>
          <w:rFonts w:ascii="宋体" w:eastAsia="宋体" w:hAnsi="宋体" w:cs="宋体" w:hint="eastAsia"/>
          <w:sz w:val="24"/>
        </w:rPr>
        <w:t>Ф</w:t>
      </w:r>
      <w:r>
        <w:rPr>
          <w:rFonts w:ascii="宋体" w:eastAsia="宋体" w:hAnsi="宋体" w:cs="宋体" w:hint="eastAsia"/>
          <w:sz w:val="24"/>
        </w:rPr>
        <w:t>20</w:t>
      </w:r>
      <w:r>
        <w:rPr>
          <w:rFonts w:ascii="宋体" w:eastAsia="宋体" w:hAnsi="宋体" w:cs="宋体" w:hint="eastAsia"/>
          <w:sz w:val="24"/>
          <w:lang w:val="en-US" w:eastAsia="zh-CN"/>
        </w:rPr>
        <w:t>的预埋螺栓组合而成；</w:t>
      </w:r>
    </w:p>
    <w:p>
      <w:pPr>
        <w:spacing w:line="360" w:lineRule="auto"/>
        <w:ind w:firstLine="480" w:firstLineChars="200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sz w:val="24"/>
        </w:rPr>
        <w:t>钢丝绳的吊环</w:t>
      </w:r>
      <w:r>
        <w:rPr>
          <w:rFonts w:ascii="宋体" w:eastAsia="宋体" w:hAnsi="宋体" w:cs="宋体" w:hint="eastAsia"/>
          <w:sz w:val="24"/>
        </w:rPr>
        <w:t>采纳</w:t>
      </w:r>
      <w:r>
        <w:rPr>
          <w:rFonts w:ascii="宋体" w:eastAsia="宋体" w:hAnsi="宋体" w:cs="宋体" w:hint="eastAsia"/>
          <w:sz w:val="24"/>
        </w:rPr>
        <w:t>Ф</w:t>
      </w:r>
      <w:r>
        <w:rPr>
          <w:rFonts w:ascii="宋体" w:eastAsia="宋体" w:hAnsi="宋体" w:cs="宋体" w:hint="eastAsia"/>
          <w:sz w:val="24"/>
        </w:rPr>
        <w:t>20圆钢</w:t>
      </w:r>
      <w:r>
        <w:rPr>
          <w:rFonts w:ascii="宋体" w:eastAsia="宋体" w:hAnsi="宋体" w:cs="宋体" w:hint="eastAsia"/>
          <w:sz w:val="24"/>
          <w:lang w:eastAsia="zh-CN"/>
        </w:rPr>
        <w:t>。</w:t>
      </w:r>
      <w:r>
        <w:rPr>
          <w:rFonts w:ascii="宋体" w:eastAsia="宋体" w:hAnsi="宋体" w:cs="宋体" w:hint="eastAsia"/>
          <w:sz w:val="24"/>
        </w:rPr>
        <w:t>钢材强度等级不低于Q235，其质量应符合现行国家标准《碳素钢结构》（GB/T700）和《低合金高强度结构钢》（GB/T1591）的规定</w:t>
      </w:r>
      <w:r>
        <w:rPr>
          <w:rFonts w:ascii="宋体" w:eastAsia="宋体" w:hAnsi="宋体" w:cs="宋体" w:hint="eastAsia"/>
          <w:sz w:val="24"/>
          <w:lang w:eastAsia="zh-CN"/>
        </w:rPr>
        <w:t>。</w:t>
      </w:r>
    </w:p>
    <w:p>
      <w:pPr>
        <w:spacing w:line="360" w:lineRule="auto"/>
        <w:outlineLvl w:val="1"/>
        <w:rPr>
          <w:rFonts w:ascii="宋体" w:eastAsia="宋体" w:hAnsi="宋体" w:cs="宋体" w:hint="eastAsia"/>
          <w:b/>
          <w:color w:val="000000"/>
          <w:sz w:val="24"/>
        </w:rPr>
      </w:pPr>
      <w:bookmarkStart w:id="50" w:name="_Toc306001168"/>
      <w:bookmarkStart w:id="51" w:name="_Toc336964921"/>
      <w:bookmarkStart w:id="52" w:name="_Toc336981551"/>
      <w:r>
        <w:rPr>
          <w:rFonts w:ascii="宋体" w:eastAsia="宋体" w:hAnsi="宋体" w:cs="宋体" w:hint="eastAsia"/>
          <w:b/>
          <w:color w:val="000000"/>
          <w:sz w:val="24"/>
          <w:lang w:eastAsia="zh-CN"/>
        </w:rPr>
        <w:t>（二）</w:t>
      </w:r>
      <w:r>
        <w:rPr>
          <w:rFonts w:ascii="宋体" w:eastAsia="宋体" w:hAnsi="宋体" w:cs="宋体" w:hint="eastAsia"/>
          <w:b/>
          <w:color w:val="000000"/>
          <w:sz w:val="24"/>
        </w:rPr>
        <w:t>、卸料平台的尺寸与构件材料</w:t>
      </w:r>
      <w:bookmarkEnd w:id="50"/>
      <w:bookmarkEnd w:id="51"/>
      <w:bookmarkEnd w:id="52"/>
    </w:p>
    <w:p>
      <w:pPr>
        <w:spacing w:line="360" w:lineRule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1、</w:t>
      </w:r>
      <w:r>
        <w:rPr>
          <w:rFonts w:ascii="宋体" w:eastAsia="宋体" w:hAnsi="宋体" w:cs="宋体" w:hint="eastAsia"/>
          <w:color w:val="000000"/>
          <w:sz w:val="24"/>
        </w:rPr>
        <w:t>本工程的卸料平台宽度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2</w:t>
      </w:r>
      <w:r>
        <w:rPr>
          <w:rFonts w:ascii="宋体" w:eastAsia="宋体" w:hAnsi="宋体" w:cs="宋体" w:hint="eastAsia"/>
          <w:color w:val="000000"/>
          <w:sz w:val="24"/>
        </w:rPr>
        <w:t>m，外挑长度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4.5</w:t>
      </w:r>
      <w:r>
        <w:rPr>
          <w:rFonts w:ascii="宋体" w:eastAsia="宋体" w:hAnsi="宋体" w:cs="宋体" w:hint="eastAsia"/>
          <w:color w:val="000000"/>
          <w:sz w:val="24"/>
        </w:rPr>
        <w:t>m，栏杆高度为1.2m，荷载限制为0.8吨。</w:t>
      </w:r>
    </w:p>
    <w:p>
      <w:pPr>
        <w:spacing w:line="360" w:lineRule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2、</w:t>
      </w:r>
      <w:r>
        <w:rPr>
          <w:rFonts w:ascii="宋体" w:eastAsia="宋体" w:hAnsi="宋体" w:cs="宋体" w:hint="eastAsia"/>
          <w:color w:val="000000"/>
          <w:sz w:val="24"/>
        </w:rPr>
        <w:t>卸料平台</w:t>
      </w:r>
      <w:r>
        <w:rPr>
          <w:rFonts w:ascii="宋体" w:eastAsia="宋体" w:hAnsi="宋体" w:cs="宋体" w:hint="eastAsia"/>
          <w:color w:val="000000"/>
          <w:sz w:val="24"/>
        </w:rPr>
        <w:t>采纳</w:t>
      </w:r>
      <w:r>
        <w:rPr>
          <w:rFonts w:ascii="宋体" w:eastAsia="宋体" w:hAnsi="宋体" w:cs="宋体" w:hint="eastAsia"/>
          <w:color w:val="000000"/>
          <w:sz w:val="24"/>
        </w:rPr>
        <w:t>1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8</w:t>
      </w:r>
      <w:r>
        <w:rPr>
          <w:rFonts w:ascii="宋体" w:eastAsia="宋体" w:hAnsi="宋体" w:cs="宋体" w:hint="eastAsia"/>
          <w:color w:val="000000"/>
          <w:sz w:val="24"/>
        </w:rPr>
        <w:t>#槽钢作为主梁，其底部</w:t>
      </w:r>
      <w:r>
        <w:rPr>
          <w:rFonts w:ascii="宋体" w:eastAsia="宋体" w:hAnsi="宋体" w:cs="宋体" w:hint="eastAsia"/>
          <w:color w:val="000000"/>
          <w:sz w:val="24"/>
        </w:rPr>
        <w:t>采纳</w:t>
      </w:r>
      <w:r>
        <w:rPr>
          <w:rFonts w:ascii="宋体" w:eastAsia="宋体" w:hAnsi="宋体" w:cs="宋体" w:hint="eastAsia"/>
          <w:color w:val="000000"/>
          <w:sz w:val="24"/>
        </w:rPr>
        <w:t>1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0</w:t>
      </w:r>
      <w:r>
        <w:rPr>
          <w:rFonts w:ascii="宋体" w:eastAsia="宋体" w:hAnsi="宋体" w:cs="宋体" w:hint="eastAsia"/>
          <w:color w:val="000000"/>
          <w:sz w:val="24"/>
        </w:rPr>
        <w:t>＃槽钢作次梁，四周栏杆</w:t>
      </w:r>
      <w:r>
        <w:rPr>
          <w:rFonts w:ascii="宋体" w:eastAsia="宋体" w:hAnsi="宋体" w:cs="宋体" w:hint="eastAsia"/>
          <w:color w:val="000000"/>
          <w:sz w:val="24"/>
        </w:rPr>
        <w:t>采纳</w:t>
      </w:r>
      <w:r>
        <w:rPr>
          <w:rFonts w:ascii="宋体" w:eastAsia="宋体" w:hAnsi="宋体" w:cs="宋体" w:hint="eastAsia"/>
          <w:color w:val="000000"/>
          <w:sz w:val="24"/>
        </w:rPr>
        <w:t>48</w:t>
      </w:r>
      <w:r>
        <w:rPr>
          <w:rFonts w:ascii="宋体" w:eastAsia="宋体" w:hAnsi="宋体" w:cs="宋体" w:hint="eastAsia"/>
          <w:color w:val="000000"/>
          <w:sz w:val="24"/>
        </w:rPr>
        <w:t>×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2.7</w:t>
      </w:r>
      <w:r>
        <w:rPr>
          <w:rFonts w:ascii="宋体" w:eastAsia="宋体" w:hAnsi="宋体" w:cs="宋体" w:hint="eastAsia"/>
          <w:color w:val="000000"/>
          <w:sz w:val="24"/>
        </w:rPr>
        <w:t>的圆钢管和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2</w:t>
      </w:r>
      <w:r>
        <w:rPr>
          <w:rFonts w:ascii="宋体" w:eastAsia="宋体" w:hAnsi="宋体" w:cs="宋体" w:hint="eastAsia"/>
          <w:color w:val="000000"/>
          <w:sz w:val="24"/>
        </w:rPr>
        <w:t>mm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厚</w:t>
      </w:r>
      <w:r>
        <w:rPr>
          <w:rFonts w:ascii="宋体" w:eastAsia="宋体" w:hAnsi="宋体" w:cs="宋体" w:hint="eastAsia"/>
          <w:color w:val="000000"/>
          <w:sz w:val="24"/>
        </w:rPr>
        <w:t>刷红白漆的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铁板焊接</w:t>
      </w:r>
      <w:r>
        <w:rPr>
          <w:rFonts w:ascii="宋体" w:eastAsia="宋体" w:hAnsi="宋体" w:cs="宋体" w:hint="eastAsia"/>
          <w:color w:val="000000"/>
          <w:sz w:val="24"/>
        </w:rPr>
        <w:t>封闭，次梁上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焊接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5mm厚钢板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满铺</w:t>
      </w:r>
      <w:r>
        <w:rPr>
          <w:rFonts w:ascii="宋体" w:eastAsia="宋体" w:hAnsi="宋体" w:cs="宋体" w:hint="eastAsia"/>
          <w:color w:val="000000"/>
          <w:sz w:val="24"/>
        </w:rPr>
        <w:t>。</w:t>
      </w:r>
    </w:p>
    <w:p>
      <w:pPr>
        <w:spacing w:line="360" w:lineRule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3、</w:t>
      </w:r>
      <w:r>
        <w:rPr>
          <w:rFonts w:ascii="宋体" w:eastAsia="宋体" w:hAnsi="宋体" w:cs="宋体" w:hint="eastAsia"/>
          <w:color w:val="000000"/>
          <w:sz w:val="24"/>
        </w:rPr>
        <w:t>卸料平台主梁固定端</w:t>
      </w:r>
      <w:r>
        <w:rPr>
          <w:rFonts w:ascii="宋体" w:eastAsia="宋体" w:hAnsi="宋体" w:cs="宋体" w:hint="eastAsia"/>
          <w:color w:val="000000"/>
          <w:sz w:val="24"/>
        </w:rPr>
        <w:t>采纳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可拆卸预埋螺栓压板锚固件和主体结构</w:t>
      </w:r>
      <w:r>
        <w:rPr>
          <w:rFonts w:ascii="宋体" w:eastAsia="宋体" w:hAnsi="宋体" w:cs="宋体" w:hint="eastAsia"/>
          <w:color w:val="000000"/>
          <w:sz w:val="24"/>
        </w:rPr>
        <w:t>固定，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可拆卸预埋螺栓压板锚固件</w:t>
      </w:r>
      <w:r>
        <w:rPr>
          <w:rFonts w:ascii="宋体" w:eastAsia="宋体" w:hAnsi="宋体" w:cs="宋体" w:hint="eastAsia"/>
          <w:sz w:val="24"/>
        </w:rPr>
        <w:t>采纳</w:t>
      </w:r>
      <w:r>
        <w:rPr>
          <w:rFonts w:ascii="宋体" w:eastAsia="宋体" w:hAnsi="宋体" w:cs="宋体" w:hint="eastAsia"/>
          <w:sz w:val="24"/>
          <w:lang w:val="en-US" w:eastAsia="zh-CN"/>
        </w:rPr>
        <w:t>200mm*80mm*10mm铁板（铁板上距两端40mm处各开1个</w:t>
      </w:r>
      <w:r>
        <w:rPr>
          <w:rFonts w:ascii="宋体" w:eastAsia="宋体" w:hAnsi="宋体" w:cs="宋体" w:hint="eastAsia"/>
          <w:sz w:val="24"/>
        </w:rPr>
        <w:t>Ф</w:t>
      </w:r>
      <w:r>
        <w:rPr>
          <w:rFonts w:ascii="宋体" w:eastAsia="宋体" w:hAnsi="宋体" w:cs="宋体" w:hint="eastAsia"/>
          <w:sz w:val="24"/>
          <w:lang w:val="en-US" w:eastAsia="zh-CN"/>
        </w:rPr>
        <w:t>22孔）和2套</w:t>
      </w:r>
      <w:r>
        <w:rPr>
          <w:rFonts w:ascii="宋体" w:eastAsia="宋体" w:hAnsi="宋体" w:cs="宋体" w:hint="eastAsia"/>
          <w:sz w:val="24"/>
        </w:rPr>
        <w:t>Ф</w:t>
      </w:r>
      <w:r>
        <w:rPr>
          <w:rFonts w:ascii="宋体" w:eastAsia="宋体" w:hAnsi="宋体" w:cs="宋体" w:hint="eastAsia"/>
          <w:sz w:val="24"/>
        </w:rPr>
        <w:t>20</w:t>
      </w:r>
      <w:r>
        <w:rPr>
          <w:rFonts w:ascii="宋体" w:eastAsia="宋体" w:hAnsi="宋体" w:cs="宋体" w:hint="eastAsia"/>
          <w:sz w:val="24"/>
          <w:lang w:val="en-US" w:eastAsia="zh-CN"/>
        </w:rPr>
        <w:t>的预埋螺栓组合而成</w:t>
      </w:r>
      <w:r>
        <w:rPr>
          <w:rFonts w:ascii="宋体" w:eastAsia="宋体" w:hAnsi="宋体" w:cs="宋体" w:hint="eastAsia"/>
          <w:sz w:val="24"/>
        </w:rPr>
        <w:t>。</w:t>
      </w:r>
    </w:p>
    <w:p>
      <w:pPr>
        <w:spacing w:line="360" w:lineRule="auto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4、</w:t>
      </w:r>
      <w:r>
        <w:rPr>
          <w:rFonts w:ascii="宋体" w:eastAsia="宋体" w:hAnsi="宋体" w:cs="宋体" w:hint="eastAsia"/>
          <w:color w:val="000000"/>
          <w:sz w:val="24"/>
        </w:rPr>
        <w:t>卸料平台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通过</w:t>
      </w:r>
      <w:r>
        <w:rPr>
          <w:rFonts w:ascii="宋体" w:eastAsia="宋体" w:hAnsi="宋体" w:cs="宋体" w:hint="eastAsia"/>
          <w:color w:val="000000"/>
          <w:sz w:val="24"/>
        </w:rPr>
        <w:t>Ф</w:t>
      </w:r>
      <w:r>
        <w:rPr>
          <w:rFonts w:ascii="宋体" w:eastAsia="宋体" w:hAnsi="宋体" w:cs="宋体" w:hint="eastAsia"/>
          <w:color w:val="000000"/>
          <w:sz w:val="24"/>
          <w:lang w:val="en-US" w:eastAsia="zh-CN"/>
        </w:rPr>
        <w:t>18</w:t>
      </w:r>
      <w:r>
        <w:rPr>
          <w:rFonts w:ascii="宋体" w:eastAsia="宋体" w:hAnsi="宋体" w:cs="宋体" w:hint="eastAsia"/>
          <w:color w:val="000000"/>
          <w:sz w:val="24"/>
        </w:rPr>
        <w:t>钢丝绳与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预埋</w:t>
      </w:r>
      <w:r>
        <w:rPr>
          <w:rFonts w:ascii="宋体" w:eastAsia="宋体" w:hAnsi="宋体" w:cs="宋体" w:hint="eastAsia"/>
          <w:color w:val="000000"/>
          <w:sz w:val="24"/>
        </w:rPr>
        <w:t>在上一层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主体结构梁板中的吊环连接</w:t>
      </w:r>
      <w:r>
        <w:rPr>
          <w:rFonts w:ascii="宋体" w:eastAsia="宋体" w:hAnsi="宋体" w:cs="宋体" w:hint="eastAsia"/>
          <w:color w:val="000000"/>
          <w:sz w:val="24"/>
        </w:rPr>
        <w:t>用于钢丝绳卸荷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，吊环</w:t>
      </w:r>
      <w:r>
        <w:rPr>
          <w:rFonts w:ascii="宋体" w:eastAsia="宋体" w:hAnsi="宋体" w:cs="宋体" w:hint="eastAsia"/>
          <w:color w:val="000000"/>
          <w:sz w:val="24"/>
          <w:lang w:eastAsia="zh-CN"/>
        </w:rPr>
        <w:t>采纳</w:t>
      </w:r>
      <w:r>
        <w:rPr>
          <w:rFonts w:ascii="宋体" w:eastAsia="宋体" w:hAnsi="宋体" w:cs="宋体" w:hint="eastAsia"/>
          <w:sz w:val="24"/>
        </w:rPr>
        <w:t>Ф</w:t>
      </w:r>
      <w:r>
        <w:rPr>
          <w:rFonts w:ascii="宋体" w:eastAsia="宋体" w:hAnsi="宋体" w:cs="宋体" w:hint="eastAsia"/>
          <w:sz w:val="24"/>
        </w:rPr>
        <w:t>20</w:t>
      </w:r>
      <w:r>
        <w:rPr>
          <w:rFonts w:ascii="宋体" w:eastAsia="宋体" w:hAnsi="宋体" w:cs="宋体" w:hint="eastAsia"/>
          <w:sz w:val="24"/>
          <w:lang w:eastAsia="zh-CN"/>
        </w:rPr>
        <w:t>圆钢制作。</w:t>
      </w:r>
    </w:p>
    <w:p>
      <w:pPr>
        <w:spacing w:line="360" w:lineRule="auto"/>
        <w:ind w:firstLine="480" w:firstLineChars="200"/>
        <w:jc w:val="center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  <w:lang w:eastAsia="zh-C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39" o:spid="_x0000_i1025" type="#_x0000_t75" style="width:451.5pt;height:328.75pt;mso-position-horizontal-relative:page;mso-position-vertical-relative:page;mso-wrap-style:square" o:oleicon="f" o:ole="" o:preferrelative="t" filled="f" stroked="f">
            <v:stroke linestyle="single"/>
            <v:imagedata r:id="rId4" o:title="" croptop="19207f" cropbottom="15240f" cropleft="23944f" cropright="20877f"/>
            <v:path o:extrusionok="f"/>
            <o:lock v:ext="edit" aspectratio="t"/>
          </v:shape>
          <o:OLEObject Type="Embed" ProgID="AutoCAD.Drawing.18" ShapeID="对象 39" DrawAspect="Content" ObjectID="_1234567890" r:id="rId5"/>
        </w:object>
      </w:r>
      <w:r>
        <w:rPr>
          <w:rFonts w:ascii="宋体" w:eastAsia="宋体" w:hAnsi="宋体" w:cs="宋体" w:hint="eastAsia"/>
          <w:color w:val="000000"/>
          <w:sz w:val="24"/>
        </w:rPr>
        <w:br/>
      </w:r>
      <w:r>
        <w:rPr>
          <w:rFonts w:ascii="宋体" w:eastAsia="宋体" w:hAnsi="宋体" w:cs="宋体" w:hint="eastAsia"/>
          <w:color w:val="00000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https://d.book118.com/986001042222010042</w:t>
        </w:r>
      </w:hyperlink>
    </w:p>
    <w:p>
      <w:pPr>
        <w:spacing w:line="360" w:lineRule="auto"/>
        <w:ind w:firstLine="480" w:firstLineChars="200"/>
        <w:jc w:val="center"/>
        <w:rPr>
          <w:rFonts w:ascii="宋体" w:eastAsia="宋体" w:hAnsi="宋体" w:cs="宋体" w:hint="eastAsia"/>
          <w:color w:val="000000"/>
          <w:sz w:val="24"/>
        </w:rPr>
      </w:pPr>
    </w:p>
    <w:sectPr>
      <w:type w:val="nextPage"/>
      <w:pgSz w:w="11906" w:h="16838"/>
      <w:pgMar w:top="1247" w:right="1134" w:bottom="1247" w:left="1701" w:header="851" w:footer="992" w:gutter="0"/>
      <w:pgNumType w:fmt="decimal" w:start="2" w:chapStyle="0" w:chapSep="hyphen"/>
      <w:cols w:space="708"/>
      <w:titlePg w:val="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86"/>
    <w:family w:val="modern"/>
    <w:pitch w:val="default"/>
    <w:sig w:usb0="E0002EFF" w:usb1="C0007843" w:usb2="00000009" w:usb3="00000000" w:csb0="4004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C9169D"/>
    <w:multiLevelType w:val="multilevel"/>
    <w:tmpl w:val="57C9169D"/>
    <w:lvl w:ilvl="0">
      <w:start w:val="1"/>
      <w:numFmt w:val="chineseCountingThousand"/>
      <w:lvlText w:val="第%1章  "/>
      <w:lvlJc w:val="left"/>
      <w:pPr>
        <w:ind w:left="432" w:hanging="432"/>
      </w:pPr>
      <w:rPr>
        <w:rFonts w:ascii="宋体" w:eastAsia="宋体" w:hAnsi="宋体" w:cs="宋体" w:hint="eastAsia"/>
        <w:b/>
        <w:i w:val="0"/>
        <w:color w:val="000000"/>
        <w:sz w:val="32"/>
      </w:rPr>
    </w:lvl>
    <w:lvl w:ilvl="1">
      <w:start w:val="1"/>
      <w:numFmt w:val="chineseCountingThousand"/>
      <w:lvlText w:val="%2、  "/>
      <w:lvlJc w:val="left"/>
      <w:pPr>
        <w:ind w:left="575" w:hanging="575"/>
      </w:pPr>
      <w:rPr>
        <w:rFonts w:ascii="宋体" w:eastAsia="宋体" w:hAnsi="宋体" w:cs="宋体" w:hint="eastAsia"/>
        <w:b/>
        <w:i w:val="0"/>
        <w:color w:val="000000"/>
        <w:sz w:val="28"/>
      </w:rPr>
    </w:lvl>
    <w:lvl w:ilvl="2">
      <w:start w:val="1"/>
      <w:numFmt w:val="decimal"/>
      <w:lvlText w:val="%3、  "/>
      <w:lvlJc w:val="left"/>
      <w:pPr>
        <w:ind w:left="720" w:hanging="720"/>
      </w:pPr>
      <w:rPr>
        <w:rFonts w:ascii="宋体" w:eastAsia="宋体" w:hAnsi="宋体" w:cs="宋体" w:hint="eastAsia"/>
        <w:b/>
        <w:i w:val="0"/>
        <w:color w:val="000000"/>
        <w:sz w:val="24"/>
      </w:rPr>
    </w:lvl>
    <w:lvl w:ilvl="3">
      <w:start w:val="1"/>
      <w:numFmt w:val="decimal"/>
      <w:lvlText w:val="%4、  "/>
      <w:lvlJc w:val="left"/>
      <w:pPr>
        <w:ind w:left="864" w:hanging="864"/>
      </w:pPr>
      <w:rPr>
        <w:rFonts w:ascii="宋体" w:eastAsia="宋体" w:hAnsi="宋体" w:cs="宋体" w:hint="eastAsia"/>
        <w:b/>
        <w:i w:val="0"/>
        <w:color w:val="000000"/>
        <w:sz w:val="24"/>
      </w:rPr>
    </w:lvl>
    <w:lvl w:ilvl="4">
      <w:start w:val="1"/>
      <w:numFmt w:val="upperRoman"/>
      <w:lvlText w:val="%5、  "/>
      <w:lvlJc w:val="left"/>
      <w:pPr>
        <w:ind w:left="1008" w:hanging="1008"/>
      </w:pPr>
      <w:rPr>
        <w:rFonts w:ascii="宋体" w:eastAsia="宋体" w:hAnsi="宋体" w:cs="宋体" w:hint="eastAsia"/>
        <w:b/>
        <w:i w:val="0"/>
        <w:color w:val="000000"/>
        <w:sz w:val="24"/>
      </w:rPr>
    </w:lvl>
    <w:lvl w:ilvl="5">
      <w:start w:val="1"/>
      <w:numFmt w:val="none"/>
      <w:lvlJc w:val="left"/>
      <w:pPr>
        <w:ind w:left="1151" w:hanging="1151"/>
      </w:pPr>
      <w:rPr>
        <w:rFonts w:ascii="宋体" w:eastAsia="宋体" w:hAnsi="宋体" w:cs="宋体" w:hint="eastAsia"/>
        <w:b/>
        <w:i w:val="0"/>
        <w:color w:val="000000"/>
        <w:sz w:val="24"/>
      </w:rPr>
    </w:lvl>
    <w:lvl w:ilvl="6">
      <w:start w:val="1"/>
      <w:numFmt w:val="none"/>
      <w:lvlJc w:val="left"/>
      <w:pPr>
        <w:ind w:left="1296" w:hanging="1296"/>
      </w:pPr>
      <w:rPr>
        <w:rFonts w:ascii="宋体" w:eastAsia="宋体" w:hAnsi="宋体" w:cs="宋体" w:hint="eastAsia"/>
        <w:b/>
        <w:i w:val="0"/>
        <w:color w:val="000000"/>
        <w:sz w:val="24"/>
      </w:rPr>
    </w:lvl>
    <w:lvl w:ilvl="7">
      <w:start w:val="1"/>
      <w:numFmt w:val="none"/>
      <w:lvlJc w:val="left"/>
      <w:pPr>
        <w:ind w:left="1440" w:hanging="1440"/>
      </w:pPr>
      <w:rPr>
        <w:rFonts w:ascii="宋体" w:eastAsia="宋体" w:hAnsi="宋体" w:cs="宋体" w:hint="eastAsia"/>
        <w:b/>
        <w:i w:val="0"/>
        <w:color w:val="000000"/>
        <w:sz w:val="24"/>
      </w:rPr>
    </w:lvl>
    <w:lvl w:ilvl="8">
      <w:start w:val="1"/>
      <w:numFmt w:val="none"/>
      <w:lvlJc w:val="left"/>
      <w:pPr>
        <w:ind w:left="1583" w:hanging="1583"/>
      </w:pPr>
      <w:rPr>
        <w:rFonts w:ascii="宋体" w:eastAsia="宋体" w:hAnsi="宋体" w:cs="宋体" w:hint="eastAsia"/>
        <w:b/>
        <w:i w:val="0"/>
        <w:color w:val="000000"/>
        <w:sz w:val="24"/>
      </w:rPr>
    </w:lvl>
  </w:abstractNum>
  <w:abstractNum w:abstractNumId="1">
    <w:nsid w:val="57CBD0D7"/>
    <w:multiLevelType w:val="singleLevel"/>
    <w:tmpl w:val="57CBD0D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31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2FB3"/>
    <w:rsid w:val="00003241"/>
    <w:rsid w:val="000036CB"/>
    <w:rsid w:val="00004CB3"/>
    <w:rsid w:val="00015ACD"/>
    <w:rsid w:val="00027049"/>
    <w:rsid w:val="00027507"/>
    <w:rsid w:val="00030799"/>
    <w:rsid w:val="00041F61"/>
    <w:rsid w:val="00047E1B"/>
    <w:rsid w:val="00064287"/>
    <w:rsid w:val="00064B96"/>
    <w:rsid w:val="00066FA3"/>
    <w:rsid w:val="00072498"/>
    <w:rsid w:val="000735BB"/>
    <w:rsid w:val="00073DF9"/>
    <w:rsid w:val="00074708"/>
    <w:rsid w:val="00075877"/>
    <w:rsid w:val="00076A5A"/>
    <w:rsid w:val="00080FCE"/>
    <w:rsid w:val="000812DB"/>
    <w:rsid w:val="000874E8"/>
    <w:rsid w:val="00095857"/>
    <w:rsid w:val="000A0967"/>
    <w:rsid w:val="000B29C0"/>
    <w:rsid w:val="000B4B8F"/>
    <w:rsid w:val="000C3EB0"/>
    <w:rsid w:val="000D5C0B"/>
    <w:rsid w:val="000D5DFD"/>
    <w:rsid w:val="000D7C68"/>
    <w:rsid w:val="000E67ED"/>
    <w:rsid w:val="000E6BCF"/>
    <w:rsid w:val="000F08AC"/>
    <w:rsid w:val="000F0A78"/>
    <w:rsid w:val="000F2554"/>
    <w:rsid w:val="000F359C"/>
    <w:rsid w:val="000F3D0F"/>
    <w:rsid w:val="0011600A"/>
    <w:rsid w:val="00116910"/>
    <w:rsid w:val="00117EE6"/>
    <w:rsid w:val="001207DB"/>
    <w:rsid w:val="001226F7"/>
    <w:rsid w:val="001254A0"/>
    <w:rsid w:val="00125FBB"/>
    <w:rsid w:val="00153758"/>
    <w:rsid w:val="00153AD9"/>
    <w:rsid w:val="00160454"/>
    <w:rsid w:val="00160817"/>
    <w:rsid w:val="00160F41"/>
    <w:rsid w:val="001707DC"/>
    <w:rsid w:val="00170C71"/>
    <w:rsid w:val="00172E75"/>
    <w:rsid w:val="00174438"/>
    <w:rsid w:val="001757E9"/>
    <w:rsid w:val="0017583F"/>
    <w:rsid w:val="0018212B"/>
    <w:rsid w:val="00182FE0"/>
    <w:rsid w:val="00186195"/>
    <w:rsid w:val="00187C4B"/>
    <w:rsid w:val="00195C88"/>
    <w:rsid w:val="001A11F0"/>
    <w:rsid w:val="001A7285"/>
    <w:rsid w:val="001B191B"/>
    <w:rsid w:val="001B2348"/>
    <w:rsid w:val="001B6103"/>
    <w:rsid w:val="001C006D"/>
    <w:rsid w:val="001C544C"/>
    <w:rsid w:val="001C55EF"/>
    <w:rsid w:val="001D49F1"/>
    <w:rsid w:val="001D5D61"/>
    <w:rsid w:val="001E3213"/>
    <w:rsid w:val="001E49E2"/>
    <w:rsid w:val="001F0A62"/>
    <w:rsid w:val="001F0C28"/>
    <w:rsid w:val="001F5753"/>
    <w:rsid w:val="001F6BD8"/>
    <w:rsid w:val="002004D3"/>
    <w:rsid w:val="00201A0E"/>
    <w:rsid w:val="00205E01"/>
    <w:rsid w:val="002064BB"/>
    <w:rsid w:val="002128ED"/>
    <w:rsid w:val="002172BC"/>
    <w:rsid w:val="00217416"/>
    <w:rsid w:val="0022324E"/>
    <w:rsid w:val="00224DAD"/>
    <w:rsid w:val="00225A8C"/>
    <w:rsid w:val="00230D2B"/>
    <w:rsid w:val="002373DA"/>
    <w:rsid w:val="0024081B"/>
    <w:rsid w:val="00241E0E"/>
    <w:rsid w:val="00242C40"/>
    <w:rsid w:val="00244252"/>
    <w:rsid w:val="00253E35"/>
    <w:rsid w:val="002558D3"/>
    <w:rsid w:val="002728C0"/>
    <w:rsid w:val="00277948"/>
    <w:rsid w:val="00281E67"/>
    <w:rsid w:val="002834E4"/>
    <w:rsid w:val="002838C0"/>
    <w:rsid w:val="00287042"/>
    <w:rsid w:val="00290ED3"/>
    <w:rsid w:val="002A3DED"/>
    <w:rsid w:val="002A4081"/>
    <w:rsid w:val="002A4D92"/>
    <w:rsid w:val="002A7283"/>
    <w:rsid w:val="002B04B3"/>
    <w:rsid w:val="002B08EA"/>
    <w:rsid w:val="002C2A6F"/>
    <w:rsid w:val="002C2E07"/>
    <w:rsid w:val="002C3DBE"/>
    <w:rsid w:val="002E1C46"/>
    <w:rsid w:val="002E4FFE"/>
    <w:rsid w:val="002E519F"/>
    <w:rsid w:val="002E6A3F"/>
    <w:rsid w:val="002E6B09"/>
    <w:rsid w:val="002E6E07"/>
    <w:rsid w:val="002F3565"/>
    <w:rsid w:val="002F7ABC"/>
    <w:rsid w:val="003028B8"/>
    <w:rsid w:val="00302F07"/>
    <w:rsid w:val="00303076"/>
    <w:rsid w:val="0030329B"/>
    <w:rsid w:val="00303BFE"/>
    <w:rsid w:val="003054E0"/>
    <w:rsid w:val="003074B2"/>
    <w:rsid w:val="00313A80"/>
    <w:rsid w:val="00324683"/>
    <w:rsid w:val="0032579E"/>
    <w:rsid w:val="00334736"/>
    <w:rsid w:val="003462FD"/>
    <w:rsid w:val="003517B3"/>
    <w:rsid w:val="00363EE4"/>
    <w:rsid w:val="003642DD"/>
    <w:rsid w:val="00370634"/>
    <w:rsid w:val="00382138"/>
    <w:rsid w:val="003912C6"/>
    <w:rsid w:val="00391597"/>
    <w:rsid w:val="00391D17"/>
    <w:rsid w:val="003939DE"/>
    <w:rsid w:val="003A27C3"/>
    <w:rsid w:val="003A3F15"/>
    <w:rsid w:val="003A4EDA"/>
    <w:rsid w:val="003A53E4"/>
    <w:rsid w:val="003A6F8B"/>
    <w:rsid w:val="003B65D7"/>
    <w:rsid w:val="003C1D2B"/>
    <w:rsid w:val="003C3320"/>
    <w:rsid w:val="003D0850"/>
    <w:rsid w:val="003D2650"/>
    <w:rsid w:val="003D3896"/>
    <w:rsid w:val="003D43EB"/>
    <w:rsid w:val="003D5C56"/>
    <w:rsid w:val="003E13BC"/>
    <w:rsid w:val="003E1EA9"/>
    <w:rsid w:val="003E2107"/>
    <w:rsid w:val="003E21C5"/>
    <w:rsid w:val="003E3D1E"/>
    <w:rsid w:val="003F2737"/>
    <w:rsid w:val="003F6926"/>
    <w:rsid w:val="00402678"/>
    <w:rsid w:val="0040360E"/>
    <w:rsid w:val="00410092"/>
    <w:rsid w:val="00413C8E"/>
    <w:rsid w:val="00414B39"/>
    <w:rsid w:val="004168C6"/>
    <w:rsid w:val="00416B50"/>
    <w:rsid w:val="00432843"/>
    <w:rsid w:val="00435B62"/>
    <w:rsid w:val="00435D00"/>
    <w:rsid w:val="00436257"/>
    <w:rsid w:val="004408B4"/>
    <w:rsid w:val="004458E3"/>
    <w:rsid w:val="00446275"/>
    <w:rsid w:val="0044734C"/>
    <w:rsid w:val="004661CE"/>
    <w:rsid w:val="0047012B"/>
    <w:rsid w:val="004757D0"/>
    <w:rsid w:val="00476DF1"/>
    <w:rsid w:val="004816B3"/>
    <w:rsid w:val="004A3222"/>
    <w:rsid w:val="004A66D6"/>
    <w:rsid w:val="004B0894"/>
    <w:rsid w:val="004B1B5D"/>
    <w:rsid w:val="004B60AE"/>
    <w:rsid w:val="004B76C4"/>
    <w:rsid w:val="004C2E1C"/>
    <w:rsid w:val="004D2813"/>
    <w:rsid w:val="004D4107"/>
    <w:rsid w:val="004D6E06"/>
    <w:rsid w:val="004E0258"/>
    <w:rsid w:val="004F000A"/>
    <w:rsid w:val="004F0D6A"/>
    <w:rsid w:val="004F2A75"/>
    <w:rsid w:val="005165C6"/>
    <w:rsid w:val="0052248D"/>
    <w:rsid w:val="00523511"/>
    <w:rsid w:val="005249A3"/>
    <w:rsid w:val="00527CE9"/>
    <w:rsid w:val="00542FCE"/>
    <w:rsid w:val="00550242"/>
    <w:rsid w:val="00553C0C"/>
    <w:rsid w:val="005547D7"/>
    <w:rsid w:val="00556B7B"/>
    <w:rsid w:val="00563A2C"/>
    <w:rsid w:val="00564533"/>
    <w:rsid w:val="0057067D"/>
    <w:rsid w:val="00570812"/>
    <w:rsid w:val="00572B91"/>
    <w:rsid w:val="00574400"/>
    <w:rsid w:val="00575554"/>
    <w:rsid w:val="00575F59"/>
    <w:rsid w:val="00576676"/>
    <w:rsid w:val="00577582"/>
    <w:rsid w:val="00577B4E"/>
    <w:rsid w:val="005863EB"/>
    <w:rsid w:val="00592DE0"/>
    <w:rsid w:val="005A0D5B"/>
    <w:rsid w:val="005A10AA"/>
    <w:rsid w:val="005A4510"/>
    <w:rsid w:val="005B52FD"/>
    <w:rsid w:val="005B6134"/>
    <w:rsid w:val="005B62B0"/>
    <w:rsid w:val="005B64EB"/>
    <w:rsid w:val="005C4399"/>
    <w:rsid w:val="005C6F0A"/>
    <w:rsid w:val="005D3252"/>
    <w:rsid w:val="005D33AE"/>
    <w:rsid w:val="005D3ECF"/>
    <w:rsid w:val="005F1357"/>
    <w:rsid w:val="005F2CE0"/>
    <w:rsid w:val="005F60D1"/>
    <w:rsid w:val="00606C87"/>
    <w:rsid w:val="00615012"/>
    <w:rsid w:val="00621ED3"/>
    <w:rsid w:val="006234C0"/>
    <w:rsid w:val="00627F12"/>
    <w:rsid w:val="00630784"/>
    <w:rsid w:val="0063184A"/>
    <w:rsid w:val="00633259"/>
    <w:rsid w:val="00634AE0"/>
    <w:rsid w:val="006357F5"/>
    <w:rsid w:val="00643536"/>
    <w:rsid w:val="00644335"/>
    <w:rsid w:val="00644A70"/>
    <w:rsid w:val="00644AD3"/>
    <w:rsid w:val="00645E3C"/>
    <w:rsid w:val="006468B0"/>
    <w:rsid w:val="00654240"/>
    <w:rsid w:val="00667BF0"/>
    <w:rsid w:val="0067667D"/>
    <w:rsid w:val="00681A0F"/>
    <w:rsid w:val="00684E02"/>
    <w:rsid w:val="00687873"/>
    <w:rsid w:val="00695799"/>
    <w:rsid w:val="006B0A6E"/>
    <w:rsid w:val="006B1CAB"/>
    <w:rsid w:val="006B45BB"/>
    <w:rsid w:val="006B661F"/>
    <w:rsid w:val="006C0D2E"/>
    <w:rsid w:val="006D2A2E"/>
    <w:rsid w:val="006E0E4C"/>
    <w:rsid w:val="006E33D9"/>
    <w:rsid w:val="006E38AD"/>
    <w:rsid w:val="006E3D7C"/>
    <w:rsid w:val="006E741F"/>
    <w:rsid w:val="006F5439"/>
    <w:rsid w:val="006F6459"/>
    <w:rsid w:val="006F74DF"/>
    <w:rsid w:val="0070023A"/>
    <w:rsid w:val="00710DA9"/>
    <w:rsid w:val="00714EE2"/>
    <w:rsid w:val="00724FAF"/>
    <w:rsid w:val="00731FD4"/>
    <w:rsid w:val="0074618C"/>
    <w:rsid w:val="00747658"/>
    <w:rsid w:val="0075128E"/>
    <w:rsid w:val="00760F16"/>
    <w:rsid w:val="007619E9"/>
    <w:rsid w:val="007655C5"/>
    <w:rsid w:val="0076580A"/>
    <w:rsid w:val="0077204E"/>
    <w:rsid w:val="00773DAA"/>
    <w:rsid w:val="00781EE6"/>
    <w:rsid w:val="0078305E"/>
    <w:rsid w:val="00794020"/>
    <w:rsid w:val="007A241D"/>
    <w:rsid w:val="007A3DAA"/>
    <w:rsid w:val="007A6992"/>
    <w:rsid w:val="007B48E5"/>
    <w:rsid w:val="007B5A83"/>
    <w:rsid w:val="007C385E"/>
    <w:rsid w:val="007C7461"/>
    <w:rsid w:val="007D63BA"/>
    <w:rsid w:val="007E01B7"/>
    <w:rsid w:val="007E27DD"/>
    <w:rsid w:val="007F08CF"/>
    <w:rsid w:val="007F0E2C"/>
    <w:rsid w:val="007F2C34"/>
    <w:rsid w:val="007F4B1F"/>
    <w:rsid w:val="0080052A"/>
    <w:rsid w:val="008037D1"/>
    <w:rsid w:val="00803B9E"/>
    <w:rsid w:val="00804CAD"/>
    <w:rsid w:val="00807263"/>
    <w:rsid w:val="00812D3A"/>
    <w:rsid w:val="00813D78"/>
    <w:rsid w:val="0081479C"/>
    <w:rsid w:val="00814842"/>
    <w:rsid w:val="008153A6"/>
    <w:rsid w:val="008335B8"/>
    <w:rsid w:val="008355C7"/>
    <w:rsid w:val="008372C6"/>
    <w:rsid w:val="00841E0B"/>
    <w:rsid w:val="00844199"/>
    <w:rsid w:val="0084522D"/>
    <w:rsid w:val="0084638A"/>
    <w:rsid w:val="00846D69"/>
    <w:rsid w:val="00847CE9"/>
    <w:rsid w:val="00850132"/>
    <w:rsid w:val="008570F9"/>
    <w:rsid w:val="00857BB1"/>
    <w:rsid w:val="00860F75"/>
    <w:rsid w:val="00862BB6"/>
    <w:rsid w:val="008641CE"/>
    <w:rsid w:val="00866211"/>
    <w:rsid w:val="008805B9"/>
    <w:rsid w:val="00881587"/>
    <w:rsid w:val="00882ECE"/>
    <w:rsid w:val="0089268C"/>
    <w:rsid w:val="00895162"/>
    <w:rsid w:val="008A321A"/>
    <w:rsid w:val="008A4A23"/>
    <w:rsid w:val="008A4EEA"/>
    <w:rsid w:val="008A5C0B"/>
    <w:rsid w:val="008A6743"/>
    <w:rsid w:val="008B0D4D"/>
    <w:rsid w:val="008B4406"/>
    <w:rsid w:val="008C25CF"/>
    <w:rsid w:val="008C3C0C"/>
    <w:rsid w:val="008C634C"/>
    <w:rsid w:val="008C6844"/>
    <w:rsid w:val="008D2F3E"/>
    <w:rsid w:val="008D3C10"/>
    <w:rsid w:val="008E31E5"/>
    <w:rsid w:val="008E44FB"/>
    <w:rsid w:val="008E62BC"/>
    <w:rsid w:val="008F27A5"/>
    <w:rsid w:val="008F3105"/>
    <w:rsid w:val="008F4095"/>
    <w:rsid w:val="008F4350"/>
    <w:rsid w:val="008F61BD"/>
    <w:rsid w:val="0091439D"/>
    <w:rsid w:val="0093214F"/>
    <w:rsid w:val="0093423E"/>
    <w:rsid w:val="00941FDE"/>
    <w:rsid w:val="009461E6"/>
    <w:rsid w:val="00946CF5"/>
    <w:rsid w:val="00955390"/>
    <w:rsid w:val="0095795F"/>
    <w:rsid w:val="00974AEB"/>
    <w:rsid w:val="00975346"/>
    <w:rsid w:val="00975F8E"/>
    <w:rsid w:val="009761DB"/>
    <w:rsid w:val="0097735B"/>
    <w:rsid w:val="00980498"/>
    <w:rsid w:val="00981EF5"/>
    <w:rsid w:val="00983850"/>
    <w:rsid w:val="00983D3B"/>
    <w:rsid w:val="009845BB"/>
    <w:rsid w:val="00986BA2"/>
    <w:rsid w:val="0098743C"/>
    <w:rsid w:val="0099040D"/>
    <w:rsid w:val="00990BED"/>
    <w:rsid w:val="00993731"/>
    <w:rsid w:val="00993753"/>
    <w:rsid w:val="00995F18"/>
    <w:rsid w:val="009A166D"/>
    <w:rsid w:val="009A3092"/>
    <w:rsid w:val="009A36DA"/>
    <w:rsid w:val="009A7A65"/>
    <w:rsid w:val="009B1CAB"/>
    <w:rsid w:val="009B67D9"/>
    <w:rsid w:val="009B6BC5"/>
    <w:rsid w:val="009B6CA4"/>
    <w:rsid w:val="009B75EB"/>
    <w:rsid w:val="009C0491"/>
    <w:rsid w:val="009D076C"/>
    <w:rsid w:val="009D14EF"/>
    <w:rsid w:val="009E0B5B"/>
    <w:rsid w:val="009E2419"/>
    <w:rsid w:val="009E30A1"/>
    <w:rsid w:val="009F0E38"/>
    <w:rsid w:val="009F0F83"/>
    <w:rsid w:val="009F4EB7"/>
    <w:rsid w:val="00A007F7"/>
    <w:rsid w:val="00A03D9F"/>
    <w:rsid w:val="00A04ABA"/>
    <w:rsid w:val="00A05ED1"/>
    <w:rsid w:val="00A06F3C"/>
    <w:rsid w:val="00A10875"/>
    <w:rsid w:val="00A13158"/>
    <w:rsid w:val="00A25609"/>
    <w:rsid w:val="00A261D2"/>
    <w:rsid w:val="00A357E8"/>
    <w:rsid w:val="00A35B70"/>
    <w:rsid w:val="00A42AC0"/>
    <w:rsid w:val="00A431DD"/>
    <w:rsid w:val="00A44DD9"/>
    <w:rsid w:val="00A44EA8"/>
    <w:rsid w:val="00A55750"/>
    <w:rsid w:val="00A57A97"/>
    <w:rsid w:val="00A66455"/>
    <w:rsid w:val="00A70DCB"/>
    <w:rsid w:val="00A765C1"/>
    <w:rsid w:val="00A80196"/>
    <w:rsid w:val="00A80BB7"/>
    <w:rsid w:val="00A837AF"/>
    <w:rsid w:val="00A87462"/>
    <w:rsid w:val="00A90E5E"/>
    <w:rsid w:val="00A91387"/>
    <w:rsid w:val="00A96677"/>
    <w:rsid w:val="00AA1617"/>
    <w:rsid w:val="00AA2CA8"/>
    <w:rsid w:val="00AB0644"/>
    <w:rsid w:val="00AB4614"/>
    <w:rsid w:val="00AB5232"/>
    <w:rsid w:val="00AB5307"/>
    <w:rsid w:val="00AB58CF"/>
    <w:rsid w:val="00AC0FD4"/>
    <w:rsid w:val="00AC543B"/>
    <w:rsid w:val="00AC725C"/>
    <w:rsid w:val="00AD75C3"/>
    <w:rsid w:val="00AE79D3"/>
    <w:rsid w:val="00AF0187"/>
    <w:rsid w:val="00AF0B13"/>
    <w:rsid w:val="00AF4A1E"/>
    <w:rsid w:val="00AF6A41"/>
    <w:rsid w:val="00B017AF"/>
    <w:rsid w:val="00B01817"/>
    <w:rsid w:val="00B03F57"/>
    <w:rsid w:val="00B060D9"/>
    <w:rsid w:val="00B06CB3"/>
    <w:rsid w:val="00B0786C"/>
    <w:rsid w:val="00B1100B"/>
    <w:rsid w:val="00B12A8A"/>
    <w:rsid w:val="00B15F59"/>
    <w:rsid w:val="00B17219"/>
    <w:rsid w:val="00B203BF"/>
    <w:rsid w:val="00B26F49"/>
    <w:rsid w:val="00B42A07"/>
    <w:rsid w:val="00B54A87"/>
    <w:rsid w:val="00B54E55"/>
    <w:rsid w:val="00B5621B"/>
    <w:rsid w:val="00B57571"/>
    <w:rsid w:val="00B628DB"/>
    <w:rsid w:val="00B62D22"/>
    <w:rsid w:val="00B65270"/>
    <w:rsid w:val="00B67540"/>
    <w:rsid w:val="00B72F93"/>
    <w:rsid w:val="00B73BA7"/>
    <w:rsid w:val="00B77D68"/>
    <w:rsid w:val="00B8742F"/>
    <w:rsid w:val="00B908B2"/>
    <w:rsid w:val="00B9324B"/>
    <w:rsid w:val="00BA490D"/>
    <w:rsid w:val="00BB3694"/>
    <w:rsid w:val="00BC3E0C"/>
    <w:rsid w:val="00BC45E9"/>
    <w:rsid w:val="00BC75E9"/>
    <w:rsid w:val="00BD2552"/>
    <w:rsid w:val="00BD4ABA"/>
    <w:rsid w:val="00BE086B"/>
    <w:rsid w:val="00BE4215"/>
    <w:rsid w:val="00BE5A8F"/>
    <w:rsid w:val="00BE5B98"/>
    <w:rsid w:val="00BF13C4"/>
    <w:rsid w:val="00C01E76"/>
    <w:rsid w:val="00C02296"/>
    <w:rsid w:val="00C022B8"/>
    <w:rsid w:val="00C041BE"/>
    <w:rsid w:val="00C10810"/>
    <w:rsid w:val="00C12064"/>
    <w:rsid w:val="00C14747"/>
    <w:rsid w:val="00C1480C"/>
    <w:rsid w:val="00C14D9D"/>
    <w:rsid w:val="00C16D33"/>
    <w:rsid w:val="00C20979"/>
    <w:rsid w:val="00C22DFE"/>
    <w:rsid w:val="00C3139D"/>
    <w:rsid w:val="00C32070"/>
    <w:rsid w:val="00C434B6"/>
    <w:rsid w:val="00C458AD"/>
    <w:rsid w:val="00C572F4"/>
    <w:rsid w:val="00C5787A"/>
    <w:rsid w:val="00C60B1C"/>
    <w:rsid w:val="00C76417"/>
    <w:rsid w:val="00C85516"/>
    <w:rsid w:val="00C90F5A"/>
    <w:rsid w:val="00C93195"/>
    <w:rsid w:val="00C937A3"/>
    <w:rsid w:val="00C944A0"/>
    <w:rsid w:val="00C948BA"/>
    <w:rsid w:val="00CA509C"/>
    <w:rsid w:val="00CA6EA2"/>
    <w:rsid w:val="00CA7DA3"/>
    <w:rsid w:val="00CB56FE"/>
    <w:rsid w:val="00CD213D"/>
    <w:rsid w:val="00CD34EC"/>
    <w:rsid w:val="00CD485B"/>
    <w:rsid w:val="00CE0C36"/>
    <w:rsid w:val="00CE1B0A"/>
    <w:rsid w:val="00CE5188"/>
    <w:rsid w:val="00CF5EAB"/>
    <w:rsid w:val="00D01C40"/>
    <w:rsid w:val="00D03216"/>
    <w:rsid w:val="00D035E7"/>
    <w:rsid w:val="00D037A1"/>
    <w:rsid w:val="00D050E6"/>
    <w:rsid w:val="00D0791F"/>
    <w:rsid w:val="00D14A5A"/>
    <w:rsid w:val="00D25137"/>
    <w:rsid w:val="00D26C87"/>
    <w:rsid w:val="00D26EC7"/>
    <w:rsid w:val="00D30C5A"/>
    <w:rsid w:val="00D33BEF"/>
    <w:rsid w:val="00D3443F"/>
    <w:rsid w:val="00D378C2"/>
    <w:rsid w:val="00D40FEA"/>
    <w:rsid w:val="00D46317"/>
    <w:rsid w:val="00D502BC"/>
    <w:rsid w:val="00D60196"/>
    <w:rsid w:val="00D62422"/>
    <w:rsid w:val="00D665A1"/>
    <w:rsid w:val="00D72D82"/>
    <w:rsid w:val="00D803A8"/>
    <w:rsid w:val="00D81C5C"/>
    <w:rsid w:val="00D9382B"/>
    <w:rsid w:val="00D93EE8"/>
    <w:rsid w:val="00D961AA"/>
    <w:rsid w:val="00DA680A"/>
    <w:rsid w:val="00DC1DC3"/>
    <w:rsid w:val="00DC2E66"/>
    <w:rsid w:val="00DC4A9D"/>
    <w:rsid w:val="00DD6633"/>
    <w:rsid w:val="00DD70E7"/>
    <w:rsid w:val="00DE0146"/>
    <w:rsid w:val="00DE07F4"/>
    <w:rsid w:val="00DF26A6"/>
    <w:rsid w:val="00DF665C"/>
    <w:rsid w:val="00DF7749"/>
    <w:rsid w:val="00E13341"/>
    <w:rsid w:val="00E14D45"/>
    <w:rsid w:val="00E15F4C"/>
    <w:rsid w:val="00E1787C"/>
    <w:rsid w:val="00E2293B"/>
    <w:rsid w:val="00E22A15"/>
    <w:rsid w:val="00E25553"/>
    <w:rsid w:val="00E25F5B"/>
    <w:rsid w:val="00E26A18"/>
    <w:rsid w:val="00E3375C"/>
    <w:rsid w:val="00E33E2E"/>
    <w:rsid w:val="00E34D7C"/>
    <w:rsid w:val="00E359F0"/>
    <w:rsid w:val="00E53CA7"/>
    <w:rsid w:val="00E53D59"/>
    <w:rsid w:val="00E56060"/>
    <w:rsid w:val="00E609E1"/>
    <w:rsid w:val="00E61F25"/>
    <w:rsid w:val="00E6438C"/>
    <w:rsid w:val="00E72EAE"/>
    <w:rsid w:val="00E739BC"/>
    <w:rsid w:val="00E7412E"/>
    <w:rsid w:val="00E74FED"/>
    <w:rsid w:val="00E76A2E"/>
    <w:rsid w:val="00E77301"/>
    <w:rsid w:val="00E845D7"/>
    <w:rsid w:val="00E915F1"/>
    <w:rsid w:val="00EA0122"/>
    <w:rsid w:val="00EA0941"/>
    <w:rsid w:val="00EA10C7"/>
    <w:rsid w:val="00EB3310"/>
    <w:rsid w:val="00EB4902"/>
    <w:rsid w:val="00EB61E1"/>
    <w:rsid w:val="00EB76BE"/>
    <w:rsid w:val="00EC4261"/>
    <w:rsid w:val="00EC70CC"/>
    <w:rsid w:val="00EE551F"/>
    <w:rsid w:val="00EE57DB"/>
    <w:rsid w:val="00EF0214"/>
    <w:rsid w:val="00EF742E"/>
    <w:rsid w:val="00F018CD"/>
    <w:rsid w:val="00F0555E"/>
    <w:rsid w:val="00F059BA"/>
    <w:rsid w:val="00F1385B"/>
    <w:rsid w:val="00F1399C"/>
    <w:rsid w:val="00F16FEB"/>
    <w:rsid w:val="00F20349"/>
    <w:rsid w:val="00F27214"/>
    <w:rsid w:val="00F31512"/>
    <w:rsid w:val="00F44544"/>
    <w:rsid w:val="00F50DA0"/>
    <w:rsid w:val="00F548ED"/>
    <w:rsid w:val="00F559B2"/>
    <w:rsid w:val="00F570FE"/>
    <w:rsid w:val="00F57437"/>
    <w:rsid w:val="00F57FD8"/>
    <w:rsid w:val="00F611B8"/>
    <w:rsid w:val="00F61E7D"/>
    <w:rsid w:val="00F65B29"/>
    <w:rsid w:val="00F72953"/>
    <w:rsid w:val="00F74112"/>
    <w:rsid w:val="00F75460"/>
    <w:rsid w:val="00F75A48"/>
    <w:rsid w:val="00F761AD"/>
    <w:rsid w:val="00F818AA"/>
    <w:rsid w:val="00F8592B"/>
    <w:rsid w:val="00F938D7"/>
    <w:rsid w:val="00F95B80"/>
    <w:rsid w:val="00FA1001"/>
    <w:rsid w:val="00FA4CDB"/>
    <w:rsid w:val="00FA5DEF"/>
    <w:rsid w:val="00FB0374"/>
    <w:rsid w:val="00FB1166"/>
    <w:rsid w:val="00FB167E"/>
    <w:rsid w:val="00FB390F"/>
    <w:rsid w:val="00FC023B"/>
    <w:rsid w:val="00FC4E13"/>
    <w:rsid w:val="00FD5A50"/>
    <w:rsid w:val="00FE177C"/>
    <w:rsid w:val="00FE23AC"/>
    <w:rsid w:val="00FE4BDE"/>
    <w:rsid w:val="00FF02D9"/>
    <w:rsid w:val="00FF2E6B"/>
    <w:rsid w:val="00FF6119"/>
    <w:rsid w:val="015F5D4D"/>
    <w:rsid w:val="01F9213D"/>
    <w:rsid w:val="084C01DA"/>
    <w:rsid w:val="0B162CBC"/>
    <w:rsid w:val="0C003471"/>
    <w:rsid w:val="0D521859"/>
    <w:rsid w:val="0DE94AE0"/>
    <w:rsid w:val="0EA026B2"/>
    <w:rsid w:val="0FD9647E"/>
    <w:rsid w:val="16BB4DEC"/>
    <w:rsid w:val="19324941"/>
    <w:rsid w:val="19BF77EB"/>
    <w:rsid w:val="1ADF07CC"/>
    <w:rsid w:val="1B9A407C"/>
    <w:rsid w:val="1BCE3701"/>
    <w:rsid w:val="1F493179"/>
    <w:rsid w:val="23AF056A"/>
    <w:rsid w:val="23D620A4"/>
    <w:rsid w:val="255D3EEA"/>
    <w:rsid w:val="26C34AB6"/>
    <w:rsid w:val="275A1592"/>
    <w:rsid w:val="279B102E"/>
    <w:rsid w:val="2A763A81"/>
    <w:rsid w:val="2CA32C8F"/>
    <w:rsid w:val="2CB82AF7"/>
    <w:rsid w:val="35CE0E40"/>
    <w:rsid w:val="369A14AE"/>
    <w:rsid w:val="38831949"/>
    <w:rsid w:val="3D170E59"/>
    <w:rsid w:val="3E793483"/>
    <w:rsid w:val="40843F8B"/>
    <w:rsid w:val="40A75241"/>
    <w:rsid w:val="427D79A8"/>
    <w:rsid w:val="42EA0903"/>
    <w:rsid w:val="43090C1F"/>
    <w:rsid w:val="46D17AAE"/>
    <w:rsid w:val="4A21301E"/>
    <w:rsid w:val="4A4223CF"/>
    <w:rsid w:val="4AA26680"/>
    <w:rsid w:val="4B22241F"/>
    <w:rsid w:val="4CBD461E"/>
    <w:rsid w:val="4D457646"/>
    <w:rsid w:val="4DB55F0D"/>
    <w:rsid w:val="4FD95A55"/>
    <w:rsid w:val="51B43537"/>
    <w:rsid w:val="51E71B7C"/>
    <w:rsid w:val="526F7B39"/>
    <w:rsid w:val="55166785"/>
    <w:rsid w:val="55830336"/>
    <w:rsid w:val="57B96E37"/>
    <w:rsid w:val="57FC1554"/>
    <w:rsid w:val="58C41627"/>
    <w:rsid w:val="5B6219E9"/>
    <w:rsid w:val="5C5D2A93"/>
    <w:rsid w:val="5DA86F7D"/>
    <w:rsid w:val="61F341CB"/>
    <w:rsid w:val="64892F74"/>
    <w:rsid w:val="670F5751"/>
    <w:rsid w:val="67D71370"/>
    <w:rsid w:val="68B65E2A"/>
    <w:rsid w:val="6A847D31"/>
    <w:rsid w:val="6A9C2206"/>
    <w:rsid w:val="6B4D741D"/>
    <w:rsid w:val="6C11208C"/>
    <w:rsid w:val="6C9C7130"/>
    <w:rsid w:val="6F8733F4"/>
    <w:rsid w:val="70473270"/>
    <w:rsid w:val="7092521D"/>
    <w:rsid w:val="746E26B8"/>
    <w:rsid w:val="75A323B8"/>
    <w:rsid w:val="7C822649"/>
    <w:rsid w:val="7EFC6D5B"/>
    <w:rsid w:val="7FF040FE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/>
    <w:lsdException w:name="toc 2" w:semiHidden="0" w:uiPriority="39" w:unhideWhenUsed="0"/>
    <w:lsdException w:name="toc 3" w:uiPriority="0" w:unhideWhenUsed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heading1Text"/>
    <w:qFormat/>
    <w:pPr>
      <w:keepNext/>
      <w:keepLines/>
      <w:spacing w:before="50" w:beforeLines="50" w:after="50" w:afterLines="50" w:line="240" w:lineRule="auto"/>
      <w:jc w:val="left"/>
      <w:outlineLvl w:val="0"/>
    </w:pPr>
    <w:rPr>
      <w:rFonts w:ascii="Times New Roman" w:eastAsia="宋体" w:hAnsi="Times New Roman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heading2Text"/>
    <w:qFormat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Heading3">
    <w:name w:val="heading 3"/>
    <w:basedOn w:val="Normal"/>
    <w:next w:val="Normal"/>
    <w:link w:val="heading3Text"/>
    <w:qFormat/>
    <w:pPr>
      <w:keepNext/>
      <w:keepLines/>
      <w:spacing w:line="360" w:lineRule="auto"/>
      <w:ind w:firstLine="200" w:firstLineChars="200"/>
      <w:outlineLvl w:val="2"/>
    </w:pPr>
    <w:rPr>
      <w:b/>
      <w:bCs/>
      <w:sz w:val="24"/>
      <w:szCs w:val="32"/>
    </w:rPr>
  </w:style>
  <w:style w:type="paragraph" w:styleId="Heading4">
    <w:name w:val="heading 4"/>
    <w:basedOn w:val="Normal"/>
    <w:next w:val="Normal"/>
    <w:link w:val="4Char"/>
    <w:qFormat/>
    <w:pPr>
      <w:keepNext/>
      <w:keepLines/>
      <w:spacing w:line="360" w:lineRule="auto"/>
      <w:ind w:firstLine="200" w:firstLineChars="200"/>
      <w:outlineLvl w:val="3"/>
    </w:pPr>
    <w:rPr>
      <w:rFonts w:ascii="Arial" w:hAnsi="Arial"/>
      <w:b/>
      <w:bCs/>
      <w:sz w:val="24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Code">
    <w:name w:val="HTML Code"/>
    <w:rPr>
      <w:rFonts w:ascii="Courier New" w:hAnsi="Courier New" w:hint="eastAsia"/>
      <w:sz w:val="24"/>
    </w:rPr>
  </w:style>
  <w:style w:type="character" w:styleId="Strong">
    <w:name w:val="Strong"/>
    <w:qFormat/>
    <w:rPr>
      <w:rFonts w:hint="default"/>
      <w:b/>
      <w:sz w:val="24"/>
    </w:rPr>
  </w:style>
  <w:style w:type="character" w:styleId="PageNumber">
    <w:name w:val="page number"/>
    <w:basedOn w:val="DefaultParagraphFont"/>
  </w:style>
  <w:style w:type="character" w:styleId="Emphasis">
    <w:name w:val="Emphasis"/>
    <w:qFormat/>
    <w:rPr>
      <w:rFonts w:hint="default"/>
      <w:sz w:val="24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1Char">
    <w:name w:val="标题 1 Char"/>
    <w:basedOn w:val="DefaultParagraphFont"/>
    <w:link w:val="Heading1"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Char">
    <w:name w:val="表格 Char"/>
    <w:basedOn w:val="DefaultParagraphFont"/>
    <w:link w:val="a"/>
    <w:rPr>
      <w:rFonts w:eastAsia="仿宋_GB2312"/>
      <w:sz w:val="21"/>
      <w:lang w:val="en-US" w:eastAsia="zh-CN" w:bidi="ar-SA"/>
    </w:rPr>
  </w:style>
  <w:style w:type="character" w:customStyle="1" w:styleId="heading3Text">
    <w:name w:val="heading 3 Text"/>
    <w:basedOn w:val="DefaultParagraphFont"/>
    <w:link w:val="Heading3"/>
    <w:uiPriority w:val="99"/>
    <w:unhideWhenUsed/>
    <w:rPr>
      <w:rFonts w:hint="default"/>
      <w:b/>
      <w:sz w:val="26"/>
    </w:rPr>
  </w:style>
  <w:style w:type="character" w:customStyle="1" w:styleId="Char0">
    <w:name w:val="文档结构图 Char"/>
    <w:basedOn w:val="DefaultParagraphFont"/>
    <w:link w:val="DocumentMap"/>
    <w:semiHidden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BlockTextText">
    <w:name w:val="Block Text Text"/>
    <w:basedOn w:val="DefaultParagraphFont"/>
    <w:link w:val="BlockText"/>
    <w:uiPriority w:val="99"/>
    <w:unhideWhenUsed/>
    <w:rPr>
      <w:rFonts w:hint="default"/>
      <w:i/>
      <w:sz w:val="24"/>
    </w:rPr>
  </w:style>
  <w:style w:type="character" w:customStyle="1" w:styleId="Char1">
    <w:name w:val="批注框文本 Char"/>
    <w:basedOn w:val="DefaultParagraphFont"/>
    <w:link w:val="BalloonText"/>
    <w:semiHidden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Char">
    <w:name w:val="标题 4 Char"/>
    <w:basedOn w:val="DefaultParagraphFont"/>
    <w:link w:val="Heading4"/>
    <w:rPr>
      <w:rFonts w:ascii="Arial" w:eastAsia="宋体" w:hAnsi="Arial"/>
      <w:b/>
      <w:bCs/>
      <w:kern w:val="2"/>
      <w:sz w:val="24"/>
      <w:szCs w:val="28"/>
      <w:lang w:val="en-US" w:eastAsia="zh-CN" w:bidi="ar-SA"/>
    </w:rPr>
  </w:style>
  <w:style w:type="character" w:customStyle="1" w:styleId="Char2">
    <w:name w:val="纯文本 Char"/>
    <w:basedOn w:val="DefaultParagraphFont"/>
    <w:semiHidden/>
    <w:rPr>
      <w:rFonts w:ascii="宋体" w:eastAsia="宋体" w:hAnsi="Courier New" w:cs="Courier New"/>
      <w:kern w:val="0"/>
      <w:szCs w:val="21"/>
      <w:lang w:eastAsia="en-US" w:bidi="en-US"/>
    </w:rPr>
  </w:style>
  <w:style w:type="character" w:customStyle="1" w:styleId="2Char">
    <w:name w:val="标题 2 Char"/>
    <w:basedOn w:val="DefaultParagraphFont"/>
    <w:link w:val="Heading2"/>
    <w:rPr>
      <w:rFonts w:ascii="Arial" w:eastAsia="宋体" w:hAnsi="Arial"/>
      <w:b/>
      <w:bCs/>
      <w:kern w:val="2"/>
      <w:sz w:val="24"/>
      <w:szCs w:val="32"/>
      <w:lang w:val="en-US" w:eastAsia="zh-CN" w:bidi="ar-SA"/>
    </w:rPr>
  </w:style>
  <w:style w:type="character" w:customStyle="1" w:styleId="heading2Text">
    <w:name w:val="heading 2 Text"/>
    <w:basedOn w:val="DefaultParagraphFont"/>
    <w:link w:val="Heading2"/>
    <w:uiPriority w:val="99"/>
    <w:unhideWhenUsed/>
    <w:rPr>
      <w:rFonts w:ascii="宋体" w:eastAsia="宋体" w:hAnsi="宋体" w:hint="eastAsia"/>
      <w:b/>
      <w:sz w:val="28"/>
    </w:rPr>
  </w:style>
  <w:style w:type="character" w:customStyle="1" w:styleId="heading1Text">
    <w:name w:val="heading 1 Text"/>
    <w:basedOn w:val="DefaultParagraphFont"/>
    <w:link w:val="Heading1"/>
    <w:uiPriority w:val="99"/>
    <w:unhideWhenUsed/>
    <w:rPr>
      <w:rFonts w:ascii="Times New Roman" w:eastAsia="宋体" w:hAnsi="Times New Roman" w:hint="default"/>
      <w:b/>
      <w:sz w:val="32"/>
    </w:rPr>
  </w:style>
  <w:style w:type="character" w:customStyle="1" w:styleId="Char3">
    <w:name w:val="页眉 Char"/>
    <w:basedOn w:val="DefaultParagraphFont"/>
    <w:link w:val="Header"/>
    <w:rPr>
      <w:rFonts w:eastAsia="楷体_GB2312"/>
      <w:kern w:val="2"/>
      <w:sz w:val="21"/>
      <w:szCs w:val="21"/>
      <w:lang w:val="en-US" w:eastAsia="zh-CN" w:bidi="ar-SA"/>
    </w:rPr>
  </w:style>
  <w:style w:type="character" w:customStyle="1" w:styleId="Char4">
    <w:name w:val="页脚 Char"/>
    <w:basedOn w:val="DefaultParagraphFont"/>
    <w:link w:val="Footer"/>
    <w:uiPriority w:val="99"/>
    <w:rPr>
      <w:rFonts w:eastAsia="楷体_GB2312"/>
      <w:kern w:val="2"/>
      <w:sz w:val="18"/>
      <w:szCs w:val="18"/>
      <w:lang w:val="en-US" w:eastAsia="zh-CN" w:bidi="ar-SA"/>
    </w:rPr>
  </w:style>
  <w:style w:type="character" w:customStyle="1" w:styleId="Char5">
    <w:name w:val="正文文本缩进 Char"/>
    <w:basedOn w:val="DefaultParagraphFont"/>
    <w:link w:val="BodyTextIndent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3Char">
    <w:name w:val="标题 3 Char"/>
    <w:basedOn w:val="DefaultParagraphFont"/>
    <w:link w:val="Heading3"/>
    <w:rPr>
      <w:rFonts w:eastAsia="宋体"/>
      <w:b/>
      <w:bCs/>
      <w:kern w:val="2"/>
      <w:sz w:val="24"/>
      <w:szCs w:val="32"/>
      <w:lang w:val="en-US" w:eastAsia="zh-CN" w:bidi="ar-SA"/>
    </w:rPr>
  </w:style>
  <w:style w:type="character" w:customStyle="1" w:styleId="Char6">
    <w:name w:val="表头 Char"/>
    <w:basedOn w:val="Char"/>
    <w:link w:val="a0"/>
    <w:rPr>
      <w:b/>
      <w:sz w:val="28"/>
      <w:szCs w:val="28"/>
    </w:rPr>
  </w:style>
  <w:style w:type="character" w:customStyle="1" w:styleId="Char10">
    <w:name w:val="纯文本 Char1"/>
    <w:aliases w:val="Char Char Char,Char Char1,孙普文字 Char,普通文字 Char Char,纯文本 Char Char Char"/>
    <w:basedOn w:val="DefaultParagraphFont"/>
    <w:link w:val="PlainText"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DocumentMap">
    <w:name w:val="Document Map"/>
    <w:basedOn w:val="Normal"/>
    <w:link w:val="Char0"/>
    <w:semiHidden/>
    <w:pPr>
      <w:shd w:val="clear" w:color="auto" w:fill="000080"/>
    </w:pPr>
  </w:style>
  <w:style w:type="paragraph" w:styleId="TOC5">
    <w:name w:val="toc 5"/>
    <w:basedOn w:val="Normal"/>
    <w:next w:val="Normal"/>
    <w:unhideWhenUsed/>
    <w:pPr>
      <w:ind w:left="1680" w:leftChars="800"/>
    </w:pPr>
    <w:rPr>
      <w:rFonts w:ascii="Calibri" w:hAnsi="Calibri"/>
      <w:szCs w:val="22"/>
    </w:rPr>
  </w:style>
  <w:style w:type="paragraph" w:styleId="BodyText">
    <w:name w:val="Body Text"/>
    <w:basedOn w:val="Normal"/>
    <w:rPr>
      <w:sz w:val="28"/>
    </w:rPr>
  </w:style>
  <w:style w:type="paragraph" w:styleId="BodyTextIndent3">
    <w:name w:val="Body Text Indent 3"/>
    <w:basedOn w:val="Normal"/>
    <w:pPr>
      <w:ind w:firstLine="854" w:firstLineChars="356"/>
    </w:pPr>
    <w:rPr>
      <w:sz w:val="24"/>
    </w:rPr>
  </w:style>
  <w:style w:type="paragraph" w:styleId="NormalIndent">
    <w:name w:val="Normal Indent"/>
    <w:basedOn w:val="Normal"/>
    <w:pPr>
      <w:spacing w:line="360" w:lineRule="auto"/>
      <w:ind w:firstLine="420"/>
    </w:pPr>
    <w:rPr>
      <w:sz w:val="24"/>
      <w:szCs w:val="20"/>
    </w:rPr>
  </w:style>
  <w:style w:type="paragraph" w:styleId="TOC1">
    <w:name w:val="toc 1"/>
    <w:basedOn w:val="Normal"/>
    <w:next w:val="Normal"/>
    <w:uiPriority w:val="39"/>
  </w:style>
  <w:style w:type="paragraph" w:styleId="Header">
    <w:name w:val="header"/>
    <w:basedOn w:val="Normal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楷体_GB2312"/>
      <w:szCs w:val="21"/>
    </w:rPr>
  </w:style>
  <w:style w:type="paragraph" w:styleId="BlockText">
    <w:name w:val="Block Text"/>
    <w:basedOn w:val="Normal"/>
    <w:link w:val="BlockTextText"/>
    <w:pPr>
      <w:pBdr>
        <w:top w:val="single" w:sz="6" w:space="3" w:color="auto"/>
        <w:left w:val="single" w:sz="6" w:space="3" w:color="auto"/>
        <w:bottom w:val="single" w:sz="6" w:space="3" w:color="auto"/>
        <w:right w:val="single" w:sz="6" w:space="3" w:color="auto"/>
      </w:pBdr>
      <w:spacing w:before="60" w:beforeLines="0" w:after="60" w:afterLines="0"/>
      <w:ind w:left="360" w:right="360"/>
    </w:pPr>
    <w:rPr>
      <w:rFonts w:hint="default"/>
      <w:i/>
      <w:sz w:val="24"/>
    </w:rPr>
  </w:style>
  <w:style w:type="paragraph" w:styleId="PlainText">
    <w:name w:val="Plain Text"/>
    <w:basedOn w:val="Normal"/>
    <w:link w:val="Char10"/>
    <w:rPr>
      <w:rFonts w:ascii="宋体" w:hAnsi="Courier New" w:cs="Courier New"/>
      <w:szCs w:val="21"/>
    </w:rPr>
  </w:style>
  <w:style w:type="paragraph" w:styleId="TOC7">
    <w:name w:val="toc 7"/>
    <w:basedOn w:val="Normal"/>
    <w:next w:val="Normal"/>
    <w:unhideWhenUsed/>
    <w:pPr>
      <w:ind w:left="2520" w:leftChars="1200"/>
    </w:pPr>
    <w:rPr>
      <w:rFonts w:ascii="Calibri" w:hAnsi="Calibri"/>
      <w:szCs w:val="22"/>
    </w:rPr>
  </w:style>
  <w:style w:type="paragraph" w:styleId="BalloonText">
    <w:name w:val="Balloon Text"/>
    <w:basedOn w:val="Normal"/>
    <w:link w:val="Char1"/>
    <w:semiHidden/>
    <w:rPr>
      <w:sz w:val="18"/>
      <w:szCs w:val="18"/>
    </w:rPr>
  </w:style>
  <w:style w:type="paragraph" w:styleId="BodyTextIndent2">
    <w:name w:val="Body Text Indent 2"/>
    <w:basedOn w:val="Normal"/>
    <w:pPr>
      <w:ind w:firstLine="900" w:firstLineChars="375"/>
    </w:pPr>
    <w:rPr>
      <w:sz w:val="24"/>
    </w:rPr>
  </w:style>
  <w:style w:type="paragraph" w:styleId="TOC6">
    <w:name w:val="toc 6"/>
    <w:basedOn w:val="Normal"/>
    <w:next w:val="Normal"/>
    <w:unhideWhenUsed/>
    <w:pPr>
      <w:ind w:left="2100" w:leftChars="1000"/>
    </w:pPr>
    <w:rPr>
      <w:rFonts w:ascii="Calibri" w:hAnsi="Calibri"/>
      <w:szCs w:val="22"/>
    </w:rPr>
  </w:style>
  <w:style w:type="paragraph" w:styleId="Date">
    <w:name w:val="Date"/>
    <w:basedOn w:val="Normal"/>
    <w:next w:val="Normal"/>
    <w:pPr>
      <w:ind w:left="100" w:leftChars="2500"/>
    </w:pPr>
    <w:rPr>
      <w:sz w:val="24"/>
    </w:rPr>
  </w:style>
  <w:style w:type="paragraph" w:styleId="BodyTextIndent">
    <w:name w:val="Body Text Indent"/>
    <w:basedOn w:val="Normal"/>
    <w:link w:val="Char5"/>
    <w:pPr>
      <w:ind w:left="855" w:firstLine="570"/>
    </w:pPr>
    <w:rPr>
      <w:sz w:val="28"/>
    </w:rPr>
  </w:style>
  <w:style w:type="paragraph" w:styleId="TOC2">
    <w:name w:val="toc 2"/>
    <w:basedOn w:val="Normal"/>
    <w:next w:val="Normal"/>
    <w:uiPriority w:val="39"/>
    <w:pPr>
      <w:ind w:left="420" w:leftChars="200"/>
    </w:pPr>
  </w:style>
  <w:style w:type="paragraph" w:styleId="TOC4">
    <w:name w:val="toc 4"/>
    <w:basedOn w:val="Normal"/>
    <w:next w:val="Normal"/>
    <w:unhideWhenUsed/>
    <w:pPr>
      <w:ind w:left="1260" w:leftChars="600"/>
    </w:pPr>
    <w:rPr>
      <w:rFonts w:ascii="Calibri" w:hAnsi="Calibri"/>
      <w:szCs w:val="22"/>
    </w:rPr>
  </w:style>
  <w:style w:type="paragraph" w:styleId="TOC3">
    <w:name w:val="toc 3"/>
    <w:basedOn w:val="Normal"/>
    <w:next w:val="Normal"/>
    <w:semiHidden/>
    <w:pPr>
      <w:ind w:left="840" w:leftChars="400"/>
    </w:pPr>
  </w:style>
  <w:style w:type="paragraph" w:styleId="BodyText2">
    <w:name w:val="Body Text 2"/>
    <w:basedOn w:val="Normal"/>
    <w:pPr>
      <w:widowControl/>
      <w:jc w:val="center"/>
    </w:pPr>
    <w:rPr>
      <w:bCs/>
      <w:sz w:val="28"/>
    </w:rPr>
  </w:style>
  <w:style w:type="paragraph" w:styleId="TOC8">
    <w:name w:val="toc 8"/>
    <w:basedOn w:val="Normal"/>
    <w:next w:val="Normal"/>
    <w:unhideWhenUsed/>
    <w:pPr>
      <w:ind w:left="2940" w:leftChars="1400"/>
    </w:pPr>
    <w:rPr>
      <w:rFonts w:ascii="Calibri" w:hAnsi="Calibri"/>
      <w:szCs w:val="22"/>
    </w:rPr>
  </w:style>
  <w:style w:type="paragraph" w:styleId="Footer">
    <w:name w:val="footer"/>
    <w:basedOn w:val="Normal"/>
    <w:link w:val="Char4"/>
    <w:uiPriority w:val="99"/>
    <w:pPr>
      <w:tabs>
        <w:tab w:val="center" w:pos="4153"/>
        <w:tab w:val="right" w:pos="8306"/>
      </w:tabs>
      <w:snapToGrid w:val="0"/>
      <w:jc w:val="distribute"/>
    </w:pPr>
    <w:rPr>
      <w:rFonts w:eastAsia="楷体_GB2312"/>
      <w:sz w:val="18"/>
      <w:szCs w:val="18"/>
    </w:rPr>
  </w:style>
  <w:style w:type="paragraph" w:styleId="TOC9">
    <w:name w:val="toc 9"/>
    <w:basedOn w:val="Normal"/>
    <w:next w:val="Normal"/>
    <w:unhideWhenUsed/>
    <w:pPr>
      <w:ind w:left="3360" w:leftChars="1600"/>
    </w:pPr>
    <w:rPr>
      <w:rFonts w:ascii="Calibri" w:hAnsi="Calibri"/>
      <w:szCs w:val="22"/>
    </w:rPr>
  </w:style>
  <w:style w:type="paragraph" w:customStyle="1" w:styleId="1050505">
    <w:name w:val="样式 样式 标题 1 + 段前: 0.5 行 + 段前: 0.5 行 段后: 0.5 行"/>
    <w:basedOn w:val="105"/>
    <w:pPr>
      <w:spacing w:before="156" w:after="156"/>
      <w:jc w:val="center"/>
    </w:pPr>
    <w:rPr>
      <w:rFonts w:eastAsia="黑体"/>
      <w:sz w:val="30"/>
    </w:rPr>
  </w:style>
  <w:style w:type="paragraph" w:customStyle="1" w:styleId="15">
    <w:name w:val="样式 小四 行距: 1.5 倍行距"/>
    <w:basedOn w:val="Normal"/>
    <w:pPr>
      <w:spacing w:before="50" w:beforeLines="50" w:after="50" w:afterLines="50"/>
      <w:ind w:firstLine="200" w:firstLineChars="200"/>
    </w:pPr>
    <w:rPr>
      <w:rFonts w:cs="宋体"/>
      <w:sz w:val="24"/>
      <w:szCs w:val="20"/>
    </w:rPr>
  </w:style>
  <w:style w:type="paragraph" w:customStyle="1" w:styleId="a">
    <w:name w:val="表格"/>
    <w:link w:val="Char"/>
    <w:pPr>
      <w:spacing w:line="240" w:lineRule="exact"/>
      <w:jc w:val="center"/>
    </w:pPr>
    <w:rPr>
      <w:rFonts w:eastAsia="仿宋_GB2312"/>
      <w:sz w:val="21"/>
      <w:lang w:val="en-US" w:eastAsia="zh-CN" w:bidi="ar-SA"/>
    </w:rPr>
  </w:style>
  <w:style w:type="paragraph" w:customStyle="1" w:styleId="a0">
    <w:name w:val="表头"/>
    <w:basedOn w:val="a"/>
    <w:link w:val="Char6"/>
    <w:pPr>
      <w:widowControl w:val="0"/>
      <w:spacing w:line="480" w:lineRule="auto"/>
      <w:ind w:right="960" w:rightChars="400"/>
    </w:pPr>
    <w:rPr>
      <w:b/>
      <w:sz w:val="28"/>
      <w:szCs w:val="28"/>
    </w:rPr>
  </w:style>
  <w:style w:type="paragraph" w:customStyle="1" w:styleId="1520505">
    <w:name w:val="样式 样式 小四 行距: 1.5 倍行距 + 首行缩进:  2 字符 段前: 0.5 行 段后: 0.5 行"/>
    <w:basedOn w:val="15"/>
    <w:pPr>
      <w:spacing w:line="360" w:lineRule="auto"/>
    </w:pPr>
  </w:style>
  <w:style w:type="paragraph" w:customStyle="1" w:styleId="GB2312085">
    <w:name w:val="样式 楷体_GB2312 小四 首行缩进:  0.85 厘米"/>
    <w:basedOn w:val="Normal"/>
    <w:pPr>
      <w:ind w:firstLine="200" w:firstLineChars="200"/>
    </w:pPr>
    <w:rPr>
      <w:rFonts w:eastAsia="仿宋_GB2312" w:cs="宋体"/>
      <w:sz w:val="24"/>
      <w:szCs w:val="20"/>
    </w:rPr>
  </w:style>
  <w:style w:type="paragraph" w:customStyle="1" w:styleId="2">
    <w:name w:val="品茗标题2"/>
    <w:basedOn w:val="Heading2"/>
    <w:next w:val="Normal"/>
    <w:qFormat/>
    <w:pPr>
      <w:numPr>
        <w:ilvl w:val="1"/>
        <w:numId w:val="1"/>
      </w:numPr>
      <w:ind w:left="575" w:hanging="575"/>
    </w:pPr>
    <w:rPr>
      <w:rFonts w:ascii="宋体" w:eastAsia="宋体" w:hAnsi="宋体" w:cs="宋体" w:hint="eastAsia"/>
      <w:color w:val="000000"/>
      <w:sz w:val="28"/>
    </w:rPr>
  </w:style>
  <w:style w:type="paragraph" w:customStyle="1" w:styleId="15205050">
    <w:name w:val="样式 样式 样式 小四 行距: 1.5 倍行距 + 首行缩进:  2 字符 段前: 0.5 行 段后: 0.5 行 + 首行缩进..."/>
    <w:basedOn w:val="1520505"/>
    <w:pPr>
      <w:spacing w:before="0" w:beforeLines="0" w:after="0" w:afterLines="0"/>
    </w:pPr>
  </w:style>
  <w:style w:type="paragraph" w:customStyle="1" w:styleId="3">
    <w:name w:val="品茗标题3"/>
    <w:basedOn w:val="Heading3"/>
    <w:next w:val="Normal"/>
    <w:qFormat/>
    <w:pPr>
      <w:numPr>
        <w:ilvl w:val="2"/>
        <w:numId w:val="1"/>
      </w:numPr>
      <w:ind w:left="720" w:hanging="720"/>
    </w:pPr>
    <w:rPr>
      <w:rFonts w:ascii="宋体" w:eastAsia="宋体" w:hAnsi="宋体" w:cs="宋体" w:hint="eastAsia"/>
      <w:color w:val="000000"/>
      <w:sz w:val="24"/>
    </w:rPr>
  </w:style>
  <w:style w:type="paragraph" w:styleId="TOCHeading">
    <w:name w:val="TOC Heading"/>
    <w:basedOn w:val="Heading1"/>
    <w:next w:val="Normal"/>
    <w:qFormat/>
    <w:pPr>
      <w:widowControl/>
      <w:spacing w:before="480" w:beforeLines="0" w:after="0" w:afterLines="0" w:line="276" w:lineRule="auto"/>
      <w:jc w:val="left"/>
      <w:outlineLvl w:val="9"/>
    </w:pPr>
    <w:rPr>
      <w:rFonts w:ascii="Cambria" w:hAnsi="Cambria"/>
      <w:color w:val="365F91"/>
      <w:kern w:val="0"/>
      <w:szCs w:val="28"/>
    </w:rPr>
  </w:style>
  <w:style w:type="paragraph" w:customStyle="1" w:styleId="150">
    <w:name w:val="样式 (符号) 宋体 小四 行距: 1.5 倍行距"/>
    <w:basedOn w:val="Normal"/>
    <w:pPr>
      <w:ind w:firstLine="480" w:firstLineChars="200"/>
    </w:pPr>
    <w:rPr>
      <w:rFonts w:eastAsia="仿宋_GB2312" w:cs="宋体"/>
      <w:sz w:val="24"/>
    </w:rPr>
  </w:style>
  <w:style w:type="paragraph" w:customStyle="1" w:styleId="105">
    <w:name w:val="样式 标题 1 + 段前: 0.5 行"/>
    <w:basedOn w:val="Heading1"/>
    <w:pPr>
      <w:spacing w:after="50" w:afterLines="50"/>
    </w:pPr>
    <w:rPr>
      <w:rFonts w:cs="宋体"/>
      <w:szCs w:val="20"/>
    </w:rPr>
  </w:style>
  <w:style w:type="paragraph" w:customStyle="1" w:styleId="22">
    <w:name w:val="样式 标题 2 + 首行缩进:  2 字符"/>
    <w:basedOn w:val="Heading2"/>
    <w:pPr>
      <w:spacing w:line="480" w:lineRule="auto"/>
    </w:pPr>
    <w:rPr>
      <w:rFonts w:eastAsia="黑体" w:cs="宋体"/>
      <w:szCs w:val="20"/>
    </w:rPr>
  </w:style>
  <w:style w:type="paragraph" w:customStyle="1" w:styleId="10505">
    <w:name w:val="样式 标题 1 + 段前: 0.5 行 段后: 0.5 行"/>
    <w:basedOn w:val="Heading1"/>
    <w:pPr>
      <w:spacing w:before="156" w:after="156"/>
    </w:pPr>
    <w:rPr>
      <w:rFonts w:eastAsia="黑体" w:cs="宋体"/>
      <w:szCs w:val="20"/>
    </w:rPr>
  </w:style>
  <w:style w:type="paragraph" w:customStyle="1" w:styleId="ListParagraph">
    <w:name w:val="List Paragraph"/>
    <w:basedOn w:val="Normal"/>
    <w:uiPriority w:val="99"/>
    <w:unhideWhenUsed/>
    <w:pPr>
      <w:spacing w:before="0" w:beforeLines="0" w:after="0" w:afterLines="0"/>
    </w:pPr>
    <w:rPr>
      <w:rFonts w:hint="default"/>
      <w:sz w:val="24"/>
    </w:rPr>
  </w:style>
  <w:style w:type="table" w:styleId="TableGrid">
    <w:name w:val="Table Grid"/>
    <w:basedOn w:val="TableNormal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hyperlink" Target="https://d.book118.com/986001042222010042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1604</Words>
  <Characters>9144</Characters>
  <Application>Microsoft Office Word</Application>
  <DocSecurity>0</DocSecurity>
  <Lines>76</Lines>
  <Paragraphs>21</Paragraphs>
  <ScaleCrop>false</ScaleCrop>
  <Company/>
  <LinksUpToDate>false</LinksUpToDate>
  <CharactersWithSpaces>10727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2</cp:revision>
  <cp:lastPrinted>2016-09-05T07:33:39Z</cp:lastPrinted>
  <dcterms:created xsi:type="dcterms:W3CDTF">2012-11-29T01:39:00Z</dcterms:created>
  <dcterms:modified xsi:type="dcterms:W3CDTF">2016-09-08T06:09:05Z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