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复合微生物肥料相关行业公司员工职业发展支持与推动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 w:history="1">
        <w:r>
          <w:rPr>
            <w:rFonts w:ascii="仿宋" w:eastAsia="仿宋" w:hAnsi="仿宋" w:cs="仿宋" w:hint="eastAsia"/>
            <w:lang w:eastAsia="zh-CN"/>
          </w:rPr>
          <w:t>概论</w:t>
        </w:r>
        <w:r>
          <w:tab/>
        </w:r>
        <w:r>
          <w:fldChar w:fldCharType="begin"/>
        </w:r>
        <w:r>
          <w:instrText xml:space="preserve"> PAGEREF _Toc2927 \h </w:instrText>
        </w:r>
        <w:r>
          <w:fldChar w:fldCharType="separate"/>
        </w:r>
        <w:r>
          <w:t>3</w:t>
        </w:r>
        <w:r>
          <w:fldChar w:fldCharType="end"/>
        </w:r>
      </w:hyperlink>
    </w:p>
    <w:p>
      <w:pPr>
        <w:pStyle w:val="TOC1"/>
        <w:tabs>
          <w:tab w:val="right" w:leader="dot" w:pos="8306"/>
        </w:tabs>
      </w:pPr>
      <w:hyperlink w:anchor="_Toc16932" w:history="1">
        <w:r>
          <w:rPr>
            <w:rFonts w:ascii="仿宋" w:eastAsia="仿宋" w:hAnsi="仿宋" w:cs="仿宋" w:hint="eastAsia"/>
            <w:lang w:eastAsia="zh-CN"/>
          </w:rPr>
          <w:t>一、复合微生物肥料行业背景分析</w:t>
        </w:r>
        <w:r>
          <w:tab/>
        </w:r>
        <w:r>
          <w:fldChar w:fldCharType="begin"/>
        </w:r>
        <w:r>
          <w:instrText xml:space="preserve"> PAGEREF _Toc16932 \h </w:instrText>
        </w:r>
        <w:r>
          <w:fldChar w:fldCharType="separate"/>
        </w:r>
        <w:r>
          <w:t>3</w:t>
        </w:r>
        <w:r>
          <w:fldChar w:fldCharType="end"/>
        </w:r>
      </w:hyperlink>
    </w:p>
    <w:p>
      <w:pPr>
        <w:pStyle w:val="TOC2"/>
        <w:tabs>
          <w:tab w:val="right" w:leader="dot" w:pos="8306"/>
        </w:tabs>
      </w:pPr>
      <w:hyperlink w:anchor="_Toc10678" w:history="1">
        <w:r>
          <w:rPr>
            <w:rFonts w:ascii="仿宋" w:eastAsia="仿宋" w:hAnsi="仿宋" w:cs="仿宋" w:hint="eastAsia"/>
            <w:lang w:eastAsia="zh-CN"/>
          </w:rPr>
          <w:t>(一)、复合微生物肥料行业背景分析</w:t>
        </w:r>
        <w:r>
          <w:tab/>
        </w:r>
        <w:r>
          <w:fldChar w:fldCharType="begin"/>
        </w:r>
        <w:r>
          <w:instrText xml:space="preserve"> PAGEREF _Toc10678 \h </w:instrText>
        </w:r>
        <w:r>
          <w:fldChar w:fldCharType="separate"/>
        </w:r>
        <w:r>
          <w:t>3</w:t>
        </w:r>
        <w:r>
          <w:fldChar w:fldCharType="end"/>
        </w:r>
      </w:hyperlink>
    </w:p>
    <w:p>
      <w:pPr>
        <w:pStyle w:val="TOC1"/>
        <w:tabs>
          <w:tab w:val="right" w:leader="dot" w:pos="8306"/>
        </w:tabs>
      </w:pPr>
      <w:hyperlink w:anchor="_Toc92" w:history="1">
        <w:r>
          <w:rPr>
            <w:rFonts w:ascii="仿宋" w:eastAsia="仿宋" w:hAnsi="仿宋" w:cs="仿宋" w:hint="eastAsia"/>
            <w:lang w:eastAsia="zh-CN"/>
          </w:rPr>
          <w:t>二、第七章员工培训与发展</w:t>
        </w:r>
        <w:r>
          <w:tab/>
        </w:r>
        <w:r>
          <w:fldChar w:fldCharType="begin"/>
        </w:r>
        <w:r>
          <w:instrText xml:space="preserve"> PAGEREF _Toc92 \h </w:instrText>
        </w:r>
        <w:r>
          <w:fldChar w:fldCharType="separate"/>
        </w:r>
        <w:r>
          <w:t>5</w:t>
        </w:r>
        <w:r>
          <w:fldChar w:fldCharType="end"/>
        </w:r>
      </w:hyperlink>
    </w:p>
    <w:p>
      <w:pPr>
        <w:pStyle w:val="TOC2"/>
        <w:tabs>
          <w:tab w:val="right" w:leader="dot" w:pos="8306"/>
        </w:tabs>
      </w:pPr>
      <w:hyperlink w:anchor="_Toc774" w:history="1">
        <w:r>
          <w:rPr>
            <w:rFonts w:ascii="仿宋" w:eastAsia="仿宋" w:hAnsi="仿宋" w:cs="仿宋" w:hint="eastAsia"/>
            <w:lang w:eastAsia="zh-CN"/>
          </w:rPr>
          <w:t>(一)、培训需求分析</w:t>
        </w:r>
        <w:r>
          <w:tab/>
        </w:r>
        <w:r>
          <w:fldChar w:fldCharType="begin"/>
        </w:r>
        <w:r>
          <w:instrText xml:space="preserve"> PAGEREF _Toc774 \h </w:instrText>
        </w:r>
        <w:r>
          <w:fldChar w:fldCharType="separate"/>
        </w:r>
        <w:r>
          <w:t>5</w:t>
        </w:r>
        <w:r>
          <w:fldChar w:fldCharType="end"/>
        </w:r>
      </w:hyperlink>
    </w:p>
    <w:p>
      <w:pPr>
        <w:pStyle w:val="TOC2"/>
        <w:tabs>
          <w:tab w:val="right" w:leader="dot" w:pos="8306"/>
        </w:tabs>
      </w:pPr>
      <w:hyperlink w:anchor="_Toc6948" w:history="1">
        <w:r>
          <w:rPr>
            <w:rFonts w:ascii="仿宋" w:eastAsia="仿宋" w:hAnsi="仿宋" w:cs="仿宋" w:hint="eastAsia"/>
            <w:lang w:eastAsia="zh-CN"/>
          </w:rPr>
          <w:t>(二)、培训计划制定</w:t>
        </w:r>
        <w:r>
          <w:tab/>
        </w:r>
        <w:r>
          <w:fldChar w:fldCharType="begin"/>
        </w:r>
        <w:r>
          <w:instrText xml:space="preserve"> PAGEREF _Toc6948 \h </w:instrText>
        </w:r>
        <w:r>
          <w:fldChar w:fldCharType="separate"/>
        </w:r>
        <w:r>
          <w:t>6</w:t>
        </w:r>
        <w:r>
          <w:fldChar w:fldCharType="end"/>
        </w:r>
      </w:hyperlink>
    </w:p>
    <w:p>
      <w:pPr>
        <w:pStyle w:val="TOC2"/>
        <w:tabs>
          <w:tab w:val="right" w:leader="dot" w:pos="8306"/>
        </w:tabs>
      </w:pPr>
      <w:hyperlink w:anchor="_Toc5801" w:history="1">
        <w:r>
          <w:rPr>
            <w:rFonts w:ascii="仿宋" w:eastAsia="仿宋" w:hAnsi="仿宋" w:cs="仿宋" w:hint="eastAsia"/>
            <w:lang w:eastAsia="zh-CN"/>
          </w:rPr>
          <w:t>(三)、培训实施与评估</w:t>
        </w:r>
        <w:r>
          <w:tab/>
        </w:r>
        <w:r>
          <w:fldChar w:fldCharType="begin"/>
        </w:r>
        <w:r>
          <w:instrText xml:space="preserve"> PAGEREF _Toc5801 \h </w:instrText>
        </w:r>
        <w:r>
          <w:fldChar w:fldCharType="separate"/>
        </w:r>
        <w:r>
          <w:t>6</w:t>
        </w:r>
        <w:r>
          <w:fldChar w:fldCharType="end"/>
        </w:r>
      </w:hyperlink>
    </w:p>
    <w:p>
      <w:pPr>
        <w:pStyle w:val="TOC2"/>
        <w:tabs>
          <w:tab w:val="right" w:leader="dot" w:pos="8306"/>
        </w:tabs>
      </w:pPr>
      <w:hyperlink w:anchor="_Toc11248" w:history="1">
        <w:r>
          <w:rPr>
            <w:rFonts w:ascii="仿宋" w:eastAsia="仿宋" w:hAnsi="仿宋" w:cs="仿宋" w:hint="eastAsia"/>
            <w:lang w:eastAsia="zh-CN"/>
          </w:rPr>
          <w:t>(四)、持续学习与专业发展支持</w:t>
        </w:r>
        <w:r>
          <w:tab/>
        </w:r>
        <w:r>
          <w:fldChar w:fldCharType="begin"/>
        </w:r>
        <w:r>
          <w:instrText xml:space="preserve"> PAGEREF _Toc11248 \h </w:instrText>
        </w:r>
        <w:r>
          <w:fldChar w:fldCharType="separate"/>
        </w:r>
        <w:r>
          <w:t>8</w:t>
        </w:r>
        <w:r>
          <w:fldChar w:fldCharType="end"/>
        </w:r>
      </w:hyperlink>
    </w:p>
    <w:p>
      <w:pPr>
        <w:pStyle w:val="TOC1"/>
        <w:tabs>
          <w:tab w:val="right" w:leader="dot" w:pos="8306"/>
        </w:tabs>
      </w:pPr>
      <w:hyperlink w:anchor="_Toc6729" w:history="1">
        <w:r>
          <w:rPr>
            <w:rFonts w:ascii="仿宋" w:eastAsia="仿宋" w:hAnsi="仿宋" w:cs="仿宋" w:hint="eastAsia"/>
            <w:lang w:eastAsia="zh-CN"/>
          </w:rPr>
          <w:t>三、项目基本情况</w:t>
        </w:r>
        <w:r>
          <w:tab/>
        </w:r>
        <w:r>
          <w:fldChar w:fldCharType="begin"/>
        </w:r>
        <w:r>
          <w:instrText xml:space="preserve"> PAGEREF _Toc6729 \h </w:instrText>
        </w:r>
        <w:r>
          <w:fldChar w:fldCharType="separate"/>
        </w:r>
        <w:r>
          <w:t>9</w:t>
        </w:r>
        <w:r>
          <w:fldChar w:fldCharType="end"/>
        </w:r>
      </w:hyperlink>
    </w:p>
    <w:p>
      <w:pPr>
        <w:pStyle w:val="TOC2"/>
        <w:tabs>
          <w:tab w:val="right" w:leader="dot" w:pos="8306"/>
        </w:tabs>
      </w:pPr>
      <w:hyperlink w:anchor="_Toc13218" w:history="1">
        <w:r>
          <w:rPr>
            <w:rFonts w:ascii="仿宋" w:eastAsia="仿宋" w:hAnsi="仿宋" w:cs="仿宋" w:hint="eastAsia"/>
            <w:lang w:eastAsia="zh-CN"/>
          </w:rPr>
          <w:t>(一)、项目名称及建设性质</w:t>
        </w:r>
        <w:r>
          <w:tab/>
        </w:r>
        <w:r>
          <w:fldChar w:fldCharType="begin"/>
        </w:r>
        <w:r>
          <w:instrText xml:space="preserve"> PAGEREF _Toc13218 \h </w:instrText>
        </w:r>
        <w:r>
          <w:fldChar w:fldCharType="separate"/>
        </w:r>
        <w:r>
          <w:t>9</w:t>
        </w:r>
        <w:r>
          <w:fldChar w:fldCharType="end"/>
        </w:r>
      </w:hyperlink>
    </w:p>
    <w:p>
      <w:pPr>
        <w:pStyle w:val="TOC2"/>
        <w:tabs>
          <w:tab w:val="right" w:leader="dot" w:pos="8306"/>
        </w:tabs>
      </w:pPr>
      <w:hyperlink w:anchor="_Toc11678" w:history="1">
        <w:r>
          <w:rPr>
            <w:rFonts w:ascii="仿宋" w:eastAsia="仿宋" w:hAnsi="仿宋" w:cs="仿宋" w:hint="eastAsia"/>
            <w:lang w:eastAsia="zh-CN"/>
          </w:rPr>
          <w:t>(二)、项目承办单位</w:t>
        </w:r>
        <w:r>
          <w:tab/>
        </w:r>
        <w:r>
          <w:fldChar w:fldCharType="begin"/>
        </w:r>
        <w:r>
          <w:instrText xml:space="preserve"> PAGEREF _Toc11678 \h </w:instrText>
        </w:r>
        <w:r>
          <w:fldChar w:fldCharType="separate"/>
        </w:r>
        <w:r>
          <w:t>10</w:t>
        </w:r>
        <w:r>
          <w:fldChar w:fldCharType="end"/>
        </w:r>
      </w:hyperlink>
    </w:p>
    <w:p>
      <w:pPr>
        <w:pStyle w:val="TOC2"/>
        <w:tabs>
          <w:tab w:val="right" w:leader="dot" w:pos="8306"/>
        </w:tabs>
      </w:pPr>
      <w:hyperlink w:anchor="_Toc21508" w:history="1">
        <w:r>
          <w:rPr>
            <w:rFonts w:ascii="仿宋" w:eastAsia="仿宋" w:hAnsi="仿宋" w:cs="仿宋" w:hint="eastAsia"/>
            <w:lang w:eastAsia="zh-CN"/>
          </w:rPr>
          <w:t>(三)、项目实施的可行性</w:t>
        </w:r>
        <w:r>
          <w:tab/>
        </w:r>
        <w:r>
          <w:fldChar w:fldCharType="begin"/>
        </w:r>
        <w:r>
          <w:instrText xml:space="preserve"> PAGEREF _Toc21508 \h </w:instrText>
        </w:r>
        <w:r>
          <w:fldChar w:fldCharType="separate"/>
        </w:r>
        <w:r>
          <w:t>11</w:t>
        </w:r>
        <w:r>
          <w:fldChar w:fldCharType="end"/>
        </w:r>
      </w:hyperlink>
    </w:p>
    <w:p>
      <w:pPr>
        <w:pStyle w:val="TOC2"/>
        <w:tabs>
          <w:tab w:val="right" w:leader="dot" w:pos="8306"/>
        </w:tabs>
      </w:pPr>
      <w:hyperlink w:anchor="_Toc12401" w:history="1">
        <w:r>
          <w:rPr>
            <w:rFonts w:ascii="仿宋" w:eastAsia="仿宋" w:hAnsi="仿宋" w:cs="仿宋" w:hint="eastAsia"/>
            <w:lang w:eastAsia="zh-CN"/>
          </w:rPr>
          <w:t>(四)、项目建设选址</w:t>
        </w:r>
        <w:r>
          <w:tab/>
        </w:r>
        <w:r>
          <w:fldChar w:fldCharType="begin"/>
        </w:r>
        <w:r>
          <w:instrText xml:space="preserve"> PAGEREF _Toc12401 \h </w:instrText>
        </w:r>
        <w:r>
          <w:fldChar w:fldCharType="separate"/>
        </w:r>
        <w:r>
          <w:t>13</w:t>
        </w:r>
        <w:r>
          <w:fldChar w:fldCharType="end"/>
        </w:r>
      </w:hyperlink>
    </w:p>
    <w:p>
      <w:pPr>
        <w:pStyle w:val="TOC2"/>
        <w:tabs>
          <w:tab w:val="right" w:leader="dot" w:pos="8306"/>
        </w:tabs>
      </w:pPr>
      <w:hyperlink w:anchor="_Toc17984" w:history="1">
        <w:r>
          <w:rPr>
            <w:rFonts w:ascii="仿宋" w:eastAsia="仿宋" w:hAnsi="仿宋" w:cs="仿宋" w:hint="eastAsia"/>
            <w:lang w:eastAsia="zh-CN"/>
          </w:rPr>
          <w:t>(五)、建筑物建设规模</w:t>
        </w:r>
        <w:r>
          <w:tab/>
        </w:r>
        <w:r>
          <w:fldChar w:fldCharType="begin"/>
        </w:r>
        <w:r>
          <w:instrText xml:space="preserve"> PAGEREF _Toc17984 \h </w:instrText>
        </w:r>
        <w:r>
          <w:fldChar w:fldCharType="separate"/>
        </w:r>
        <w:r>
          <w:t>14</w:t>
        </w:r>
        <w:r>
          <w:fldChar w:fldCharType="end"/>
        </w:r>
      </w:hyperlink>
    </w:p>
    <w:p>
      <w:pPr>
        <w:pStyle w:val="TOC2"/>
        <w:tabs>
          <w:tab w:val="right" w:leader="dot" w:pos="8306"/>
        </w:tabs>
      </w:pPr>
      <w:hyperlink w:anchor="_Toc30143" w:history="1">
        <w:r>
          <w:rPr>
            <w:rFonts w:ascii="仿宋" w:eastAsia="仿宋" w:hAnsi="仿宋" w:cs="仿宋" w:hint="eastAsia"/>
            <w:lang w:eastAsia="zh-CN"/>
          </w:rPr>
          <w:t>(六)、项目总投资及资金构成</w:t>
        </w:r>
        <w:r>
          <w:tab/>
        </w:r>
        <w:r>
          <w:fldChar w:fldCharType="begin"/>
        </w:r>
        <w:r>
          <w:instrText xml:space="preserve"> PAGEREF _Toc30143 \h </w:instrText>
        </w:r>
        <w:r>
          <w:fldChar w:fldCharType="separate"/>
        </w:r>
        <w:r>
          <w:t>15</w:t>
        </w:r>
        <w:r>
          <w:fldChar w:fldCharType="end"/>
        </w:r>
      </w:hyperlink>
    </w:p>
    <w:p>
      <w:pPr>
        <w:pStyle w:val="TOC2"/>
        <w:tabs>
          <w:tab w:val="right" w:leader="dot" w:pos="8306"/>
        </w:tabs>
      </w:pPr>
      <w:hyperlink w:anchor="_Toc32238" w:history="1">
        <w:r>
          <w:rPr>
            <w:rFonts w:ascii="仿宋" w:eastAsia="仿宋" w:hAnsi="仿宋" w:cs="仿宋" w:hint="eastAsia"/>
            <w:lang w:eastAsia="zh-CN"/>
          </w:rPr>
          <w:t>(七)、资金筹措方案</w:t>
        </w:r>
        <w:r>
          <w:tab/>
        </w:r>
        <w:r>
          <w:fldChar w:fldCharType="begin"/>
        </w:r>
        <w:r>
          <w:instrText xml:space="preserve"> PAGEREF _Toc32238 \h </w:instrText>
        </w:r>
        <w:r>
          <w:fldChar w:fldCharType="separate"/>
        </w:r>
        <w:r>
          <w:t>16</w:t>
        </w:r>
        <w:r>
          <w:fldChar w:fldCharType="end"/>
        </w:r>
      </w:hyperlink>
    </w:p>
    <w:p>
      <w:pPr>
        <w:pStyle w:val="TOC2"/>
        <w:tabs>
          <w:tab w:val="right" w:leader="dot" w:pos="8306"/>
        </w:tabs>
      </w:pPr>
      <w:hyperlink w:anchor="_Toc9483" w:history="1">
        <w:r>
          <w:rPr>
            <w:rFonts w:ascii="仿宋" w:eastAsia="仿宋" w:hAnsi="仿宋" w:cs="仿宋" w:hint="eastAsia"/>
            <w:lang w:eastAsia="zh-CN"/>
          </w:rPr>
          <w:t>(八)、项目预期经济效益规划目标</w:t>
        </w:r>
        <w:r>
          <w:tab/>
        </w:r>
        <w:r>
          <w:fldChar w:fldCharType="begin"/>
        </w:r>
        <w:r>
          <w:instrText xml:space="preserve"> PAGEREF _Toc9483 \h </w:instrText>
        </w:r>
        <w:r>
          <w:fldChar w:fldCharType="separate"/>
        </w:r>
        <w:r>
          <w:t>17</w:t>
        </w:r>
        <w:r>
          <w:fldChar w:fldCharType="end"/>
        </w:r>
      </w:hyperlink>
    </w:p>
    <w:p>
      <w:pPr>
        <w:pStyle w:val="TOC2"/>
        <w:tabs>
          <w:tab w:val="right" w:leader="dot" w:pos="8306"/>
        </w:tabs>
      </w:pPr>
      <w:hyperlink w:anchor="_Toc9642" w:history="1">
        <w:r>
          <w:rPr>
            <w:rFonts w:ascii="仿宋" w:eastAsia="仿宋" w:hAnsi="仿宋" w:cs="仿宋" w:hint="eastAsia"/>
            <w:lang w:eastAsia="zh-CN"/>
          </w:rPr>
          <w:t>(九)、项目建设进度规划</w:t>
        </w:r>
        <w:r>
          <w:tab/>
        </w:r>
        <w:r>
          <w:fldChar w:fldCharType="begin"/>
        </w:r>
        <w:r>
          <w:instrText xml:space="preserve"> PAGEREF _Toc9642 \h </w:instrText>
        </w:r>
        <w:r>
          <w:fldChar w:fldCharType="separate"/>
        </w:r>
        <w:r>
          <w:t>18</w:t>
        </w:r>
        <w:r>
          <w:fldChar w:fldCharType="end"/>
        </w:r>
      </w:hyperlink>
    </w:p>
    <w:p>
      <w:pPr>
        <w:pStyle w:val="TOC1"/>
        <w:tabs>
          <w:tab w:val="right" w:leader="dot" w:pos="8306"/>
        </w:tabs>
      </w:pPr>
      <w:hyperlink w:anchor="_Toc25369" w:history="1">
        <w:r>
          <w:rPr>
            <w:rFonts w:ascii="仿宋" w:eastAsia="仿宋" w:hAnsi="仿宋" w:cs="仿宋" w:hint="eastAsia"/>
            <w:lang w:eastAsia="zh-CN"/>
          </w:rPr>
          <w:t>四、薪酬制度管理</w:t>
        </w:r>
        <w:r>
          <w:tab/>
        </w:r>
        <w:r>
          <w:fldChar w:fldCharType="begin"/>
        </w:r>
        <w:r>
          <w:instrText xml:space="preserve"> PAGEREF _Toc25369 \h </w:instrText>
        </w:r>
        <w:r>
          <w:fldChar w:fldCharType="separate"/>
        </w:r>
        <w:r>
          <w:t>20</w:t>
        </w:r>
        <w:r>
          <w:fldChar w:fldCharType="end"/>
        </w:r>
      </w:hyperlink>
    </w:p>
    <w:p>
      <w:pPr>
        <w:pStyle w:val="TOC2"/>
        <w:tabs>
          <w:tab w:val="right" w:leader="dot" w:pos="8306"/>
        </w:tabs>
      </w:pPr>
      <w:hyperlink w:anchor="_Toc18776" w:history="1">
        <w:r>
          <w:rPr>
            <w:rFonts w:ascii="仿宋" w:eastAsia="仿宋" w:hAnsi="仿宋" w:cs="仿宋" w:hint="eastAsia"/>
            <w:lang w:eastAsia="zh-CN"/>
          </w:rPr>
          <w:t>(一)、薪酬管理制度</w:t>
        </w:r>
        <w:r>
          <w:tab/>
        </w:r>
        <w:r>
          <w:fldChar w:fldCharType="begin"/>
        </w:r>
        <w:r>
          <w:instrText xml:space="preserve"> PAGEREF _Toc18776 \h </w:instrText>
        </w:r>
        <w:r>
          <w:fldChar w:fldCharType="separate"/>
        </w:r>
        <w:r>
          <w:t>20</w:t>
        </w:r>
        <w:r>
          <w:fldChar w:fldCharType="end"/>
        </w:r>
      </w:hyperlink>
    </w:p>
    <w:p>
      <w:pPr>
        <w:pStyle w:val="TOC2"/>
        <w:tabs>
          <w:tab w:val="right" w:leader="dot" w:pos="8306"/>
        </w:tabs>
      </w:pPr>
      <w:hyperlink w:anchor="_Toc26025" w:history="1">
        <w:r>
          <w:rPr>
            <w:rFonts w:ascii="仿宋" w:eastAsia="仿宋" w:hAnsi="仿宋" w:cs="仿宋" w:hint="eastAsia"/>
            <w:lang w:eastAsia="zh-CN"/>
          </w:rPr>
          <w:t>(二)、奖金制度的制定</w:t>
        </w:r>
        <w:r>
          <w:tab/>
        </w:r>
        <w:r>
          <w:fldChar w:fldCharType="begin"/>
        </w:r>
        <w:r>
          <w:instrText xml:space="preserve"> PAGEREF _Toc26025 \h </w:instrText>
        </w:r>
        <w:r>
          <w:fldChar w:fldCharType="separate"/>
        </w:r>
        <w:r>
          <w:t>24</w:t>
        </w:r>
        <w:r>
          <w:fldChar w:fldCharType="end"/>
        </w:r>
      </w:hyperlink>
    </w:p>
    <w:p>
      <w:pPr>
        <w:pStyle w:val="TOC2"/>
        <w:tabs>
          <w:tab w:val="right" w:leader="dot" w:pos="8306"/>
        </w:tabs>
      </w:pPr>
      <w:hyperlink w:anchor="_Toc25466" w:history="1">
        <w:r>
          <w:rPr>
            <w:rFonts w:ascii="仿宋" w:eastAsia="仿宋" w:hAnsi="仿宋" w:cs="仿宋" w:hint="eastAsia"/>
            <w:lang w:eastAsia="zh-CN"/>
          </w:rPr>
          <w:t>(三)、岗位薪酬体系设计</w:t>
        </w:r>
        <w:r>
          <w:tab/>
        </w:r>
        <w:r>
          <w:fldChar w:fldCharType="begin"/>
        </w:r>
        <w:r>
          <w:instrText xml:space="preserve"> PAGEREF _Toc25466 \h </w:instrText>
        </w:r>
        <w:r>
          <w:fldChar w:fldCharType="separate"/>
        </w:r>
        <w:r>
          <w:t>27</w:t>
        </w:r>
        <w:r>
          <w:fldChar w:fldCharType="end"/>
        </w:r>
      </w:hyperlink>
    </w:p>
    <w:p>
      <w:pPr>
        <w:pStyle w:val="TOC2"/>
        <w:tabs>
          <w:tab w:val="right" w:leader="dot" w:pos="8306"/>
        </w:tabs>
      </w:pPr>
      <w:hyperlink w:anchor="_Toc29167" w:history="1">
        <w:r>
          <w:rPr>
            <w:rFonts w:ascii="仿宋" w:eastAsia="仿宋" w:hAnsi="仿宋" w:cs="仿宋" w:hint="eastAsia"/>
            <w:lang w:eastAsia="zh-CN"/>
          </w:rPr>
          <w:t>(四)、绩效薪酬体系设计</w:t>
        </w:r>
        <w:r>
          <w:tab/>
        </w:r>
        <w:r>
          <w:fldChar w:fldCharType="begin"/>
        </w:r>
        <w:r>
          <w:instrText xml:space="preserve"> PAGEREF _Toc29167 \h </w:instrText>
        </w:r>
        <w:r>
          <w:fldChar w:fldCharType="separate"/>
        </w:r>
        <w:r>
          <w:t>28</w:t>
        </w:r>
        <w:r>
          <w:fldChar w:fldCharType="end"/>
        </w:r>
      </w:hyperlink>
    </w:p>
    <w:p>
      <w:pPr>
        <w:pStyle w:val="TOC1"/>
        <w:tabs>
          <w:tab w:val="right" w:leader="dot" w:pos="8306"/>
        </w:tabs>
      </w:pPr>
      <w:hyperlink w:anchor="_Toc28228" w:history="1">
        <w:r>
          <w:rPr>
            <w:rFonts w:ascii="仿宋" w:eastAsia="仿宋" w:hAnsi="仿宋" w:cs="仿宋" w:hint="eastAsia"/>
            <w:lang w:eastAsia="zh-CN"/>
          </w:rPr>
          <w:t>五、员工压力管理及应对措施</w:t>
        </w:r>
        <w:r>
          <w:tab/>
        </w:r>
        <w:r>
          <w:fldChar w:fldCharType="begin"/>
        </w:r>
        <w:r>
          <w:instrText xml:space="preserve"> PAGEREF _Toc28228 \h </w:instrText>
        </w:r>
        <w:r>
          <w:fldChar w:fldCharType="separate"/>
        </w:r>
        <w:r>
          <w:t>30</w:t>
        </w:r>
        <w:r>
          <w:fldChar w:fldCharType="end"/>
        </w:r>
      </w:hyperlink>
    </w:p>
    <w:p>
      <w:pPr>
        <w:pStyle w:val="TOC2"/>
        <w:tabs>
          <w:tab w:val="right" w:leader="dot" w:pos="8306"/>
        </w:tabs>
      </w:pPr>
      <w:hyperlink w:anchor="_Toc983" w:history="1">
        <w:r>
          <w:rPr>
            <w:rFonts w:ascii="仿宋" w:eastAsia="仿宋" w:hAnsi="仿宋" w:cs="仿宋" w:hint="eastAsia"/>
            <w:lang w:eastAsia="zh-CN"/>
          </w:rPr>
          <w:t>(一)、压力对员工的影响及管理原则</w:t>
        </w:r>
        <w:r>
          <w:tab/>
        </w:r>
        <w:r>
          <w:fldChar w:fldCharType="begin"/>
        </w:r>
        <w:r>
          <w:instrText xml:space="preserve"> PAGEREF _Toc983 \h </w:instrText>
        </w:r>
        <w:r>
          <w:fldChar w:fldCharType="separate"/>
        </w:r>
        <w:r>
          <w:t>30</w:t>
        </w:r>
        <w:r>
          <w:fldChar w:fldCharType="end"/>
        </w:r>
      </w:hyperlink>
    </w:p>
    <w:p>
      <w:pPr>
        <w:pStyle w:val="TOC2"/>
        <w:tabs>
          <w:tab w:val="right" w:leader="dot" w:pos="8306"/>
        </w:tabs>
      </w:pPr>
      <w:hyperlink w:anchor="_Toc24153" w:history="1">
        <w:r>
          <w:rPr>
            <w:rFonts w:ascii="仿宋" w:eastAsia="仿宋" w:hAnsi="仿宋" w:cs="仿宋" w:hint="eastAsia"/>
            <w:lang w:eastAsia="zh-CN"/>
          </w:rPr>
          <w:t>(二)、压力应对策略及其实施方案</w:t>
        </w:r>
        <w:r>
          <w:tab/>
        </w:r>
        <w:r>
          <w:fldChar w:fldCharType="begin"/>
        </w:r>
        <w:r>
          <w:instrText xml:space="preserve"> PAGEREF _Toc24153 \h </w:instrText>
        </w:r>
        <w:r>
          <w:fldChar w:fldCharType="separate"/>
        </w:r>
        <w:r>
          <w:t>31</w:t>
        </w:r>
        <w:r>
          <w:fldChar w:fldCharType="end"/>
        </w:r>
      </w:hyperlink>
    </w:p>
    <w:p>
      <w:pPr>
        <w:pStyle w:val="TOC2"/>
        <w:tabs>
          <w:tab w:val="right" w:leader="dot" w:pos="8306"/>
        </w:tabs>
      </w:pPr>
      <w:hyperlink w:anchor="_Toc3156" w:history="1">
        <w:r>
          <w:rPr>
            <w:rFonts w:ascii="仿宋" w:eastAsia="仿宋" w:hAnsi="仿宋" w:cs="仿宋" w:hint="eastAsia"/>
            <w:lang w:eastAsia="zh-CN"/>
          </w:rPr>
          <w:t>(三)、压力管理效果的评估及持续改进</w:t>
        </w:r>
        <w:r>
          <w:tab/>
        </w:r>
        <w:r>
          <w:fldChar w:fldCharType="begin"/>
        </w:r>
        <w:r>
          <w:instrText xml:space="preserve"> PAGEREF _Toc3156 \h </w:instrText>
        </w:r>
        <w:r>
          <w:fldChar w:fldCharType="separate"/>
        </w:r>
        <w:r>
          <w:t>32</w:t>
        </w:r>
        <w:r>
          <w:fldChar w:fldCharType="end"/>
        </w:r>
      </w:hyperlink>
    </w:p>
    <w:p>
      <w:pPr>
        <w:pStyle w:val="TOC1"/>
        <w:tabs>
          <w:tab w:val="right" w:leader="dot" w:pos="8306"/>
        </w:tabs>
      </w:pPr>
      <w:hyperlink w:anchor="_Toc23630" w:history="1">
        <w:r>
          <w:rPr>
            <w:rFonts w:ascii="仿宋" w:eastAsia="仿宋" w:hAnsi="仿宋" w:cs="仿宋" w:hint="eastAsia"/>
            <w:lang w:eastAsia="zh-CN"/>
          </w:rPr>
          <w:t>六、员工家庭与工作平衡支持计划</w:t>
        </w:r>
        <w:r>
          <w:tab/>
        </w:r>
        <w:r>
          <w:fldChar w:fldCharType="begin"/>
        </w:r>
        <w:r>
          <w:instrText xml:space="preserve"> PAGEREF _Toc23630 \h </w:instrText>
        </w:r>
        <w:r>
          <w:fldChar w:fldCharType="separate"/>
        </w:r>
        <w:r>
          <w:t>33</w:t>
        </w:r>
        <w:r>
          <w:fldChar w:fldCharType="end"/>
        </w:r>
      </w:hyperlink>
    </w:p>
    <w:p>
      <w:pPr>
        <w:pStyle w:val="TOC2"/>
        <w:tabs>
          <w:tab w:val="right" w:leader="dot" w:pos="8306"/>
        </w:tabs>
      </w:pPr>
      <w:hyperlink w:anchor="_Toc26448" w:history="1">
        <w:r>
          <w:rPr>
            <w:rFonts w:ascii="仿宋" w:eastAsia="仿宋" w:hAnsi="仿宋" w:cs="仿宋" w:hint="eastAsia"/>
            <w:lang w:eastAsia="zh-CN"/>
          </w:rPr>
          <w:t>(一)、家庭与工作平衡的重要性分析</w:t>
        </w:r>
        <w:r>
          <w:tab/>
        </w:r>
        <w:r>
          <w:fldChar w:fldCharType="begin"/>
        </w:r>
        <w:r>
          <w:instrText xml:space="preserve"> PAGEREF _Toc26448 \h </w:instrText>
        </w:r>
        <w:r>
          <w:fldChar w:fldCharType="separate"/>
        </w:r>
        <w:r>
          <w:t>33</w:t>
        </w:r>
        <w:r>
          <w:fldChar w:fldCharType="end"/>
        </w:r>
      </w:hyperlink>
    </w:p>
    <w:p>
      <w:pPr>
        <w:pStyle w:val="TOC2"/>
        <w:tabs>
          <w:tab w:val="right" w:leader="dot" w:pos="8306"/>
        </w:tabs>
      </w:pPr>
      <w:hyperlink w:anchor="_Toc31591" w:history="1">
        <w:r>
          <w:rPr>
            <w:rFonts w:ascii="仿宋" w:eastAsia="仿宋" w:hAnsi="仿宋" w:cs="仿宋" w:hint="eastAsia"/>
            <w:lang w:eastAsia="zh-CN"/>
          </w:rPr>
          <w:t>(二)、支持计划的制定与实施步骤</w:t>
        </w:r>
        <w:r>
          <w:tab/>
        </w:r>
        <w:r>
          <w:fldChar w:fldCharType="begin"/>
        </w:r>
        <w:r>
          <w:instrText xml:space="preserve"> PAGEREF _Toc31591 \h </w:instrText>
        </w:r>
        <w:r>
          <w:fldChar w:fldCharType="separate"/>
        </w:r>
        <w:r>
          <w:t>33</w:t>
        </w:r>
        <w:r>
          <w:fldChar w:fldCharType="end"/>
        </w:r>
      </w:hyperlink>
    </w:p>
    <w:p>
      <w:pPr>
        <w:pStyle w:val="TOC2"/>
        <w:tabs>
          <w:tab w:val="right" w:leader="dot" w:pos="8306"/>
        </w:tabs>
      </w:pPr>
      <w:hyperlink w:anchor="_Toc28153" w:history="1">
        <w:r>
          <w:rPr>
            <w:rFonts w:ascii="仿宋" w:eastAsia="仿宋" w:hAnsi="仿宋" w:cs="仿宋" w:hint="eastAsia"/>
            <w:lang w:eastAsia="zh-CN"/>
          </w:rPr>
          <w:t>(三)、平衡效果的评估及调整优化</w:t>
        </w:r>
        <w:r>
          <w:tab/>
        </w:r>
        <w:r>
          <w:fldChar w:fldCharType="begin"/>
        </w:r>
        <w:r>
          <w:instrText xml:space="preserve"> PAGEREF _Toc28153 \h </w:instrText>
        </w:r>
        <w:r>
          <w:fldChar w:fldCharType="separate"/>
        </w:r>
        <w:r>
          <w:t>34</w:t>
        </w:r>
        <w:r>
          <w:fldChar w:fldCharType="end"/>
        </w:r>
      </w:hyperlink>
    </w:p>
    <w:p>
      <w:pPr>
        <w:pStyle w:val="TOC1"/>
        <w:tabs>
          <w:tab w:val="right" w:leader="dot" w:pos="8306"/>
        </w:tabs>
      </w:pPr>
      <w:hyperlink w:anchor="_Toc24369" w:history="1">
        <w:r>
          <w:rPr>
            <w:rFonts w:ascii="仿宋" w:eastAsia="仿宋" w:hAnsi="仿宋" w:cs="仿宋" w:hint="eastAsia"/>
            <w:lang w:eastAsia="zh-CN"/>
          </w:rPr>
          <w:t>七、第二十八章公司与员工法律关系</w:t>
        </w:r>
        <w:r>
          <w:tab/>
        </w:r>
        <w:r>
          <w:fldChar w:fldCharType="begin"/>
        </w:r>
        <w:r>
          <w:instrText xml:space="preserve"> PAGEREF _Toc24369 \h </w:instrText>
        </w:r>
        <w:r>
          <w:fldChar w:fldCharType="separate"/>
        </w:r>
        <w:r>
          <w:t>34</w:t>
        </w:r>
        <w:r>
          <w:fldChar w:fldCharType="end"/>
        </w:r>
      </w:hyperlink>
    </w:p>
    <w:p>
      <w:pPr>
        <w:pStyle w:val="TOC2"/>
        <w:tabs>
          <w:tab w:val="right" w:leader="dot" w:pos="8306"/>
        </w:tabs>
      </w:pPr>
      <w:hyperlink w:anchor="_Toc28786" w:history="1">
        <w:r>
          <w:rPr>
            <w:rFonts w:ascii="仿宋" w:eastAsia="仿宋" w:hAnsi="仿宋" w:cs="仿宋" w:hint="eastAsia"/>
            <w:lang w:eastAsia="zh-CN"/>
          </w:rPr>
          <w:t>(一)、劳动合同管理</w:t>
        </w:r>
        <w:r>
          <w:tab/>
        </w:r>
        <w:r>
          <w:fldChar w:fldCharType="begin"/>
        </w:r>
        <w:r>
          <w:instrText xml:space="preserve"> PAGEREF _Toc28786 \h </w:instrText>
        </w:r>
        <w:r>
          <w:fldChar w:fldCharType="separate"/>
        </w:r>
        <w:r>
          <w:t>34</w:t>
        </w:r>
        <w:r>
          <w:fldChar w:fldCharType="end"/>
        </w:r>
      </w:hyperlink>
    </w:p>
    <w:p>
      <w:pPr>
        <w:pStyle w:val="TOC2"/>
        <w:tabs>
          <w:tab w:val="right" w:leader="dot" w:pos="8306"/>
        </w:tabs>
      </w:pPr>
      <w:hyperlink w:anchor="_Toc3806" w:history="1">
        <w:r>
          <w:rPr>
            <w:rFonts w:ascii="仿宋" w:eastAsia="仿宋" w:hAnsi="仿宋" w:cs="仿宋" w:hint="eastAsia"/>
            <w:lang w:eastAsia="zh-CN"/>
          </w:rPr>
          <w:t>(二)、法定假期与劳动保障</w:t>
        </w:r>
        <w:r>
          <w:tab/>
        </w:r>
        <w:r>
          <w:fldChar w:fldCharType="begin"/>
        </w:r>
        <w:r>
          <w:instrText xml:space="preserve"> PAGEREF _Toc3806 \h </w:instrText>
        </w:r>
        <w:r>
          <w:fldChar w:fldCharType="separate"/>
        </w:r>
        <w:r>
          <w:t>35</w:t>
        </w:r>
        <w:r>
          <w:fldChar w:fldCharType="end"/>
        </w:r>
      </w:hyperlink>
    </w:p>
    <w:p>
      <w:pPr>
        <w:pStyle w:val="TOC2"/>
        <w:tabs>
          <w:tab w:val="right" w:leader="dot" w:pos="8306"/>
        </w:tabs>
      </w:pPr>
      <w:hyperlink w:anchor="_Toc31299" w:history="1">
        <w:r>
          <w:rPr>
            <w:rFonts w:ascii="仿宋" w:eastAsia="仿宋" w:hAnsi="仿宋" w:cs="仿宋" w:hint="eastAsia"/>
            <w:lang w:eastAsia="zh-CN"/>
          </w:rPr>
          <w:t>(三)、合规经营与风险防范</w:t>
        </w:r>
        <w:r>
          <w:tab/>
        </w:r>
        <w:r>
          <w:fldChar w:fldCharType="begin"/>
        </w:r>
        <w:r>
          <w:instrText xml:space="preserve"> PAGEREF _Toc31299 \h </w:instrText>
        </w:r>
        <w:r>
          <w:fldChar w:fldCharType="separate"/>
        </w:r>
        <w:r>
          <w:t>36</w:t>
        </w:r>
        <w:r>
          <w:fldChar w:fldCharType="end"/>
        </w:r>
      </w:hyperlink>
    </w:p>
    <w:p>
      <w:pPr>
        <w:pStyle w:val="TOC1"/>
        <w:tabs>
          <w:tab w:val="right" w:leader="dot" w:pos="8306"/>
        </w:tabs>
      </w:pPr>
      <w:hyperlink w:anchor="_Toc27789" w:history="1">
        <w:r>
          <w:rPr>
            <w:rFonts w:ascii="仿宋" w:eastAsia="仿宋" w:hAnsi="仿宋" w:cs="仿宋" w:hint="eastAsia"/>
            <w:lang w:eastAsia="zh-CN"/>
          </w:rPr>
          <w:t>八、第三十二章未来发展愿景</w:t>
        </w:r>
        <w:r>
          <w:tab/>
        </w:r>
        <w:r>
          <w:fldChar w:fldCharType="begin"/>
        </w:r>
        <w:r>
          <w:instrText xml:space="preserve"> PAGEREF _Toc27789 \h </w:instrText>
        </w:r>
        <w:r>
          <w:fldChar w:fldCharType="separate"/>
        </w:r>
        <w:r>
          <w:t>37</w:t>
        </w:r>
        <w:r>
          <w:fldChar w:fldCharType="end"/>
        </w:r>
      </w:hyperlink>
    </w:p>
    <w:p>
      <w:pPr>
        <w:pStyle w:val="TOC2"/>
        <w:tabs>
          <w:tab w:val="right" w:leader="dot" w:pos="8306"/>
        </w:tabs>
      </w:pPr>
      <w:hyperlink w:anchor="_Toc7920" w:history="1">
        <w:r>
          <w:rPr>
            <w:rFonts w:ascii="仿宋" w:eastAsia="仿宋" w:hAnsi="仿宋" w:cs="仿宋" w:hint="eastAsia"/>
            <w:lang w:eastAsia="zh-CN"/>
          </w:rPr>
          <w:t>(一)、员工职业生涯管理的未来趋势</w:t>
        </w:r>
        <w:r>
          <w:tab/>
        </w:r>
        <w:r>
          <w:fldChar w:fldCharType="begin"/>
        </w:r>
        <w:r>
          <w:instrText xml:space="preserve"> PAGEREF _Toc7920 \h </w:instrText>
        </w:r>
        <w:r>
          <w:fldChar w:fldCharType="separate"/>
        </w:r>
        <w:r>
          <w:t>37</w:t>
        </w:r>
        <w:r>
          <w:fldChar w:fldCharType="end"/>
        </w:r>
      </w:hyperlink>
    </w:p>
    <w:p>
      <w:pPr>
        <w:pStyle w:val="TOC2"/>
        <w:tabs>
          <w:tab w:val="right" w:leader="dot" w:pos="8306"/>
        </w:tabs>
      </w:pPr>
      <w:hyperlink w:anchor="_Toc14322" w:history="1">
        <w:r>
          <w:rPr>
            <w:rFonts w:ascii="仿宋" w:eastAsia="仿宋" w:hAnsi="仿宋" w:cs="仿宋" w:hint="eastAsia"/>
            <w:lang w:eastAsia="zh-CN"/>
          </w:rPr>
          <w:t>(二)、公司在员工发展中的未来愿景</w:t>
        </w:r>
        <w:r>
          <w:tab/>
        </w:r>
        <w:r>
          <w:fldChar w:fldCharType="begin"/>
        </w:r>
        <w:r>
          <w:instrText xml:space="preserve"> PAGEREF _Toc14322 \h </w:instrText>
        </w:r>
        <w:r>
          <w:fldChar w:fldCharType="separate"/>
        </w:r>
        <w:r>
          <w:t>37</w:t>
        </w:r>
        <w:r>
          <w:fldChar w:fldCharType="end"/>
        </w:r>
      </w:hyperlink>
    </w:p>
    <w:p>
      <w:pPr>
        <w:pStyle w:val="TOC1"/>
        <w:tabs>
          <w:tab w:val="right" w:leader="dot" w:pos="8306"/>
        </w:tabs>
      </w:pPr>
      <w:hyperlink w:anchor="_Toc14496" w:history="1">
        <w:r>
          <w:rPr>
            <w:rFonts w:ascii="仿宋" w:eastAsia="仿宋" w:hAnsi="仿宋" w:cs="仿宋" w:hint="eastAsia"/>
            <w:lang w:eastAsia="zh-CN"/>
          </w:rPr>
          <w:t>九、第十四章员工健康与安全管理</w:t>
        </w:r>
        <w:r>
          <w:tab/>
        </w:r>
        <w:r>
          <w:fldChar w:fldCharType="begin"/>
        </w:r>
        <w:r>
          <w:instrText xml:space="preserve"> PAGEREF _Toc14496 \h </w:instrText>
        </w:r>
        <w:r>
          <w:fldChar w:fldCharType="separate"/>
        </w:r>
        <w:r>
          <w:t>38</w:t>
        </w:r>
        <w:r>
          <w:fldChar w:fldCharType="end"/>
        </w:r>
      </w:hyperlink>
    </w:p>
    <w:p>
      <w:pPr>
        <w:pStyle w:val="TOC2"/>
        <w:tabs>
          <w:tab w:val="right" w:leader="dot" w:pos="8306"/>
        </w:tabs>
      </w:pPr>
      <w:hyperlink w:anchor="_Toc32488" w:history="1">
        <w:r>
          <w:rPr>
            <w:rFonts w:ascii="仿宋" w:eastAsia="仿宋" w:hAnsi="仿宋" w:cs="仿宋" w:hint="eastAsia"/>
            <w:lang w:eastAsia="zh-CN"/>
          </w:rPr>
          <w:t>(一)、健康保障计划</w:t>
        </w:r>
        <w:r>
          <w:tab/>
        </w:r>
        <w:r>
          <w:fldChar w:fldCharType="begin"/>
        </w:r>
        <w:r>
          <w:instrText xml:space="preserve"> PAGEREF _Toc32488 \h </w:instrText>
        </w:r>
        <w:r>
          <w:fldChar w:fldCharType="separate"/>
        </w:r>
        <w:r>
          <w:t>38</w:t>
        </w:r>
        <w:r>
          <w:fldChar w:fldCharType="end"/>
        </w:r>
      </w:hyperlink>
    </w:p>
    <w:p>
      <w:pPr>
        <w:pStyle w:val="TOC2"/>
        <w:tabs>
          <w:tab w:val="right" w:leader="dot" w:pos="8306"/>
        </w:tabs>
      </w:pPr>
      <w:hyperlink w:anchor="_Toc4295" w:history="1">
        <w:r>
          <w:rPr>
            <w:rFonts w:ascii="仿宋" w:eastAsia="仿宋" w:hAnsi="仿宋" w:cs="仿宋" w:hint="eastAsia"/>
            <w:lang w:eastAsia="zh-CN"/>
          </w:rPr>
          <w:t>(二)、安全管理体系</w:t>
        </w:r>
        <w:r>
          <w:tab/>
        </w:r>
        <w:r>
          <w:fldChar w:fldCharType="begin"/>
        </w:r>
        <w:r>
          <w:instrText xml:space="preserve"> PAGEREF _Toc4295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7" w:history="1">
        <w:r>
          <w:rPr>
            <w:rFonts w:ascii="仿宋" w:eastAsia="仿宋" w:hAnsi="仿宋" w:cs="仿宋" w:hint="eastAsia"/>
            <w:lang w:eastAsia="zh-CN"/>
          </w:rPr>
          <w:t>十、第四十章员工身心健康管理</w:t>
        </w:r>
        <w:r>
          <w:tab/>
        </w:r>
        <w:r>
          <w:fldChar w:fldCharType="begin"/>
        </w:r>
        <w:r>
          <w:instrText xml:space="preserve"> PAGEREF _Toc13307 \h </w:instrText>
        </w:r>
        <w:r>
          <w:fldChar w:fldCharType="separate"/>
        </w:r>
        <w:r>
          <w:t>41</w:t>
        </w:r>
        <w:r>
          <w:fldChar w:fldCharType="end"/>
        </w:r>
      </w:hyperlink>
    </w:p>
    <w:p>
      <w:pPr>
        <w:pStyle w:val="TOC2"/>
        <w:tabs>
          <w:tab w:val="right" w:leader="dot" w:pos="8306"/>
        </w:tabs>
      </w:pPr>
      <w:hyperlink w:anchor="_Toc27420" w:history="1">
        <w:r>
          <w:rPr>
            <w:rFonts w:ascii="仿宋" w:eastAsia="仿宋" w:hAnsi="仿宋" w:cs="仿宋" w:hint="eastAsia"/>
            <w:lang w:eastAsia="zh-CN"/>
          </w:rPr>
          <w:t>(一)、健康促进计划</w:t>
        </w:r>
        <w:r>
          <w:tab/>
        </w:r>
        <w:r>
          <w:fldChar w:fldCharType="begin"/>
        </w:r>
        <w:r>
          <w:instrText xml:space="preserve"> PAGEREF _Toc27420 \h </w:instrText>
        </w:r>
        <w:r>
          <w:fldChar w:fldCharType="separate"/>
        </w:r>
        <w:r>
          <w:t>41</w:t>
        </w:r>
        <w:r>
          <w:fldChar w:fldCharType="end"/>
        </w:r>
      </w:hyperlink>
    </w:p>
    <w:p>
      <w:pPr>
        <w:pStyle w:val="TOC2"/>
        <w:tabs>
          <w:tab w:val="right" w:leader="dot" w:pos="8306"/>
        </w:tabs>
      </w:pPr>
      <w:hyperlink w:anchor="_Toc8690" w:history="1">
        <w:r>
          <w:rPr>
            <w:rFonts w:ascii="仿宋" w:eastAsia="仿宋" w:hAnsi="仿宋" w:cs="仿宋" w:hint="eastAsia"/>
            <w:lang w:eastAsia="zh-CN"/>
          </w:rPr>
          <w:t>(二)、健康饮食与运动计划</w:t>
        </w:r>
        <w:r>
          <w:tab/>
        </w:r>
        <w:r>
          <w:fldChar w:fldCharType="begin"/>
        </w:r>
        <w:r>
          <w:instrText xml:space="preserve"> PAGEREF _Toc8690 \h </w:instrText>
        </w:r>
        <w:r>
          <w:fldChar w:fldCharType="separate"/>
        </w:r>
        <w:r>
          <w:t>42</w:t>
        </w:r>
        <w:r>
          <w:fldChar w:fldCharType="end"/>
        </w:r>
      </w:hyperlink>
    </w:p>
    <w:p>
      <w:pPr>
        <w:pStyle w:val="TOC2"/>
        <w:tabs>
          <w:tab w:val="right" w:leader="dot" w:pos="8306"/>
        </w:tabs>
      </w:pPr>
      <w:hyperlink w:anchor="_Toc28019" w:history="1">
        <w:r>
          <w:rPr>
            <w:rFonts w:ascii="仿宋" w:eastAsia="仿宋" w:hAnsi="仿宋" w:cs="仿宋" w:hint="eastAsia"/>
            <w:lang w:eastAsia="zh-CN"/>
          </w:rPr>
          <w:t>(三)、心理健康服务与支持</w:t>
        </w:r>
        <w:r>
          <w:tab/>
        </w:r>
        <w:r>
          <w:fldChar w:fldCharType="begin"/>
        </w:r>
        <w:r>
          <w:instrText xml:space="preserve"> PAGEREF _Toc28019 \h </w:instrText>
        </w:r>
        <w:r>
          <w:fldChar w:fldCharType="separate"/>
        </w:r>
        <w:r>
          <w:t>42</w:t>
        </w:r>
        <w:r>
          <w:fldChar w:fldCharType="end"/>
        </w:r>
      </w:hyperlink>
    </w:p>
    <w:p>
      <w:pPr>
        <w:pStyle w:val="TOC2"/>
        <w:tabs>
          <w:tab w:val="right" w:leader="dot" w:pos="8306"/>
        </w:tabs>
      </w:pPr>
      <w:hyperlink w:anchor="_Toc27861" w:history="1">
        <w:r>
          <w:rPr>
            <w:rFonts w:ascii="仿宋" w:eastAsia="仿宋" w:hAnsi="仿宋" w:cs="仿宋" w:hint="eastAsia"/>
            <w:lang w:eastAsia="zh-CN"/>
          </w:rPr>
          <w:t>(四)、工作压力管理</w:t>
        </w:r>
        <w:r>
          <w:tab/>
        </w:r>
        <w:r>
          <w:fldChar w:fldCharType="begin"/>
        </w:r>
        <w:r>
          <w:instrText xml:space="preserve"> PAGEREF _Toc27861 \h </w:instrText>
        </w:r>
        <w:r>
          <w:fldChar w:fldCharType="separate"/>
        </w:r>
        <w:r>
          <w:t>43</w:t>
        </w:r>
        <w:r>
          <w:fldChar w:fldCharType="end"/>
        </w:r>
      </w:hyperlink>
    </w:p>
    <w:p>
      <w:pPr>
        <w:pStyle w:val="TOC2"/>
        <w:tabs>
          <w:tab w:val="right" w:leader="dot" w:pos="8306"/>
        </w:tabs>
      </w:pPr>
      <w:hyperlink w:anchor="_Toc29487" w:history="1">
        <w:r>
          <w:rPr>
            <w:rFonts w:ascii="仿宋" w:eastAsia="仿宋" w:hAnsi="仿宋" w:cs="仿宋" w:hint="eastAsia"/>
            <w:lang w:eastAsia="zh-CN"/>
          </w:rPr>
          <w:t>(五)、工作负荷评估与调整</w:t>
        </w:r>
        <w:r>
          <w:tab/>
        </w:r>
        <w:r>
          <w:fldChar w:fldCharType="begin"/>
        </w:r>
        <w:r>
          <w:instrText xml:space="preserve"> PAGEREF _Toc29487 \h </w:instrText>
        </w:r>
        <w:r>
          <w:fldChar w:fldCharType="separate"/>
        </w:r>
        <w:r>
          <w:t>44</w:t>
        </w:r>
        <w:r>
          <w:fldChar w:fldCharType="end"/>
        </w:r>
      </w:hyperlink>
    </w:p>
    <w:p>
      <w:pPr>
        <w:pStyle w:val="TOC2"/>
        <w:tabs>
          <w:tab w:val="right" w:leader="dot" w:pos="8306"/>
        </w:tabs>
      </w:pPr>
      <w:hyperlink w:anchor="_Toc5133" w:history="1">
        <w:r>
          <w:rPr>
            <w:rFonts w:ascii="仿宋" w:eastAsia="仿宋" w:hAnsi="仿宋" w:cs="仿宋" w:hint="eastAsia"/>
            <w:lang w:eastAsia="zh-CN"/>
          </w:rPr>
          <w:t>(六)、员工心理咨询与支持</w:t>
        </w:r>
        <w:r>
          <w:tab/>
        </w:r>
        <w:r>
          <w:fldChar w:fldCharType="begin"/>
        </w:r>
        <w:r>
          <w:instrText xml:space="preserve"> PAGEREF _Toc5133 \h </w:instrText>
        </w:r>
        <w:r>
          <w:fldChar w:fldCharType="separate"/>
        </w:r>
        <w:r>
          <w:t>44</w:t>
        </w:r>
        <w:r>
          <w:fldChar w:fldCharType="end"/>
        </w:r>
      </w:hyperlink>
    </w:p>
    <w:p>
      <w:pPr>
        <w:pStyle w:val="TOC1"/>
        <w:tabs>
          <w:tab w:val="right" w:leader="dot" w:pos="8306"/>
        </w:tabs>
      </w:pPr>
      <w:hyperlink w:anchor="_Toc4450" w:history="1">
        <w:r>
          <w:rPr>
            <w:rFonts w:ascii="仿宋" w:eastAsia="仿宋" w:hAnsi="仿宋" w:cs="仿宋" w:hint="eastAsia"/>
            <w:lang w:eastAsia="zh-CN"/>
          </w:rPr>
          <w:t>十一、员工多元化与包容性管理</w:t>
        </w:r>
        <w:r>
          <w:tab/>
        </w:r>
        <w:r>
          <w:fldChar w:fldCharType="begin"/>
        </w:r>
        <w:r>
          <w:instrText xml:space="preserve"> PAGEREF _Toc4450 \h </w:instrText>
        </w:r>
        <w:r>
          <w:fldChar w:fldCharType="separate"/>
        </w:r>
        <w:r>
          <w:t>45</w:t>
        </w:r>
        <w:r>
          <w:fldChar w:fldCharType="end"/>
        </w:r>
      </w:hyperlink>
    </w:p>
    <w:p>
      <w:pPr>
        <w:pStyle w:val="TOC2"/>
        <w:tabs>
          <w:tab w:val="right" w:leader="dot" w:pos="8306"/>
        </w:tabs>
      </w:pPr>
      <w:hyperlink w:anchor="_Toc18055" w:history="1">
        <w:r>
          <w:rPr>
            <w:rFonts w:ascii="仿宋" w:eastAsia="仿宋" w:hAnsi="仿宋" w:cs="仿宋" w:hint="eastAsia"/>
            <w:lang w:eastAsia="zh-CN"/>
          </w:rPr>
          <w:t>(一)、员工多元化的价值与挑战</w:t>
        </w:r>
        <w:r>
          <w:tab/>
        </w:r>
        <w:r>
          <w:fldChar w:fldCharType="begin"/>
        </w:r>
        <w:r>
          <w:instrText xml:space="preserve"> PAGEREF _Toc18055 \h </w:instrText>
        </w:r>
        <w:r>
          <w:fldChar w:fldCharType="separate"/>
        </w:r>
        <w:r>
          <w:t>45</w:t>
        </w:r>
        <w:r>
          <w:fldChar w:fldCharType="end"/>
        </w:r>
      </w:hyperlink>
    </w:p>
    <w:p>
      <w:pPr>
        <w:pStyle w:val="TOC2"/>
        <w:tabs>
          <w:tab w:val="right" w:leader="dot" w:pos="8306"/>
        </w:tabs>
      </w:pPr>
      <w:hyperlink w:anchor="_Toc30937" w:history="1">
        <w:r>
          <w:rPr>
            <w:rFonts w:ascii="仿宋" w:eastAsia="仿宋" w:hAnsi="仿宋" w:cs="仿宋" w:hint="eastAsia"/>
            <w:lang w:eastAsia="zh-CN"/>
          </w:rPr>
          <w:t>(二)、员工包容性政策与实践</w:t>
        </w:r>
        <w:r>
          <w:tab/>
        </w:r>
        <w:r>
          <w:fldChar w:fldCharType="begin"/>
        </w:r>
        <w:r>
          <w:instrText xml:space="preserve"> PAGEREF _Toc30937 \h </w:instrText>
        </w:r>
        <w:r>
          <w:fldChar w:fldCharType="separate"/>
        </w:r>
        <w:r>
          <w:t>46</w:t>
        </w:r>
        <w:r>
          <w:fldChar w:fldCharType="end"/>
        </w:r>
      </w:hyperlink>
    </w:p>
    <w:p>
      <w:pPr>
        <w:pStyle w:val="TOC2"/>
        <w:tabs>
          <w:tab w:val="right" w:leader="dot" w:pos="8306"/>
        </w:tabs>
      </w:pPr>
      <w:hyperlink w:anchor="_Toc8460" w:history="1">
        <w:r>
          <w:rPr>
            <w:rFonts w:ascii="仿宋" w:eastAsia="仿宋" w:hAnsi="仿宋" w:cs="仿宋" w:hint="eastAsia"/>
            <w:lang w:eastAsia="zh-CN"/>
          </w:rPr>
          <w:t>(三)、多元与包容性文化的培育与维护</w:t>
        </w:r>
        <w:r>
          <w:tab/>
        </w:r>
        <w:r>
          <w:fldChar w:fldCharType="begin"/>
        </w:r>
        <w:r>
          <w:instrText xml:space="preserve"> PAGEREF _Toc8460 \h </w:instrText>
        </w:r>
        <w:r>
          <w:fldChar w:fldCharType="separate"/>
        </w:r>
        <w:r>
          <w:t>47</w:t>
        </w:r>
        <w:r>
          <w:fldChar w:fldCharType="end"/>
        </w:r>
      </w:hyperlink>
    </w:p>
    <w:p>
      <w:pPr>
        <w:pStyle w:val="TOC1"/>
        <w:tabs>
          <w:tab w:val="right" w:leader="dot" w:pos="8306"/>
        </w:tabs>
      </w:pPr>
      <w:hyperlink w:anchor="_Toc3497" w:history="1">
        <w:r>
          <w:rPr>
            <w:rFonts w:ascii="仿宋" w:eastAsia="仿宋" w:hAnsi="仿宋" w:cs="仿宋" w:hint="eastAsia"/>
            <w:lang w:eastAsia="zh-CN"/>
          </w:rPr>
          <w:t>十二、第四十五章员工品牌建设</w:t>
        </w:r>
        <w:r>
          <w:tab/>
        </w:r>
        <w:r>
          <w:fldChar w:fldCharType="begin"/>
        </w:r>
        <w:r>
          <w:instrText xml:space="preserve"> PAGEREF _Toc3497 \h </w:instrText>
        </w:r>
        <w:r>
          <w:fldChar w:fldCharType="separate"/>
        </w:r>
        <w:r>
          <w:t>48</w:t>
        </w:r>
        <w:r>
          <w:fldChar w:fldCharType="end"/>
        </w:r>
      </w:hyperlink>
    </w:p>
    <w:p>
      <w:pPr>
        <w:pStyle w:val="TOC2"/>
        <w:tabs>
          <w:tab w:val="right" w:leader="dot" w:pos="8306"/>
        </w:tabs>
      </w:pPr>
      <w:hyperlink w:anchor="_Toc28708" w:history="1">
        <w:r>
          <w:rPr>
            <w:rFonts w:ascii="仿宋" w:eastAsia="仿宋" w:hAnsi="仿宋" w:cs="仿宋" w:hint="eastAsia"/>
            <w:lang w:eastAsia="zh-CN"/>
          </w:rPr>
          <w:t>(一)、个人品牌管理</w:t>
        </w:r>
        <w:r>
          <w:tab/>
        </w:r>
        <w:r>
          <w:fldChar w:fldCharType="begin"/>
        </w:r>
        <w:r>
          <w:instrText xml:space="preserve"> PAGEREF _Toc28708 \h </w:instrText>
        </w:r>
        <w:r>
          <w:fldChar w:fldCharType="separate"/>
        </w:r>
        <w:r>
          <w:t>48</w:t>
        </w:r>
        <w:r>
          <w:fldChar w:fldCharType="end"/>
        </w:r>
      </w:hyperlink>
    </w:p>
    <w:p>
      <w:pPr>
        <w:pStyle w:val="TOC2"/>
        <w:tabs>
          <w:tab w:val="right" w:leader="dot" w:pos="8306"/>
        </w:tabs>
      </w:pPr>
      <w:hyperlink w:anchor="_Toc2033" w:history="1">
        <w:r>
          <w:rPr>
            <w:rFonts w:ascii="仿宋" w:eastAsia="仿宋" w:hAnsi="仿宋" w:cs="仿宋" w:hint="eastAsia"/>
            <w:lang w:eastAsia="zh-CN"/>
          </w:rPr>
          <w:t>(二)、在复合微生物肥料行业内建立个人影响力</w:t>
        </w:r>
        <w:r>
          <w:tab/>
        </w:r>
        <w:r>
          <w:fldChar w:fldCharType="begin"/>
        </w:r>
        <w:r>
          <w:instrText xml:space="preserve"> PAGEREF _Toc2033 \h </w:instrText>
        </w:r>
        <w:r>
          <w:fldChar w:fldCharType="separate"/>
        </w:r>
        <w:r>
          <w:t>48</w:t>
        </w:r>
        <w:r>
          <w:fldChar w:fldCharType="end"/>
        </w:r>
      </w:hyperlink>
    </w:p>
    <w:p>
      <w:pPr>
        <w:pStyle w:val="TOC2"/>
        <w:tabs>
          <w:tab w:val="right" w:leader="dot" w:pos="8306"/>
        </w:tabs>
      </w:pPr>
      <w:hyperlink w:anchor="_Toc6715" w:history="1">
        <w:r>
          <w:rPr>
            <w:rFonts w:ascii="仿宋" w:eastAsia="仿宋" w:hAnsi="仿宋" w:cs="仿宋" w:hint="eastAsia"/>
            <w:lang w:eastAsia="zh-CN"/>
          </w:rPr>
          <w:t>(三)、个人品牌与公司品牌的关联</w:t>
        </w:r>
        <w:r>
          <w:tab/>
        </w:r>
        <w:r>
          <w:fldChar w:fldCharType="begin"/>
        </w:r>
        <w:r>
          <w:instrText xml:space="preserve"> PAGEREF _Toc6715 \h </w:instrText>
        </w:r>
        <w:r>
          <w:fldChar w:fldCharType="separate"/>
        </w:r>
        <w:r>
          <w:t>50</w:t>
        </w:r>
        <w:r>
          <w:fldChar w:fldCharType="end"/>
        </w:r>
      </w:hyperlink>
    </w:p>
    <w:p>
      <w:pPr>
        <w:pStyle w:val="TOC2"/>
        <w:tabs>
          <w:tab w:val="right" w:leader="dot" w:pos="8306"/>
        </w:tabs>
      </w:pPr>
      <w:hyperlink w:anchor="_Toc20470" w:history="1">
        <w:r>
          <w:rPr>
            <w:rFonts w:ascii="仿宋" w:eastAsia="仿宋" w:hAnsi="仿宋" w:cs="仿宋" w:hint="eastAsia"/>
            <w:lang w:eastAsia="zh-CN"/>
          </w:rPr>
          <w:t>(四)、社交媒体与个人品牌</w:t>
        </w:r>
        <w:r>
          <w:tab/>
        </w:r>
        <w:r>
          <w:fldChar w:fldCharType="begin"/>
        </w:r>
        <w:r>
          <w:instrText xml:space="preserve"> PAGEREF _Toc20470 \h </w:instrText>
        </w:r>
        <w:r>
          <w:fldChar w:fldCharType="separate"/>
        </w:r>
        <w:r>
          <w:t>50</w:t>
        </w:r>
        <w:r>
          <w:fldChar w:fldCharType="end"/>
        </w:r>
      </w:hyperlink>
    </w:p>
    <w:p>
      <w:pPr>
        <w:pStyle w:val="TOC2"/>
        <w:tabs>
          <w:tab w:val="right" w:leader="dot" w:pos="8306"/>
        </w:tabs>
      </w:pPr>
      <w:hyperlink w:anchor="_Toc15343" w:history="1">
        <w:r>
          <w:rPr>
            <w:rFonts w:ascii="仿宋" w:eastAsia="仿宋" w:hAnsi="仿宋" w:cs="仿宋" w:hint="eastAsia"/>
            <w:lang w:eastAsia="zh-CN"/>
          </w:rPr>
          <w:t>(五)、个人品牌的社交媒体传播</w:t>
        </w:r>
        <w:r>
          <w:tab/>
        </w:r>
        <w:r>
          <w:fldChar w:fldCharType="begin"/>
        </w:r>
        <w:r>
          <w:instrText xml:space="preserve"> PAGEREF _Toc15343 \h </w:instrText>
        </w:r>
        <w:r>
          <w:fldChar w:fldCharType="separate"/>
        </w:r>
        <w:r>
          <w:t>51</w:t>
        </w:r>
        <w:r>
          <w:fldChar w:fldCharType="end"/>
        </w:r>
      </w:hyperlink>
    </w:p>
    <w:p>
      <w:pPr>
        <w:pStyle w:val="TOC2"/>
        <w:tabs>
          <w:tab w:val="right" w:leader="dot" w:pos="8306"/>
        </w:tabs>
      </w:pPr>
      <w:hyperlink w:anchor="_Toc6075" w:history="1">
        <w:r>
          <w:rPr>
            <w:rFonts w:ascii="仿宋" w:eastAsia="仿宋" w:hAnsi="仿宋" w:cs="仿宋" w:hint="eastAsia"/>
            <w:lang w:eastAsia="zh-CN"/>
          </w:rPr>
          <w:t>(六)、员工品牌建设与公司形象一致性</w:t>
        </w:r>
        <w:r>
          <w:tab/>
        </w:r>
        <w:r>
          <w:fldChar w:fldCharType="begin"/>
        </w:r>
        <w:r>
          <w:instrText xml:space="preserve"> PAGEREF _Toc6075 \h </w:instrText>
        </w:r>
        <w:r>
          <w:fldChar w:fldCharType="separate"/>
        </w:r>
        <w:r>
          <w:t>52</w:t>
        </w:r>
        <w:r>
          <w:fldChar w:fldCharType="end"/>
        </w:r>
      </w:hyperlink>
    </w:p>
    <w:p>
      <w:pPr>
        <w:pStyle w:val="TOC1"/>
        <w:tabs>
          <w:tab w:val="right" w:leader="dot" w:pos="8306"/>
        </w:tabs>
      </w:pPr>
      <w:hyperlink w:anchor="_Toc4000" w:history="1">
        <w:r>
          <w:rPr>
            <w:rFonts w:ascii="仿宋" w:eastAsia="仿宋" w:hAnsi="仿宋" w:cs="仿宋" w:hint="eastAsia"/>
            <w:lang w:eastAsia="zh-CN"/>
          </w:rPr>
          <w:t>十三、员工晋升与职业发展通道</w:t>
        </w:r>
        <w:r>
          <w:tab/>
        </w:r>
        <w:r>
          <w:fldChar w:fldCharType="begin"/>
        </w:r>
        <w:r>
          <w:instrText xml:space="preserve"> PAGEREF _Toc4000 \h </w:instrText>
        </w:r>
        <w:r>
          <w:fldChar w:fldCharType="separate"/>
        </w:r>
        <w:r>
          <w:t>53</w:t>
        </w:r>
        <w:r>
          <w:fldChar w:fldCharType="end"/>
        </w:r>
      </w:hyperlink>
    </w:p>
    <w:p>
      <w:pPr>
        <w:pStyle w:val="TOC2"/>
        <w:tabs>
          <w:tab w:val="right" w:leader="dot" w:pos="8306"/>
        </w:tabs>
      </w:pPr>
      <w:hyperlink w:anchor="_Toc1733" w:history="1">
        <w:r>
          <w:rPr>
            <w:rFonts w:ascii="仿宋" w:eastAsia="仿宋" w:hAnsi="仿宋" w:cs="仿宋" w:hint="eastAsia"/>
            <w:lang w:eastAsia="zh-CN"/>
          </w:rPr>
          <w:t>(一)、晋升制度的设计与实施</w:t>
        </w:r>
        <w:r>
          <w:tab/>
        </w:r>
        <w:r>
          <w:fldChar w:fldCharType="begin"/>
        </w:r>
        <w:r>
          <w:instrText xml:space="preserve"> PAGEREF _Toc1733 \h </w:instrText>
        </w:r>
        <w:r>
          <w:fldChar w:fldCharType="separate"/>
        </w:r>
        <w:r>
          <w:t>53</w:t>
        </w:r>
        <w:r>
          <w:fldChar w:fldCharType="end"/>
        </w:r>
      </w:hyperlink>
    </w:p>
    <w:p>
      <w:pPr>
        <w:pStyle w:val="TOC2"/>
        <w:tabs>
          <w:tab w:val="right" w:leader="dot" w:pos="8306"/>
        </w:tabs>
      </w:pPr>
      <w:hyperlink w:anchor="_Toc17090" w:history="1">
        <w:r>
          <w:rPr>
            <w:rFonts w:ascii="仿宋" w:eastAsia="仿宋" w:hAnsi="仿宋" w:cs="仿宋" w:hint="eastAsia"/>
            <w:lang w:eastAsia="zh-CN"/>
          </w:rPr>
          <w:t>(二)、职业发展通道的建立与拓展</w:t>
        </w:r>
        <w:r>
          <w:tab/>
        </w:r>
        <w:r>
          <w:fldChar w:fldCharType="begin"/>
        </w:r>
        <w:r>
          <w:instrText xml:space="preserve"> PAGEREF _Toc17090 \h </w:instrText>
        </w:r>
        <w:r>
          <w:fldChar w:fldCharType="separate"/>
        </w:r>
        <w:r>
          <w:t>54</w:t>
        </w:r>
        <w:r>
          <w:fldChar w:fldCharType="end"/>
        </w:r>
      </w:hyperlink>
    </w:p>
    <w:p>
      <w:pPr>
        <w:pStyle w:val="TOC2"/>
        <w:tabs>
          <w:tab w:val="right" w:leader="dot" w:pos="8306"/>
        </w:tabs>
      </w:pPr>
      <w:hyperlink w:anchor="_Toc12472" w:history="1">
        <w:r>
          <w:rPr>
            <w:rFonts w:ascii="仿宋" w:eastAsia="仿宋" w:hAnsi="仿宋" w:cs="仿宋" w:hint="eastAsia"/>
            <w:lang w:eastAsia="zh-CN"/>
          </w:rPr>
          <w:t>(三)、晋升机会的公平与透明保障</w:t>
        </w:r>
        <w:r>
          <w:tab/>
        </w:r>
        <w:r>
          <w:fldChar w:fldCharType="begin"/>
        </w:r>
        <w:r>
          <w:instrText xml:space="preserve"> PAGEREF _Toc12472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复合微生物肥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6932"/>
      <w:r>
        <w:rPr>
          <w:rFonts w:ascii="仿宋" w:eastAsia="仿宋" w:hAnsi="仿宋" w:cs="仿宋" w:hint="eastAsia"/>
          <w:sz w:val="28"/>
          <w:lang w:eastAsia="zh-CN"/>
        </w:rPr>
        <w:t>一、复合微生物肥料行业背景分析</w:t>
      </w:r>
      <w:bookmarkEnd w:id="2"/>
    </w:p>
    <w:p>
      <w:pPr>
        <w:pStyle w:val="Heading2"/>
        <w:rPr>
          <w:rFonts w:ascii="仿宋" w:eastAsia="仿宋" w:hAnsi="仿宋" w:cs="仿宋" w:hint="eastAsia"/>
          <w:lang w:eastAsia="zh-CN"/>
        </w:rPr>
      </w:pPr>
      <w:bookmarkStart w:id="3" w:name="_Toc10678"/>
      <w:r>
        <w:rPr>
          <w:rFonts w:ascii="仿宋" w:eastAsia="仿宋" w:hAnsi="仿宋" w:cs="仿宋" w:hint="eastAsia"/>
          <w:lang w:eastAsia="zh-CN"/>
        </w:rPr>
        <w:t>(一)、复合微生物肥料行业背景分析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行业是一个充满活力且不断演变的领域。近年来，该复合微生物肥料行业经历了显著的增长，这一增长主要受益于多方面的推动因素，尤其是技术创新和市场需求的持续增加。技术创新为复合微生物肥料行业带来了新的商业模式和解决方案，而不断增长的市场需求则推动了复合微生物肥料行业的整体扩张。这使得 复合微生物肥料行业成为当前经济中备受关注的一个重要组成部分。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行业的市场规模持续扩大，预计未来几年仍将保持良好的增长势头。这一趋势得益于多种因素，其中包括数字化转型、全球化市场和消费者需求的多样化。数字化转型推动了复合微生物肥料行业内各个环节的效率提升，全球化市场为企业提供了更广阔的业务机会，而消费者需求的多样化则促使复合微生物肥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复合微生物肥料行业呈现激烈的竞争格局，主要由一些领先的企业主导市场。这些企业通常在创新、市场份额和客户忠诚度等方面表现出强大的竞争力。随着复合微生物肥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复合微生物肥料行业发展的关键因素之一。新技术的引入，如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复合微生物肥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复合微生物肥料行业仍然充满挑战和机遇。随着全球经济的发展和技术的不断进步，复合微生物肥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复合微生物肥料行业的未来，持乐观但谨慎的态度，不断优化业务模式和提升核心竞争力是至关重要的。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92"/>
      <w:r>
        <w:rPr>
          <w:rFonts w:ascii="仿宋" w:eastAsia="仿宋" w:hAnsi="仿宋" w:cs="仿宋" w:hint="eastAsia"/>
          <w:sz w:val="28"/>
          <w:lang w:eastAsia="zh-CN"/>
        </w:rPr>
        <w:t>二、第七章员工培训与发展</w:t>
      </w:r>
      <w:bookmarkEnd w:id="4"/>
    </w:p>
    <w:p>
      <w:pPr>
        <w:pStyle w:val="Heading2"/>
        <w:rPr>
          <w:rFonts w:ascii="仿宋" w:eastAsia="仿宋" w:hAnsi="仿宋" w:cs="仿宋" w:hint="eastAsia"/>
          <w:lang w:eastAsia="zh-CN"/>
        </w:rPr>
      </w:pPr>
      <w:bookmarkStart w:id="5" w:name="_Toc774"/>
      <w:r>
        <w:rPr>
          <w:rFonts w:ascii="仿宋" w:eastAsia="仿宋" w:hAnsi="仿宋" w:cs="仿宋" w:hint="eastAsia"/>
          <w:lang w:eastAsia="zh-CN"/>
        </w:rPr>
        <w:t>(一)、培训需求分析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6" w:name="_Toc6948"/>
      <w:r>
        <w:rPr>
          <w:rFonts w:ascii="仿宋" w:eastAsia="仿宋" w:hAnsi="仿宋" w:cs="仿宋" w:hint="eastAsia"/>
          <w:sz w:val="28"/>
          <w:lang w:eastAsia="zh-CN"/>
        </w:rPr>
        <w:t>(二)、培训计划制定</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7" w:name="_Toc5801"/>
      <w:r>
        <w:rPr>
          <w:rFonts w:ascii="仿宋" w:eastAsia="仿宋" w:hAnsi="仿宋" w:cs="仿宋" w:hint="eastAsia"/>
          <w:sz w:val="28"/>
          <w:lang w:eastAsia="zh-CN"/>
        </w:rPr>
        <w:t>(三)、培训实施与评估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8" w:name="_Toc11248"/>
      <w:r>
        <w:rPr>
          <w:rFonts w:ascii="仿宋" w:eastAsia="仿宋" w:hAnsi="仿宋" w:cs="仿宋" w:hint="eastAsia"/>
          <w:sz w:val="28"/>
          <w:lang w:eastAsia="zh-CN"/>
        </w:rPr>
        <w:t>(四)、持续学习与专业发展支持</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提供灵活的在线学习平台，使员工可以随时随地获取各类学习资源。这包括复合微生物肥料行业报告、网络课程、研讨会等，帮助员工自主学习和获取最新的专业知识。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鼓励并支持员工获取相关的专业认证，例如复合微生物肥料行业认可的证书或资格。组织可以提供学习资源、报名费用支持等，以激发员工的学习积极性。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定期组织专业培训活动，邀请复合微生物肥料行业专家或内外部讲师进行知识分享和培训。这有助于员工深入了解复合微生物肥料行业趋势，拓展视野，提高综合素质。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建立知识管理平台，鼓励员工分享经验、复合微生物肥料行业见解和学习心得。这有助于构建学习型组织，促使知识在团队内部流动和共享。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9" w:name="_Toc6729"/>
      <w:r>
        <w:rPr>
          <w:rFonts w:ascii="仿宋" w:eastAsia="仿宋" w:hAnsi="仿宋" w:cs="仿宋" w:hint="eastAsia"/>
          <w:sz w:val="28"/>
          <w:lang w:eastAsia="zh-CN"/>
        </w:rPr>
        <w:t>三、项目基本情况</w:t>
      </w:r>
      <w:bookmarkEnd w:id="9"/>
    </w:p>
    <w:p>
      <w:pPr>
        <w:pStyle w:val="Heading2"/>
        <w:rPr>
          <w:rFonts w:ascii="仿宋" w:eastAsia="仿宋" w:hAnsi="仿宋" w:cs="仿宋" w:hint="eastAsia"/>
          <w:lang w:eastAsia="zh-CN"/>
        </w:rPr>
      </w:pPr>
      <w:bookmarkStart w:id="10" w:name="_Toc13218"/>
      <w:r>
        <w:rPr>
          <w:rFonts w:ascii="仿宋" w:eastAsia="仿宋" w:hAnsi="仿宋" w:cs="仿宋" w:hint="eastAsia"/>
          <w:lang w:eastAsia="zh-CN"/>
        </w:rPr>
        <w:t>(一)、项目名称及建设性质</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生产线扩建：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1" w:name="_Toc11678"/>
      <w:r>
        <w:rPr>
          <w:rFonts w:ascii="仿宋" w:eastAsia="仿宋" w:hAnsi="仿宋" w:cs="仿宋" w:hint="eastAsia"/>
          <w:sz w:val="28"/>
          <w:lang w:eastAsia="zh-CN"/>
        </w:rPr>
        <w:t>(二)、项目承办单位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2" w:name="_Toc21508"/>
      <w:r>
        <w:rPr>
          <w:rFonts w:ascii="仿宋" w:eastAsia="仿宋" w:hAnsi="仿宋" w:cs="仿宋" w:hint="eastAsia"/>
          <w:sz w:val="28"/>
          <w:lang w:eastAsia="zh-CN"/>
        </w:rPr>
        <w:t>(三)、项目实施的可行性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复合微生物肥料行业进行新材料、新工艺、新产品的研发，以促进整个复合微生物肥料行业的结构调整和转型升级。这一系列政策的实施为复合微生物肥料行业提供了有力的支持，有助于复合微生物肥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复合微生物肥料行业提供了增长的空间，同时，逐步升级的消费需求也促使复合微生物肥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复合微生物肥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3" w:name="_Toc12401"/>
      <w:r>
        <w:rPr>
          <w:rFonts w:ascii="仿宋" w:eastAsia="仿宋" w:hAnsi="仿宋" w:cs="仿宋" w:hint="eastAsia"/>
          <w:sz w:val="28"/>
          <w:lang w:eastAsia="zh-CN"/>
        </w:rPr>
        <w:t>(四)、项目建设选址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4" w:name="_Toc17984"/>
      <w:r>
        <w:rPr>
          <w:rFonts w:ascii="仿宋" w:eastAsia="仿宋" w:hAnsi="仿宋" w:cs="仿宋" w:hint="eastAsia"/>
          <w:sz w:val="28"/>
          <w:lang w:eastAsia="zh-CN"/>
        </w:rPr>
        <w:t>(五)、建筑物建设规模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143"/>
      <w:r>
        <w:rPr>
          <w:rFonts w:ascii="仿宋" w:eastAsia="仿宋" w:hAnsi="仿宋" w:cs="仿宋" w:hint="eastAsia"/>
          <w:sz w:val="28"/>
          <w:lang w:eastAsia="zh-CN"/>
        </w:rPr>
        <w:t>(六)、项目总投资及资金构成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6" w:name="_Toc32238"/>
      <w:r>
        <w:rPr>
          <w:rFonts w:ascii="仿宋" w:eastAsia="仿宋" w:hAnsi="仿宋" w:cs="仿宋" w:hint="eastAsia"/>
          <w:sz w:val="28"/>
          <w:lang w:eastAsia="zh-CN"/>
        </w:rPr>
        <w:t>(七)、资金筹措方案</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公司计划邀请合作伙伴参与项目投资，共同分享项目的发展成果。通过与复合微生物肥料行业内有实力、资源丰富的合作伙伴达成合作协议，实现资源共享、风险分担，提高项目的整体实力。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7" w:name="_Toc9483"/>
      <w:r>
        <w:rPr>
          <w:rFonts w:ascii="仿宋" w:eastAsia="仿宋" w:hAnsi="仿宋" w:cs="仿宋" w:hint="eastAsia"/>
          <w:sz w:val="28"/>
          <w:lang w:eastAsia="zh-CN"/>
        </w:rPr>
        <w:t>(八)、项目预期经济效益规划目标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8" w:name="_Toc9642"/>
      <w:r>
        <w:rPr>
          <w:rFonts w:ascii="仿宋" w:eastAsia="仿宋" w:hAnsi="仿宋" w:cs="仿宋" w:hint="eastAsia"/>
          <w:sz w:val="28"/>
          <w:lang w:eastAsia="zh-CN"/>
        </w:rPr>
        <w:t>(九)、项目建设进度规划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项目可行性研究：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5369"/>
      <w:r>
        <w:rPr>
          <w:rFonts w:ascii="仿宋" w:eastAsia="仿宋" w:hAnsi="仿宋" w:cs="仿宋" w:hint="eastAsia"/>
          <w:sz w:val="28"/>
          <w:lang w:eastAsia="zh-CN"/>
        </w:rPr>
        <w:t>四、薪酬制度管理</w:t>
      </w:r>
      <w:bookmarkEnd w:id="19"/>
    </w:p>
    <w:p>
      <w:pPr>
        <w:pStyle w:val="Heading2"/>
        <w:rPr>
          <w:rFonts w:ascii="仿宋" w:eastAsia="仿宋" w:hAnsi="仿宋" w:cs="仿宋" w:hint="eastAsia"/>
          <w:lang w:eastAsia="zh-CN"/>
        </w:rPr>
      </w:pPr>
      <w:bookmarkStart w:id="20" w:name="_Toc18776"/>
      <w:r>
        <w:rPr>
          <w:rFonts w:ascii="仿宋" w:eastAsia="仿宋" w:hAnsi="仿宋" w:cs="仿宋" w:hint="eastAsia"/>
          <w:lang w:eastAsia="zh-CN"/>
        </w:rPr>
        <w:t>(一)、薪酬管理制度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复合微生物肥料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1" w:name="_Toc26025"/>
      <w:r>
        <w:rPr>
          <w:rFonts w:ascii="仿宋" w:eastAsia="仿宋" w:hAnsi="仿宋" w:cs="仿宋" w:hint="eastAsia"/>
          <w:sz w:val="28"/>
          <w:lang w:eastAsia="zh-CN"/>
        </w:rPr>
        <w:t>(二)、奖金制度的制定</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https://d.book118.com/986024134042010050</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A520D"/>
    <w:rsid w:val="31FA52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86024134042010050"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2023-12-19T10:40:00Z</dcterms:created>
  <dcterms:modified xsi:type="dcterms:W3CDTF">2023-12-19T10:40:26Z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C4A2F755A4E64300B25E6FE487827E81_11</vt:lpwstr>
  </property>
  <property fmtid="{D5CDD505-2E9C-101B-9397-08002B2CF9AE}" pid="3" name="KSOProductBuildVer">
    <vt:lpwstr>2052-12.1.0.16120</vt:lpwstr>
  </property>
</Properties>
</file>