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before="52" w:line="1585" w:lineRule="exact"/>
      </w:pPr>
      <w:r>
        <w:rPr>
          <w:position w:val="-31"/>
        </w:rPr>
        <w:pict>
          <v:group id="_x0000_i1025" style="width:522.95pt;height:79.25pt;mso-position-horizontal-relative:char;mso-position-vertical-relative:line" coordorigin="0,0" coordsize="10459,1585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0459;height:1585;position:absolute" filled="f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0283;height:1511;left:88;position:absolute;top:94" filled="f" stroked="f">
              <o:lock v:ext="edit" aspectratio="f"/>
              <v:textbox inset="0,0,0,0">
                <w:txbxContent>
                  <w:p>
                    <w:pPr>
                      <w:spacing w:before="19" w:line="213" w:lineRule="auto"/>
                      <w:ind w:left="49"/>
                      <w:rPr>
                        <w:rFonts w:ascii="Times New Roman" w:eastAsia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KaiTi" w:eastAsia="KaiTi" w:hAnsi="KaiTi" w:cs="KaiTi"/>
                        <w:spacing w:val="-3"/>
                        <w:sz w:val="28"/>
                        <w:szCs w:val="28"/>
                      </w:rPr>
                      <w:t>大东方</w:t>
                    </w:r>
                    <w:r>
                      <w:rPr>
                        <w:rFonts w:ascii="Times New Roman" w:eastAsia="Times New Roman" w:hAnsi="Times New Roman" w:cs="Times New Roman"/>
                        <w:spacing w:val="-3"/>
                        <w:sz w:val="28"/>
                        <w:szCs w:val="28"/>
                      </w:rPr>
                      <w:t>(600327)</w:t>
                    </w:r>
                  </w:p>
                  <w:p>
                    <w:pPr>
                      <w:spacing w:line="72" w:lineRule="exact"/>
                    </w:pPr>
                  </w:p>
                  <w:tbl>
                    <w:tblPr>
                      <w:tblStyle w:val="TableNormal"/>
                      <w:tblW w:w="10242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>
                    <w:tblGrid>
                      <w:gridCol w:w="10242"/>
                    </w:tblGrid>
                    <w:tr>
                      <w:tblPrEx>
                        <w:tblW w:w="10242" w:type="dxa"/>
                        <w:tblInd w:w="20" w:type="dxa"/>
                        <w:tblBorders>
                          <w:top w:val="nil"/>
                          <w:left w:val="nil"/>
                          <w:bottom w:val="nil"/>
                          <w:right w:val="nil"/>
                          <w:insideH w:val="nil"/>
                          <w:insideV w:val="nil"/>
                        </w:tblBorders>
                        <w:tblLayout w:type="fixed"/>
                      </w:tblPrEx>
                      <w:trPr>
                        <w:trHeight w:val="522"/>
                      </w:trPr>
                      <w:tc>
                        <w:tcPr>
                          <w:tcW w:w="10242" w:type="dxa"/>
                          <w:tcBorders>
                            <w:top w:val="single" w:sz="4" w:space="0" w:color="B70004"/>
                            <w:bottom w:val="single" w:sz="4" w:space="0" w:color="B70004"/>
                          </w:tcBorders>
                          <w:vAlign w:val="top"/>
                        </w:tcPr>
                        <w:p>
                          <w:pPr>
                            <w:spacing w:before="81" w:line="219" w:lineRule="auto"/>
                            <w:ind w:left="50"/>
                            <w:rPr>
                              <w:rFonts w:ascii="SimSun" w:eastAsia="SimSun" w:hAnsi="SimSun" w:cs="SimSun"/>
                              <w:sz w:val="36"/>
                              <w:szCs w:val="36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pacing w:val="-3"/>
                              <w:sz w:val="36"/>
                              <w:szCs w:val="36"/>
                              <w14:textOutline w14:w="6531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向宽而行，打造连锁儿科生态圈</w:t>
                          </w:r>
                        </w:p>
                      </w:tc>
                    </w:tr>
                    <w:tr>
                      <w:tblPrEx>
                        <w:tblW w:w="10242" w:type="dxa"/>
                        <w:tblInd w:w="20" w:type="dxa"/>
                        <w:tblLayout w:type="fixed"/>
                      </w:tblPrEx>
                      <w:trPr>
                        <w:trHeight w:val="523"/>
                      </w:trPr>
                      <w:tc>
                        <w:tcPr>
                          <w:tcW w:w="10242" w:type="dxa"/>
                          <w:tcBorders>
                            <w:top w:val="single" w:sz="4" w:space="0" w:color="B70004"/>
                            <w:bottom w:val="single" w:sz="4" w:space="0" w:color="B70004"/>
                          </w:tcBorders>
                          <w:vAlign w:val="top"/>
                        </w:tcPr>
                        <w:p>
                          <w:pPr>
                            <w:spacing w:before="120" w:line="219" w:lineRule="auto"/>
                            <w:ind w:left="8"/>
                            <w:rPr>
                              <w:rFonts w:ascii="SimSun" w:eastAsia="SimSun" w:hAnsi="SimSun" w:cs="SimSu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SimSun" w:eastAsia="SimSun" w:hAnsi="SimSun" w:cs="SimSun"/>
                              <w:color w:val="FFFFFF"/>
                              <w:sz w:val="28"/>
                              <w:szCs w:val="28"/>
                              <w14:textOutline w14:w="5094">
                                <w14:solidFill>
                                  <w14:srgbClr w14:val="FFFFFF"/>
                                </w14:solidFill>
                                <w14:prstDash w14:val="solid"/>
                                <w14:miter w14:lim="10"/>
                              </w14:textOutline>
                            </w:rPr>
                            <w:t>——大东方首次覆盖报告</w:t>
                          </w:r>
                        </w:p>
                      </w:tc>
                    </w:tr>
                  </w:tbl>
                  <w:p>
                    <w:pPr>
                      <w:rPr>
                        <w:rFonts w:ascii="Arial"/>
                        <w:sz w:val="21"/>
                      </w:rPr>
                    </w:pPr>
                  </w:p>
                </w:txbxContent>
              </v:textbox>
            </v:shape>
            <v:shape id="_x0000_s1028" type="#_x0000_t202" style="width:2592;height:240;left:7777;position:absolute;top:260" filled="f" stroked="f">
              <o:lock v:ext="edit" aspectratio="f"/>
              <v:textbox inset="0,0,0,0">
                <w:txbxContent>
                  <w:p>
                    <w:pPr>
                      <w:spacing w:before="19" w:line="226" w:lineRule="auto"/>
                      <w:jc w:val="right"/>
                      <w:rPr>
                        <w:rFonts w:ascii="KaiTi" w:eastAsia="KaiTi" w:hAnsi="KaiTi" w:cs="KaiTi"/>
                        <w:sz w:val="18"/>
                        <w:szCs w:val="18"/>
                      </w:rPr>
                    </w:pPr>
                    <w:r>
                      <w:rPr>
                        <w:rFonts w:ascii="KaiTi" w:eastAsia="KaiTi" w:hAnsi="KaiTi" w:cs="KaiTi"/>
                        <w:spacing w:val="-2"/>
                        <w:sz w:val="19"/>
                        <w:szCs w:val="19"/>
                      </w:rPr>
                      <w:t>报告日期：</w:t>
                    </w:r>
                    <w:r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</w:rPr>
                      <w:t xml:space="preserve">2024 </w:t>
                    </w:r>
                    <w:r>
                      <w:rPr>
                        <w:rFonts w:ascii="KaiTi" w:eastAsia="KaiTi" w:hAnsi="KaiTi" w:cs="KaiTi"/>
                        <w:spacing w:val="-2"/>
                        <w:sz w:val="18"/>
                        <w:szCs w:val="18"/>
                      </w:rPr>
                      <w:t>年</w:t>
                    </w:r>
                    <w:r>
                      <w:rPr>
                        <w:rFonts w:ascii="KaiTi" w:eastAsia="KaiTi" w:hAnsi="KaiTi" w:cs="KaiTi"/>
                        <w:spacing w:val="-26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</w:rPr>
                      <w:t xml:space="preserve">02 </w:t>
                    </w:r>
                    <w:r>
                      <w:rPr>
                        <w:rFonts w:ascii="KaiTi" w:eastAsia="KaiTi" w:hAnsi="KaiTi" w:cs="KaiTi"/>
                        <w:spacing w:val="-2"/>
                        <w:sz w:val="18"/>
                        <w:szCs w:val="18"/>
                      </w:rPr>
                      <w:t>月</w:t>
                    </w:r>
                    <w:r>
                      <w:rPr>
                        <w:rFonts w:ascii="KaiTi" w:eastAsia="KaiTi" w:hAnsi="KaiTi" w:cs="KaiTi"/>
                        <w:spacing w:val="-42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Arial" w:eastAsia="Arial" w:hAnsi="Arial" w:cs="Arial"/>
                        <w:spacing w:val="-2"/>
                        <w:sz w:val="18"/>
                        <w:szCs w:val="18"/>
                      </w:rPr>
                      <w:t>23</w:t>
                    </w:r>
                    <w:r>
                      <w:rPr>
                        <w:rFonts w:ascii="Arial" w:eastAsia="Arial" w:hAnsi="Arial" w:cs="Arial"/>
                        <w:spacing w:val="33"/>
                        <w:sz w:val="18"/>
                        <w:szCs w:val="18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-2"/>
                        <w:sz w:val="18"/>
                        <w:szCs w:val="18"/>
                      </w:rPr>
                      <w:t>日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line="157" w:lineRule="exact"/>
      </w:pPr>
    </w:p>
    <w:p>
      <w:pPr>
        <w:spacing w:line="157" w:lineRule="exact"/>
        <w:sectPr>
          <w:headerReference w:type="default" r:id="rId5"/>
          <w:footerReference w:type="default" r:id="rId6"/>
          <w:pgSz w:w="11907" w:h="16839"/>
          <w:pgMar w:top="1327" w:right="727" w:bottom="1027" w:left="720" w:header="851" w:footer="796" w:gutter="0"/>
          <w:cols w:num="1" w:space="708" w:equalWidth="0">
            <w:col w:w="10459" w:space="0"/>
          </w:cols>
        </w:sectPr>
      </w:pPr>
    </w:p>
    <w:p>
      <w:pPr>
        <w:pStyle w:val="BodyText"/>
        <w:spacing w:line="216" w:lineRule="auto"/>
        <w:ind w:left="109"/>
        <w:rPr>
          <w:sz w:val="28"/>
          <w:szCs w:val="28"/>
        </w:rPr>
      </w:pPr>
      <w:r>
        <w:rPr>
          <w:color w:val="B70004"/>
          <w:spacing w:val="1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报告导读</w:t>
      </w:r>
    </w:p>
    <w:p>
      <w:pPr>
        <w:pStyle w:val="BodyText"/>
        <w:spacing w:before="123" w:line="221" w:lineRule="auto"/>
        <w:ind w:left="109"/>
      </w:pPr>
      <w:r>
        <w:rPr>
          <w:spacing w:val="9"/>
        </w:rPr>
        <w:t>把握连锁儿科优质流量入口，多赛道协同布局增量可期。</w:t>
      </w:r>
    </w:p>
    <w:p>
      <w:pPr>
        <w:pStyle w:val="BodyText"/>
        <w:spacing w:before="143" w:line="219" w:lineRule="auto"/>
        <w:ind w:left="108"/>
        <w:rPr>
          <w:sz w:val="28"/>
          <w:szCs w:val="28"/>
        </w:rPr>
      </w:pPr>
      <w:r>
        <w:rPr>
          <w:color w:val="B70004"/>
          <w:spacing w:val="1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投资要点</w:t>
      </w:r>
    </w:p>
    <w:p>
      <w:pPr>
        <w:pStyle w:val="BodyText"/>
        <w:spacing w:before="120" w:line="221" w:lineRule="auto"/>
        <w:ind w:left="124"/>
      </w:pPr>
      <w:r>
        <w:rPr>
          <w:color w:val="C00000"/>
        </w:rPr>
        <w:drawing>
          <wp:inline distT="0" distB="0" distL="0" distR="0">
            <wp:extent cx="102079" cy="9284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  <w:spacing w:val="33"/>
        </w:rPr>
        <w:t xml:space="preserve"> 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儿科医疗：</w:t>
      </w:r>
      <w:r>
        <w:rPr>
          <w:color w:val="C00000"/>
          <w:spacing w:val="48"/>
        </w:rPr>
        <w:t xml:space="preserve">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供需共振空间广阔，民营机构差异化破局</w:t>
      </w:r>
    </w:p>
    <w:p>
      <w:pPr>
        <w:pStyle w:val="BodyText"/>
        <w:spacing w:before="38" w:line="242" w:lineRule="auto"/>
        <w:ind w:left="509" w:right="230" w:firstLine="12"/>
        <w:jc w:val="both"/>
      </w:pPr>
      <w:r>
        <w:rPr>
          <w:spacing w:val="1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需求侧：</w:t>
      </w:r>
      <w:r>
        <w:rPr>
          <w:spacing w:val="45"/>
        </w:rPr>
        <w:t xml:space="preserve"> </w:t>
      </w:r>
      <w:r>
        <w:rPr>
          <w:spacing w:val="1"/>
        </w:rPr>
        <w:t>受益于需求端客群基数</w:t>
      </w:r>
      <w:r>
        <w:rPr>
          <w:rFonts w:ascii="Times New Roman" w:eastAsia="Times New Roman" w:hAnsi="Times New Roman" w:cs="Times New Roman"/>
          <w:spacing w:val="1"/>
        </w:rPr>
        <w:t>+</w:t>
      </w:r>
      <w:r>
        <w:rPr>
          <w:spacing w:val="1"/>
        </w:rPr>
        <w:t>新生代父母育儿精细化趋势，</w:t>
      </w:r>
      <w:r>
        <w:rPr>
          <w:spacing w:val="65"/>
        </w:rPr>
        <w:t xml:space="preserve"> </w:t>
      </w:r>
      <w:r>
        <w:rPr>
          <w:spacing w:val="1"/>
        </w:rPr>
        <w:t>儿科</w:t>
      </w:r>
      <w:r>
        <w:t>医疗空间广</w:t>
      </w:r>
      <w:r>
        <w:t xml:space="preserve"> </w:t>
      </w:r>
      <w:r>
        <w:rPr>
          <w:spacing w:val="6"/>
        </w:rPr>
        <w:t>阔，据新世纪医疗官微披露估算，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2016-2021 </w:t>
      </w:r>
      <w:r>
        <w:rPr>
          <w:spacing w:val="6"/>
        </w:rPr>
        <w:t>年中国儿科</w:t>
      </w:r>
      <w:r>
        <w:rPr>
          <w:spacing w:val="5"/>
        </w:rPr>
        <w:t>医疗服务市场规模可保</w:t>
      </w:r>
      <w:r>
        <w:t xml:space="preserve"> </w:t>
      </w:r>
      <w:r>
        <w:rPr>
          <w:spacing w:val="5"/>
        </w:rPr>
        <w:t>持</w:t>
      </w:r>
      <w:r>
        <w:rPr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20%</w:t>
      </w:r>
      <w:r>
        <w:rPr>
          <w:spacing w:val="5"/>
        </w:rPr>
        <w:t>年复合增速，至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2021 </w:t>
      </w:r>
      <w:r>
        <w:rPr>
          <w:spacing w:val="5"/>
        </w:rPr>
        <w:t>年达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2304 </w:t>
      </w:r>
      <w:r>
        <w:rPr>
          <w:spacing w:val="5"/>
        </w:rPr>
        <w:t>亿元。</w:t>
      </w:r>
    </w:p>
    <w:p>
      <w:pPr>
        <w:pStyle w:val="BodyText"/>
        <w:spacing w:before="94" w:line="236" w:lineRule="auto"/>
        <w:ind w:left="509"/>
      </w:pP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供给侧：</w:t>
      </w:r>
      <w:r>
        <w:rPr>
          <w:spacing w:val="65"/>
        </w:rPr>
        <w:t xml:space="preserve"> </w:t>
      </w:r>
      <w:r>
        <w:rPr>
          <w:spacing w:val="3"/>
        </w:rPr>
        <w:t>截至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21 </w:t>
      </w:r>
      <w:r>
        <w:rPr>
          <w:spacing w:val="3"/>
        </w:rPr>
        <w:t>年，我国每千名儿童床位数</w:t>
      </w:r>
      <w:r>
        <w:rPr>
          <w:rFonts w:ascii="Times New Roman" w:eastAsia="Times New Roman" w:hAnsi="Times New Roman" w:cs="Times New Roman"/>
          <w:spacing w:val="3"/>
        </w:rPr>
        <w:t>/</w:t>
      </w:r>
      <w:r>
        <w:rPr>
          <w:spacing w:val="3"/>
        </w:rPr>
        <w:t>儿科医师</w:t>
      </w:r>
      <w:r>
        <w:rPr>
          <w:spacing w:val="2"/>
        </w:rPr>
        <w:t>数分别为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2.2 </w:t>
      </w:r>
      <w:r>
        <w:rPr>
          <w:spacing w:val="2"/>
        </w:rPr>
        <w:t>个</w:t>
      </w:r>
      <w:r>
        <w:rPr>
          <w:rFonts w:ascii="Times New Roman" w:eastAsia="Times New Roman" w:hAnsi="Times New Roman" w:cs="Times New Roman"/>
          <w:spacing w:val="2"/>
        </w:rPr>
        <w:t xml:space="preserve">/0.78 </w:t>
      </w:r>
      <w:r>
        <w:rPr>
          <w:spacing w:val="2"/>
        </w:rPr>
        <w:t>人，</w:t>
      </w:r>
    </w:p>
    <w:p>
      <w:pPr>
        <w:pStyle w:val="BodyText"/>
        <w:spacing w:before="16" w:line="245" w:lineRule="auto"/>
        <w:ind w:left="509" w:right="145"/>
      </w:pPr>
      <w:r>
        <w:rPr>
          <w:spacing w:val="7"/>
        </w:rPr>
        <w:t>较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2030 </w:t>
      </w:r>
      <w:r>
        <w:rPr>
          <w:spacing w:val="7"/>
        </w:rPr>
        <w:t>年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3.17 </w:t>
      </w:r>
      <w:r>
        <w:rPr>
          <w:spacing w:val="7"/>
        </w:rPr>
        <w:t>个</w:t>
      </w:r>
      <w:r>
        <w:rPr>
          <w:rFonts w:ascii="Times New Roman" w:eastAsia="Times New Roman" w:hAnsi="Times New Roman" w:cs="Times New Roman"/>
          <w:spacing w:val="7"/>
        </w:rPr>
        <w:t xml:space="preserve">/1.12 </w:t>
      </w:r>
      <w:r>
        <w:rPr>
          <w:spacing w:val="7"/>
        </w:rPr>
        <w:t>人的发展目标差距较大，与此同时儿</w:t>
      </w:r>
      <w:r>
        <w:rPr>
          <w:spacing w:val="6"/>
        </w:rPr>
        <w:t>童医院床位使用高负</w:t>
      </w:r>
      <w:r>
        <w:t xml:space="preserve"> </w:t>
      </w:r>
      <w:r>
        <w:rPr>
          <w:spacing w:val="10"/>
        </w:rPr>
        <w:t>荷，行业供需失衡现象明显。近年来鼓励社会办医、多点执业等相</w:t>
      </w:r>
      <w:r>
        <w:rPr>
          <w:spacing w:val="9"/>
        </w:rPr>
        <w:t>关政策频出，</w:t>
      </w:r>
      <w:r>
        <w:t xml:space="preserve"> </w:t>
      </w:r>
      <w:r>
        <w:rPr>
          <w:spacing w:val="3"/>
        </w:rPr>
        <w:t>鼓励民营机构发展，</w:t>
      </w:r>
      <w:r>
        <w:rPr>
          <w:spacing w:val="3"/>
        </w:rPr>
        <w:t xml:space="preserve"> </w:t>
      </w:r>
      <w:r>
        <w:rPr>
          <w:spacing w:val="3"/>
        </w:rPr>
        <w:t>未来有望与定位严肃医疗兜底服务的公立医院形成互补，</w:t>
      </w:r>
      <w:r>
        <w:rPr>
          <w:spacing w:val="47"/>
        </w:rPr>
        <w:t xml:space="preserve"> </w:t>
      </w:r>
      <w:r>
        <w:rPr>
          <w:spacing w:val="3"/>
        </w:rPr>
        <w:t>当</w:t>
      </w:r>
      <w:r>
        <w:t xml:space="preserve"> </w:t>
      </w:r>
      <w:r>
        <w:rPr>
          <w:spacing w:val="4"/>
        </w:rPr>
        <w:t>前行业暂无强有力头部品牌跑出，</w:t>
      </w:r>
      <w:r>
        <w:rPr>
          <w:spacing w:val="4"/>
        </w:rPr>
        <w:t xml:space="preserve"> </w:t>
      </w:r>
      <w:r>
        <w:rPr>
          <w:spacing w:val="4"/>
        </w:rPr>
        <w:t>后续或存在进一步整合空间。</w:t>
      </w:r>
    </w:p>
    <w:p>
      <w:pPr>
        <w:pStyle w:val="BodyText"/>
        <w:spacing w:before="85" w:line="247" w:lineRule="auto"/>
        <w:ind w:left="534" w:right="116" w:firstLine="2"/>
      </w:pPr>
      <w:r>
        <w:rPr>
          <w:spacing w:val="2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行业趋势：</w:t>
      </w:r>
      <w:r>
        <w:rPr>
          <w:spacing w:val="2"/>
        </w:rPr>
        <w:t xml:space="preserve"> </w:t>
      </w:r>
      <w:r>
        <w:rPr>
          <w:spacing w:val="2"/>
        </w:rPr>
        <w:t>受儿科医疗自身特点影响，公立医疗消费心智稳固，</w:t>
      </w:r>
      <w:r>
        <w:rPr>
          <w:spacing w:val="84"/>
        </w:rPr>
        <w:t xml:space="preserve"> </w:t>
      </w:r>
      <w:r>
        <w:rPr>
          <w:spacing w:val="2"/>
        </w:rPr>
        <w:t>民营机构在实际</w:t>
      </w:r>
      <w:r>
        <w:t xml:space="preserve"> </w:t>
      </w:r>
      <w:r>
        <w:rPr>
          <w:spacing w:val="5"/>
        </w:rPr>
        <w:t>市场竞争中本质为公立机构的补充，</w:t>
      </w:r>
      <w:r>
        <w:rPr>
          <w:spacing w:val="73"/>
        </w:rPr>
        <w:t xml:space="preserve"> </w:t>
      </w:r>
      <w:r>
        <w:rPr>
          <w:spacing w:val="5"/>
        </w:rPr>
        <w:t>其发展壮大需要直面消费信任度及自身业务</w:t>
      </w:r>
      <w:r>
        <w:t xml:space="preserve"> </w:t>
      </w:r>
      <w:r>
        <w:rPr>
          <w:spacing w:val="7"/>
        </w:rPr>
        <w:t>可持续性痛点。</w:t>
      </w:r>
      <w:r>
        <w:rPr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我们认为差异化定位</w:t>
      </w:r>
      <w:r>
        <w:rPr>
          <w:rFonts w:ascii="Times New Roman" w:eastAsia="Times New Roman" w:hAnsi="Times New Roman" w:cs="Times New Roman"/>
          <w:b/>
          <w:bCs/>
          <w:spacing w:val="7"/>
        </w:rPr>
        <w:t>+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多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元化延展</w:t>
      </w:r>
      <w:r>
        <w:rPr>
          <w:rFonts w:ascii="Times New Roman" w:eastAsia="Times New Roman" w:hAnsi="Times New Roman" w:cs="Times New Roman"/>
          <w:b/>
          <w:bCs/>
          <w:spacing w:val="6"/>
        </w:rPr>
        <w:t>+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连锁化经营或为民营儿科破</w:t>
      </w:r>
      <w:r>
        <w:rPr>
          <w:spacing w:val="6"/>
        </w:rPr>
        <w:t xml:space="preserve"> 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局之道，</w:t>
      </w:r>
      <w:r>
        <w:rPr>
          <w:spacing w:val="4"/>
        </w:rPr>
        <w:t xml:space="preserve"> </w:t>
      </w:r>
      <w:r>
        <w:rPr>
          <w:spacing w:val="4"/>
        </w:rPr>
        <w:t>即选取复购属性强、医保覆盖少的高潜赛道，</w:t>
      </w:r>
      <w:r>
        <w:rPr>
          <w:spacing w:val="4"/>
        </w:rPr>
        <w:t xml:space="preserve"> </w:t>
      </w:r>
      <w:r>
        <w:rPr>
          <w:spacing w:val="4"/>
        </w:rPr>
        <w:t>并重视客群多维度、全生</w:t>
      </w:r>
      <w:r>
        <w:rPr>
          <w:spacing w:val="8"/>
        </w:rPr>
        <w:t xml:space="preserve"> </w:t>
      </w:r>
      <w:r>
        <w:rPr>
          <w:spacing w:val="10"/>
        </w:rPr>
        <w:t>命周期需求挖掘，此外在运营端借力线上导流缓解获客难题，连锁扩张</w:t>
      </w:r>
      <w:r>
        <w:rPr>
          <w:spacing w:val="9"/>
        </w:rPr>
        <w:t>塑造消费</w:t>
      </w:r>
      <w:r>
        <w:t xml:space="preserve"> </w:t>
      </w:r>
      <w:r>
        <w:rPr>
          <w:spacing w:val="8"/>
        </w:rPr>
        <w:t>认知，最终建立自身品牌效应、实现与公立机构的差异化竞争。</w:t>
      </w:r>
    </w:p>
    <w:p>
      <w:pPr>
        <w:pStyle w:val="BodyText"/>
        <w:spacing w:before="32" w:line="221" w:lineRule="auto"/>
        <w:ind w:left="124"/>
      </w:pPr>
      <w:r>
        <w:rPr>
          <w:color w:val="C00000"/>
        </w:rPr>
        <w:drawing>
          <wp:inline distT="0" distB="0" distL="0" distR="0">
            <wp:extent cx="102079" cy="92845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  <w:spacing w:val="39"/>
        </w:rPr>
        <w:t xml:space="preserve"> 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大东方：</w:t>
      </w:r>
      <w:r>
        <w:rPr>
          <w:color w:val="C00000"/>
          <w:spacing w:val="6"/>
        </w:rPr>
        <w:t xml:space="preserve">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把握身高管理流量入口，多赛道布局协同优势明显</w:t>
      </w:r>
    </w:p>
    <w:p>
      <w:pPr>
        <w:pStyle w:val="BodyText"/>
        <w:spacing w:before="38" w:line="245" w:lineRule="auto"/>
        <w:ind w:left="506" w:right="209" w:firstLine="4"/>
      </w:pPr>
      <w:r>
        <w:rPr>
          <w:rFonts w:ascii="Times New Roman" w:eastAsia="Times New Roman" w:hAnsi="Times New Roman" w:cs="Times New Roman"/>
          <w:spacing w:val="5"/>
        </w:rPr>
        <w:t xml:space="preserve">2021 </w:t>
      </w:r>
      <w:r>
        <w:rPr>
          <w:spacing w:val="5"/>
        </w:rPr>
        <w:t>年设立子公司均瑶医疗布局医疗健康，</w:t>
      </w:r>
      <w:r>
        <w:rPr>
          <w:spacing w:val="48"/>
        </w:rPr>
        <w:t xml:space="preserve"> </w:t>
      </w:r>
      <w:r>
        <w:rPr>
          <w:spacing w:val="5"/>
        </w:rPr>
        <w:t>当前已形成特色儿科（</w:t>
      </w:r>
      <w:r>
        <w:rPr>
          <w:spacing w:val="4"/>
        </w:rPr>
        <w:t>涵盖儿童全</w:t>
      </w:r>
      <w:r>
        <w:t xml:space="preserve">  </w:t>
      </w:r>
      <w:r>
        <w:rPr>
          <w:spacing w:val="2"/>
        </w:rPr>
        <w:t>发育周期医疗服务和特需儿童康复）</w:t>
      </w:r>
      <w:r>
        <w:rPr>
          <w:spacing w:val="2"/>
        </w:rPr>
        <w:t xml:space="preserve"> </w:t>
      </w:r>
      <w:r>
        <w:rPr>
          <w:spacing w:val="2"/>
        </w:rPr>
        <w:t>及综合医院两大板块布局。</w:t>
      </w:r>
      <w:r>
        <w:rPr>
          <w:spacing w:val="63"/>
        </w:rPr>
        <w:t xml:space="preserve"> </w:t>
      </w:r>
      <w:r>
        <w:rPr>
          <w:spacing w:val="2"/>
        </w:rPr>
        <w:t>截至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23H1 </w:t>
      </w:r>
      <w:r>
        <w:rPr>
          <w:spacing w:val="2"/>
        </w:rPr>
        <w:t>公司</w:t>
      </w:r>
      <w:r>
        <w:t xml:space="preserve"> </w:t>
      </w:r>
      <w:r>
        <w:rPr>
          <w:spacing w:val="5"/>
        </w:rPr>
        <w:t>运营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50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5"/>
        </w:rPr>
        <w:t>家儿童医疗服务连锁机构（</w:t>
      </w:r>
      <w:r>
        <w:rPr>
          <w:rFonts w:ascii="Times New Roman" w:eastAsia="Times New Roman" w:hAnsi="Times New Roman" w:cs="Times New Roman"/>
          <w:spacing w:val="5"/>
        </w:rPr>
        <w:t xml:space="preserve">23 </w:t>
      </w:r>
      <w:r>
        <w:rPr>
          <w:spacing w:val="5"/>
        </w:rPr>
        <w:t>健高儿科</w:t>
      </w:r>
      <w:r>
        <w:rPr>
          <w:rFonts w:ascii="Times New Roman" w:eastAsia="Times New Roman" w:hAnsi="Times New Roman" w:cs="Times New Roman"/>
          <w:spacing w:val="5"/>
        </w:rPr>
        <w:t xml:space="preserve">+21 </w:t>
      </w:r>
      <w:r>
        <w:rPr>
          <w:spacing w:val="5"/>
        </w:rPr>
        <w:t>雅恩健康</w:t>
      </w:r>
      <w:r>
        <w:rPr>
          <w:rFonts w:ascii="Times New Roman" w:eastAsia="Times New Roman" w:hAnsi="Times New Roman" w:cs="Times New Roman"/>
          <w:spacing w:val="5"/>
        </w:rPr>
        <w:t xml:space="preserve">+6 </w:t>
      </w:r>
      <w:r>
        <w:rPr>
          <w:spacing w:val="5"/>
        </w:rPr>
        <w:t>知贝医疗</w:t>
      </w:r>
      <w:r>
        <w:rPr>
          <w:spacing w:val="-13"/>
        </w:rPr>
        <w:t>），</w:t>
      </w:r>
      <w:r>
        <w:rPr>
          <w:spacing w:val="5"/>
        </w:rPr>
        <w:t>覆</w:t>
      </w:r>
      <w:r>
        <w:t xml:space="preserve">  </w:t>
      </w:r>
      <w:r>
        <w:rPr>
          <w:spacing w:val="2"/>
        </w:rPr>
        <w:t>盖全国超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30 </w:t>
      </w:r>
      <w:r>
        <w:rPr>
          <w:spacing w:val="2"/>
        </w:rPr>
        <w:t>个大中型城市，</w:t>
      </w:r>
      <w:r>
        <w:rPr>
          <w:rFonts w:ascii="Times New Roman" w:eastAsia="Times New Roman" w:hAnsi="Times New Roman" w:cs="Times New Roman"/>
          <w:spacing w:val="2"/>
        </w:rPr>
        <w:t>23H1</w:t>
      </w:r>
      <w:r>
        <w:rPr>
          <w:rFonts w:ascii="Times New Roman" w:eastAsia="Times New Roman" w:hAnsi="Times New Roman" w:cs="Times New Roman"/>
          <w:spacing w:val="26"/>
          <w:w w:val="101"/>
        </w:rPr>
        <w:t xml:space="preserve"> </w:t>
      </w:r>
      <w:r>
        <w:rPr>
          <w:spacing w:val="2"/>
        </w:rPr>
        <w:t>医疗业务营</w:t>
      </w:r>
      <w:r>
        <w:rPr>
          <w:spacing w:val="1"/>
        </w:rPr>
        <w:t>收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12.2 </w:t>
      </w:r>
      <w:r>
        <w:rPr>
          <w:spacing w:val="1"/>
        </w:rPr>
        <w:t>亿元，</w:t>
      </w:r>
      <w:r>
        <w:rPr>
          <w:spacing w:val="50"/>
        </w:rPr>
        <w:t xml:space="preserve"> </w:t>
      </w:r>
      <w:r>
        <w:rPr>
          <w:spacing w:val="1"/>
        </w:rPr>
        <w:t>占比达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>69%</w:t>
      </w:r>
      <w:r>
        <w:rPr>
          <w:spacing w:val="1"/>
        </w:rPr>
        <w:t>。</w:t>
      </w:r>
    </w:p>
    <w:p>
      <w:pPr>
        <w:pStyle w:val="BodyText"/>
        <w:spacing w:before="91" w:line="239" w:lineRule="auto"/>
        <w:ind w:left="518" w:right="289" w:hanging="10"/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客户流量入口</w:t>
      </w:r>
      <w:r>
        <w:rPr>
          <w:rFonts w:ascii="Times New Roman" w:eastAsia="Times New Roman" w:hAnsi="Times New Roman" w:cs="Times New Roman"/>
          <w:b/>
          <w:bCs/>
          <w:spacing w:val="7"/>
        </w:rPr>
        <w:t>+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高协同赛道延展</w:t>
      </w:r>
      <w:r>
        <w:rPr>
          <w:rFonts w:ascii="Times New Roman" w:eastAsia="Times New Roman" w:hAnsi="Times New Roman" w:cs="Times New Roman"/>
          <w:b/>
          <w:bCs/>
          <w:spacing w:val="7"/>
        </w:rPr>
        <w:t>+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医师资源储备，</w:t>
      </w:r>
      <w:r>
        <w:rPr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公司儿科连锁三大品牌核心优</w:t>
      </w:r>
      <w:r>
        <w:rPr>
          <w:spacing w:val="18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势各有侧重：</w:t>
      </w:r>
    </w:p>
    <w:p>
      <w:pPr>
        <w:pStyle w:val="BodyText"/>
        <w:spacing w:before="90" w:line="247" w:lineRule="auto"/>
        <w:ind w:left="506" w:right="192" w:firstLine="13"/>
        <w:jc w:val="both"/>
      </w:pPr>
      <w:r>
        <w:rPr>
          <w:rFonts w:ascii="Times New Roman" w:eastAsia="Times New Roman" w:hAnsi="Times New Roman" w:cs="Times New Roman"/>
          <w:b/>
          <w:bCs/>
          <w:spacing w:val="4"/>
        </w:rPr>
        <w:t>1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）健高儿科：</w:t>
      </w:r>
      <w:r>
        <w:rPr>
          <w:spacing w:val="34"/>
        </w:rPr>
        <w:t xml:space="preserve"> </w:t>
      </w:r>
      <w:r>
        <w:rPr>
          <w:spacing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卡位生长激素黄金赛道，天然具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备流量入口属性，</w:t>
      </w:r>
      <w:r>
        <w:rPr>
          <w:spacing w:val="3"/>
        </w:rPr>
        <w:t xml:space="preserve"> </w:t>
      </w:r>
      <w:r>
        <w:rPr>
          <w:spacing w:val="3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可为后续拓展</w:t>
      </w:r>
      <w:r>
        <w:t xml:space="preserve"> </w:t>
      </w:r>
      <w:r>
        <w:rPr>
          <w:spacing w:val="8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夯实客群基础。</w:t>
      </w:r>
      <w:r>
        <w:rPr>
          <w:spacing w:val="8"/>
        </w:rPr>
        <w:t>我国儿童矮小症市场高基数</w:t>
      </w:r>
      <w:r>
        <w:rPr>
          <w:rFonts w:ascii="Times New Roman" w:eastAsia="Times New Roman" w:hAnsi="Times New Roman" w:cs="Times New Roman"/>
          <w:spacing w:val="8"/>
        </w:rPr>
        <w:t>+</w:t>
      </w:r>
      <w:r>
        <w:rPr>
          <w:spacing w:val="8"/>
        </w:rPr>
        <w:t>低渗透，预计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2018-2030 </w:t>
      </w:r>
      <w:r>
        <w:rPr>
          <w:spacing w:val="8"/>
        </w:rPr>
        <w:t>年市场规</w:t>
      </w:r>
      <w:r>
        <w:rPr>
          <w:spacing w:val="8"/>
        </w:rPr>
        <w:t xml:space="preserve"> </w:t>
      </w:r>
      <w:r>
        <w:rPr>
          <w:spacing w:val="9"/>
        </w:rPr>
        <w:t>模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9"/>
        </w:rPr>
        <w:t xml:space="preserve"> </w:t>
      </w:r>
      <w:r>
        <w:rPr>
          <w:spacing w:val="9"/>
        </w:rPr>
        <w:t>达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16%</w:t>
      </w:r>
      <w:r>
        <w:rPr>
          <w:spacing w:val="9"/>
        </w:rPr>
        <w:t>，行业集中度极高，龙一为长春高新子公司金赛药业</w:t>
      </w:r>
      <w:r>
        <w:rPr>
          <w:spacing w:val="8"/>
        </w:rPr>
        <w:t>，市占率</w:t>
      </w:r>
      <w:r>
        <w:t xml:space="preserve">  </w:t>
      </w:r>
      <w:r>
        <w:rPr>
          <w:spacing w:val="4"/>
        </w:rPr>
        <w:t>超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70%</w:t>
      </w:r>
      <w:r>
        <w:rPr>
          <w:rFonts w:ascii="Times New Roman" w:eastAsia="Times New Roman" w:hAnsi="Times New Roman" w:cs="Times New Roman"/>
          <w:spacing w:val="24"/>
          <w:w w:val="101"/>
        </w:rPr>
        <w:t xml:space="preserve"> </w:t>
      </w:r>
      <w:r>
        <w:rPr>
          <w:spacing w:val="4"/>
        </w:rPr>
        <w:t>。健高定位金赛药业下游医疗服务平台，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22 </w:t>
      </w:r>
      <w:r>
        <w:rPr>
          <w:spacing w:val="4"/>
        </w:rPr>
        <w:t>年全年收入约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18.6 </w:t>
      </w:r>
      <w:r>
        <w:rPr>
          <w:spacing w:val="4"/>
        </w:rPr>
        <w:t>亿，同比</w:t>
      </w:r>
      <w:r>
        <w:t xml:space="preserve"> </w:t>
      </w:r>
      <w:r>
        <w:rPr>
          <w:rFonts w:ascii="Times New Roman" w:eastAsia="Times New Roman" w:hAnsi="Times New Roman" w:cs="Times New Roman"/>
          <w:spacing w:val="6"/>
        </w:rPr>
        <w:t>+101%</w:t>
      </w:r>
      <w:r>
        <w:rPr>
          <w:spacing w:val="6"/>
        </w:rPr>
        <w:t>，占公司医疗业务比重超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80%</w:t>
      </w:r>
      <w:r>
        <w:rPr>
          <w:spacing w:val="6"/>
        </w:rPr>
        <w:t>。大东方收购后，</w:t>
      </w:r>
      <w:r>
        <w:rPr>
          <w:spacing w:val="6"/>
        </w:rPr>
        <w:t xml:space="preserve"> </w:t>
      </w:r>
      <w:r>
        <w:rPr>
          <w:spacing w:val="6"/>
        </w:rPr>
        <w:t>对其诊前</w:t>
      </w:r>
      <w:r>
        <w:rPr>
          <w:rFonts w:ascii="Times New Roman" w:eastAsia="Times New Roman" w:hAnsi="Times New Roman" w:cs="Times New Roman"/>
          <w:spacing w:val="6"/>
        </w:rPr>
        <w:t>-</w:t>
      </w:r>
      <w:r>
        <w:rPr>
          <w:spacing w:val="5"/>
        </w:rPr>
        <w:t>诊中</w:t>
      </w:r>
      <w:r>
        <w:rPr>
          <w:rFonts w:ascii="Times New Roman" w:eastAsia="Times New Roman" w:hAnsi="Times New Roman" w:cs="Times New Roman"/>
          <w:spacing w:val="5"/>
        </w:rPr>
        <w:t>-</w:t>
      </w:r>
      <w:r>
        <w:rPr>
          <w:spacing w:val="5"/>
        </w:rPr>
        <w:t>诊后流程</w:t>
      </w:r>
      <w:r>
        <w:t xml:space="preserve"> </w:t>
      </w:r>
      <w:r>
        <w:rPr>
          <w:spacing w:val="6"/>
        </w:rPr>
        <w:t>标准化改造，</w:t>
      </w:r>
      <w:r>
        <w:rPr>
          <w:spacing w:val="6"/>
        </w:rPr>
        <w:t xml:space="preserve"> </w:t>
      </w:r>
      <w:r>
        <w:rPr>
          <w:spacing w:val="6"/>
        </w:rPr>
        <w:t>预计将持续发挥生长激素流量池功能，横</w:t>
      </w:r>
      <w:r>
        <w:rPr>
          <w:spacing w:val="5"/>
        </w:rPr>
        <w:t>向拓展高毛利专科项目。</w:t>
      </w:r>
    </w:p>
    <w:p>
      <w:pPr>
        <w:pStyle w:val="BodyText"/>
        <w:spacing w:before="94" w:line="236" w:lineRule="auto"/>
        <w:ind w:left="511"/>
      </w:pPr>
      <w:r>
        <w:rPr>
          <w:rFonts w:ascii="Times New Roman" w:eastAsia="Times New Roman" w:hAnsi="Times New Roman" w:cs="Times New Roman"/>
          <w:b/>
          <w:bCs/>
          <w:spacing w:val="10"/>
        </w:rPr>
        <w:t>2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）雅恩健康：强标准化能力</w:t>
      </w:r>
      <w:r>
        <w:rPr>
          <w:rFonts w:ascii="Times New Roman" w:eastAsia="Times New Roman" w:hAnsi="Times New Roman" w:cs="Times New Roman"/>
          <w:b/>
          <w:bCs/>
          <w:spacing w:val="10"/>
        </w:rPr>
        <w:t>+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业务协同性强，有望赋能公司连锁服务体系构</w:t>
      </w:r>
    </w:p>
    <w:p>
      <w:pPr>
        <w:pStyle w:val="BodyText"/>
        <w:spacing w:before="14" w:line="249" w:lineRule="auto"/>
        <w:ind w:left="508" w:right="144" w:firstLine="6"/>
      </w:pP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建。</w:t>
      </w:r>
      <w:r>
        <w:rPr>
          <w:spacing w:val="9"/>
        </w:rPr>
        <w:t>我国孤独症儿童患病率逐年增长，患儿家庭年均康复费用超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8 </w:t>
      </w:r>
      <w:r>
        <w:rPr>
          <w:spacing w:val="8"/>
        </w:rPr>
        <w:t>万元，与此同</w:t>
      </w:r>
      <w:r>
        <w:t xml:space="preserve"> </w:t>
      </w:r>
      <w:r>
        <w:rPr>
          <w:spacing w:val="7"/>
        </w:rPr>
        <w:t>时残联在册康复教师与患儿比例高达</w:t>
      </w:r>
      <w:r>
        <w:rPr>
          <w:spacing w:val="-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1:130</w:t>
      </w:r>
      <w:r>
        <w:rPr>
          <w:spacing w:val="7"/>
        </w:rPr>
        <w:t>，供需矛盾突出。雅恩健康拥有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18 </w:t>
      </w:r>
      <w:r>
        <w:rPr>
          <w:spacing w:val="7"/>
        </w:rPr>
        <w:t>年</w:t>
      </w:r>
      <w:r>
        <w:t xml:space="preserve"> </w:t>
      </w:r>
      <w:r>
        <w:rPr>
          <w:spacing w:val="8"/>
        </w:rPr>
        <w:t>教学经验，具备完善课程体系和强标准化输出能力，截至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</w:t>
      </w:r>
      <w:r>
        <w:rPr>
          <w:rFonts w:ascii="Times New Roman" w:eastAsia="Times New Roman" w:hAnsi="Times New Roman" w:cs="Times New Roman"/>
          <w:spacing w:val="7"/>
        </w:rPr>
        <w:t xml:space="preserve">3H1 </w:t>
      </w:r>
      <w:r>
        <w:rPr>
          <w:spacing w:val="7"/>
        </w:rPr>
        <w:t>在北京上海等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7   </w:t>
      </w:r>
      <w:r>
        <w:rPr>
          <w:spacing w:val="6"/>
        </w:rPr>
        <w:t>大城市设立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 </w:t>
      </w:r>
      <w:r>
        <w:rPr>
          <w:spacing w:val="6"/>
        </w:rPr>
        <w:t>余家服务中心，线上线下累计服务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36 </w:t>
      </w:r>
      <w:r>
        <w:rPr>
          <w:spacing w:val="6"/>
        </w:rPr>
        <w:t>万</w:t>
      </w:r>
      <w:r>
        <w:rPr>
          <w:rFonts w:ascii="Times New Roman" w:eastAsia="Times New Roman" w:hAnsi="Times New Roman" w:cs="Times New Roman"/>
          <w:spacing w:val="6"/>
        </w:rPr>
        <w:t>+</w:t>
      </w:r>
      <w:r>
        <w:rPr>
          <w:spacing w:val="6"/>
        </w:rPr>
        <w:t>家庭，</w:t>
      </w:r>
      <w:r>
        <w:rPr>
          <w:rFonts w:ascii="Times New Roman" w:eastAsia="Times New Roman" w:hAnsi="Times New Roman" w:cs="Times New Roman"/>
          <w:spacing w:val="6"/>
        </w:rPr>
        <w:t xml:space="preserve">2022 </w:t>
      </w:r>
      <w:r>
        <w:rPr>
          <w:spacing w:val="6"/>
        </w:rPr>
        <w:t>年收入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0.45  </w:t>
      </w:r>
      <w:r>
        <w:rPr>
          <w:spacing w:val="8"/>
        </w:rPr>
        <w:t>亿元</w:t>
      </w:r>
      <w:r>
        <w:rPr>
          <w:rFonts w:ascii="Times New Roman" w:eastAsia="Times New Roman" w:hAnsi="Times New Roman" w:cs="Times New Roman"/>
          <w:spacing w:val="8"/>
        </w:rPr>
        <w:t>/+361%</w:t>
      </w:r>
      <w:r>
        <w:rPr>
          <w:spacing w:val="8"/>
        </w:rPr>
        <w:t>。中国医药报研究显示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90%</w:t>
      </w:r>
      <w:r>
        <w:rPr>
          <w:spacing w:val="8"/>
        </w:rPr>
        <w:t>的矮小症</w:t>
      </w:r>
      <w:r>
        <w:rPr>
          <w:spacing w:val="7"/>
        </w:rPr>
        <w:t>患儿有不同程度的自卑抑郁等</w:t>
      </w:r>
      <w:r>
        <w:rPr>
          <w:spacing w:val="7"/>
        </w:rPr>
        <w:t xml:space="preserve">  </w:t>
      </w:r>
      <w:r>
        <w:rPr>
          <w:spacing w:val="7"/>
        </w:rPr>
        <w:t>心理或行为障碍，健高及雅恩客户画像重叠较高，后续亦有望进一步导流，</w:t>
      </w:r>
      <w:r>
        <w:rPr>
          <w:spacing w:val="7"/>
        </w:rPr>
        <w:t xml:space="preserve"> </w:t>
      </w:r>
      <w:r>
        <w:rPr>
          <w:spacing w:val="7"/>
        </w:rPr>
        <w:t>强化</w:t>
      </w:r>
      <w:r>
        <w:t xml:space="preserve"> </w:t>
      </w:r>
      <w:r>
        <w:rPr>
          <w:spacing w:val="7"/>
        </w:rPr>
        <w:t>业务协同。</w:t>
      </w:r>
    </w:p>
    <w:p>
      <w:pPr>
        <w:pStyle w:val="BodyText"/>
        <w:spacing w:before="86" w:line="247" w:lineRule="auto"/>
        <w:ind w:left="510" w:right="140"/>
      </w:pPr>
      <w:r>
        <w:rPr>
          <w:rFonts w:ascii="Times New Roman" w:eastAsia="Times New Roman" w:hAnsi="Times New Roman" w:cs="Times New Roman"/>
          <w:b/>
          <w:bCs/>
          <w:spacing w:val="6"/>
        </w:rPr>
        <w:t>3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）知贝医疗：</w:t>
      </w:r>
      <w:r>
        <w:rPr>
          <w:spacing w:val="70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重视医师梯队储备及培养，贯通线上</w:t>
      </w:r>
      <w:r>
        <w:rPr>
          <w:spacing w:val="5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线下闭环生态，可为儿科业</w:t>
      </w:r>
      <w:r>
        <w:t xml:space="preserve">  </w:t>
      </w:r>
      <w:r>
        <w:rPr>
          <w:spacing w:val="10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务提供人才及生态圈建设支持。</w:t>
      </w:r>
      <w:r>
        <w:rPr>
          <w:spacing w:val="10"/>
        </w:rPr>
        <w:t>知贝创始人为微博大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10"/>
        </w:rPr>
        <w:t>V</w:t>
      </w:r>
      <w:r>
        <w:rPr>
          <w:spacing w:val="10"/>
        </w:rPr>
        <w:t>、明星医师欧茜，具有较</w:t>
      </w:r>
      <w:r>
        <w:t xml:space="preserve"> </w:t>
      </w:r>
      <w:r>
        <w:rPr>
          <w:spacing w:val="9"/>
        </w:rPr>
        <w:t>强品牌影响力，业务端以儿童医疗为切入点，结合家庭成员需求进行业务延展，</w:t>
      </w:r>
      <w:r>
        <w:rPr>
          <w:spacing w:val="14"/>
        </w:rPr>
        <w:t xml:space="preserve"> </w:t>
      </w:r>
      <w:r>
        <w:rPr>
          <w:spacing w:val="8"/>
        </w:rPr>
        <w:t>打造“儿</w:t>
      </w:r>
      <w:r>
        <w:rPr>
          <w:rFonts w:ascii="Times New Roman" w:eastAsia="Times New Roman" w:hAnsi="Times New Roman" w:cs="Times New Roman"/>
          <w:spacing w:val="8"/>
        </w:rPr>
        <w:t>-</w:t>
      </w:r>
      <w:r>
        <w:rPr>
          <w:spacing w:val="8"/>
        </w:rPr>
        <w:t>妇</w:t>
      </w:r>
      <w:r>
        <w:rPr>
          <w:rFonts w:ascii="Times New Roman" w:eastAsia="Times New Roman" w:hAnsi="Times New Roman" w:cs="Times New Roman"/>
          <w:spacing w:val="8"/>
        </w:rPr>
        <w:t>-</w:t>
      </w:r>
      <w:r>
        <w:rPr>
          <w:rFonts w:ascii="Times New Roman" w:eastAsia="Times New Roman" w:hAnsi="Times New Roman" w:cs="Times New Roman"/>
          <w:spacing w:val="-16"/>
        </w:rPr>
        <w:t xml:space="preserve"> </w:t>
      </w:r>
      <w:r>
        <w:rPr>
          <w:spacing w:val="8"/>
        </w:rPr>
        <w:t>美</w:t>
      </w:r>
      <w:r>
        <w:rPr>
          <w:rFonts w:ascii="Times New Roman" w:eastAsia="Times New Roman" w:hAnsi="Times New Roman" w:cs="Times New Roman"/>
          <w:spacing w:val="8"/>
        </w:rPr>
        <w:t>”</w:t>
      </w:r>
      <w:r>
        <w:rPr>
          <w:spacing w:val="8"/>
        </w:rPr>
        <w:t>一站式服务版图；运营端将线上高频次互动与线下诊疗相结合，</w:t>
      </w:r>
      <w:r>
        <w:t xml:space="preserve"> </w:t>
      </w:r>
      <w:r>
        <w:rPr>
          <w:spacing w:val="5"/>
        </w:rPr>
        <w:t>构建医疗服务闭环，</w:t>
      </w:r>
      <w:r>
        <w:rPr>
          <w:spacing w:val="33"/>
        </w:rPr>
        <w:t xml:space="preserve"> </w:t>
      </w:r>
      <w:r>
        <w:rPr>
          <w:spacing w:val="5"/>
        </w:rPr>
        <w:t>目前已在广州、中山、佛山、昆明、深圳等地</w:t>
      </w:r>
      <w:r>
        <w:rPr>
          <w:spacing w:val="4"/>
        </w:rPr>
        <w:t>设立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6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4"/>
        </w:rPr>
        <w:t>家机</w:t>
      </w:r>
    </w:p>
    <w:p>
      <w:pPr>
        <w:pStyle w:val="BodyText"/>
        <w:spacing w:before="32" w:line="208" w:lineRule="auto"/>
        <w:ind w:left="510"/>
      </w:pPr>
      <w:r>
        <w:rPr>
          <w:spacing w:val="4"/>
        </w:rPr>
        <w:t>构，服务人次达</w:t>
      </w:r>
      <w:r>
        <w:rPr>
          <w:spacing w:val="-1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10 </w:t>
      </w:r>
      <w:r>
        <w:rPr>
          <w:spacing w:val="4"/>
        </w:rPr>
        <w:t>万</w:t>
      </w:r>
      <w:r>
        <w:rPr>
          <w:rFonts w:ascii="Times New Roman" w:eastAsia="Times New Roman" w:hAnsi="Times New Roman" w:cs="Times New Roman"/>
          <w:spacing w:val="4"/>
        </w:rPr>
        <w:t>+</w:t>
      </w:r>
      <w:r>
        <w:rPr>
          <w:spacing w:val="4"/>
        </w:rPr>
        <w:t>。</w:t>
      </w:r>
    </w:p>
    <w:p>
      <w:pPr>
        <w:spacing w:line="14" w:lineRule="auto"/>
        <w:rPr>
          <w:rFonts w:ascii="Arial"/>
          <w:sz w:val="2"/>
        </w:rPr>
        <w:sectPr>
          <w:headerReference w:type="default" r:id="rId9"/>
          <w:footerReference w:type="default" r:id="rId10"/>
          <w:type w:val="continuous"/>
          <w:pgSz w:w="11907" w:h="16839"/>
          <w:pgMar w:top="1327" w:right="727" w:bottom="1027" w:left="720" w:header="851" w:footer="796" w:gutter="0"/>
          <w:pgNumType w:start="2"/>
          <w:cols w:num="2" w:space="708" w:equalWidth="0">
            <w:col w:w="7651" w:space="100"/>
            <w:col w:w="270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120" w:lineRule="exact"/>
      </w:pPr>
    </w:p>
    <w:tbl>
      <w:tblPr>
        <w:tblStyle w:val="TableNormal0"/>
        <w:tblW w:w="2624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92"/>
        <w:gridCol w:w="1243"/>
        <w:gridCol w:w="989"/>
      </w:tblGrid>
      <w:tr>
        <w:tblPrEx>
          <w:tblW w:w="2624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4"/>
        </w:trPr>
        <w:tc>
          <w:tcPr>
            <w:tcW w:w="2624" w:type="dxa"/>
            <w:gridSpan w:val="3"/>
            <w:tcBorders>
              <w:bottom w:val="single" w:sz="2" w:space="0" w:color="C00000"/>
            </w:tcBorders>
            <w:vAlign w:val="top"/>
          </w:tcPr>
          <w:p>
            <w:pPr>
              <w:pStyle w:val="TableText"/>
              <w:spacing w:line="215" w:lineRule="auto"/>
              <w:ind w:left="14"/>
              <w:rPr>
                <w:sz w:val="24"/>
                <w:szCs w:val="24"/>
              </w:rPr>
            </w:pPr>
            <w:r>
              <w:rPr>
                <w:rFonts w:ascii="KaiTi" w:eastAsia="KaiTi" w:hAnsi="KaiTi" w:cs="KaiTi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投资评级</w:t>
            </w:r>
            <w:r>
              <w:rPr>
                <w:b/>
                <w:bCs/>
                <w:spacing w:val="-1"/>
                <w:sz w:val="24"/>
                <w:szCs w:val="24"/>
              </w:rPr>
              <w:t>:</w:t>
            </w:r>
            <w:r>
              <w:rPr>
                <w:b/>
                <w:bCs/>
                <w:spacing w:val="23"/>
                <w:w w:val="101"/>
                <w:sz w:val="24"/>
                <w:szCs w:val="24"/>
              </w:rPr>
              <w:t xml:space="preserve">  </w:t>
            </w:r>
            <w:r>
              <w:rPr>
                <w:rFonts w:ascii="KaiTi" w:eastAsia="KaiTi" w:hAnsi="KaiTi" w:cs="KaiTi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买入</w:t>
            </w:r>
            <w:r>
              <w:rPr>
                <w:b/>
                <w:bCs/>
                <w:spacing w:val="-1"/>
                <w:sz w:val="24"/>
                <w:szCs w:val="24"/>
              </w:rPr>
              <w:t>(</w:t>
            </w:r>
            <w:r>
              <w:rPr>
                <w:rFonts w:ascii="KaiTi" w:eastAsia="KaiTi" w:hAnsi="KaiTi" w:cs="KaiTi"/>
                <w:spacing w:val="-1"/>
                <w:sz w:val="24"/>
                <w:szCs w:val="24"/>
                <w14:textOutline w14:w="4354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首次</w:t>
            </w:r>
            <w:r>
              <w:rPr>
                <w:b/>
                <w:bCs/>
                <w:spacing w:val="-1"/>
                <w:sz w:val="24"/>
                <w:szCs w:val="24"/>
              </w:rPr>
              <w:t>)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3195"/>
        </w:trPr>
        <w:tc>
          <w:tcPr>
            <w:tcW w:w="2624" w:type="dxa"/>
            <w:gridSpan w:val="3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279" w:line="207" w:lineRule="auto"/>
              <w:ind w:left="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分析师：王长龙</w:t>
            </w:r>
          </w:p>
          <w:p>
            <w:pPr>
              <w:pStyle w:val="TableText"/>
              <w:spacing w:before="1" w:line="226" w:lineRule="auto"/>
              <w:ind w:left="15" w:right="259" w:firstLine="1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执业证书号：</w:t>
            </w:r>
            <w:r>
              <w:rPr>
                <w:rFonts w:ascii="KaiTi" w:eastAsia="KaiTi" w:hAnsi="KaiTi" w:cs="KaiTi"/>
                <w:spacing w:val="6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S1230521020001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wangchanglong@stocke.com.</w:t>
            </w:r>
            <w:r>
              <w:rPr>
                <w:spacing w:val="-1"/>
                <w:sz w:val="18"/>
                <w:szCs w:val="18"/>
              </w:rPr>
              <w:t>cn</w:t>
            </w:r>
          </w:p>
          <w:p>
            <w:pPr>
              <w:spacing w:before="204" w:line="207" w:lineRule="auto"/>
              <w:ind w:left="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分析师：汤秀洁</w:t>
            </w:r>
          </w:p>
          <w:p>
            <w:pPr>
              <w:pStyle w:val="TableText"/>
              <w:spacing w:line="227" w:lineRule="auto"/>
              <w:ind w:left="16" w:right="259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执业证书号：</w:t>
            </w:r>
            <w:r>
              <w:rPr>
                <w:rFonts w:ascii="KaiTi" w:eastAsia="KaiTi" w:hAnsi="KaiTi" w:cs="KaiTi"/>
                <w:spacing w:val="6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S1230522070001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tangxiujie@stocke.com</w:t>
            </w:r>
            <w:r>
              <w:rPr>
                <w:spacing w:val="-1"/>
                <w:sz w:val="18"/>
                <w:szCs w:val="18"/>
              </w:rPr>
              <w:t>.cn</w:t>
            </w:r>
          </w:p>
          <w:p>
            <w:pPr>
              <w:spacing w:before="204" w:line="207" w:lineRule="auto"/>
              <w:ind w:left="20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分析师：周明蕊</w:t>
            </w:r>
          </w:p>
          <w:p>
            <w:pPr>
              <w:pStyle w:val="TableText"/>
              <w:spacing w:before="1" w:line="225" w:lineRule="auto"/>
              <w:ind w:left="17" w:right="259" w:hanging="1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执业证书号：</w:t>
            </w:r>
            <w:r>
              <w:rPr>
                <w:rFonts w:ascii="KaiTi" w:eastAsia="KaiTi" w:hAnsi="KaiTi" w:cs="KaiTi"/>
                <w:spacing w:val="66"/>
                <w:sz w:val="18"/>
                <w:szCs w:val="18"/>
              </w:rPr>
              <w:t xml:space="preserve"> </w:t>
            </w:r>
            <w:r>
              <w:rPr>
                <w:spacing w:val="-8"/>
                <w:sz w:val="18"/>
                <w:szCs w:val="18"/>
              </w:rPr>
              <w:t>S1230523060002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z w:val="18"/>
                <w:szCs w:val="18"/>
              </w:rPr>
              <w:t>zhoumingrui@stocke.com</w:t>
            </w:r>
            <w:r>
              <w:rPr>
                <w:spacing w:val="-1"/>
                <w:sz w:val="18"/>
                <w:szCs w:val="18"/>
              </w:rPr>
              <w:t>.cn</w:t>
            </w:r>
          </w:p>
          <w:p>
            <w:pPr>
              <w:spacing w:line="377" w:lineRule="auto"/>
              <w:rPr>
                <w:rFonts w:ascii="Arial"/>
                <w:sz w:val="21"/>
              </w:rPr>
            </w:pPr>
          </w:p>
          <w:p>
            <w:pPr>
              <w:spacing w:before="58" w:line="210" w:lineRule="auto"/>
              <w:ind w:left="1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基本数据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1262"/>
        </w:trPr>
        <w:tc>
          <w:tcPr>
            <w:tcW w:w="1635" w:type="dxa"/>
            <w:gridSpan w:val="2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48" w:line="223" w:lineRule="auto"/>
              <w:ind w:left="8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3"/>
                <w:sz w:val="18"/>
                <w:szCs w:val="18"/>
              </w:rPr>
              <w:t>收盘价</w:t>
            </w:r>
          </w:p>
          <w:p>
            <w:pPr>
              <w:pStyle w:val="TableText"/>
              <w:spacing w:before="65" w:line="286" w:lineRule="exact"/>
              <w:ind w:left="83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position w:val="8"/>
                <w:sz w:val="18"/>
                <w:szCs w:val="18"/>
              </w:rPr>
              <w:t>总市值</w:t>
            </w:r>
            <w:r>
              <w:rPr>
                <w:spacing w:val="-2"/>
                <w:position w:val="8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2"/>
                <w:position w:val="8"/>
                <w:sz w:val="18"/>
                <w:szCs w:val="18"/>
              </w:rPr>
              <w:t>百万元</w:t>
            </w:r>
            <w:r>
              <w:rPr>
                <w:spacing w:val="-2"/>
                <w:position w:val="8"/>
                <w:sz w:val="18"/>
                <w:szCs w:val="18"/>
              </w:rPr>
              <w:t>)</w:t>
            </w:r>
          </w:p>
          <w:p>
            <w:pPr>
              <w:pStyle w:val="TableText"/>
              <w:spacing w:line="212" w:lineRule="auto"/>
              <w:ind w:left="83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总股本</w:t>
            </w: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百万股</w:t>
            </w:r>
            <w:r>
              <w:rPr>
                <w:spacing w:val="-2"/>
                <w:sz w:val="18"/>
                <w:szCs w:val="18"/>
              </w:rPr>
              <w:t>)</w:t>
            </w:r>
          </w:p>
          <w:p>
            <w:pPr>
              <w:spacing w:before="224" w:line="208" w:lineRule="auto"/>
              <w:ind w:left="22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2"/>
                <w:sz w:val="18"/>
                <w:szCs w:val="18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股票走势图</w:t>
            </w:r>
          </w:p>
        </w:tc>
        <w:tc>
          <w:tcPr>
            <w:tcW w:w="989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pStyle w:val="TableText"/>
              <w:spacing w:before="73" w:line="273" w:lineRule="auto"/>
              <w:ind w:left="364" w:firstLine="167"/>
              <w:jc w:val="right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8"/>
                <w:sz w:val="18"/>
                <w:szCs w:val="18"/>
              </w:rPr>
              <w:t>￥</w:t>
            </w:r>
            <w:r>
              <w:rPr>
                <w:spacing w:val="-8"/>
                <w:sz w:val="18"/>
                <w:szCs w:val="18"/>
              </w:rPr>
              <w:t>3.95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1"/>
                <w:sz w:val="18"/>
                <w:szCs w:val="18"/>
              </w:rPr>
              <w:t>3,494.88</w:t>
            </w:r>
            <w:r>
              <w:rPr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884.78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302"/>
        </w:trPr>
        <w:tc>
          <w:tcPr>
            <w:tcW w:w="392" w:type="dxa"/>
            <w:vMerge w:val="restart"/>
            <w:tcBorders>
              <w:top w:val="single" w:sz="2" w:space="0" w:color="C00000"/>
              <w:bottom w:val="nil"/>
            </w:tcBorders>
            <w:vAlign w:val="top"/>
          </w:tcPr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tabs>
                <w:tab w:val="left" w:pos="163"/>
                <w:tab w:val="left" w:pos="203"/>
              </w:tabs>
              <w:spacing w:before="35" w:line="337" w:lineRule="auto"/>
              <w:ind w:left="104" w:right="31" w:firstLine="37"/>
              <w:jc w:val="right"/>
            </w:pPr>
            <w:r>
              <w:rPr>
                <w:color w:val="595959"/>
                <w:spacing w:val="-1"/>
              </w:rPr>
              <w:t>26%</w:t>
            </w:r>
            <w:r>
              <w:rPr>
                <w:color w:val="595959"/>
              </w:rPr>
              <w:t xml:space="preserve"> </w:t>
            </w:r>
            <w:r>
              <w:rPr>
                <w:color w:val="595959"/>
                <w:spacing w:val="11"/>
              </w:rPr>
              <w:t>14%</w:t>
            </w:r>
            <w:r>
              <w:rPr>
                <w:color w:val="595959"/>
                <w:spacing w:val="1"/>
              </w:rPr>
              <w:t xml:space="preserve"> </w:t>
            </w:r>
            <w:r>
              <w:rPr>
                <w:color w:val="595959"/>
              </w:rPr>
              <w:tab/>
            </w:r>
            <w:r>
              <w:rPr>
                <w:color w:val="595959"/>
              </w:rPr>
              <w:tab/>
            </w:r>
            <w:r>
              <w:rPr>
                <w:color w:val="595959"/>
                <w:spacing w:val="-3"/>
              </w:rPr>
              <w:t>3%</w:t>
            </w:r>
            <w:r>
              <w:rPr>
                <w:color w:val="595959"/>
              </w:rPr>
              <w:t xml:space="preserve"> </w:t>
            </w:r>
            <w:r>
              <w:rPr>
                <w:color w:val="595959"/>
              </w:rPr>
              <w:tab/>
            </w:r>
            <w:r>
              <w:rPr>
                <w:color w:val="595959"/>
                <w:spacing w:val="-2"/>
              </w:rPr>
              <w:t>-9%</w:t>
            </w:r>
            <w:r>
              <w:rPr>
                <w:color w:val="595959"/>
                <w:spacing w:val="1"/>
              </w:rPr>
              <w:t xml:space="preserve"> </w:t>
            </w:r>
            <w:r>
              <w:rPr>
                <w:color w:val="595959"/>
                <w:spacing w:val="-2"/>
              </w:rPr>
              <w:t>-21%</w:t>
            </w:r>
          </w:p>
          <w:p>
            <w:pPr>
              <w:pStyle w:val="TableText"/>
              <w:spacing w:line="186" w:lineRule="auto"/>
              <w:ind w:left="104"/>
            </w:pPr>
            <w:r>
              <w:rPr>
                <w:color w:val="595959"/>
                <w:spacing w:val="-2"/>
              </w:rPr>
              <w:t>-33%</w:t>
            </w:r>
          </w:p>
        </w:tc>
        <w:tc>
          <w:tcPr>
            <w:tcW w:w="2232" w:type="dxa"/>
            <w:gridSpan w:val="2"/>
            <w:tcBorders>
              <w:top w:val="single" w:sz="2" w:space="0" w:color="C00000"/>
            </w:tcBorders>
            <w:vAlign w:val="top"/>
          </w:tcPr>
          <w:p>
            <w:pPr>
              <w:spacing w:before="126" w:line="222" w:lineRule="auto"/>
              <w:ind w:left="70"/>
              <w:rPr>
                <w:rFonts w:ascii="KaiTi" w:eastAsia="KaiTi" w:hAnsi="KaiTi" w:cs="KaiTi"/>
                <w:sz w:val="12"/>
                <w:szCs w:val="12"/>
              </w:rPr>
            </w:pPr>
            <w:r>
              <w:rPr>
                <w:rFonts w:ascii="KaiTi" w:eastAsia="KaiTi" w:hAnsi="KaiTi" w:cs="KaiTi"/>
                <w:color w:val="595959"/>
                <w:position w:val="3"/>
                <w:sz w:val="12"/>
                <w:szCs w:val="12"/>
              </w:rPr>
              <w:drawing>
                <wp:inline distT="0" distB="0" distL="0" distR="0">
                  <wp:extent cx="253365" cy="9525"/>
                  <wp:effectExtent l="0" t="0" r="0" b="0"/>
                  <wp:docPr id="8" name="IM 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IM 8"/>
                          <pic:cNvPicPr/>
                        </pic:nvPicPr>
                        <pic:blipFill>
                          <a:blip xmlns:r="http://schemas.openxmlformats.org/officeDocument/2006/relationships"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595959"/>
                <w:spacing w:val="-9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595959"/>
                <w:spacing w:val="-3"/>
                <w:sz w:val="12"/>
                <w:szCs w:val="12"/>
              </w:rPr>
              <w:t>大东方</w:t>
            </w:r>
            <w:r>
              <w:rPr>
                <w:rFonts w:ascii="KaiTi" w:eastAsia="KaiTi" w:hAnsi="KaiTi" w:cs="KaiTi"/>
                <w:color w:val="595959"/>
                <w:spacing w:val="27"/>
                <w:w w:val="101"/>
                <w:sz w:val="12"/>
                <w:szCs w:val="12"/>
              </w:rPr>
              <w:t xml:space="preserve">  </w:t>
            </w:r>
            <w:r>
              <w:rPr>
                <w:position w:val="3"/>
                <w:sz w:val="12"/>
                <w:szCs w:val="12"/>
              </w:rPr>
              <w:drawing>
                <wp:inline distT="0" distB="0" distL="0" distR="0">
                  <wp:extent cx="253365" cy="9525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" cy="9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595959"/>
                <w:spacing w:val="-21"/>
                <w:sz w:val="12"/>
                <w:szCs w:val="12"/>
              </w:rPr>
              <w:t xml:space="preserve"> </w:t>
            </w:r>
            <w:r>
              <w:rPr>
                <w:rFonts w:ascii="KaiTi" w:eastAsia="KaiTi" w:hAnsi="KaiTi" w:cs="KaiTi"/>
                <w:color w:val="595959"/>
                <w:spacing w:val="-3"/>
                <w:sz w:val="12"/>
                <w:szCs w:val="12"/>
              </w:rPr>
              <w:t>上证指数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1073"/>
        </w:trPr>
        <w:tc>
          <w:tcPr>
            <w:tcW w:w="392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2" w:type="dxa"/>
            <w:gridSpan w:val="2"/>
            <w:vAlign w:val="top"/>
          </w:tcPr>
          <w:p>
            <w:pPr>
              <w:spacing w:before="56" w:line="985" w:lineRule="exact"/>
              <w:ind w:firstLine="60"/>
            </w:pPr>
            <w:r>
              <w:rPr>
                <w:position w:val="-19"/>
              </w:rPr>
              <w:drawing>
                <wp:inline distT="0" distB="0" distL="0" distR="0">
                  <wp:extent cx="1311909" cy="625602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11909" cy="62560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498"/>
        </w:trPr>
        <w:tc>
          <w:tcPr>
            <w:tcW w:w="39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232" w:type="dxa"/>
            <w:gridSpan w:val="2"/>
            <w:textDirection w:val="btLr"/>
            <w:vAlign w:val="top"/>
          </w:tcPr>
          <w:p>
            <w:pPr>
              <w:pStyle w:val="TableText"/>
              <w:spacing w:before="31" w:line="190" w:lineRule="auto"/>
              <w:ind w:left="194"/>
            </w:pPr>
            <w:r>
              <w:rPr>
                <w:color w:val="595959"/>
                <w:spacing w:val="-1"/>
              </w:rPr>
              <w:t>23/02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23/03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23/04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23/06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23/07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23/08</w:t>
            </w:r>
          </w:p>
          <w:p>
            <w:pPr>
              <w:pStyle w:val="TableText"/>
              <w:spacing w:before="77" w:line="190" w:lineRule="auto"/>
              <w:ind w:left="194"/>
            </w:pPr>
            <w:r>
              <w:rPr>
                <w:color w:val="595959"/>
                <w:spacing w:val="-1"/>
              </w:rPr>
              <w:t>23/09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23/10</w:t>
            </w:r>
          </w:p>
          <w:p>
            <w:pPr>
              <w:pStyle w:val="TableText"/>
              <w:spacing w:before="77" w:line="190" w:lineRule="auto"/>
              <w:ind w:left="194"/>
            </w:pPr>
            <w:r>
              <w:rPr>
                <w:color w:val="595959"/>
                <w:spacing w:val="-1"/>
              </w:rPr>
              <w:t>23/11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23/12</w:t>
            </w:r>
          </w:p>
          <w:p>
            <w:pPr>
              <w:pStyle w:val="TableText"/>
              <w:spacing w:before="76" w:line="190" w:lineRule="auto"/>
              <w:ind w:left="194"/>
            </w:pPr>
            <w:r>
              <w:rPr>
                <w:color w:val="595959"/>
                <w:spacing w:val="-1"/>
              </w:rPr>
              <w:t>24/01</w:t>
            </w:r>
          </w:p>
          <w:p>
            <w:pPr>
              <w:pStyle w:val="TableText"/>
              <w:spacing w:before="77" w:line="190" w:lineRule="auto"/>
              <w:ind w:left="194"/>
            </w:pPr>
            <w:r>
              <w:rPr>
                <w:color w:val="595959"/>
                <w:spacing w:val="-1"/>
              </w:rPr>
              <w:t>24/02</w:t>
            </w:r>
          </w:p>
        </w:tc>
      </w:tr>
      <w:tr>
        <w:tblPrEx>
          <w:tblW w:w="2624" w:type="dxa"/>
          <w:tblInd w:w="0" w:type="dxa"/>
          <w:tblLayout w:type="fixed"/>
        </w:tblPrEx>
        <w:trPr>
          <w:trHeight w:val="414"/>
        </w:trPr>
        <w:tc>
          <w:tcPr>
            <w:tcW w:w="2624" w:type="dxa"/>
            <w:gridSpan w:val="3"/>
            <w:vAlign w:val="top"/>
          </w:tcPr>
          <w:p>
            <w:pPr>
              <w:spacing w:before="194" w:line="215" w:lineRule="auto"/>
              <w:ind w:left="1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z w:val="18"/>
                <w:szCs w:val="18"/>
                <w:u w:val="single" w:color="C00000"/>
                <w14:textOutline w14:w="3265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相关报告</w:t>
            </w:r>
            <w:r>
              <w:rPr>
                <w:rFonts w:ascii="KaiTi" w:eastAsia="KaiTi" w:hAnsi="KaiTi" w:cs="KaiTi"/>
                <w:sz w:val="18"/>
                <w:szCs w:val="18"/>
                <w:u w:val="single" w:color="C00000"/>
              </w:rPr>
              <w:t xml:space="preserve">                     </w:t>
            </w:r>
          </w:p>
        </w:tc>
      </w:tr>
    </w:tbl>
    <w:p>
      <w:pPr>
        <w:rPr>
          <w:rFonts w:ascii="Arial"/>
          <w:sz w:val="21"/>
        </w:rPr>
      </w:pPr>
    </w:p>
    <w:p>
      <w:pPr>
        <w:rPr>
          <w:rFonts w:ascii="Arial" w:eastAsia="Arial" w:hAnsi="Arial" w:cs="Arial"/>
          <w:sz w:val="21"/>
          <w:szCs w:val="21"/>
        </w:rPr>
        <w:sectPr>
          <w:headerReference w:type="default" r:id="rId14"/>
          <w:footerReference w:type="default" r:id="rId15"/>
          <w:type w:val="nextPage"/>
          <w:pgSz w:w="11907" w:h="16839"/>
          <w:pgMar w:top="1327" w:right="727" w:bottom="1027" w:left="720" w:header="851" w:footer="796" w:gutter="0"/>
          <w:pgNumType w:start="3"/>
          <w:cols w:num="2" w:space="708" w:equalWidth="0">
            <w:col w:w="7651" w:space="100"/>
            <w:col w:w="2708" w:space="0"/>
          </w:cols>
          <w:titlePg w:val="0"/>
        </w:sectPr>
      </w:pPr>
    </w:p>
    <w:p>
      <w:pPr>
        <w:pStyle w:val="BodyText"/>
        <w:spacing w:before="144" w:line="228" w:lineRule="auto"/>
        <w:ind w:left="124"/>
      </w:pPr>
      <w:r>
        <w:rPr>
          <w:color w:val="C00000"/>
        </w:rPr>
        <w:drawing>
          <wp:inline distT="0" distB="0" distL="0" distR="0">
            <wp:extent cx="102079" cy="92845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  <w:spacing w:val="34"/>
        </w:rPr>
        <w:t xml:space="preserve">  </w:t>
      </w:r>
      <w:r>
        <w:rPr>
          <w:color w:val="C00000"/>
          <w:spacing w:val="9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盈利预测与估值</w:t>
      </w:r>
    </w:p>
    <w:p>
      <w:pPr>
        <w:pStyle w:val="BodyText"/>
        <w:spacing w:before="31" w:line="259" w:lineRule="exact"/>
        <w:ind w:left="527"/>
      </w:pPr>
      <w:r>
        <w:rPr>
          <w:spacing w:val="9"/>
          <w:position w:val="4"/>
        </w:rPr>
        <w:t>大东方战略转型儿科医疗高景气赛道，卡位生长激素优质流量入口，自身儿童发</w:t>
      </w:r>
    </w:p>
    <w:p>
      <w:pPr>
        <w:pStyle w:val="BodyText"/>
        <w:spacing w:line="221" w:lineRule="auto"/>
        <w:ind w:left="519"/>
      </w:pPr>
      <w:r>
        <w:rPr>
          <w:spacing w:val="9"/>
        </w:rPr>
        <w:t>育全周期业务高效协同，一体化布局稳步推进，叠加商业零售基本盘经营稳健，</w:t>
      </w:r>
    </w:p>
    <w:p>
      <w:pPr>
        <w:pStyle w:val="BodyText"/>
        <w:spacing w:before="34" w:line="221" w:lineRule="auto"/>
        <w:ind w:left="507"/>
      </w:pPr>
      <w:r>
        <w:rPr>
          <w:spacing w:val="4"/>
        </w:rPr>
        <w:t>值得持续关注，</w:t>
      </w:r>
      <w:r>
        <w:rPr>
          <w:spacing w:val="4"/>
        </w:rPr>
        <w:t xml:space="preserve"> </w:t>
      </w:r>
      <w:r>
        <w:rPr>
          <w:spacing w:val="4"/>
        </w:rPr>
        <w:t>预计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2023-25 </w:t>
      </w:r>
      <w:r>
        <w:rPr>
          <w:spacing w:val="4"/>
        </w:rPr>
        <w:t>年公司归母净利润为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2.0/2.3/2.8 </w:t>
      </w:r>
      <w:r>
        <w:rPr>
          <w:spacing w:val="4"/>
        </w:rPr>
        <w:t>亿元，同比</w:t>
      </w:r>
    </w:p>
    <w:p>
      <w:pPr>
        <w:pStyle w:val="BodyText"/>
        <w:spacing w:before="31" w:line="259" w:lineRule="exact"/>
        <w:ind w:left="510"/>
      </w:pPr>
      <w:r>
        <w:rPr>
          <w:rFonts w:ascii="Times New Roman" w:eastAsia="Times New Roman" w:hAnsi="Times New Roman" w:cs="Times New Roman"/>
          <w:position w:val="4"/>
        </w:rPr>
        <w:t>+13%/17%/20%</w:t>
      </w:r>
      <w:r>
        <w:rPr>
          <w:rFonts w:ascii="Times New Roman" w:eastAsia="Times New Roman" w:hAnsi="Times New Roman" w:cs="Times New Roman"/>
          <w:spacing w:val="-7"/>
          <w:position w:val="4"/>
        </w:rPr>
        <w:t xml:space="preserve"> </w:t>
      </w:r>
      <w:r>
        <w:rPr>
          <w:position w:val="4"/>
        </w:rPr>
        <w:t>，</w:t>
      </w:r>
      <w:r>
        <w:rPr>
          <w:spacing w:val="-53"/>
          <w:position w:val="4"/>
        </w:rPr>
        <w:t xml:space="preserve"> </w:t>
      </w:r>
      <w:r>
        <w:rPr>
          <w:position w:val="4"/>
        </w:rPr>
        <w:t>当前市值下对应</w:t>
      </w:r>
      <w:r>
        <w:rPr>
          <w:spacing w:val="-40"/>
          <w:position w:val="4"/>
        </w:rPr>
        <w:t xml:space="preserve"> </w:t>
      </w:r>
      <w:r>
        <w:rPr>
          <w:rFonts w:ascii="Times New Roman" w:eastAsia="Times New Roman" w:hAnsi="Times New Roman" w:cs="Times New Roman"/>
          <w:position w:val="4"/>
        </w:rPr>
        <w:t xml:space="preserve">PE </w:t>
      </w:r>
      <w:r>
        <w:rPr>
          <w:position w:val="4"/>
        </w:rPr>
        <w:t>为</w:t>
      </w:r>
      <w:r>
        <w:rPr>
          <w:spacing w:val="-21"/>
          <w:position w:val="4"/>
        </w:rPr>
        <w:t xml:space="preserve"> </w:t>
      </w:r>
      <w:r>
        <w:rPr>
          <w:rFonts w:ascii="Times New Roman" w:eastAsia="Times New Roman" w:hAnsi="Times New Roman" w:cs="Times New Roman"/>
          <w:position w:val="4"/>
        </w:rPr>
        <w:t xml:space="preserve">18/15/13 </w:t>
      </w:r>
      <w:r>
        <w:rPr>
          <w:position w:val="4"/>
        </w:rPr>
        <w:t>倍，</w:t>
      </w:r>
      <w:r>
        <w:rPr>
          <w:position w:val="4"/>
        </w:rPr>
        <w:t xml:space="preserve"> </w:t>
      </w:r>
      <w:r>
        <w:rPr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首次覆盖，</w:t>
      </w:r>
      <w:r>
        <w:rPr>
          <w:position w:val="4"/>
        </w:rPr>
        <w:t xml:space="preserve"> </w:t>
      </w:r>
      <w:r>
        <w:rPr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给予</w:t>
      </w:r>
      <w:r>
        <w:rPr>
          <w:rFonts w:ascii="Times New Roman" w:eastAsia="Times New Roman" w:hAnsi="Times New Roman" w:cs="Times New Roman"/>
          <w:b/>
          <w:bCs/>
          <w:position w:val="4"/>
        </w:rPr>
        <w:t>“</w:t>
      </w:r>
      <w:r>
        <w:rPr>
          <w:rFonts w:ascii="Times New Roman" w:eastAsia="Times New Roman" w:hAnsi="Times New Roman" w:cs="Times New Roman"/>
          <w:b/>
          <w:bCs/>
          <w:spacing w:val="-26"/>
          <w:position w:val="4"/>
        </w:rPr>
        <w:t xml:space="preserve"> </w:t>
      </w:r>
      <w:r>
        <w:rPr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买入</w:t>
      </w:r>
      <w:r>
        <w:rPr>
          <w:rFonts w:ascii="Times New Roman" w:eastAsia="Times New Roman" w:hAnsi="Times New Roman" w:cs="Times New Roman"/>
          <w:b/>
          <w:bCs/>
          <w:position w:val="4"/>
        </w:rPr>
        <w:t>”</w:t>
      </w:r>
      <w:r>
        <w:rPr>
          <w:position w:val="4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评</w:t>
      </w:r>
    </w:p>
    <w:p>
      <w:pPr>
        <w:pStyle w:val="BodyText"/>
        <w:spacing w:line="241" w:lineRule="auto"/>
        <w:ind w:left="517"/>
      </w:pPr>
      <w:r>
        <w:rPr>
          <w:spacing w:val="-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级。</w:t>
      </w:r>
    </w:p>
    <w:p>
      <w:pPr>
        <w:pStyle w:val="BodyText"/>
        <w:spacing w:before="67" w:line="231" w:lineRule="auto"/>
        <w:ind w:left="124"/>
      </w:pPr>
      <w:r>
        <w:rPr>
          <w:color w:val="C00000"/>
        </w:rPr>
        <w:drawing>
          <wp:inline distT="0" distB="0" distL="0" distR="0">
            <wp:extent cx="102079" cy="92845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02079" cy="92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C00000"/>
          <w:spacing w:val="30"/>
        </w:rPr>
        <w:t xml:space="preserve">  </w:t>
      </w:r>
      <w:r>
        <w:rPr>
          <w:color w:val="C00000"/>
          <w:spacing w:val="10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风险提示</w:t>
      </w:r>
    </w:p>
    <w:p>
      <w:pPr>
        <w:pStyle w:val="BodyText"/>
        <w:spacing w:before="28" w:line="259" w:lineRule="exact"/>
        <w:ind w:left="527"/>
      </w:pPr>
      <w:r>
        <w:rPr>
          <w:spacing w:val="5"/>
          <w:position w:val="4"/>
        </w:rPr>
        <w:t>消费力恢复不及预期，</w:t>
      </w:r>
      <w:r>
        <w:rPr>
          <w:spacing w:val="5"/>
          <w:position w:val="4"/>
        </w:rPr>
        <w:t xml:space="preserve"> </w:t>
      </w:r>
      <w:r>
        <w:rPr>
          <w:spacing w:val="5"/>
          <w:position w:val="4"/>
        </w:rPr>
        <w:t>行业竞争加剧，新店及新业务拓展不及预期，</w:t>
      </w:r>
      <w:r>
        <w:rPr>
          <w:spacing w:val="-42"/>
          <w:position w:val="4"/>
        </w:rPr>
        <w:t xml:space="preserve"> </w:t>
      </w:r>
      <w:r>
        <w:rPr>
          <w:spacing w:val="5"/>
          <w:position w:val="4"/>
        </w:rPr>
        <w:t>医疗事故风</w:t>
      </w:r>
    </w:p>
    <w:p>
      <w:pPr>
        <w:pStyle w:val="BodyText"/>
        <w:spacing w:before="1" w:line="241" w:lineRule="auto"/>
        <w:ind w:left="521"/>
      </w:pPr>
      <w:r>
        <w:rPr>
          <w:spacing w:val="-11"/>
        </w:rPr>
        <w:t>险。</w:t>
      </w:r>
    </w:p>
    <w:p>
      <w:pPr>
        <w:pStyle w:val="BodyText"/>
        <w:spacing w:before="65" w:line="218" w:lineRule="auto"/>
        <w:ind w:left="17"/>
        <w:rPr>
          <w:sz w:val="28"/>
          <w:szCs w:val="28"/>
        </w:rPr>
      </w:pPr>
      <w:r>
        <w:rPr>
          <w:color w:val="B70004"/>
          <w:spacing w:val="-4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财务摘要</w:t>
      </w:r>
    </w:p>
    <w:p>
      <w:pPr>
        <w:spacing w:line="21" w:lineRule="exact"/>
      </w:pPr>
    </w:p>
    <w:tbl>
      <w:tblPr>
        <w:tblStyle w:val="TableNormal1"/>
        <w:tblW w:w="7657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767"/>
        <w:gridCol w:w="1738"/>
        <w:gridCol w:w="1518"/>
        <w:gridCol w:w="1519"/>
        <w:gridCol w:w="1115"/>
      </w:tblGrid>
      <w:tr>
        <w:tblPrEx>
          <w:tblW w:w="7657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77"/>
        </w:trPr>
        <w:tc>
          <w:tcPr>
            <w:tcW w:w="1767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16" w:line="212" w:lineRule="auto"/>
              <w:ind w:left="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2"/>
                <w:sz w:val="18"/>
                <w:szCs w:val="18"/>
              </w:rPr>
              <w:t>百万元</w:t>
            </w:r>
            <w:r>
              <w:rPr>
                <w:spacing w:val="-2"/>
                <w:sz w:val="18"/>
                <w:szCs w:val="18"/>
              </w:rPr>
              <w:t>)</w:t>
            </w:r>
          </w:p>
        </w:tc>
        <w:tc>
          <w:tcPr>
            <w:tcW w:w="1738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728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2022A</w:t>
            </w:r>
          </w:p>
        </w:tc>
        <w:tc>
          <w:tcPr>
            <w:tcW w:w="1518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522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2023E</w:t>
            </w:r>
          </w:p>
        </w:tc>
        <w:tc>
          <w:tcPr>
            <w:tcW w:w="1519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524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2024E</w:t>
            </w:r>
          </w:p>
        </w:tc>
        <w:tc>
          <w:tcPr>
            <w:tcW w:w="1115" w:type="dxa"/>
            <w:tcBorders>
              <w:top w:val="single" w:sz="2" w:space="0" w:color="C00000"/>
            </w:tcBorders>
            <w:vAlign w:val="top"/>
          </w:tcPr>
          <w:p>
            <w:pPr>
              <w:pStyle w:val="TableText"/>
              <w:spacing w:before="147" w:line="188" w:lineRule="auto"/>
              <w:ind w:left="524"/>
              <w:rPr>
                <w:sz w:val="18"/>
                <w:szCs w:val="18"/>
              </w:rPr>
            </w:pPr>
            <w:r>
              <w:rPr>
                <w:b/>
                <w:bCs/>
                <w:spacing w:val="-1"/>
                <w:sz w:val="18"/>
                <w:szCs w:val="18"/>
              </w:rPr>
              <w:t>2025E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38"/>
        </w:trPr>
        <w:tc>
          <w:tcPr>
            <w:tcW w:w="1767" w:type="dxa"/>
            <w:vAlign w:val="top"/>
          </w:tcPr>
          <w:p>
            <w:pPr>
              <w:spacing w:before="67" w:line="225" w:lineRule="auto"/>
              <w:ind w:left="7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营业收入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99" w:line="188" w:lineRule="auto"/>
              <w:ind w:left="81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3,130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99" w:line="188" w:lineRule="auto"/>
              <w:ind w:left="597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3,577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99" w:line="188" w:lineRule="auto"/>
              <w:ind w:left="594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4,149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99" w:line="188" w:lineRule="auto"/>
              <w:ind w:left="59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4,957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18"/>
        </w:trPr>
        <w:tc>
          <w:tcPr>
            <w:tcW w:w="1767" w:type="dxa"/>
            <w:vAlign w:val="top"/>
          </w:tcPr>
          <w:p>
            <w:pPr>
              <w:pStyle w:val="TableText"/>
              <w:spacing w:before="86" w:line="192" w:lineRule="auto"/>
              <w:ind w:left="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(+/-)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(%)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90" w:line="188" w:lineRule="auto"/>
              <w:ind w:left="69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-54.7%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90" w:line="188" w:lineRule="auto"/>
              <w:ind w:left="55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14.3%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90" w:line="188" w:lineRule="auto"/>
              <w:ind w:left="55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16.0%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90" w:line="188" w:lineRule="auto"/>
              <w:ind w:left="55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19.5%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35"/>
        </w:trPr>
        <w:tc>
          <w:tcPr>
            <w:tcW w:w="1767" w:type="dxa"/>
            <w:vAlign w:val="top"/>
          </w:tcPr>
          <w:p>
            <w:pPr>
              <w:spacing w:before="70" w:line="219" w:lineRule="auto"/>
              <w:ind w:left="76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4"/>
                <w:sz w:val="18"/>
                <w:szCs w:val="18"/>
              </w:rPr>
              <w:t>归母净利润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101" w:line="188" w:lineRule="auto"/>
              <w:ind w:left="964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174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01" w:line="188" w:lineRule="auto"/>
              <w:ind w:left="748"/>
              <w:rPr>
                <w:sz w:val="18"/>
                <w:szCs w:val="18"/>
              </w:rPr>
            </w:pPr>
            <w:r>
              <w:rPr>
                <w:spacing w:val="-7"/>
                <w:sz w:val="18"/>
                <w:szCs w:val="18"/>
              </w:rPr>
              <w:t>197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101" w:line="188" w:lineRule="auto"/>
              <w:ind w:left="7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230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101" w:line="188" w:lineRule="auto"/>
              <w:ind w:left="732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275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22"/>
        </w:trPr>
        <w:tc>
          <w:tcPr>
            <w:tcW w:w="1767" w:type="dxa"/>
            <w:vAlign w:val="top"/>
          </w:tcPr>
          <w:p>
            <w:pPr>
              <w:pStyle w:val="TableText"/>
              <w:spacing w:before="91" w:line="192" w:lineRule="auto"/>
              <w:ind w:left="6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(+/-)</w:t>
            </w:r>
            <w:r>
              <w:rPr>
                <w:spacing w:val="8"/>
                <w:sz w:val="18"/>
                <w:szCs w:val="18"/>
              </w:rPr>
              <w:t xml:space="preserve"> </w:t>
            </w:r>
            <w:r>
              <w:rPr>
                <w:spacing w:val="-2"/>
                <w:sz w:val="18"/>
                <w:szCs w:val="18"/>
              </w:rPr>
              <w:t>(%)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95" w:line="188" w:lineRule="auto"/>
              <w:ind w:left="695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-72.8%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95" w:line="188" w:lineRule="auto"/>
              <w:ind w:left="553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13.0%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95" w:line="188" w:lineRule="auto"/>
              <w:ind w:left="55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17.0%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95" w:line="188" w:lineRule="auto"/>
              <w:ind w:left="555"/>
              <w:rPr>
                <w:sz w:val="18"/>
                <w:szCs w:val="18"/>
              </w:rPr>
            </w:pPr>
            <w:r>
              <w:rPr>
                <w:spacing w:val="-4"/>
                <w:sz w:val="18"/>
                <w:szCs w:val="18"/>
              </w:rPr>
              <w:t>19.5%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43"/>
        </w:trPr>
        <w:tc>
          <w:tcPr>
            <w:tcW w:w="1767" w:type="dxa"/>
            <w:vAlign w:val="top"/>
          </w:tcPr>
          <w:p>
            <w:pPr>
              <w:pStyle w:val="TableText"/>
              <w:spacing w:before="71" w:line="212" w:lineRule="auto"/>
              <w:ind w:left="58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每股收益</w:t>
            </w:r>
            <w:r>
              <w:rPr>
                <w:spacing w:val="-1"/>
                <w:sz w:val="18"/>
                <w:szCs w:val="18"/>
              </w:rPr>
              <w:t>(</w:t>
            </w:r>
            <w:r>
              <w:rPr>
                <w:rFonts w:ascii="KaiTi" w:eastAsia="KaiTi" w:hAnsi="KaiTi" w:cs="KaiTi"/>
                <w:spacing w:val="-1"/>
                <w:sz w:val="18"/>
                <w:szCs w:val="18"/>
              </w:rPr>
              <w:t>元</w:t>
            </w:r>
            <w:r>
              <w:rPr>
                <w:spacing w:val="-1"/>
                <w:sz w:val="18"/>
                <w:szCs w:val="18"/>
              </w:rPr>
              <w:t>)</w:t>
            </w:r>
          </w:p>
        </w:tc>
        <w:tc>
          <w:tcPr>
            <w:tcW w:w="1738" w:type="dxa"/>
            <w:vAlign w:val="top"/>
          </w:tcPr>
          <w:p>
            <w:pPr>
              <w:pStyle w:val="TableText"/>
              <w:spacing w:before="104" w:line="188" w:lineRule="auto"/>
              <w:ind w:left="90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0.20</w:t>
            </w:r>
          </w:p>
        </w:tc>
        <w:tc>
          <w:tcPr>
            <w:tcW w:w="1518" w:type="dxa"/>
            <w:vAlign w:val="top"/>
          </w:tcPr>
          <w:p>
            <w:pPr>
              <w:pStyle w:val="TableText"/>
              <w:spacing w:before="104" w:line="188" w:lineRule="auto"/>
              <w:ind w:left="68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0.22</w:t>
            </w:r>
          </w:p>
        </w:tc>
        <w:tc>
          <w:tcPr>
            <w:tcW w:w="1519" w:type="dxa"/>
            <w:vAlign w:val="top"/>
          </w:tcPr>
          <w:p>
            <w:pPr>
              <w:pStyle w:val="TableText"/>
              <w:spacing w:before="104" w:line="188" w:lineRule="auto"/>
              <w:ind w:left="6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0.26</w:t>
            </w:r>
          </w:p>
        </w:tc>
        <w:tc>
          <w:tcPr>
            <w:tcW w:w="1115" w:type="dxa"/>
            <w:vAlign w:val="top"/>
          </w:tcPr>
          <w:p>
            <w:pPr>
              <w:pStyle w:val="TableText"/>
              <w:spacing w:before="104" w:line="188" w:lineRule="auto"/>
              <w:ind w:left="689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0.31</w:t>
            </w:r>
          </w:p>
        </w:tc>
      </w:tr>
      <w:tr>
        <w:tblPrEx>
          <w:tblW w:w="7657" w:type="dxa"/>
          <w:tblInd w:w="0" w:type="dxa"/>
          <w:tblLayout w:type="fixed"/>
        </w:tblPrEx>
        <w:trPr>
          <w:trHeight w:val="316"/>
        </w:trPr>
        <w:tc>
          <w:tcPr>
            <w:tcW w:w="1767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87" w:line="192" w:lineRule="auto"/>
              <w:ind w:left="60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P/E</w:t>
            </w:r>
          </w:p>
        </w:tc>
        <w:tc>
          <w:tcPr>
            <w:tcW w:w="1738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90" w:line="188" w:lineRule="auto"/>
              <w:ind w:left="901"/>
              <w:rPr>
                <w:sz w:val="18"/>
                <w:szCs w:val="18"/>
              </w:rPr>
            </w:pPr>
            <w:r>
              <w:rPr>
                <w:spacing w:val="-1"/>
                <w:sz w:val="18"/>
                <w:szCs w:val="18"/>
              </w:rPr>
              <w:t>20.1</w:t>
            </w:r>
          </w:p>
        </w:tc>
        <w:tc>
          <w:tcPr>
            <w:tcW w:w="1518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90" w:line="188" w:lineRule="auto"/>
              <w:ind w:left="70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17.8</w:t>
            </w:r>
          </w:p>
        </w:tc>
        <w:tc>
          <w:tcPr>
            <w:tcW w:w="1519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90" w:line="188" w:lineRule="auto"/>
              <w:ind w:left="70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15.2</w:t>
            </w:r>
          </w:p>
        </w:tc>
        <w:tc>
          <w:tcPr>
            <w:tcW w:w="1115" w:type="dxa"/>
            <w:tcBorders>
              <w:bottom w:val="single" w:sz="2" w:space="0" w:color="B70004"/>
            </w:tcBorders>
            <w:vAlign w:val="top"/>
          </w:tcPr>
          <w:p>
            <w:pPr>
              <w:pStyle w:val="TableText"/>
              <w:spacing w:before="90" w:line="188" w:lineRule="auto"/>
              <w:ind w:left="704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12.7</w:t>
            </w:r>
          </w:p>
        </w:tc>
      </w:tr>
    </w:tbl>
    <w:p>
      <w:pPr>
        <w:pStyle w:val="BodyText"/>
        <w:spacing w:before="61" w:line="218" w:lineRule="auto"/>
        <w:ind w:left="43"/>
        <w:rPr>
          <w:sz w:val="16"/>
          <w:szCs w:val="16"/>
        </w:rPr>
      </w:pPr>
      <w:r>
        <w:rPr>
          <w:spacing w:val="-1"/>
          <w:sz w:val="16"/>
          <w:szCs w:val="16"/>
        </w:rPr>
        <w:t>资料来源：浙商证券研究所</w:t>
      </w:r>
    </w:p>
    <w:p>
      <w:pPr>
        <w:spacing w:line="218" w:lineRule="auto"/>
        <w:rPr>
          <w:sz w:val="16"/>
          <w:szCs w:val="16"/>
        </w:rPr>
        <w:sectPr>
          <w:headerReference w:type="default" r:id="rId16"/>
          <w:footerReference w:type="default" r:id="rId17"/>
          <w:pgSz w:w="11907" w:h="16839"/>
          <w:pgMar w:top="1264" w:right="725" w:bottom="1027" w:left="720" w:header="788" w:footer="796" w:gutter="0"/>
          <w:pgNumType w:start="4"/>
          <w:cols w:space="708"/>
        </w:sectPr>
      </w:pPr>
    </w:p>
    <w:p>
      <w:pPr>
        <w:pStyle w:val="BodyText"/>
        <w:spacing w:before="267" w:line="224" w:lineRule="auto"/>
        <w:ind w:left="4602"/>
        <w:rPr>
          <w:sz w:val="31"/>
          <w:szCs w:val="31"/>
        </w:rPr>
      </w:pPr>
      <w:r>
        <w:rPr>
          <w:color w:val="B70004"/>
          <w:spacing w:val="8"/>
          <w:sz w:val="31"/>
          <w:szCs w:val="31"/>
          <w14:textOutline w14:w="5791">
            <w14:solidFill>
              <w14:srgbClr w14:val="B70004"/>
            </w14:solidFill>
            <w14:prstDash w14:val="solid"/>
            <w14:miter w14:lim="10"/>
          </w14:textOutline>
        </w:rPr>
        <w:t>正文目录</w:t>
      </w:r>
    </w:p>
    <w:sdt>
      <w:sdtPr>
        <w:rPr>
          <w:rFonts w:ascii="Times New Roman" w:eastAsia="Times New Roman" w:hAnsi="Times New Roman" w:cs="Times New Roman"/>
          <w:sz w:val="24"/>
          <w:szCs w:val="24"/>
        </w:rPr>
        <w:id w:val="1324044929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pStyle w:val="BodyText"/>
            <w:tabs>
              <w:tab w:val="right" w:leader="dot" w:pos="10458"/>
            </w:tabs>
            <w:spacing w:before="130" w:line="226" w:lineRule="auto"/>
            <w:ind w:left="1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1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深耕现代消费，转型大健康增长再提速</w:t>
          </w:r>
          <w:r>
            <w:rPr>
              <w:spacing w:val="-47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" w:history="1">
            <w:r>
              <w:rPr>
                <w:rFonts w:ascii="Times New Roman" w:eastAsia="Times New Roman" w:hAnsi="Times New Roman" w:cs="Times New Roman"/>
                <w:b/>
                <w:bCs/>
                <w:spacing w:val="17"/>
                <w:sz w:val="24"/>
                <w:szCs w:val="24"/>
              </w:rPr>
              <w:t>6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8" w:line="221" w:lineRule="auto"/>
            <w:ind w:left="4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1.1 </w:t>
          </w:r>
          <w:r>
            <w:rPr>
              <w:spacing w:val="7"/>
            </w:rPr>
            <w:t>无锡百货零售龙头，向医疗健康新赛道进军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" w:history="1"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4" w:line="221" w:lineRule="auto"/>
            <w:ind w:left="4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-4"/>
            </w:rPr>
            <w:t>1.2</w:t>
          </w:r>
          <w:r>
            <w:rPr>
              <w:rFonts w:ascii="Times New Roman" w:eastAsia="Times New Roman" w:hAnsi="Times New Roman" w:cs="Times New Roman"/>
              <w:spacing w:val="21"/>
              <w:w w:val="102"/>
            </w:rPr>
            <w:t xml:space="preserve"> </w:t>
          </w:r>
          <w:r>
            <w:rPr>
              <w:spacing w:val="-4"/>
            </w:rPr>
            <w:t>股权结构清晰，</w:t>
          </w:r>
          <w:r>
            <w:rPr>
              <w:spacing w:val="64"/>
            </w:rPr>
            <w:t xml:space="preserve"> </w:t>
          </w:r>
          <w:r>
            <w:rPr>
              <w:spacing w:val="-4"/>
            </w:rPr>
            <w:t>管理团队稳定</w:t>
          </w:r>
          <w:r>
            <w:rPr>
              <w:spacing w:val="-34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3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5" w:line="221" w:lineRule="auto"/>
            <w:ind w:left="44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 xml:space="preserve">1.3 </w:t>
          </w:r>
          <w:r>
            <w:rPr>
              <w:spacing w:val="2"/>
            </w:rPr>
            <w:t>转型期表观业绩波动，</w:t>
          </w:r>
          <w:r>
            <w:rPr>
              <w:spacing w:val="45"/>
            </w:rPr>
            <w:t xml:space="preserve"> </w:t>
          </w:r>
          <w:r>
            <w:rPr>
              <w:spacing w:val="2"/>
            </w:rPr>
            <w:t>医疗板块将成新增</w:t>
          </w:r>
          <w:r>
            <w:rPr>
              <w:spacing w:val="1"/>
            </w:rPr>
            <w:t>长极</w:t>
          </w:r>
          <w:r>
            <w:rPr>
              <w:spacing w:val="-72"/>
            </w:rPr>
            <w:t xml:space="preserve"> </w:t>
          </w:r>
          <w:r>
            <w:tab/>
          </w:r>
          <w:r>
            <w:rPr>
              <w:spacing w:val="-44"/>
            </w:rPr>
            <w:t xml:space="preserve"> </w:t>
          </w:r>
          <w:hyperlink w:anchor="bookmark4" w:history="1"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64" w:line="226" w:lineRule="auto"/>
            <w:ind w:left="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>2</w:t>
          </w:r>
          <w:r>
            <w:rPr>
              <w:rFonts w:ascii="Times New Roman" w:eastAsia="Times New Roman" w:hAnsi="Times New Roman" w:cs="Times New Roman"/>
              <w:b/>
              <w:bCs/>
              <w:spacing w:val="37"/>
              <w:sz w:val="24"/>
              <w:szCs w:val="24"/>
            </w:rPr>
            <w:t xml:space="preserve"> </w:t>
          </w:r>
          <w:r>
            <w:rPr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民营儿科：聚焦高潜业务</w:t>
          </w:r>
          <w:r>
            <w:rPr>
              <w:rFonts w:ascii="Times New Roman" w:eastAsia="Times New Roman" w:hAnsi="Times New Roman" w:cs="Times New Roman"/>
              <w:b/>
              <w:bCs/>
              <w:spacing w:val="-4"/>
              <w:sz w:val="24"/>
              <w:szCs w:val="24"/>
            </w:rPr>
            <w:t>+</w:t>
          </w:r>
          <w:r>
            <w:rPr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连锁化赋能，</w:t>
          </w:r>
          <w:r>
            <w:rPr>
              <w:spacing w:val="-27"/>
              <w:sz w:val="24"/>
              <w:szCs w:val="24"/>
            </w:rPr>
            <w:t xml:space="preserve"> </w:t>
          </w:r>
          <w:r>
            <w:rPr>
              <w:spacing w:val="-4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优质赛道布局正当时</w:t>
          </w:r>
          <w:r>
            <w:rPr>
              <w:sz w:val="24"/>
              <w:szCs w:val="24"/>
            </w:rPr>
            <w:tab/>
          </w:r>
          <w:hyperlink w:anchor="bookmark5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9" w:line="221" w:lineRule="auto"/>
            <w:ind w:left="42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 xml:space="preserve">2.1 </w:t>
          </w:r>
          <w:r>
            <w:rPr>
              <w:spacing w:val="8"/>
            </w:rPr>
            <w:t>概览：行业扩容政策支持，民营儿科乘风而起</w:t>
          </w:r>
          <w:r>
            <w:rPr>
              <w:spacing w:val="-5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6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36" w:lineRule="auto"/>
            <w:ind w:left="424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9"/>
            </w:rPr>
            <w:t xml:space="preserve">2.2 </w:t>
          </w:r>
          <w:r>
            <w:rPr>
              <w:spacing w:val="9"/>
            </w:rPr>
            <w:t>展望：长尾出清格局优化，标准连锁</w:t>
          </w:r>
          <w:r>
            <w:rPr>
              <w:rFonts w:ascii="Times New Roman" w:eastAsia="Times New Roman" w:hAnsi="Times New Roman" w:cs="Times New Roman"/>
              <w:spacing w:val="9"/>
            </w:rPr>
            <w:t>+</w:t>
          </w:r>
          <w:r>
            <w:rPr>
              <w:spacing w:val="9"/>
            </w:rPr>
            <w:t>线上线下一</w:t>
          </w:r>
          <w:r>
            <w:rPr>
              <w:spacing w:val="8"/>
            </w:rPr>
            <w:t>体大势所趋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49" w:line="226" w:lineRule="auto"/>
            <w:ind w:left="3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z w:val="24"/>
              <w:szCs w:val="24"/>
            </w:rPr>
            <w:t xml:space="preserve">3 </w:t>
          </w:r>
          <w:r>
            <w:rPr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把握身高管理流量入口，多赛道布局儿科旗舰冉冉升起</w:t>
          </w:r>
          <w:r>
            <w:rPr>
              <w:spacing w:val="-53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8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8" w:line="221" w:lineRule="auto"/>
            <w:ind w:left="42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 xml:space="preserve">3.1 </w:t>
          </w:r>
          <w:r>
            <w:rPr>
              <w:spacing w:val="2"/>
            </w:rPr>
            <w:t>健高儿科：身高管理连锁龙头，</w:t>
          </w:r>
          <w:r>
            <w:rPr>
              <w:spacing w:val="75"/>
            </w:rPr>
            <w:t xml:space="preserve"> </w:t>
          </w:r>
          <w:r>
            <w:rPr>
              <w:spacing w:val="2"/>
            </w:rPr>
            <w:t>向儿童全发育进军</w:t>
          </w:r>
          <w:r>
            <w:rPr>
              <w:spacing w:val="-70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9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1" w:lineRule="auto"/>
            <w:ind w:left="42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3"/>
            </w:rPr>
            <w:t xml:space="preserve">3.2 </w:t>
          </w:r>
          <w:r>
            <w:rPr>
              <w:spacing w:val="3"/>
            </w:rPr>
            <w:t>雅恩健康：课程体系独家认证，</w:t>
          </w:r>
          <w:r>
            <w:rPr>
              <w:spacing w:val="76"/>
            </w:rPr>
            <w:t xml:space="preserve"> </w:t>
          </w:r>
          <w:r>
            <w:rPr>
              <w:spacing w:val="3"/>
            </w:rPr>
            <w:t>强标准化输出驱动品牌建设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0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1" w:lineRule="auto"/>
            <w:ind w:left="42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 xml:space="preserve">3.3 </w:t>
          </w:r>
          <w:r>
            <w:rPr>
              <w:spacing w:val="4"/>
            </w:rPr>
            <w:t>知贝医疗：医师储备资源丰富，</w:t>
          </w:r>
          <w:r>
            <w:rPr>
              <w:spacing w:val="65"/>
            </w:rPr>
            <w:t xml:space="preserve"> </w:t>
          </w:r>
          <w:r>
            <w:rPr>
              <w:spacing w:val="4"/>
            </w:rPr>
            <w:t>线</w:t>
          </w:r>
          <w:r>
            <w:rPr>
              <w:spacing w:val="3"/>
            </w:rPr>
            <w:t>上线下一体化打造服务闭环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11" w:history="1">
            <w:r>
              <w:rPr>
                <w:rFonts w:ascii="Times New Roman" w:eastAsia="Times New Roman" w:hAnsi="Times New Roman" w:cs="Times New Roman"/>
                <w:spacing w:val="-7"/>
              </w:rPr>
              <w:t>19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36" w:lineRule="auto"/>
            <w:ind w:left="428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4"/>
            </w:rPr>
            <w:t>3.4</w:t>
          </w:r>
          <w:r>
            <w:rPr>
              <w:rFonts w:ascii="Times New Roman" w:eastAsia="Times New Roman" w:hAnsi="Times New Roman" w:cs="Times New Roman"/>
              <w:spacing w:val="24"/>
              <w:w w:val="101"/>
            </w:rPr>
            <w:t xml:space="preserve"> </w:t>
          </w:r>
          <w:r>
            <w:rPr>
              <w:spacing w:val="4"/>
            </w:rPr>
            <w:t>业务高效协同</w:t>
          </w:r>
          <w:r>
            <w:rPr>
              <w:rFonts w:ascii="Times New Roman" w:eastAsia="Times New Roman" w:hAnsi="Times New Roman" w:cs="Times New Roman"/>
              <w:spacing w:val="4"/>
            </w:rPr>
            <w:t>+</w:t>
          </w:r>
          <w:r>
            <w:rPr>
              <w:spacing w:val="4"/>
            </w:rPr>
            <w:t>均瑶赋能一体化，</w:t>
          </w:r>
          <w:r>
            <w:rPr>
              <w:spacing w:val="4"/>
            </w:rPr>
            <w:t xml:space="preserve"> </w:t>
          </w:r>
          <w:r>
            <w:rPr>
              <w:spacing w:val="4"/>
            </w:rPr>
            <w:t>儿科蓝图徐徐展开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2" w:history="1">
            <w:r>
              <w:rPr>
                <w:rFonts w:ascii="Times New Roman" w:eastAsia="Times New Roman" w:hAnsi="Times New Roman" w:cs="Times New Roman"/>
                <w:spacing w:val="3"/>
              </w:rPr>
              <w:t>20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49" w:line="226" w:lineRule="auto"/>
            <w:ind w:left="5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>4</w:t>
          </w:r>
          <w:r>
            <w:rPr>
              <w:rFonts w:ascii="Times New Roman" w:eastAsia="Times New Roman" w:hAnsi="Times New Roman" w:cs="Times New Roman"/>
              <w:b/>
              <w:bCs/>
              <w:spacing w:val="34"/>
              <w:sz w:val="24"/>
              <w:szCs w:val="24"/>
            </w:rPr>
            <w:t xml:space="preserve">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商业零售板块：无锡商贸百货龙头，基本盘稳固</w:t>
          </w:r>
          <w:r>
            <w:rPr>
              <w:spacing w:val="-68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3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21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9" w:line="236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8"/>
            </w:rPr>
            <w:t>4.1</w:t>
          </w:r>
          <w:r>
            <w:rPr>
              <w:rFonts w:ascii="Times New Roman" w:eastAsia="Times New Roman" w:hAnsi="Times New Roman" w:cs="Times New Roman"/>
              <w:spacing w:val="27"/>
              <w:w w:val="101"/>
            </w:rPr>
            <w:t xml:space="preserve"> </w:t>
          </w:r>
          <w:r>
            <w:rPr>
              <w:spacing w:val="8"/>
            </w:rPr>
            <w:t>百货零售：百货</w:t>
          </w:r>
          <w:r>
            <w:rPr>
              <w:rFonts w:ascii="Times New Roman" w:eastAsia="Times New Roman" w:hAnsi="Times New Roman" w:cs="Times New Roman"/>
              <w:spacing w:val="8"/>
            </w:rPr>
            <w:t>+</w:t>
          </w:r>
          <w:r>
            <w:rPr>
              <w:spacing w:val="8"/>
            </w:rPr>
            <w:t>社区超市</w:t>
          </w:r>
          <w:r>
            <w:rPr>
              <w:rFonts w:ascii="Times New Roman" w:eastAsia="Times New Roman" w:hAnsi="Times New Roman" w:cs="Times New Roman"/>
              <w:spacing w:val="8"/>
            </w:rPr>
            <w:t>+</w:t>
          </w:r>
          <w:r>
            <w:rPr>
              <w:spacing w:val="8"/>
            </w:rPr>
            <w:t>便利店，多层次打造零售业态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4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69" w:line="221" w:lineRule="auto"/>
            <w:ind w:left="423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2"/>
            </w:rPr>
            <w:t>4.2</w:t>
          </w:r>
          <w:r>
            <w:rPr>
              <w:rFonts w:ascii="Times New Roman" w:eastAsia="Times New Roman" w:hAnsi="Times New Roman" w:cs="Times New Roman"/>
              <w:spacing w:val="14"/>
              <w:w w:val="101"/>
            </w:rPr>
            <w:t xml:space="preserve"> </w:t>
          </w:r>
          <w:r>
            <w:rPr>
              <w:spacing w:val="2"/>
            </w:rPr>
            <w:t>三凤桥：区域特产塑造强认知，</w:t>
          </w:r>
          <w:r>
            <w:rPr>
              <w:spacing w:val="60"/>
              <w:w w:val="101"/>
            </w:rPr>
            <w:t xml:space="preserve"> </w:t>
          </w:r>
          <w:r>
            <w:rPr>
              <w:spacing w:val="2"/>
            </w:rPr>
            <w:t>积极挖掘</w:t>
          </w:r>
          <w:r>
            <w:rPr>
              <w:spacing w:val="-4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B </w:t>
          </w:r>
          <w:r>
            <w:rPr>
              <w:spacing w:val="2"/>
            </w:rPr>
            <w:t>端新增量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5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64" w:line="233" w:lineRule="auto"/>
            <w:ind w:left="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5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盈利预测与估值</w:t>
          </w:r>
          <w:r>
            <w:rPr>
              <w:spacing w:val="-50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6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24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7" w:lineRule="auto"/>
            <w:ind w:left="42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6"/>
            </w:rPr>
            <w:t xml:space="preserve">5.1 </w:t>
          </w:r>
          <w:r>
            <w:rPr>
              <w:spacing w:val="6"/>
            </w:rPr>
            <w:t>盈利预测分析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7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78" w:line="227" w:lineRule="auto"/>
            <w:ind w:left="429"/>
            <w:rPr>
              <w:rFonts w:ascii="Times New Roman" w:eastAsia="Times New Roman" w:hAnsi="Times New Roman" w:cs="Times New Roman"/>
            </w:rPr>
          </w:pPr>
          <w:r>
            <w:rPr>
              <w:rFonts w:ascii="Times New Roman" w:eastAsia="Times New Roman" w:hAnsi="Times New Roman" w:cs="Times New Roman"/>
              <w:spacing w:val="7"/>
            </w:rPr>
            <w:t xml:space="preserve">5.2 </w:t>
          </w:r>
          <w:r>
            <w:rPr>
              <w:spacing w:val="7"/>
            </w:rPr>
            <w:t>估值分析及投资建议</w:t>
          </w:r>
          <w:r>
            <w:rPr>
              <w:spacing w:val="-42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8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10458"/>
            </w:tabs>
            <w:spacing w:before="58" w:line="236" w:lineRule="auto"/>
            <w:ind w:left="8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b/>
              <w:bCs/>
              <w:spacing w:val="-1"/>
              <w:sz w:val="24"/>
              <w:szCs w:val="24"/>
            </w:rPr>
            <w:t xml:space="preserve">6 </w:t>
          </w:r>
          <w:r>
            <w:rPr>
              <w:spacing w:val="-1"/>
              <w:sz w:val="24"/>
              <w:szCs w:val="24"/>
              <w14:textOutline w14:w="4354">
                <w14:solidFill>
                  <w14:srgbClr w14:val="000000"/>
                </w14:solidFill>
                <w14:prstDash w14:val="solid"/>
                <w14:miter w14:lim="10"/>
              </w14:textOutline>
            </w:rPr>
            <w:t>风险提示</w:t>
          </w:r>
          <w:r>
            <w:rPr>
              <w:spacing w:val="-53"/>
              <w:sz w:val="24"/>
              <w:szCs w:val="24"/>
            </w:rPr>
            <w:t xml:space="preserve"> </w:t>
          </w:r>
          <w:r>
            <w:rPr>
              <w:sz w:val="24"/>
              <w:szCs w:val="24"/>
            </w:rPr>
            <w:tab/>
          </w:r>
          <w:hyperlink w:anchor="bookmark19" w:history="1">
            <w:r>
              <w:rPr>
                <w:rFonts w:ascii="Times New Roman" w:eastAsia="Times New Roman" w:hAnsi="Times New Roman" w:cs="Times New Roman"/>
                <w:b/>
                <w:bCs/>
                <w:spacing w:val="8"/>
                <w:sz w:val="24"/>
                <w:szCs w:val="24"/>
              </w:rPr>
              <w:t>26</w:t>
            </w:r>
          </w:hyperlink>
        </w:p>
      </w:sdtContent>
    </w:sdt>
    <w:p>
      <w:pPr>
        <w:spacing w:line="236" w:lineRule="auto"/>
        <w:rPr>
          <w:rFonts w:ascii="Times New Roman" w:eastAsia="Times New Roman" w:hAnsi="Times New Roman" w:cs="Times New Roman"/>
          <w:sz w:val="24"/>
          <w:szCs w:val="24"/>
        </w:rPr>
        <w:sectPr>
          <w:headerReference w:type="default" r:id="rId18"/>
          <w:footerReference w:type="default" r:id="rId19"/>
          <w:pgSz w:w="11907" w:h="16839"/>
          <w:pgMar w:top="1264" w:right="725" w:bottom="1027" w:left="720" w:header="788" w:footer="796" w:gutter="0"/>
          <w:pgNumType w:start="5"/>
          <w:cols w:space="708"/>
        </w:sectPr>
      </w:pPr>
    </w:p>
    <w:p>
      <w:pPr>
        <w:pStyle w:val="BodyText"/>
        <w:spacing w:before="267" w:line="224" w:lineRule="auto"/>
        <w:ind w:left="4637"/>
        <w:rPr>
          <w:sz w:val="31"/>
          <w:szCs w:val="31"/>
        </w:rPr>
      </w:pPr>
      <w:r>
        <w:rPr>
          <w:color w:val="B70004"/>
          <w:spacing w:val="-1"/>
          <w:sz w:val="31"/>
          <w:szCs w:val="31"/>
          <w14:textOutline w14:w="5791">
            <w14:solidFill>
              <w14:srgbClr w14:val="B70004"/>
            </w14:solidFill>
            <w14:prstDash w14:val="solid"/>
            <w14:miter w14:lim="10"/>
          </w14:textOutline>
        </w:rPr>
        <w:t>图表目录</w:t>
      </w:r>
    </w:p>
    <w:p>
      <w:pPr>
        <w:spacing w:line="272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19"/>
          <w:szCs w:val="19"/>
        </w:rPr>
        <w:id w:val="994625424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56"/>
            </w:tabs>
            <w:spacing w:before="62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-1"/>
            </w:rPr>
            <w:t>图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>1</w:t>
          </w:r>
          <w:r>
            <w:rPr>
              <w:spacing w:val="-1"/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大东方发展历程</w:t>
          </w:r>
          <w:r>
            <w:rPr>
              <w:spacing w:val="-75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0" w:history="1">
            <w:r>
              <w:rPr>
                <w:rFonts w:ascii="Times New Roman" w:eastAsia="Times New Roman" w:hAnsi="Times New Roman" w:cs="Times New Roman"/>
                <w:spacing w:val="-4"/>
              </w:rPr>
              <w:t>6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8" w:line="221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</w:t>
          </w:r>
          <w:r>
            <w:rPr>
              <w:spacing w:val="5"/>
            </w:rPr>
            <w:t>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大东方医疗健康业务版图（截至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23H1</w:t>
          </w:r>
          <w:r>
            <w:rPr>
              <w:spacing w:val="5"/>
            </w:rPr>
            <w:t>，图中列示为均瑶医疗对各标的持股比例）</w:t>
          </w:r>
          <w:r>
            <w:rPr>
              <w:spacing w:val="5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1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4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3</w:t>
          </w:r>
          <w:r>
            <w:rPr>
              <w:spacing w:val="3"/>
            </w:rPr>
            <w:t>：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均瑶集团五大业务板块</w:t>
          </w:r>
          <w:r>
            <w:rPr>
              <w:spacing w:val="-74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2" w:history="1">
            <w:r>
              <w:rPr>
                <w:rFonts w:ascii="Times New Roman" w:eastAsia="Times New Roman" w:hAnsi="Times New Roman" w:cs="Times New Roman"/>
              </w:rPr>
              <w:t>7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6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4</w:t>
          </w:r>
          <w:r>
            <w:rPr>
              <w:spacing w:val="3"/>
            </w:rPr>
            <w:t>：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大东方股权结构（截至</w:t>
          </w:r>
          <w:r>
            <w:rPr>
              <w:spacing w:val="-4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2024.1.31</w:t>
          </w:r>
          <w:r>
            <w:rPr>
              <w:spacing w:val="3"/>
            </w:rPr>
            <w:t>）</w:t>
          </w:r>
          <w:r>
            <w:rPr>
              <w:spacing w:val="-57"/>
            </w:rPr>
            <w:t xml:space="preserve"> </w:t>
          </w:r>
          <w:r>
            <w:tab/>
          </w:r>
          <w:r>
            <w:rPr>
              <w:spacing w:val="-44"/>
            </w:rPr>
            <w:t xml:space="preserve"> </w:t>
          </w:r>
          <w:hyperlink w:anchor="bookmark23" w:history="1"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8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5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2019-2023Q3 </w:t>
          </w:r>
          <w:r>
            <w:rPr>
              <w:spacing w:val="4"/>
            </w:rPr>
            <w:t>公司营业收入及</w:t>
          </w:r>
          <w:r>
            <w:rPr>
              <w:spacing w:val="3"/>
            </w:rPr>
            <w:t>增速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4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9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6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2019-2023Q3 </w:t>
          </w:r>
          <w:r>
            <w:rPr>
              <w:spacing w:val="4"/>
            </w:rPr>
            <w:t>年公司归母净利润及增速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5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6" w:line="228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7</w:t>
          </w:r>
          <w:r>
            <w:rPr>
              <w:spacing w:val="3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2020-2023H1 </w:t>
          </w:r>
          <w:r>
            <w:rPr>
              <w:spacing w:val="3"/>
            </w:rPr>
            <w:t>公司收入拆分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6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5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8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2019-2023H1 </w:t>
          </w:r>
          <w:r>
            <w:rPr>
              <w:spacing w:val="4"/>
            </w:rPr>
            <w:t>公司毛利率及净利率表现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7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9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1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9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2020-2023H1 </w:t>
          </w:r>
          <w:r>
            <w:rPr>
              <w:spacing w:val="4"/>
            </w:rPr>
            <w:t>公司各业务板块毛利率表现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8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7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10</w:t>
          </w:r>
          <w:r>
            <w:rPr>
              <w:spacing w:val="2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 xml:space="preserve">2020-2023H1 </w:t>
          </w:r>
          <w:r>
            <w:rPr>
              <w:spacing w:val="2"/>
            </w:rPr>
            <w:t>公司费用率表现</w:t>
          </w:r>
          <w:r>
            <w:rPr>
              <w:spacing w:val="-66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9" w:history="1">
            <w:r>
              <w:rPr>
                <w:rFonts w:ascii="Times New Roman" w:eastAsia="Times New Roman" w:hAnsi="Times New Roman" w:cs="Times New Roman"/>
              </w:rPr>
              <w:t>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11</w:t>
          </w:r>
          <w:r>
            <w:rPr>
              <w:spacing w:val="1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2010—2022 </w:t>
          </w:r>
          <w:r>
            <w:rPr>
              <w:spacing w:val="1"/>
            </w:rPr>
            <w:t>年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0-</w:t>
          </w:r>
          <w:r>
            <w:rPr>
              <w:rFonts w:ascii="Times New Roman" w:eastAsia="Times New Roman" w:hAnsi="Times New Roman" w:cs="Times New Roman"/>
              <w:spacing w:val="-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14 </w:t>
          </w:r>
          <w:r>
            <w:t>岁人口（亿人）</w:t>
          </w:r>
          <w:r>
            <w:t xml:space="preserve"> </w:t>
          </w:r>
          <w:r>
            <w:t>及占总人口比例</w:t>
          </w:r>
          <w:r>
            <w:rPr>
              <w:spacing w:val="-4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0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12</w:t>
          </w:r>
          <w:r>
            <w:rPr>
              <w:spacing w:val="2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spacing w:val="2"/>
            </w:rPr>
            <w:t>新生代父母学历画像（截至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2021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 </w:t>
          </w:r>
          <w:r>
            <w:rPr>
              <w:spacing w:val="1"/>
            </w:rPr>
            <w:t>年）</w:t>
          </w:r>
          <w:r>
            <w:rPr>
              <w:spacing w:val="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1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1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13</w:t>
          </w:r>
          <w:r>
            <w:rPr>
              <w:spacing w:val="2"/>
            </w:rPr>
            <w:t>：</w:t>
          </w:r>
          <w:r>
            <w:rPr>
              <w:spacing w:val="2"/>
            </w:rPr>
            <w:t xml:space="preserve"> </w:t>
          </w:r>
          <w:r>
            <w:rPr>
              <w:spacing w:val="2"/>
            </w:rPr>
            <w:t>儿科医疗行业产业链概览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2" w:history="1">
            <w:r>
              <w:rPr>
                <w:rFonts w:ascii="Times New Roman" w:eastAsia="Times New Roman" w:hAnsi="Times New Roman" w:cs="Times New Roman"/>
                <w:spacing w:val="-7"/>
              </w:rPr>
              <w:t>10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8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14</w:t>
          </w:r>
          <w:r>
            <w:rPr>
              <w:spacing w:val="4"/>
            </w:rPr>
            <w:t>：</w:t>
          </w:r>
          <w:r>
            <w:rPr>
              <w:spacing w:val="-22"/>
            </w:rPr>
            <w:t xml:space="preserve"> </w:t>
          </w:r>
          <w:r>
            <w:rPr>
              <w:spacing w:val="4"/>
            </w:rPr>
            <w:t>公立医院儿科主要临床方向（部分）</w:t>
          </w:r>
          <w:r>
            <w:rPr>
              <w:spacing w:val="-45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3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0" w:line="221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15</w:t>
          </w:r>
          <w:r>
            <w:rPr>
              <w:spacing w:val="1"/>
            </w:rPr>
            <w:t>：</w:t>
          </w:r>
          <w:r>
            <w:rPr>
              <w:spacing w:val="1"/>
            </w:rPr>
            <w:t xml:space="preserve"> </w:t>
          </w:r>
          <w:r>
            <w:rPr>
              <w:spacing w:val="1"/>
            </w:rPr>
            <w:t>民营儿科机构主要服务方向（部分，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2021 </w:t>
          </w:r>
          <w:r>
            <w:rPr>
              <w:spacing w:val="1"/>
            </w:rPr>
            <w:t>年数据）</w:t>
          </w:r>
          <w:r>
            <w:rPr>
              <w:spacing w:val="57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4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1" w:line="223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1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16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2020-2021 </w:t>
          </w:r>
          <w:r>
            <w:rPr>
              <w:spacing w:val="4"/>
            </w:rPr>
            <w:t>年每千名儿童儿科医师及床位数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5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90" w:line="229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17</w:t>
          </w:r>
          <w:r>
            <w:rPr>
              <w:spacing w:val="4"/>
            </w:rPr>
            <w:t>：</w:t>
          </w:r>
          <w:r>
            <w:rPr>
              <w:spacing w:val="-22"/>
            </w:rPr>
            <w:t xml:space="preserve"> </w:t>
          </w:r>
          <w:r>
            <w:rPr>
              <w:spacing w:val="4"/>
            </w:rPr>
            <w:t>公立及民营儿童医院数量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6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6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1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18</w:t>
          </w:r>
          <w:r>
            <w:rPr>
              <w:spacing w:val="4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2015-2021 </w:t>
          </w:r>
          <w:r>
            <w:rPr>
              <w:spacing w:val="4"/>
            </w:rPr>
            <w:t>年医疗机构医师日均负担人次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7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56"/>
            </w:tabs>
            <w:spacing w:before="87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1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19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2015-2021 </w:t>
          </w:r>
          <w:r>
            <w:rPr>
              <w:spacing w:val="4"/>
            </w:rPr>
            <w:t>年各类医疗机构床位平均使用率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23"/>
            </w:rPr>
            <w:t xml:space="preserve"> </w:t>
          </w:r>
          <w:hyperlink w:anchor="bookmark38" w:history="1">
            <w:r>
              <w:rPr>
                <w:rFonts w:ascii="Times New Roman" w:eastAsia="Times New Roman" w:hAnsi="Times New Roman" w:cs="Times New Roman"/>
                <w:spacing w:val="-12"/>
              </w:rPr>
              <w:t>11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1" w:lineRule="auto"/>
            <w:ind w:left="28"/>
            <w:rPr>
              <w:rFonts w:ascii="Times New Roman" w:eastAsia="Times New Roman" w:hAnsi="Times New Roman" w:cs="Times New Roman"/>
            </w:rPr>
          </w:pPr>
          <w:r>
            <w:t>图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20</w:t>
          </w:r>
          <w:r>
            <w:t>：</w:t>
          </w:r>
          <w:r>
            <w:t xml:space="preserve"> </w:t>
          </w:r>
          <w:r>
            <w:t>儿科行业投融资数量（单位：起</w:t>
          </w:r>
          <w:r>
            <w:rPr>
              <w:spacing w:val="-1"/>
            </w:rPr>
            <w:t>，</w:t>
          </w:r>
          <w:r>
            <w:rPr>
              <w:spacing w:val="-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 xml:space="preserve">21 </w:t>
          </w:r>
          <w:r>
            <w:rPr>
              <w:spacing w:val="-1"/>
            </w:rPr>
            <w:t>年数据截至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>11</w:t>
          </w:r>
          <w:r>
            <w:rPr>
              <w:rFonts w:ascii="Times New Roman" w:eastAsia="Times New Roman" w:hAnsi="Times New Roman" w:cs="Times New Roman"/>
              <w:spacing w:val="14"/>
            </w:rPr>
            <w:t xml:space="preserve"> </w:t>
          </w:r>
          <w:r>
            <w:rPr>
              <w:spacing w:val="-1"/>
            </w:rPr>
            <w:t>月）</w:t>
          </w:r>
          <w:r>
            <w:rPr>
              <w:spacing w:val="-22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39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4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21</w:t>
          </w:r>
          <w:r>
            <w:rPr>
              <w:spacing w:val="5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2018 </w:t>
          </w:r>
          <w:r>
            <w:rPr>
              <w:spacing w:val="5"/>
            </w:rPr>
            <w:t>年儿童医疗市场细分专科数量占比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0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22</w:t>
          </w:r>
          <w:r>
            <w:rPr>
              <w:spacing w:val="1"/>
            </w:rPr>
            <w:t>：</w:t>
          </w:r>
          <w:r>
            <w:rPr>
              <w:spacing w:val="1"/>
            </w:rPr>
            <w:t xml:space="preserve"> </w:t>
          </w:r>
          <w:r>
            <w:rPr>
              <w:spacing w:val="1"/>
            </w:rPr>
            <w:t>育学园线上</w:t>
          </w:r>
          <w:r>
            <w:rPr>
              <w:spacing w:val="-43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APP</w:t>
          </w:r>
          <w:r>
            <w:rPr>
              <w:rFonts w:ascii="Times New Roman" w:eastAsia="Times New Roman" w:hAnsi="Times New Roman" w:cs="Times New Roman"/>
              <w:spacing w:val="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ab/>
          </w:r>
          <w:r>
            <w:rPr>
              <w:rFonts w:ascii="Times New Roman" w:eastAsia="Times New Roman" w:hAnsi="Times New Roman" w:cs="Times New Roman"/>
              <w:spacing w:val="17"/>
              <w:w w:val="101"/>
            </w:rPr>
            <w:t xml:space="preserve"> </w:t>
          </w:r>
          <w:hyperlink w:anchor="bookmark41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3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23</w:t>
          </w:r>
          <w:r>
            <w:rPr>
              <w:spacing w:val="1"/>
            </w:rPr>
            <w:t>：</w:t>
          </w:r>
          <w:r>
            <w:rPr>
              <w:spacing w:val="1"/>
            </w:rPr>
            <w:t xml:space="preserve"> </w:t>
          </w:r>
          <w:r>
            <w:rPr>
              <w:spacing w:val="1"/>
            </w:rPr>
            <w:t>育学园线下门诊</w:t>
          </w:r>
          <w:r>
            <w:rPr>
              <w:spacing w:val="-7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2" w:history="1">
            <w:r>
              <w:rPr>
                <w:rFonts w:ascii="Times New Roman" w:eastAsia="Times New Roman" w:hAnsi="Times New Roman" w:cs="Times New Roman"/>
                <w:spacing w:val="-7"/>
              </w:rPr>
              <w:t>13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1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24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spacing w:val="5"/>
            </w:rPr>
            <w:t>居民医疗信息数字化管理图示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3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25</w:t>
          </w:r>
          <w:r>
            <w:rPr>
              <w:spacing w:val="5"/>
            </w:rPr>
            <w:t>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中国儿童</w:t>
          </w:r>
          <w:r>
            <w:rPr>
              <w:spacing w:val="-42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PGHD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 </w:t>
          </w:r>
          <w:r>
            <w:rPr>
              <w:spacing w:val="5"/>
            </w:rPr>
            <w:t>治疗市场规模（十亿美元）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4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26</w:t>
          </w:r>
          <w:r>
            <w:rPr>
              <w:spacing w:val="4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2020 </w:t>
          </w:r>
          <w:r>
            <w:rPr>
              <w:spacing w:val="4"/>
            </w:rPr>
            <w:t>年生长激素市场竞争格局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5" w:history="1">
            <w:r>
              <w:rPr>
                <w:rFonts w:ascii="Times New Roman" w:eastAsia="Times New Roman" w:hAnsi="Times New Roman" w:cs="Times New Roman"/>
                <w:spacing w:val="-7"/>
              </w:rPr>
              <w:t>14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27</w:t>
          </w:r>
          <w:r>
            <w:rPr>
              <w:spacing w:val="4"/>
            </w:rPr>
            <w:t>：</w:t>
          </w:r>
          <w:r>
            <w:rPr>
              <w:spacing w:val="-20"/>
            </w:rPr>
            <w:t xml:space="preserve"> </w:t>
          </w:r>
          <w:r>
            <w:rPr>
              <w:spacing w:val="4"/>
            </w:rPr>
            <w:t>健高儿科发展历程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6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7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4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28</w:t>
          </w:r>
          <w:r>
            <w:rPr>
              <w:spacing w:val="4"/>
            </w:rPr>
            <w:t>：</w:t>
          </w:r>
          <w:r>
            <w:rPr>
              <w:spacing w:val="-20"/>
            </w:rPr>
            <w:t xml:space="preserve"> </w:t>
          </w:r>
          <w:r>
            <w:rPr>
              <w:spacing w:val="4"/>
            </w:rPr>
            <w:t>健高儿科全国布局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7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6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4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29</w:t>
          </w:r>
          <w:r>
            <w:rPr>
              <w:spacing w:val="5"/>
            </w:rPr>
            <w:t>：</w:t>
          </w:r>
          <w:r>
            <w:rPr>
              <w:spacing w:val="-1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2019—2022 </w:t>
          </w:r>
          <w:r>
            <w:rPr>
              <w:spacing w:val="5"/>
            </w:rPr>
            <w:t>年健高儿科营业收入及</w:t>
          </w:r>
          <w:r>
            <w:rPr>
              <w:spacing w:val="4"/>
            </w:rPr>
            <w:t>增速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8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30</w:t>
          </w:r>
          <w:r>
            <w:rPr>
              <w:spacing w:val="5"/>
            </w:rPr>
            <w:t>：</w:t>
          </w:r>
          <w:r>
            <w:rPr>
              <w:spacing w:val="-20"/>
            </w:rPr>
            <w:t xml:space="preserve"> </w:t>
          </w:r>
          <w:r>
            <w:rPr>
              <w:spacing w:val="5"/>
            </w:rPr>
            <w:t>健高儿科诊前</w:t>
          </w:r>
          <w:r>
            <w:rPr>
              <w:rFonts w:ascii="Times New Roman" w:eastAsia="Times New Roman" w:hAnsi="Times New Roman" w:cs="Times New Roman"/>
              <w:spacing w:val="5"/>
            </w:rPr>
            <w:t>-</w:t>
          </w:r>
          <w:r>
            <w:rPr>
              <w:spacing w:val="5"/>
            </w:rPr>
            <w:t>诊中</w:t>
          </w:r>
          <w:r>
            <w:rPr>
              <w:rFonts w:ascii="Times New Roman" w:eastAsia="Times New Roman" w:hAnsi="Times New Roman" w:cs="Times New Roman"/>
              <w:spacing w:val="5"/>
            </w:rPr>
            <w:t>-</w:t>
          </w:r>
          <w:r>
            <w:rPr>
              <w:spacing w:val="5"/>
            </w:rPr>
            <w:t>诊后标准化流程</w:t>
          </w:r>
          <w:r>
            <w:rPr>
              <w:spacing w:val="-44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49" w:history="1">
            <w:r>
              <w:rPr>
                <w:rFonts w:ascii="Times New Roman" w:eastAsia="Times New Roman" w:hAnsi="Times New Roman" w:cs="Times New Roman"/>
                <w:spacing w:val="-7"/>
              </w:rPr>
              <w:t>15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31</w:t>
          </w:r>
          <w:r>
            <w:rPr>
              <w:spacing w:val="6"/>
            </w:rPr>
            <w:t>：</w:t>
          </w:r>
          <w:r>
            <w:rPr>
              <w:spacing w:val="-20"/>
            </w:rPr>
            <w:t xml:space="preserve"> </w:t>
          </w:r>
          <w:r>
            <w:rPr>
              <w:spacing w:val="6"/>
            </w:rPr>
            <w:t>孤独症谱系障碍患者主要症状及发生率</w:t>
          </w:r>
          <w:r>
            <w:rPr>
              <w:spacing w:val="-5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0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20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32</w:t>
          </w:r>
          <w:r>
            <w:rPr>
              <w:spacing w:val="3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 xml:space="preserve">2022 </w:t>
          </w:r>
          <w:r>
            <w:rPr>
              <w:spacing w:val="3"/>
            </w:rPr>
            <w:t>年我国孤独症儿童数量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1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8" w:lineRule="auto"/>
            <w:ind w:left="28"/>
            <w:rPr>
              <w:rFonts w:ascii="Times New Roman" w:eastAsia="Times New Roman" w:hAnsi="Times New Roman" w:cs="Times New Roman"/>
            </w:rPr>
            <w:sectPr>
              <w:headerReference w:type="default" r:id="rId20"/>
              <w:footerReference w:type="default" r:id="rId21"/>
              <w:pgSz w:w="11907" w:h="16839"/>
              <w:pgMar w:top="1264" w:right="725" w:bottom="1027" w:left="720" w:header="788" w:footer="796" w:gutter="0"/>
              <w:pgNumType w:start="6"/>
              <w:cols w:space="708"/>
            </w:sectPr>
          </w:pPr>
          <w:r>
            <w:rPr>
              <w:spacing w:val="4"/>
            </w:rPr>
            <w:t>图</w:t>
          </w:r>
          <w:r>
            <w:rPr>
              <w:spacing w:val="-2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33</w:t>
          </w:r>
          <w:r>
            <w:rPr>
              <w:spacing w:val="4"/>
            </w:rPr>
            <w:t>：</w:t>
          </w:r>
          <w:r>
            <w:rPr>
              <w:spacing w:val="-16"/>
            </w:rPr>
            <w:t xml:space="preserve"> </w:t>
          </w:r>
          <w:r>
            <w:rPr>
              <w:spacing w:val="4"/>
            </w:rPr>
            <w:t>我国孤独症康复机构数量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2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</w:sdtContent>
    </w:sdt>
    <w:sdt>
      <w:sdtPr>
        <w:rPr>
          <w:rFonts w:ascii="KaiTi" w:eastAsia="KaiTi" w:hAnsi="KaiTi" w:cs="KaiTi"/>
          <w:sz w:val="19"/>
          <w:szCs w:val="19"/>
        </w:rPr>
        <w:id w:val="456780912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60"/>
            </w:tabs>
            <w:spacing w:before="85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34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 xml:space="preserve">2021 </w:t>
          </w:r>
          <w:r>
            <w:rPr>
              <w:spacing w:val="5"/>
            </w:rPr>
            <w:t>年我国孤独症儿童康复教师数量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3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6" w:line="225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35</w:t>
          </w:r>
          <w:r>
            <w:rPr>
              <w:spacing w:val="3"/>
            </w:rPr>
            <w:t>：</w:t>
          </w:r>
          <w:r>
            <w:rPr>
              <w:spacing w:val="-16"/>
            </w:rPr>
            <w:t xml:space="preserve"> </w:t>
          </w:r>
          <w:r>
            <w:rPr>
              <w:spacing w:val="3"/>
            </w:rPr>
            <w:t>雅恩健康发展历程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4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36</w:t>
          </w:r>
          <w:r>
            <w:rPr>
              <w:spacing w:val="4"/>
            </w:rPr>
            <w:t>：</w:t>
          </w:r>
          <w:r>
            <w:rPr>
              <w:spacing w:val="-15"/>
            </w:rPr>
            <w:t xml:space="preserve"> </w:t>
          </w:r>
          <w:r>
            <w:rPr>
              <w:spacing w:val="4"/>
            </w:rPr>
            <w:t>雅恩健康课程干预体系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5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37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 xml:space="preserve">2019—2022 </w:t>
          </w:r>
          <w:r>
            <w:rPr>
              <w:spacing w:val="4"/>
            </w:rPr>
            <w:t>年雅恩健康收入及增速</w:t>
          </w:r>
          <w:r>
            <w:rPr>
              <w:spacing w:val="-5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6" w:history="1">
            <w:r>
              <w:rPr>
                <w:rFonts w:ascii="Times New Roman" w:eastAsia="Times New Roman" w:hAnsi="Times New Roman" w:cs="Times New Roman"/>
                <w:spacing w:val="-7"/>
              </w:rPr>
              <w:t>17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6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2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38</w:t>
          </w:r>
          <w:r>
            <w:rPr>
              <w:spacing w:val="5"/>
            </w:rPr>
            <w:t>：</w:t>
          </w:r>
          <w:r>
            <w:rPr>
              <w:spacing w:val="-16"/>
            </w:rPr>
            <w:t xml:space="preserve"> </w:t>
          </w:r>
          <w:r>
            <w:rPr>
              <w:spacing w:val="5"/>
            </w:rPr>
            <w:t>雅恩健康课程体系覆盖儿童全周期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7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1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39</w:t>
          </w:r>
          <w:r>
            <w:rPr>
              <w:spacing w:val="3"/>
            </w:rPr>
            <w:t>：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儿童课程体系四大模块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8" w:history="1">
            <w:r>
              <w:rPr>
                <w:rFonts w:ascii="Times New Roman" w:eastAsia="Times New Roman" w:hAnsi="Times New Roman" w:cs="Times New Roman"/>
                <w:spacing w:val="-7"/>
              </w:rPr>
              <w:t>19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33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40</w:t>
          </w:r>
          <w:r>
            <w:rPr>
              <w:spacing w:val="4"/>
            </w:rPr>
            <w:t>：</w:t>
          </w:r>
          <w:r>
            <w:rPr>
              <w:spacing w:val="-15"/>
            </w:rPr>
            <w:t xml:space="preserve"> </w:t>
          </w:r>
          <w:r>
            <w:rPr>
              <w:spacing w:val="4"/>
            </w:rPr>
            <w:t>雅恩健康家长课程体系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59" w:history="1">
            <w:r>
              <w:rPr>
                <w:rFonts w:ascii="Times New Roman" w:eastAsia="Times New Roman" w:hAnsi="Times New Roman" w:cs="Times New Roman"/>
                <w:spacing w:val="-7"/>
              </w:rPr>
              <w:t>19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7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41</w:t>
          </w:r>
          <w:r>
            <w:rPr>
              <w:spacing w:val="5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spacing w:val="5"/>
            </w:rPr>
            <w:t>知贝线上课程、咨询及科普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0" w:history="1">
            <w:r>
              <w:rPr>
                <w:rFonts w:ascii="Times New Roman" w:eastAsia="Times New Roman" w:hAnsi="Times New Roman" w:cs="Times New Roman"/>
                <w:spacing w:val="3"/>
              </w:rPr>
              <w:t>20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8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42</w:t>
          </w:r>
          <w:r>
            <w:rPr>
              <w:spacing w:val="4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spacing w:val="4"/>
            </w:rPr>
            <w:t>知贝医疗线下门诊场景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1" w:history="1">
            <w:r>
              <w:rPr>
                <w:rFonts w:ascii="Times New Roman" w:eastAsia="Times New Roman" w:hAnsi="Times New Roman" w:cs="Times New Roman"/>
                <w:spacing w:val="3"/>
              </w:rPr>
              <w:t>20</w:t>
            </w:r>
          </w:hyperlink>
        </w:p>
      </w:sdtContent>
    </w:sdt>
    <w:p>
      <w:pPr>
        <w:spacing w:line="228" w:lineRule="auto"/>
        <w:rPr>
          <w:rFonts w:ascii="Times New Roman" w:eastAsia="Times New Roman" w:hAnsi="Times New Roman" w:cs="Times New Roman"/>
        </w:rPr>
        <w:sectPr>
          <w:headerReference w:type="default" r:id="rId22"/>
          <w:footerReference w:type="default" r:id="rId23"/>
          <w:type w:val="nextPage"/>
          <w:pgSz w:w="11907" w:h="16839"/>
          <w:pgMar w:top="1264" w:right="725" w:bottom="1027" w:left="720" w:header="788" w:footer="796" w:gutter="0"/>
          <w:pgNumType w:start="7"/>
          <w:cols w:space="708"/>
          <w:titlePg w:val="0"/>
        </w:sectPr>
      </w:pPr>
    </w:p>
    <w:sdt>
      <w:sdtPr>
        <w:rPr>
          <w:rFonts w:ascii="KaiTi" w:eastAsia="KaiTi" w:hAnsi="KaiTi" w:cs="KaiTi"/>
          <w:sz w:val="19"/>
          <w:szCs w:val="19"/>
        </w:rPr>
        <w:id w:val="1396721971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19"/>
          <w:szCs w:val="19"/>
        </w:rPr>
      </w:sdtEndPr>
      <w:sdtContent>
        <w:p>
          <w:pPr>
            <w:pStyle w:val="BodyText"/>
            <w:tabs>
              <w:tab w:val="right" w:leader="dot" w:pos="10460"/>
            </w:tabs>
            <w:spacing w:before="199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43</w:t>
          </w:r>
          <w:r>
            <w:rPr>
              <w:spacing w:val="5"/>
            </w:rPr>
            <w:t>：</w:t>
          </w:r>
          <w:r>
            <w:rPr>
              <w:spacing w:val="-15"/>
            </w:rPr>
            <w:t xml:space="preserve"> </w:t>
          </w:r>
          <w:r>
            <w:rPr>
              <w:spacing w:val="5"/>
            </w:rPr>
            <w:t>雅恩健康与健高儿科协同价值</w:t>
          </w:r>
          <w:r>
            <w:rPr>
              <w:spacing w:val="-6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2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图</w:t>
          </w:r>
          <w:r>
            <w:rPr>
              <w:spacing w:val="-2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44</w:t>
          </w:r>
          <w:r>
            <w:rPr>
              <w:spacing w:val="6"/>
            </w:rPr>
            <w:t>：</w:t>
          </w:r>
          <w:r>
            <w:rPr>
              <w:spacing w:val="-21"/>
            </w:rPr>
            <w:t xml:space="preserve"> </w:t>
          </w:r>
          <w:r>
            <w:rPr>
              <w:spacing w:val="6"/>
            </w:rPr>
            <w:t>金华联济医院与健高儿科、雅恩健康合作</w:t>
          </w:r>
          <w:r>
            <w:rPr>
              <w:spacing w:val="-5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3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1" w:line="224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图</w:t>
          </w:r>
          <w:r>
            <w:rPr>
              <w:spacing w:val="-37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45</w:t>
          </w:r>
          <w:r>
            <w:rPr>
              <w:spacing w:val="5"/>
            </w:rPr>
            <w:t>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儿科医疗服务行业上下游产业链延展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4" w:history="1">
            <w:r>
              <w:rPr>
                <w:rFonts w:ascii="Times New Roman" w:eastAsia="Times New Roman" w:hAnsi="Times New Roman" w:cs="Times New Roman"/>
                <w:spacing w:val="3"/>
              </w:rPr>
              <w:t>21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3"/>
            </w:rPr>
            <w:t>图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3"/>
            </w:rPr>
            <w:t>46</w:t>
          </w:r>
          <w:r>
            <w:rPr>
              <w:spacing w:val="3"/>
            </w:rPr>
            <w:t>：</w:t>
          </w:r>
          <w:r>
            <w:rPr>
              <w:spacing w:val="3"/>
            </w:rPr>
            <w:t xml:space="preserve"> </w:t>
          </w:r>
          <w:r>
            <w:rPr>
              <w:spacing w:val="3"/>
            </w:rPr>
            <w:t>大东方百货地处核心商圈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5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7" w:line="221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-1"/>
            </w:rPr>
            <w:t>图</w:t>
          </w:r>
          <w:r>
            <w:rPr>
              <w:spacing w:val="-3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>47</w:t>
          </w:r>
          <w:r>
            <w:rPr>
              <w:spacing w:val="-1"/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大东方升级焕新，</w:t>
          </w:r>
          <w:r>
            <w:rPr>
              <w:spacing w:val="27"/>
            </w:rPr>
            <w:t xml:space="preserve"> </w:t>
          </w:r>
          <w:r>
            <w:rPr>
              <w:spacing w:val="-1"/>
            </w:rPr>
            <w:t>聚集</w:t>
          </w:r>
          <w:r>
            <w:rPr>
              <w:rFonts w:ascii="Times New Roman" w:eastAsia="Times New Roman" w:hAnsi="Times New Roman" w:cs="Times New Roman"/>
              <w:spacing w:val="-1"/>
            </w:rPr>
            <w:t>“</w:t>
          </w:r>
          <w:r>
            <w:rPr>
              <w:spacing w:val="-1"/>
            </w:rPr>
            <w:t>首店经济</w:t>
          </w:r>
          <w:r>
            <w:rPr>
              <w:rFonts w:ascii="Times New Roman" w:eastAsia="Times New Roman" w:hAnsi="Times New Roman" w:cs="Times New Roman"/>
              <w:spacing w:val="-1"/>
            </w:rPr>
            <w:t xml:space="preserve">” </w:t>
          </w:r>
          <w:r>
            <w:rPr>
              <w:rFonts w:ascii="Times New Roman" w:eastAsia="Times New Roman" w:hAnsi="Times New Roman" w:cs="Times New Roman"/>
            </w:rPr>
            <w:tab/>
          </w:r>
          <w:r>
            <w:rPr>
              <w:rFonts w:ascii="Times New Roman" w:eastAsia="Times New Roman" w:hAnsi="Times New Roman" w:cs="Times New Roman"/>
              <w:spacing w:val="-2"/>
            </w:rPr>
            <w:t xml:space="preserve"> </w:t>
          </w:r>
          <w:hyperlink w:anchor="bookmark66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3" w:line="228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3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48</w:t>
          </w:r>
          <w:r>
            <w:rPr>
              <w:spacing w:val="2"/>
            </w:rPr>
            <w:t>：</w:t>
          </w:r>
          <w:r>
            <w:rPr>
              <w:spacing w:val="2"/>
            </w:rPr>
            <w:t xml:space="preserve"> </w:t>
          </w:r>
          <w:r>
            <w:rPr>
              <w:spacing w:val="2"/>
            </w:rPr>
            <w:t>百业超市店面一览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7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4" w:line="250" w:lineRule="exact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5"/>
              <w:position w:val="1"/>
            </w:rPr>
            <w:t>图</w:t>
          </w:r>
          <w:r>
            <w:rPr>
              <w:spacing w:val="-35"/>
              <w:position w:val="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position w:val="1"/>
            </w:rPr>
            <w:t>49</w:t>
          </w:r>
          <w:r>
            <w:rPr>
              <w:spacing w:val="5"/>
              <w:position w:val="1"/>
            </w:rPr>
            <w:t>：</w:t>
          </w:r>
          <w:r>
            <w:rPr>
              <w:spacing w:val="-21"/>
              <w:position w:val="1"/>
            </w:rPr>
            <w:t xml:space="preserve"> </w:t>
          </w:r>
          <w:r>
            <w:rPr>
              <w:spacing w:val="5"/>
              <w:position w:val="1"/>
            </w:rPr>
            <w:t>公司旗下湖北</w:t>
          </w:r>
          <w:r>
            <w:rPr>
              <w:spacing w:val="-37"/>
              <w:position w:val="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  <w:position w:val="1"/>
            </w:rPr>
            <w:t>7-</w:t>
          </w:r>
          <w:r>
            <w:rPr>
              <w:rFonts w:ascii="Times New Roman" w:eastAsia="Times New Roman" w:hAnsi="Times New Roman" w:cs="Times New Roman"/>
              <w:position w:val="1"/>
            </w:rPr>
            <w:t>eleven</w:t>
          </w:r>
          <w:r>
            <w:rPr>
              <w:rFonts w:ascii="Times New Roman" w:eastAsia="Times New Roman" w:hAnsi="Times New Roman" w:cs="Times New Roman"/>
              <w:spacing w:val="5"/>
              <w:position w:val="1"/>
            </w:rPr>
            <w:t xml:space="preserve"> </w:t>
          </w:r>
          <w:r>
            <w:rPr>
              <w:spacing w:val="5"/>
              <w:position w:val="1"/>
            </w:rPr>
            <w:t>首店开业</w:t>
          </w:r>
          <w:r>
            <w:rPr>
              <w:spacing w:val="-44"/>
              <w:position w:val="1"/>
            </w:rPr>
            <w:t xml:space="preserve"> </w:t>
          </w:r>
          <w:r>
            <w:rPr>
              <w:position w:val="1"/>
            </w:rPr>
            <w:tab/>
          </w:r>
          <w:r>
            <w:rPr>
              <w:spacing w:val="-50"/>
              <w:position w:val="1"/>
            </w:rPr>
            <w:t xml:space="preserve"> </w:t>
          </w:r>
          <w:hyperlink w:anchor="bookmark68" w:history="1">
            <w:r>
              <w:rPr>
                <w:rFonts w:ascii="Times New Roman" w:eastAsia="Times New Roman" w:hAnsi="Times New Roman" w:cs="Times New Roman"/>
                <w:spacing w:val="3"/>
                <w:position w:val="1"/>
              </w:rPr>
              <w:t>22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69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4"/>
            </w:rPr>
            <w:t>图</w:t>
          </w:r>
          <w:r>
            <w:rPr>
              <w:spacing w:val="-29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4"/>
            </w:rPr>
            <w:t>50</w:t>
          </w:r>
          <w:r>
            <w:rPr>
              <w:spacing w:val="4"/>
            </w:rPr>
            <w:t>：</w:t>
          </w:r>
          <w:r>
            <w:rPr>
              <w:spacing w:val="4"/>
            </w:rPr>
            <w:t xml:space="preserve"> </w:t>
          </w:r>
          <w:r>
            <w:rPr>
              <w:spacing w:val="4"/>
            </w:rPr>
            <w:t>三凤桥熟食业务总店</w:t>
          </w:r>
          <w:r>
            <w:rPr>
              <w:rFonts w:ascii="Times New Roman" w:eastAsia="Times New Roman" w:hAnsi="Times New Roman" w:cs="Times New Roman"/>
              <w:spacing w:val="4"/>
            </w:rPr>
            <w:t>-</w:t>
          </w:r>
          <w:r>
            <w:rPr>
              <w:spacing w:val="4"/>
            </w:rPr>
            <w:t>三凤桥肉庄</w:t>
          </w:r>
          <w:r>
            <w:rPr>
              <w:spacing w:val="-29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69" w:history="1">
            <w:r>
              <w:rPr>
                <w:rFonts w:ascii="Times New Roman" w:eastAsia="Times New Roman" w:hAnsi="Times New Roman" w:cs="Times New Roman"/>
                <w:spacing w:val="3"/>
              </w:rPr>
              <w:t>23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3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图</w:t>
          </w:r>
          <w:r>
            <w:rPr>
              <w:spacing w:val="-2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51</w:t>
          </w:r>
          <w:r>
            <w:rPr>
              <w:spacing w:val="2"/>
            </w:rPr>
            <w:t>：</w:t>
          </w:r>
          <w:r>
            <w:rPr>
              <w:spacing w:val="2"/>
            </w:rPr>
            <w:t xml:space="preserve"> </w:t>
          </w:r>
          <w:r>
            <w:rPr>
              <w:spacing w:val="2"/>
            </w:rPr>
            <w:t>三凤桥品牌礼品性食品</w:t>
          </w:r>
          <w:r>
            <w:rPr>
              <w:spacing w:val="-71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70" w:history="1">
            <w:r>
              <w:rPr>
                <w:rFonts w:ascii="Times New Roman" w:eastAsia="Times New Roman" w:hAnsi="Times New Roman" w:cs="Times New Roman"/>
                <w:spacing w:val="3"/>
              </w:rPr>
              <w:t>23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8" w:lineRule="auto"/>
            <w:ind w:left="28"/>
            <w:rPr>
              <w:rFonts w:ascii="Times New Roman" w:eastAsia="Times New Roman" w:hAnsi="Times New Roman" w:cs="Times New Roman"/>
            </w:rPr>
          </w:pPr>
          <w:r>
            <w:t>图</w:t>
          </w:r>
          <w:r>
            <w:rPr>
              <w:spacing w:val="-3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52</w:t>
          </w:r>
          <w:r>
            <w:t>：</w:t>
          </w:r>
          <w:r>
            <w:t xml:space="preserve"> </w:t>
          </w:r>
          <w:r>
            <w:t>三凤酒家门店</w:t>
          </w:r>
          <w:r>
            <w:rPr>
              <w:spacing w:val="-78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71" w:history="1">
            <w:r>
              <w:rPr>
                <w:rFonts w:ascii="Times New Roman" w:eastAsia="Times New Roman" w:hAnsi="Times New Roman" w:cs="Times New Roman"/>
                <w:spacing w:val="3"/>
              </w:rPr>
              <w:t>23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6" w:lineRule="auto"/>
            <w:ind w:left="28"/>
            <w:rPr>
              <w:rFonts w:ascii="Times New Roman" w:eastAsia="Times New Roman" w:hAnsi="Times New Roman" w:cs="Times New Roman"/>
            </w:rPr>
          </w:pPr>
          <w:r>
            <w:rPr>
              <w:spacing w:val="1"/>
            </w:rPr>
            <w:t>图</w:t>
          </w:r>
          <w:r>
            <w:rPr>
              <w:spacing w:val="-2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1"/>
            </w:rPr>
            <w:t>53</w:t>
          </w:r>
          <w:r>
            <w:rPr>
              <w:spacing w:val="1"/>
            </w:rPr>
            <w:t>：</w:t>
          </w:r>
          <w:r>
            <w:rPr>
              <w:spacing w:val="1"/>
            </w:rPr>
            <w:t xml:space="preserve"> </w:t>
          </w:r>
          <w:r>
            <w:rPr>
              <w:spacing w:val="1"/>
            </w:rPr>
            <w:t>三凤桥客堂间门店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72" w:history="1">
            <w:r>
              <w:rPr>
                <w:rFonts w:ascii="Times New Roman" w:eastAsia="Times New Roman" w:hAnsi="Times New Roman" w:cs="Times New Roman"/>
                <w:spacing w:val="3"/>
              </w:rPr>
              <w:t>23</w:t>
            </w:r>
          </w:hyperlink>
        </w:p>
        <w:p>
          <w:pPr>
            <w:spacing w:line="344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0456"/>
            </w:tabs>
            <w:spacing w:before="62" w:line="224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表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1</w:t>
          </w:r>
          <w:r>
            <w:rPr>
              <w:spacing w:val="5"/>
            </w:rPr>
            <w:t>：</w:t>
          </w:r>
          <w:r>
            <w:rPr>
              <w:spacing w:val="-21"/>
            </w:rPr>
            <w:t xml:space="preserve"> </w:t>
          </w:r>
          <w:r>
            <w:rPr>
              <w:spacing w:val="5"/>
            </w:rPr>
            <w:t>公司核心管理层履历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44"/>
            </w:rPr>
            <w:t xml:space="preserve"> </w:t>
          </w:r>
          <w:hyperlink w:anchor="bookmark73" w:history="1">
            <w:r>
              <w:rPr>
                <w:rFonts w:ascii="Times New Roman" w:eastAsia="Times New Roman" w:hAnsi="Times New Roman" w:cs="Times New Roman"/>
                <w:spacing w:val="-8"/>
              </w:rPr>
              <w:t>8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9" w:line="225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表</w:t>
          </w:r>
          <w:r>
            <w:rPr>
              <w:spacing w:val="-2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>2</w:t>
          </w:r>
          <w:r>
            <w:rPr>
              <w:spacing w:val="7"/>
            </w:rPr>
            <w:t>：</w:t>
          </w:r>
          <w:r>
            <w:rPr>
              <w:spacing w:val="-12"/>
            </w:rPr>
            <w:t xml:space="preserve"> </w:t>
          </w:r>
          <w:r>
            <w:rPr>
              <w:spacing w:val="7"/>
            </w:rPr>
            <w:t>近年来民营儿科医疗服务部分支持政策梳理</w:t>
          </w:r>
          <w:r>
            <w:rPr>
              <w:spacing w:val="-5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4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5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表</w:t>
          </w:r>
          <w:r>
            <w:rPr>
              <w:spacing w:val="-3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3</w:t>
          </w:r>
          <w:r>
            <w:rPr>
              <w:spacing w:val="5"/>
            </w:rPr>
            <w:t>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儿童医疗服务市场发展历程</w:t>
          </w:r>
          <w:r>
            <w:rPr>
              <w:spacing w:val="-68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5" w:history="1">
            <w:r>
              <w:rPr>
                <w:rFonts w:ascii="Times New Roman" w:eastAsia="Times New Roman" w:hAnsi="Times New Roman" w:cs="Times New Roman"/>
                <w:spacing w:val="-7"/>
              </w:rPr>
              <w:t>12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8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7"/>
            </w:rPr>
            <w:t>表</w:t>
          </w:r>
          <w:r>
            <w:rPr>
              <w:spacing w:val="-38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7"/>
            </w:rPr>
            <w:t>4</w:t>
          </w:r>
          <w:r>
            <w:rPr>
              <w:spacing w:val="7"/>
            </w:rPr>
            <w:t>：</w:t>
          </w:r>
          <w:r>
            <w:rPr>
              <w:spacing w:val="-30"/>
            </w:rPr>
            <w:t xml:space="preserve"> </w:t>
          </w:r>
          <w:r>
            <w:rPr>
              <w:spacing w:val="7"/>
            </w:rPr>
            <w:t>健高儿科科室设置</w:t>
          </w:r>
          <w:r>
            <w:rPr>
              <w:spacing w:val="-76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6" w:history="1">
            <w:r>
              <w:rPr>
                <w:rFonts w:ascii="Times New Roman" w:eastAsia="Times New Roman" w:hAnsi="Times New Roman" w:cs="Times New Roman"/>
                <w:spacing w:val="-7"/>
              </w:rPr>
              <w:t>16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3" w:line="226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-1"/>
            </w:rPr>
            <w:t>表</w:t>
          </w:r>
          <w:r>
            <w:rPr>
              <w:spacing w:val="-36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1"/>
            </w:rPr>
            <w:t>5</w:t>
          </w:r>
          <w:r>
            <w:rPr>
              <w:spacing w:val="-1"/>
            </w:rPr>
            <w:t>：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雅恩健康专家团队（部分）</w:t>
          </w:r>
          <w:r>
            <w:rPr>
              <w:spacing w:val="32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7" w:history="1">
            <w:r>
              <w:rPr>
                <w:rFonts w:ascii="Times New Roman" w:eastAsia="Times New Roman" w:hAnsi="Times New Roman" w:cs="Times New Roman"/>
                <w:spacing w:val="-7"/>
              </w:rPr>
              <w:t>18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6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表</w:t>
          </w:r>
          <w:r>
            <w:rPr>
              <w:spacing w:val="-3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6</w:t>
          </w:r>
          <w:r>
            <w:rPr>
              <w:spacing w:val="6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spacing w:val="6"/>
            </w:rPr>
            <w:t>知贝医疗部分专家团队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30"/>
            </w:rPr>
            <w:t xml:space="preserve"> </w:t>
          </w:r>
          <w:hyperlink w:anchor="bookmark78" w:history="1">
            <w:r>
              <w:rPr>
                <w:rFonts w:ascii="Times New Roman" w:eastAsia="Times New Roman" w:hAnsi="Times New Roman" w:cs="Times New Roman"/>
                <w:spacing w:val="-7"/>
              </w:rPr>
              <w:t>19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6" w:line="228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6"/>
            </w:rPr>
            <w:t>表</w:t>
          </w:r>
          <w:r>
            <w:rPr>
              <w:spacing w:val="-32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6"/>
            </w:rPr>
            <w:t>7</w:t>
          </w:r>
          <w:r>
            <w:rPr>
              <w:spacing w:val="6"/>
            </w:rPr>
            <w:t>：</w:t>
          </w:r>
          <w:r>
            <w:rPr>
              <w:spacing w:val="-17"/>
            </w:rPr>
            <w:t xml:space="preserve"> </w:t>
          </w:r>
          <w:r>
            <w:rPr>
              <w:spacing w:val="6"/>
            </w:rPr>
            <w:t>知贝医疗开设科室一览</w:t>
          </w:r>
          <w:r>
            <w:rPr>
              <w:spacing w:val="-73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79" w:history="1">
            <w:r>
              <w:rPr>
                <w:rFonts w:ascii="Times New Roman" w:eastAsia="Times New Roman" w:hAnsi="Times New Roman" w:cs="Times New Roman"/>
                <w:spacing w:val="3"/>
              </w:rPr>
              <w:t>20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5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2"/>
            </w:rPr>
            <w:t>表</w:t>
          </w:r>
          <w:r>
            <w:rPr>
              <w:spacing w:val="-25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2"/>
            </w:rPr>
            <w:t>8</w:t>
          </w:r>
          <w:r>
            <w:rPr>
              <w:spacing w:val="2"/>
            </w:rPr>
            <w:t>：</w:t>
          </w:r>
          <w:r>
            <w:rPr>
              <w:spacing w:val="2"/>
            </w:rPr>
            <w:t xml:space="preserve"> </w:t>
          </w:r>
          <w:r>
            <w:rPr>
              <w:spacing w:val="2"/>
            </w:rPr>
            <w:t>三凤桥发展历程</w:t>
          </w:r>
          <w:r>
            <w:rPr>
              <w:spacing w:val="-76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80" w:history="1">
            <w:r>
              <w:rPr>
                <w:rFonts w:ascii="Times New Roman" w:eastAsia="Times New Roman" w:hAnsi="Times New Roman" w:cs="Times New Roman"/>
                <w:spacing w:val="3"/>
              </w:rPr>
              <w:t>22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90" w:line="228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-3"/>
            </w:rPr>
            <w:t>表</w:t>
          </w:r>
          <w:r>
            <w:rPr>
              <w:spacing w:val="-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3"/>
            </w:rPr>
            <w:t>9</w:t>
          </w:r>
          <w:r>
            <w:rPr>
              <w:spacing w:val="-3"/>
            </w:rPr>
            <w:t>：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大东方收入拆分（百万元）</w:t>
          </w:r>
          <w:r>
            <w:rPr>
              <w:spacing w:val="52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81" w:history="1">
            <w:r>
              <w:rPr>
                <w:rFonts w:ascii="Times New Roman" w:eastAsia="Times New Roman" w:hAnsi="Times New Roman" w:cs="Times New Roman"/>
                <w:spacing w:val="3"/>
              </w:rPr>
              <w:t>24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5" w:line="225" w:lineRule="auto"/>
            <w:ind w:left="3"/>
            <w:rPr>
              <w:rFonts w:ascii="Times New Roman" w:eastAsia="Times New Roman" w:hAnsi="Times New Roman" w:cs="Times New Roman"/>
            </w:rPr>
          </w:pPr>
          <w:r>
            <w:t>表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</w:rPr>
            <w:t>10</w:t>
          </w:r>
          <w:r>
            <w:t>：</w:t>
          </w:r>
          <w:r>
            <w:t xml:space="preserve"> </w:t>
          </w:r>
          <w:r>
            <w:t>区域百货零售类可比公司估值表（单</w:t>
          </w:r>
          <w:r>
            <w:rPr>
              <w:spacing w:val="-1"/>
            </w:rPr>
            <w:t>位：</w:t>
          </w:r>
          <w:r>
            <w:rPr>
              <w:spacing w:val="63"/>
            </w:rPr>
            <w:t xml:space="preserve"> </w:t>
          </w:r>
          <w:r>
            <w:rPr>
              <w:spacing w:val="-1"/>
            </w:rPr>
            <w:t>亿元）</w:t>
          </w:r>
          <w:r>
            <w:rPr>
              <w:spacing w:val="-42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82" w:history="1">
            <w:r>
              <w:rPr>
                <w:rFonts w:ascii="Times New Roman" w:eastAsia="Times New Roman" w:hAnsi="Times New Roman" w:cs="Times New Roman"/>
                <w:spacing w:val="3"/>
              </w:rPr>
              <w:t>25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6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5"/>
            </w:rPr>
            <w:t>表</w:t>
          </w:r>
          <w:r>
            <w:rPr>
              <w:spacing w:val="-21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5"/>
            </w:rPr>
            <w:t>11</w:t>
          </w:r>
          <w:r>
            <w:rPr>
              <w:spacing w:val="5"/>
            </w:rPr>
            <w:t>：</w:t>
          </w:r>
          <w:r>
            <w:rPr>
              <w:spacing w:val="5"/>
            </w:rPr>
            <w:t xml:space="preserve"> </w:t>
          </w:r>
          <w:r>
            <w:rPr>
              <w:spacing w:val="5"/>
            </w:rPr>
            <w:t>医疗服务类可比公司估值表（单</w:t>
          </w:r>
          <w:r>
            <w:rPr>
              <w:spacing w:val="4"/>
            </w:rPr>
            <w:t>位：亿元）</w:t>
          </w:r>
          <w:r>
            <w:rPr>
              <w:spacing w:val="-27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83" w:history="1">
            <w:r>
              <w:rPr>
                <w:rFonts w:ascii="Times New Roman" w:eastAsia="Times New Roman" w:hAnsi="Times New Roman" w:cs="Times New Roman"/>
                <w:spacing w:val="3"/>
              </w:rPr>
              <w:t>26</w:t>
            </w:r>
          </w:hyperlink>
        </w:p>
        <w:p>
          <w:pPr>
            <w:pStyle w:val="BodyText"/>
            <w:tabs>
              <w:tab w:val="right" w:leader="dot" w:pos="10460"/>
            </w:tabs>
            <w:spacing w:before="88" w:line="228" w:lineRule="auto"/>
            <w:ind w:left="3"/>
            <w:rPr>
              <w:rFonts w:ascii="Times New Roman" w:eastAsia="Times New Roman" w:hAnsi="Times New Roman" w:cs="Times New Roman"/>
            </w:rPr>
          </w:pPr>
          <w:r>
            <w:rPr>
              <w:spacing w:val="-3"/>
            </w:rPr>
            <w:t>表附录：</w:t>
          </w:r>
          <w:r>
            <w:rPr>
              <w:spacing w:val="41"/>
            </w:rPr>
            <w:t xml:space="preserve"> </w:t>
          </w:r>
          <w:r>
            <w:rPr>
              <w:spacing w:val="-3"/>
            </w:rPr>
            <w:t>三大报表预测值</w:t>
          </w:r>
          <w:r>
            <w:rPr>
              <w:spacing w:val="-75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84" w:history="1">
            <w:r>
              <w:rPr>
                <w:rFonts w:ascii="Times New Roman" w:eastAsia="Times New Roman" w:hAnsi="Times New Roman" w:cs="Times New Roman"/>
                <w:spacing w:val="3"/>
              </w:rPr>
              <w:t>27</w:t>
            </w:r>
          </w:hyperlink>
        </w:p>
      </w:sdtContent>
    </w:sdt>
    <w:p>
      <w:pPr>
        <w:spacing w:line="228" w:lineRule="auto"/>
        <w:rPr>
          <w:rFonts w:ascii="Times New Roman" w:eastAsia="Times New Roman" w:hAnsi="Times New Roman" w:cs="Times New Roman"/>
        </w:rPr>
        <w:sectPr>
          <w:headerReference w:type="default" r:id="rId24"/>
          <w:footerReference w:type="default" r:id="rId25"/>
          <w:pgSz w:w="11907" w:h="16839"/>
          <w:pgMar w:top="1264" w:right="725" w:bottom="1027" w:left="720" w:header="788" w:footer="796" w:gutter="0"/>
          <w:pgNumType w:start="8"/>
          <w:cols w:space="708"/>
        </w:sectPr>
      </w:pPr>
    </w:p>
    <w:p>
      <w:pPr>
        <w:pStyle w:val="BodyText"/>
        <w:spacing w:before="285" w:line="609" w:lineRule="exact"/>
        <w:ind w:left="2538"/>
        <w:rPr>
          <w:sz w:val="28"/>
          <w:szCs w:val="28"/>
        </w:rPr>
      </w:pPr>
      <w:r>
        <w:pict>
          <v:rect id="_x0000_s1029" style="width:0.25pt;height:50.95pt;margin-top:343.04pt;margin-left:339.81pt;mso-position-horizontal-relative:page;mso-position-vertical-relative:page;position:absolute;z-index:251661312" o:allowincell="f" filled="t" fillcolor="#c00000" stroked="f"/>
        </w:pict>
      </w:r>
      <w:r>
        <w:pict>
          <v:rect id="_x0000_s1030" style="width:0.25pt;height:50.95pt;margin-top:342.29pt;margin-left:462.71pt;mso-position-horizontal-relative:page;mso-position-vertical-relative:page;position:absolute;z-index:251662336" o:allowincell="f" filled="t" fillcolor="#c00000" stroked="f"/>
        </w:pict>
      </w:r>
      <w:r>
        <w:pict>
          <v:rect id="_x0000_s1031" style="width:0.25pt;height:50.95pt;margin-top:342.1pt;margin-left:223.62pt;mso-position-horizontal-relative:page;mso-position-vertical-relative:page;position:absolute;z-index:251663360" o:allowincell="f" filled="t" fillcolor="#c00000" stroked="f"/>
        </w:pict>
      </w:r>
      <w:r>
        <w:pict>
          <v:rect id="_x0000_s1032" style="width:12.45pt;height:0.5pt;margin-top:338.87pt;margin-left:221.13pt;mso-position-horizontal-relative:page;mso-position-vertical-relative:page;position:absolute;z-index:251669504" o:allowincell="f" filled="t" fillcolor="#ffd9d9" stroked="f"/>
        </w:pict>
      </w:r>
      <w:r>
        <w:pict>
          <v:rect id="_x0000_s1033" style="width:12.45pt;height:0.5pt;margin-top:338.87pt;margin-left:239.99pt;mso-position-horizontal-relative:page;mso-position-vertical-relative:page;position:absolute;z-index:251670528" o:allowincell="f" filled="t" fillcolor="#ff9b9b" stroked="f"/>
        </w:pict>
      </w:r>
      <w:r>
        <w:pict>
          <v:rect id="_x0000_s1034" style="width:12.65pt;height:0.5pt;margin-top:338.87pt;margin-left:258.86pt;mso-position-horizontal-relative:page;mso-position-vertical-relative:page;position:absolute;z-index:251679744" o:allowincell="f" filled="t" fillcolor="#ff9b9b" stroked="f"/>
        </w:pict>
      </w:r>
      <w:r>
        <w:pict>
          <v:rect id="_x0000_s1035" style="width:12.35pt;height:0.5pt;margin-top:340.17pt;margin-left:278.66pt;mso-position-horizontal-relative:page;mso-position-vertical-relative:page;position:absolute;z-index:251675648" o:allowincell="f" filled="t" fillcolor="#ff9b9b" stroked="f"/>
        </w:pict>
      </w:r>
      <w:r>
        <w:pict>
          <v:rect id="_x0000_s1036" style="width:12.65pt;height:0.5pt;margin-top:338.87pt;margin-left:295.47pt;mso-position-horizontal-relative:page;mso-position-vertical-relative:page;position:absolute;z-index:251678720" o:allowincell="f" filled="t" fillcolor="#ff9b9b" stroked="f"/>
        </w:pict>
      </w:r>
      <w:r>
        <w:pict>
          <v:rect id="_x0000_s1037" style="width:12.45pt;height:0.5pt;margin-top:338.87pt;margin-left:314.52pt;mso-position-horizontal-relative:page;mso-position-vertical-relative:page;position:absolute;z-index:251676672" o:allowincell="f" filled="t" fillcolor="#ff9b9b" stroked="f"/>
        </w:pict>
      </w:r>
      <w:r>
        <w:pict>
          <v:rect id="_x0000_s1038" style="width:12.45pt;height:0.5pt;margin-top:338.87pt;margin-left:333.39pt;mso-position-horizontal-relative:page;mso-position-vertical-relative:page;position:absolute;z-index:251664384" o:allowincell="f" filled="t" fillcolor="#ff9b9b" stroked="f"/>
        </w:pict>
      </w:r>
      <w:r>
        <w:pict>
          <v:rect id="_x0000_s1039" style="width:12.65pt;height:0.5pt;margin-top:338.87pt;margin-left:352.24pt;mso-position-horizontal-relative:page;mso-position-vertical-relative:page;position:absolute;z-index:251677696" o:allowincell="f" filled="t" fillcolor="#ff9b9b" stroked="f"/>
        </w:pict>
      </w:r>
      <w:r>
        <w:pict>
          <v:rect id="_x0000_s1040" style="width:12.65pt;height:0.5pt;margin-top:338.87pt;margin-left:371.12pt;mso-position-horizontal-relative:page;mso-position-vertical-relative:page;position:absolute;z-index:251671552" o:allowincell="f" filled="t" fillcolor="#ff9b9b" stroked="f"/>
        </w:pict>
      </w:r>
      <w:r>
        <w:pict>
          <v:rect id="_x0000_s1041" style="width:12.45pt;height:0.5pt;margin-top:338.87pt;margin-left:390.18pt;mso-position-horizontal-relative:page;mso-position-vertical-relative:page;position:absolute;z-index:251667456" o:allowincell="f" filled="t" fillcolor="#ff9b9b" stroked="f"/>
        </w:pict>
      </w:r>
      <w:r>
        <w:pict>
          <v:rect id="_x0000_s1042" style="width:12.45pt;height:0.5pt;margin-top:338.87pt;margin-left:409.04pt;mso-position-horizontal-relative:page;mso-position-vertical-relative:page;position:absolute;z-index:251666432" o:allowincell="f" filled="t" fillcolor="#ff9b9b" stroked="f"/>
        </w:pict>
      </w:r>
      <w:r>
        <w:pict>
          <v:rect id="_x0000_s1043" style="width:12.65pt;height:0.5pt;margin-top:338.87pt;margin-left:427.91pt;mso-position-horizontal-relative:page;mso-position-vertical-relative:page;position:absolute;z-index:251674624" o:allowincell="f" filled="t" fillcolor="#c00000" stroked="f"/>
        </w:pict>
      </w:r>
      <w:r>
        <w:pict>
          <v:rect id="_x0000_s1044" style="width:12.65pt;height:0.5pt;margin-top:338.87pt;margin-left:446.77pt;mso-position-horizontal-relative:page;mso-position-vertical-relative:page;position:absolute;z-index:251665408" o:allowincell="f" filled="t" fillcolor="#c00000" stroked="f"/>
        </w:pict>
      </w:r>
      <w:r>
        <w:pict>
          <v:rect id="_x0000_s1045" style="width:12.45pt;height:0.5pt;margin-top:338.87pt;margin-left:465.81pt;mso-position-horizontal-relative:page;mso-position-vertical-relative:page;position:absolute;z-index:251673600" o:allowincell="f" filled="t" fillcolor="#c00000" stroked="f"/>
        </w:pict>
      </w:r>
      <w:r>
        <w:pict>
          <v:rect id="_x0000_s1046" style="width:12.6pt;height:0.5pt;margin-top:338.87pt;margin-left:484.69pt;mso-position-horizontal-relative:page;mso-position-vertical-relative:page;position:absolute;z-index:251672576" o:allowincell="f" filled="t" fillcolor="#c00000" stroked="f"/>
        </w:pict>
      </w:r>
      <w:r>
        <w:pict>
          <v:rect id="_x0000_s1047" style="width:12.65pt;height:0.5pt;margin-top:338.87pt;margin-left:503.56pt;mso-position-horizontal-relative:page;mso-position-vertical-relative:page;position:absolute;z-index:251668480" o:allowincell="f" filled="t" fillcolor="#c00000" stroked="f"/>
        </w:pict>
      </w:r>
      <w:r>
        <w:pict>
          <v:rect id="_x0000_s1048" style="width:395.85pt;height:0.5pt;margin-top:399.89pt;margin-left:163.58pt;mso-position-horizontal-relative:page;mso-position-vertical-relative:page;position:absolute;z-index:251659264" o:allowincell="f" filled="t" fillcolor="#b70004" stroked="f"/>
        </w:pict>
      </w:r>
      <w:r>
        <w:pict>
          <v:shape id="_x0000_s1049" style="width:395.85pt;height:0.5pt;margin-top:246.74pt;margin-left:163.58pt;mso-position-horizontal-relative:page;mso-position-vertical-relative:page;position:absolute;z-index:251660288" coordorigin="0,0" coordsize="7917,10" o:allowincell="f" path="m,9l7916,9l7916,l,l,9xe" filled="t" fillcolor="#b70004" stroked="f"/>
        </w:pict>
      </w:r>
      <w:r>
        <w:pict>
          <v:shape id="_x0000_s1050" style="width:31.5pt;height:0.5pt;margin-top:338.87pt;margin-left:183.21pt;mso-position-horizontal-relative:page;mso-position-vertical-relative:page;position:absolute;z-index:251680768" coordorigin="0,0" coordsize="630,10" o:allowincell="f" path="m252,4l,4m629,4l377,4e" filled="f" strokecolor="#ffd9d9" strokeweight="0.5pt">
            <v:stroke joinstyle="miter"/>
          </v:shape>
        </w:pict>
      </w:r>
      <w:r>
        <w:pict>
          <v:group id="_x0000_s1051" style="width:88.3pt;height:0.5pt;margin-top:315.54pt;margin-left:183.21pt;mso-position-horizontal-relative:page;mso-position-vertical-relative:page;position:absolute;z-index:251681792" coordorigin="0,0" coordsize="1766,10" o:allowincell="f" filled="f" stroked="f">
            <v:shape id="_x0000_s1052" style="width:1006;height:10;position:absolute" coordorigin="0,0" coordsize="1006,10" path="m,4l252,4m377,4l629,4m758,4l1006,4e" filled="f" strokecolor="#ffd9d9" strokeweight="0.5pt">
              <v:stroke joinstyle="miter"/>
            </v:shape>
            <v:shape id="_x0000_s1053" style="width:630;height:10;left:1135;position:absolute" coordorigin="0,0" coordsize="630,10" path="m,4l248,4m377,4l629,4e" filled="f" strokecolor="#ff9b9b" strokeweight="0.5pt">
              <v:stroke joinstyle="miter"/>
            </v:shape>
          </v:group>
        </w:pict>
      </w:r>
      <w:r>
        <w:pict>
          <v:shape id="_x0000_s1054" type="#_x0000_t202" style="width:99.85pt;height:55pt;margin-top:263.1pt;margin-left:182.21pt;mso-position-horizontal-relative:page;mso-position-vertical-relative:page;position:absolute;z-index:-251658240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2"/>
                    <w:tblW w:w="1953" w:type="dxa"/>
                    <w:tblInd w:w="20" w:type="dxa"/>
                    <w:tblBorders>
                      <w:top w:val="nil"/>
                      <w:left w:val="nil"/>
                      <w:bottom w:val="nil"/>
                      <w:right w:val="nil"/>
                      <w:insideH w:val="nil"/>
                      <w:insideV w:val="nil"/>
                    </w:tblBorders>
                    <w:tblLayout w:type="fixed"/>
                  </w:tblPr>
                  <w:tblGrid>
                    <w:gridCol w:w="123"/>
                    <w:gridCol w:w="1830"/>
                  </w:tblGrid>
                  <w:tr>
                    <w:tblPrEx>
                      <w:tblW w:w="1953" w:type="dxa"/>
                      <w:tblInd w:w="20" w:type="dxa"/>
                      <w:tblBorders>
                        <w:top w:val="nil"/>
                        <w:left w:val="nil"/>
                        <w:bottom w:val="nil"/>
                        <w:right w:val="nil"/>
                        <w:insideH w:val="nil"/>
                        <w:insideV w:val="nil"/>
                      </w:tblBorders>
                      <w:tblLayout w:type="fixed"/>
                    </w:tblPrEx>
                    <w:trPr>
                      <w:trHeight w:val="1059"/>
                    </w:trPr>
                    <w:tc>
                      <w:tcPr>
                        <w:tcW w:w="123" w:type="dxa"/>
                        <w:tcBorders>
                          <w:right w:val="dotted" w:sz="2" w:space="0" w:color="C00000"/>
                        </w:tcBorders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1830" w:type="dxa"/>
                        <w:tcBorders>
                          <w:left w:val="dotted" w:sz="2" w:space="0" w:color="C00000"/>
                          <w:right w:val="dotted" w:sz="2" w:space="0" w:color="C00000"/>
                        </w:tcBorders>
                        <w:vAlign w:val="top"/>
                      </w:tcPr>
                      <w:p>
                        <w:pPr>
                          <w:spacing w:before="270" w:line="227" w:lineRule="auto"/>
                          <w:ind w:left="93"/>
                          <w:rPr>
                            <w:rFonts w:ascii="KaiTi" w:eastAsia="KaiTi" w:hAnsi="KaiTi" w:cs="KaiTi"/>
                            <w:sz w:val="17"/>
                            <w:szCs w:val="17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2"/>
                            <w:sz w:val="17"/>
                            <w:szCs w:val="17"/>
                            <w14:textOutline w14:w="3250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1969年</w:t>
                        </w:r>
                      </w:p>
                      <w:p>
                        <w:pPr>
                          <w:spacing w:before="25" w:line="239" w:lineRule="auto"/>
                          <w:ind w:left="90" w:right="18" w:hanging="4"/>
                          <w:rPr>
                            <w:rFonts w:ascii="KaiTi" w:eastAsia="KaiTi" w:hAnsi="KaiTi" w:cs="KaiTi"/>
                            <w:sz w:val="17"/>
                            <w:szCs w:val="17"/>
                          </w:rPr>
                        </w:pPr>
                        <w:r>
                          <w:rPr>
                            <w:rFonts w:ascii="KaiTi" w:eastAsia="KaiTi" w:hAnsi="KaiTi" w:cs="KaiTi"/>
                            <w:spacing w:val="14"/>
                            <w:sz w:val="17"/>
                            <w:szCs w:val="17"/>
                            <w14:textOutline w14:w="3250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前身“</w:t>
                        </w:r>
                        <w:r>
                          <w:rPr>
                            <w:rFonts w:ascii="KaiTi" w:eastAsia="KaiTi" w:hAnsi="KaiTi" w:cs="KaiTi"/>
                            <w:spacing w:val="-50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14"/>
                            <w:sz w:val="17"/>
                            <w:szCs w:val="17"/>
                            <w14:textOutline w14:w="3250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国营东方红</w:t>
                        </w:r>
                        <w:r>
                          <w:rPr>
                            <w:rFonts w:ascii="KaiTi" w:eastAsia="KaiTi" w:hAnsi="KaiTi" w:cs="KaiTi"/>
                            <w:spacing w:val="-58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14"/>
                            <w:sz w:val="17"/>
                            <w:szCs w:val="17"/>
                            <w14:textOutline w14:w="3250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”</w:t>
                        </w:r>
                        <w:r>
                          <w:rPr>
                            <w:rFonts w:ascii="KaiTi" w:eastAsia="KaiTi" w:hAnsi="KaiTi" w:cs="KaiTi"/>
                            <w:sz w:val="17"/>
                            <w:szCs w:val="17"/>
                          </w:rPr>
                          <w:t xml:space="preserve"> </w:t>
                        </w:r>
                        <w:r>
                          <w:rPr>
                            <w:rFonts w:ascii="KaiTi" w:eastAsia="KaiTi" w:hAnsi="KaiTi" w:cs="KaiTi"/>
                            <w:spacing w:val="8"/>
                            <w:sz w:val="17"/>
                            <w:szCs w:val="17"/>
                            <w14:textOutline w14:w="3250">
                              <w14:solidFill>
                                <w14:srgbClr w14:val="000000"/>
                              </w14:solidFill>
                              <w14:prstDash w14:val="solid"/>
                              <w14:miter w14:lim="10"/>
                            </w14:textOutline>
                          </w:rPr>
                          <w:t>商场成立</w:t>
                        </w:r>
                      </w:p>
                    </w:tc>
                  </w:tr>
                </w:tbl>
                <w:p>
                  <w:pPr>
                    <w:rPr>
                      <w:rFonts w:ascii="Arial"/>
                      <w:sz w:val="21"/>
                    </w:rPr>
                  </w:pPr>
                </w:p>
              </w:txbxContent>
            </v:textbox>
          </v:shape>
        </w:pict>
      </w:r>
      <w:r>
        <w:pict>
          <v:group id="_x0000_s1055" style="width:237.55pt;height:1.65pt;margin-top:315.54pt;margin-left:278.66pt;mso-position-horizontal-relative:page;mso-position-vertical-relative:page;position:absolute;z-index:251682816" coordorigin="0,0" coordsize="4751,32" o:allowincell="f" filled="f" stroked="f">
            <v:shape id="_x0000_s1056" style="width:2857;height:32;position:absolute" coordorigin="0,0" coordsize="2857,32" path="m,27l246,27m336,4l588,4m717,4l965,4m1094,4l1343,4m1471,4l1724,4m1849,4l2101,4m2230,4l2478,4m2607,4l2856,4e" filled="f" strokecolor="#ff9b9b" strokeweight="0.5pt">
              <v:stroke joinstyle="miter"/>
            </v:shape>
            <v:shape id="_x0000_s1057" style="width:1766;height:10;left:2985;position:absolute" coordorigin="0,0" coordsize="1766,10" path="m,4l252,4m377,4l629,4m758,4l1006,4m1135,4l1387,4m1512,4l1765,4e" filled="f" strokecolor="#c00000" strokeweight="0.5pt">
              <v:stroke joinstyle="miter"/>
            </v:shape>
          </v:group>
        </w:pict>
      </w:r>
      <w:bookmarkStart w:id="0" w:name="bookmark20"/>
      <w:bookmarkEnd w:id="0"/>
      <w:bookmarkStart w:id="1" w:name="bookmark1"/>
      <w:bookmarkEnd w:id="1"/>
      <w:bookmarkStart w:id="2" w:name="bookmark2"/>
      <w:bookmarkEnd w:id="2"/>
      <w:r>
        <w:rPr>
          <w:rFonts w:ascii="Times New Roman" w:eastAsia="Times New Roman" w:hAnsi="Times New Roman" w:cs="Times New Roman"/>
          <w:b/>
          <w:bCs/>
          <w:color w:val="B70004"/>
          <w:spacing w:val="-1"/>
          <w:position w:val="25"/>
          <w:sz w:val="28"/>
          <w:szCs w:val="28"/>
        </w:rPr>
        <w:t>1</w:t>
      </w:r>
      <w:r>
        <w:rPr>
          <w:rFonts w:ascii="Times New Roman" w:eastAsia="Times New Roman" w:hAnsi="Times New Roman" w:cs="Times New Roman"/>
          <w:b/>
          <w:bCs/>
          <w:color w:val="B70004"/>
          <w:spacing w:val="24"/>
          <w:w w:val="101"/>
          <w:position w:val="25"/>
          <w:sz w:val="28"/>
          <w:szCs w:val="28"/>
        </w:rPr>
        <w:t xml:space="preserve"> </w:t>
      </w:r>
      <w:r>
        <w:rPr>
          <w:color w:val="B70004"/>
          <w:spacing w:val="-1"/>
          <w:position w:val="25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深耕现代消费，转型大健康增长再提速</w:t>
      </w:r>
    </w:p>
    <w:p>
      <w:pPr>
        <w:pStyle w:val="BodyText"/>
        <w:spacing w:line="212" w:lineRule="auto"/>
        <w:ind w:left="253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B70004"/>
          <w:spacing w:val="-1"/>
          <w:sz w:val="24"/>
          <w:szCs w:val="24"/>
        </w:rPr>
        <w:t>1.1</w:t>
      </w:r>
      <w:r>
        <w:rPr>
          <w:rFonts w:ascii="Times New Roman" w:eastAsia="Times New Roman" w:hAnsi="Times New Roman" w:cs="Times New Roman"/>
          <w:b/>
          <w:bCs/>
          <w:color w:val="B70004"/>
          <w:spacing w:val="29"/>
          <w:w w:val="101"/>
          <w:sz w:val="24"/>
          <w:szCs w:val="24"/>
        </w:rPr>
        <w:t xml:space="preserve"> </w:t>
      </w:r>
      <w:r>
        <w:rPr>
          <w:color w:val="B70004"/>
          <w:spacing w:val="-1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无锡百货零售龙头，向医疗健康新赛道进军</w:t>
      </w:r>
    </w:p>
    <w:p>
      <w:pPr>
        <w:pStyle w:val="BodyText"/>
        <w:spacing w:before="206" w:line="299" w:lineRule="auto"/>
        <w:ind w:left="2553" w:right="31" w:firstLine="429"/>
      </w:pP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因时制宜积极转型，商业零售</w:t>
      </w:r>
      <w:r>
        <w:rPr>
          <w:rFonts w:ascii="Times New Roman" w:eastAsia="Times New Roman" w:hAnsi="Times New Roman" w:cs="Times New Roman"/>
          <w:b/>
          <w:bCs/>
          <w:color w:val="C00000"/>
          <w:spacing w:val="7"/>
        </w:rPr>
        <w:t>+</w:t>
      </w: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医疗健康双轮驱动。</w:t>
      </w:r>
      <w:r>
        <w:rPr>
          <w:color w:val="C00000"/>
          <w:spacing w:val="-50"/>
        </w:rPr>
        <w:t xml:space="preserve"> </w:t>
      </w:r>
      <w:r>
        <w:rPr>
          <w:spacing w:val="7"/>
        </w:rPr>
        <w:t>大东方前身为成立于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19</w:t>
      </w:r>
      <w:r>
        <w:rPr>
          <w:rFonts w:ascii="Times New Roman" w:eastAsia="Times New Roman" w:hAnsi="Times New Roman" w:cs="Times New Roman"/>
          <w:spacing w:val="6"/>
        </w:rPr>
        <w:t xml:space="preserve">69 </w:t>
      </w:r>
      <w:r>
        <w:rPr>
          <w:spacing w:val="6"/>
        </w:rPr>
        <w:t>年的无</w:t>
      </w:r>
      <w:r>
        <w:t xml:space="preserve"> </w:t>
      </w:r>
      <w:r>
        <w:rPr>
          <w:spacing w:val="4"/>
        </w:rPr>
        <w:t>锡东方红商场，</w:t>
      </w:r>
      <w:r>
        <w:rPr>
          <w:spacing w:val="43"/>
          <w:w w:val="10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1988 </w:t>
      </w:r>
      <w:r>
        <w:rPr>
          <w:spacing w:val="4"/>
        </w:rPr>
        <w:t>年完成改革组建无锡商业大厦公司，后于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2002 </w:t>
      </w:r>
      <w:r>
        <w:rPr>
          <w:spacing w:val="4"/>
        </w:rPr>
        <w:t>年上交所上市，逐步</w:t>
      </w:r>
      <w:r>
        <w:rPr>
          <w:spacing w:val="4"/>
        </w:rPr>
        <w:t xml:space="preserve">  </w:t>
      </w:r>
      <w:r>
        <w:rPr>
          <w:spacing w:val="7"/>
        </w:rPr>
        <w:t>形成“以百货零售为主体，</w:t>
      </w:r>
      <w:r>
        <w:rPr>
          <w:spacing w:val="7"/>
        </w:rPr>
        <w:t xml:space="preserve"> </w:t>
      </w:r>
      <w:r>
        <w:rPr>
          <w:spacing w:val="7"/>
        </w:rPr>
        <w:t>以汽车经营业务和食品制造经营为两翼”的业务布局。近年来</w:t>
      </w:r>
      <w:r>
        <w:rPr>
          <w:spacing w:val="3"/>
        </w:rPr>
        <w:t xml:space="preserve">  </w:t>
      </w:r>
      <w:r>
        <w:rPr>
          <w:spacing w:val="7"/>
        </w:rPr>
        <w:t>由于传统汽车业务增速疲软，对应</w:t>
      </w:r>
      <w:r>
        <w:rPr>
          <w:spacing w:val="-1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2017-2020 </w:t>
      </w:r>
      <w:r>
        <w:rPr>
          <w:spacing w:val="7"/>
        </w:rPr>
        <w:t>年营收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-7"/>
        </w:rPr>
        <w:t xml:space="preserve"> </w:t>
      </w:r>
      <w:r>
        <w:rPr>
          <w:spacing w:val="7"/>
        </w:rPr>
        <w:t>仅为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1.7%</w:t>
      </w:r>
      <w:r>
        <w:rPr>
          <w:spacing w:val="7"/>
        </w:rPr>
        <w:t>，公司主动进行战略</w:t>
      </w:r>
      <w:r>
        <w:t xml:space="preserve"> </w:t>
      </w:r>
      <w:r>
        <w:rPr>
          <w:spacing w:val="9"/>
        </w:rPr>
        <w:t>转型，于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2021 </w:t>
      </w:r>
      <w:r>
        <w:rPr>
          <w:spacing w:val="9"/>
        </w:rPr>
        <w:t>年剥离汽车板块，并成立上海均瑶医疗正式切入医疗健</w:t>
      </w:r>
      <w:r>
        <w:rPr>
          <w:spacing w:val="8"/>
        </w:rPr>
        <w:t>康领域，确立了“商</w:t>
      </w:r>
      <w:r>
        <w:t xml:space="preserve"> </w:t>
      </w:r>
      <w:r>
        <w:rPr>
          <w:spacing w:val="6"/>
        </w:rPr>
        <w:t>业零售</w:t>
      </w:r>
      <w:r>
        <w:rPr>
          <w:rFonts w:ascii="Times New Roman" w:eastAsia="Times New Roman" w:hAnsi="Times New Roman" w:cs="Times New Roman"/>
          <w:spacing w:val="6"/>
        </w:rPr>
        <w:t>+</w:t>
      </w:r>
      <w:r>
        <w:rPr>
          <w:spacing w:val="6"/>
        </w:rPr>
        <w:t>医疗健康”双主业战略。</w:t>
      </w:r>
    </w:p>
    <w:p>
      <w:pPr>
        <w:pStyle w:val="BodyText"/>
        <w:spacing w:before="185" w:line="230" w:lineRule="auto"/>
        <w:ind w:left="2576"/>
        <w:rPr>
          <w:sz w:val="18"/>
          <w:szCs w:val="18"/>
        </w:rPr>
      </w:pPr>
      <w:r>
        <w:rPr>
          <w:color w:val="B70004"/>
          <w:spacing w:val="-1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1"/>
          <w:sz w:val="18"/>
          <w:szCs w:val="18"/>
        </w:rPr>
        <w:t>'</w:t>
      </w:r>
      <w:r>
        <w:rPr>
          <w:color w:val="B70004"/>
          <w:spacing w:val="-1"/>
          <w:sz w:val="18"/>
          <w:szCs w:val="18"/>
        </w:rPr>
        <w:t>：</w:t>
      </w:r>
      <w:r>
        <w:rPr>
          <w:color w:val="B70004"/>
          <w:spacing w:val="-1"/>
          <w:sz w:val="18"/>
          <w:szCs w:val="18"/>
        </w:rPr>
        <w:t xml:space="preserve"> </w:t>
      </w:r>
      <w:r>
        <w:rPr>
          <w:color w:val="B70004"/>
          <w:spacing w:val="-1"/>
          <w:sz w:val="18"/>
          <w:szCs w:val="18"/>
        </w:rPr>
        <w:t>大东方发展历程</w:t>
      </w:r>
    </w:p>
    <w:p>
      <w:pPr>
        <w:spacing w:line="212" w:lineRule="exact"/>
      </w:pPr>
    </w:p>
    <w:p>
      <w:pPr>
        <w:spacing w:line="212" w:lineRule="exact"/>
        <w:sectPr>
          <w:headerReference w:type="default" r:id="rId26"/>
          <w:footerReference w:type="default" r:id="rId27"/>
          <w:pgSz w:w="11907" w:h="16839"/>
          <w:pgMar w:top="1264" w:right="718" w:bottom="1027" w:left="720" w:header="788" w:footer="796" w:gutter="0"/>
          <w:pgNumType w:start="9"/>
          <w:cols w:num="1" w:space="708" w:equalWidth="0">
            <w:col w:w="10469" w:space="0"/>
          </w:cols>
        </w:sectPr>
      </w:pPr>
    </w:p>
    <w:p>
      <w:pPr>
        <w:pStyle w:val="BodyText"/>
        <w:spacing w:before="36" w:line="227" w:lineRule="auto"/>
        <w:ind w:left="5421"/>
        <w:rPr>
          <w:sz w:val="17"/>
          <w:szCs w:val="17"/>
        </w:rPr>
      </w:pPr>
      <w:r>
        <w:rPr>
          <w:spacing w:val="5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2002年</w:t>
      </w:r>
    </w:p>
    <w:p>
      <w:pPr>
        <w:pStyle w:val="BodyText"/>
        <w:spacing w:before="26" w:line="246" w:lineRule="auto"/>
        <w:ind w:left="5433" w:right="102" w:hanging="2"/>
        <w:rPr>
          <w:sz w:val="17"/>
          <w:szCs w:val="17"/>
        </w:rPr>
      </w:pPr>
      <w:r>
        <w:rPr>
          <w:spacing w:val="9"/>
          <w:sz w:val="17"/>
          <w:szCs w:val="17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于上交所挂牌上市</w:t>
      </w:r>
      <w:r>
        <w:rPr>
          <w:spacing w:val="-51"/>
          <w:sz w:val="17"/>
          <w:szCs w:val="17"/>
        </w:rPr>
        <w:t xml:space="preserve"> </w:t>
      </w:r>
      <w:r>
        <w:rPr>
          <w:spacing w:val="9"/>
          <w:sz w:val="17"/>
          <w:szCs w:val="17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；确定一体</w:t>
      </w:r>
      <w:r>
        <w:rPr>
          <w:sz w:val="17"/>
          <w:szCs w:val="17"/>
        </w:rPr>
        <w:t xml:space="preserve"> </w:t>
      </w:r>
      <w:r>
        <w:rPr>
          <w:spacing w:val="8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两翼“</w:t>
      </w:r>
      <w:r>
        <w:rPr>
          <w:spacing w:val="-41"/>
          <w:sz w:val="17"/>
          <w:szCs w:val="17"/>
        </w:rPr>
        <w:t xml:space="preserve"> </w:t>
      </w:r>
      <w:r>
        <w:rPr>
          <w:spacing w:val="8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以百货零售为主体，汽</w:t>
      </w:r>
      <w:r>
        <w:rPr>
          <w:sz w:val="17"/>
          <w:szCs w:val="17"/>
        </w:rPr>
        <w:t xml:space="preserve"> </w:t>
      </w:r>
      <w:r>
        <w:rPr>
          <w:spacing w:val="11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车经营服务和食品制造经营为</w:t>
      </w:r>
      <w:r>
        <w:rPr>
          <w:spacing w:val="4"/>
          <w:sz w:val="17"/>
          <w:szCs w:val="17"/>
        </w:rPr>
        <w:t xml:space="preserve"> </w:t>
      </w:r>
      <w:r>
        <w:rPr>
          <w:spacing w:val="7"/>
          <w:sz w:val="17"/>
          <w:szCs w:val="17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两翼</w:t>
      </w:r>
      <w:r>
        <w:rPr>
          <w:spacing w:val="-59"/>
          <w:sz w:val="17"/>
          <w:szCs w:val="17"/>
        </w:rPr>
        <w:t xml:space="preserve"> </w:t>
      </w:r>
      <w:r>
        <w:rPr>
          <w:spacing w:val="7"/>
          <w:sz w:val="17"/>
          <w:szCs w:val="17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”的发展战略</w:t>
      </w:r>
    </w:p>
    <w:p>
      <w:pPr>
        <w:spacing w:line="18" w:lineRule="exact"/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4" w:line="227" w:lineRule="auto"/>
        <w:ind w:left="105"/>
        <w:rPr>
          <w:sz w:val="17"/>
          <w:szCs w:val="17"/>
        </w:rPr>
      </w:pPr>
      <w:r>
        <w:rPr>
          <w:spacing w:val="5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2021年</w:t>
      </w:r>
    </w:p>
    <w:p>
      <w:pPr>
        <w:pStyle w:val="BodyText"/>
        <w:spacing w:before="25" w:line="223" w:lineRule="auto"/>
        <w:ind w:left="107"/>
        <w:rPr>
          <w:sz w:val="17"/>
          <w:szCs w:val="17"/>
        </w:rPr>
      </w:pPr>
      <w:r>
        <w:rPr>
          <w:spacing w:val="10"/>
          <w:sz w:val="17"/>
          <w:szCs w:val="17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成立均摇医疗平台，</w:t>
      </w:r>
    </w:p>
    <w:p>
      <w:pPr>
        <w:pStyle w:val="BodyText"/>
        <w:spacing w:before="27" w:line="235" w:lineRule="exact"/>
        <w:ind w:left="102"/>
        <w:rPr>
          <w:sz w:val="17"/>
          <w:szCs w:val="17"/>
        </w:rPr>
      </w:pPr>
      <w:r>
        <w:rPr>
          <w:spacing w:val="9"/>
          <w:position w:val="4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确立“商业零售+医疗</w:t>
      </w:r>
    </w:p>
    <w:p>
      <w:pPr>
        <w:pStyle w:val="BodyText"/>
        <w:spacing w:line="229" w:lineRule="auto"/>
        <w:ind w:left="102"/>
        <w:rPr>
          <w:sz w:val="17"/>
          <w:szCs w:val="17"/>
        </w:rPr>
      </w:pPr>
      <w:r>
        <w:rPr>
          <w:spacing w:val="8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健康</w:t>
      </w:r>
      <w:r>
        <w:rPr>
          <w:spacing w:val="-52"/>
          <w:sz w:val="17"/>
          <w:szCs w:val="17"/>
        </w:rPr>
        <w:t xml:space="preserve"> </w:t>
      </w:r>
      <w:r>
        <w:rPr>
          <w:spacing w:val="8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”双主业战略</w:t>
      </w:r>
    </w:p>
    <w:p>
      <w:pPr>
        <w:spacing w:line="229" w:lineRule="auto"/>
        <w:rPr>
          <w:sz w:val="17"/>
          <w:szCs w:val="17"/>
        </w:rPr>
        <w:sectPr>
          <w:headerReference w:type="default" r:id="rId28"/>
          <w:footerReference w:type="default" r:id="rId29"/>
          <w:type w:val="continuous"/>
          <w:pgSz w:w="11907" w:h="16839"/>
          <w:pgMar w:top="1264" w:right="718" w:bottom="1027" w:left="720" w:header="788" w:footer="796" w:gutter="0"/>
          <w:pgNumType w:start="10"/>
          <w:cols w:num="2" w:sep="1" w:space="708" w:equalWidth="0">
            <w:col w:w="7896" w:space="100"/>
            <w:col w:w="2473" w:space="0"/>
          </w:cols>
        </w:sectPr>
      </w:pPr>
    </w:p>
    <w:p>
      <w:pPr>
        <w:spacing w:before="7" w:line="500" w:lineRule="exact"/>
        <w:ind w:firstLine="2940"/>
      </w:pPr>
      <w:r>
        <w:rPr>
          <w:position w:val="-9"/>
        </w:rPr>
        <w:pict>
          <v:group id="_x0000_i1058" style="width:345pt;height:25pt;mso-position-horizontal-relative:char;mso-position-vertical-relative:line" coordorigin="0,0" coordsize="6900,500" filled="f" stroked="f">
            <v:shape id="_x0000_s1059" style="width:485;height:467;left:3;position:absolute;top:3" coordorigin="0,0" coordsize="485,467" path="m,l252,l485,233l252,466l,466l233,233l,xe" filled="t" fillcolor="#ffd9d9" stroked="f"/>
            <v:shape id="_x0000_s1060" style="width:492;height:474;position:absolute" coordorigin="0,0" coordsize="492,474" path="m255,3l489,236l255,470m3,470l237,236l3,3e" filled="f" strokecolor="#ffd9d9" strokeweight="0.5pt">
              <v:stroke joinstyle="miter"/>
            </v:shape>
            <v:shape id="_x0000_s1061" style="width:485;height:467;left:380;position:absolute;top:3" coordorigin="0,0" coordsize="485,467" path="m,l252,l485,233l252,466l,466l233,233l,xe" filled="t" fillcolor="#ffd9d9" stroked="f"/>
            <v:shape id="_x0000_s1062" style="width:492;height:474;left:377;position:absolute" coordorigin="0,0" coordsize="492,474" path="m255,3l489,236l255,470m3,470l237,236l3,3e" filled="f" strokecolor="#ffd9d9" strokeweight="0.5pt">
              <v:stroke joinstyle="miter"/>
            </v:shape>
            <v:shape id="_x0000_s1063" style="width:482;height:467;left:761;position:absolute;top:3" coordorigin="0,0" coordsize="482,467" path="m,l248,l481,233l248,466l,466l233,233l,xe" filled="t" fillcolor="#ffd9d9" stroked="f"/>
            <v:shape id="_x0000_s1064" style="width:489;height:474;left:758;position:absolute" coordorigin="0,0" coordsize="489,474" path="m251,3l485,236l251,470m3,470l237,236l3,3e" filled="f" strokecolor="#ffd9d9" strokeweight="0.5pt">
              <v:stroke joinstyle="miter"/>
            </v:shape>
            <v:shape id="_x0000_s1065" style="width:482;height:467;left:1139;position:absolute;top:3" coordorigin="0,0" coordsize="482,467" path="m,l248,l481,233l248,466l,466l233,233l,xe" filled="t" fillcolor="#ff9b9b" stroked="f"/>
            <v:shape id="_x0000_s1066" style="width:489;height:474;left:1135;position:absolute" coordorigin="0,0" coordsize="489,474" path="m251,3l485,236l251,470m3,470l237,236l3,3e" filled="f" strokecolor="#ff9b9b" strokeweight="0.5pt">
              <v:stroke joinstyle="miter"/>
            </v:shape>
            <v:shape id="_x0000_s1067" style="width:485;height:467;left:1516;position:absolute;top:3" coordorigin="0,0" coordsize="485,467" path="m,l252,l485,233l252,466l,466l233,233l,xe" filled="t" fillcolor="#ff9b9b" stroked="f"/>
            <v:shape id="_x0000_s1068" style="width:492;height:474;left:1512;position:absolute" coordorigin="0,0" coordsize="492,474" path="m255,3l489,236l255,470m3,470l237,236l3,3e" filled="f" strokecolor="#ff9b9b" strokeweight="0.5pt">
              <v:stroke joinstyle="miter"/>
            </v:shape>
            <v:shape id="_x0000_s1069" style="width:482;height:470;left:1912;position:absolute;top:25" coordorigin="0,0" coordsize="482,470" path="m,l246,l481,235l246,470l,470l235,235l,xe" filled="t" fillcolor="#ff9b9b" stroked="f"/>
            <v:shape id="_x0000_s1070" style="width:489;height:477;left:1908;position:absolute;top:22" coordorigin="0,0" coordsize="489,477" path="m250,3l485,238l250,473m3,473l238,238l3,3e" filled="f" strokecolor="#ff9b9b" strokeweight="0.5pt">
              <v:stroke joinstyle="miter"/>
            </v:shape>
            <v:shape id="_x0000_s1071" style="width:485;height:467;left:2248;position:absolute;top:3" coordorigin="0,0" coordsize="485,467" path="m,l252,l485,233l252,466l,466l233,233l,xe" filled="t" fillcolor="#ff9b9b" stroked="f"/>
            <v:shape id="_x0000_s1072" style="width:492;height:474;left:2245;position:absolute" coordorigin="0,0" coordsize="492,474" path="m255,3l489,236l255,470m3,470l237,236l3,3e" filled="f" strokecolor="#ff9b9b" strokeweight="0.5pt">
              <v:stroke joinstyle="miter"/>
            </v:shape>
            <v:shape id="_x0000_s1073" style="width:482;height:467;left:2629;position:absolute;top:3" coordorigin="0,0" coordsize="482,467" path="m,l248,l482,233l248,466l,466l233,233l,xe" filled="t" fillcolor="#ff9b9b" stroked="f"/>
            <v:shape id="_x0000_s1074" style="width:490;height:474;left:2626;position:absolute" coordorigin="0,0" coordsize="490,474" path="m251,3l485,236l251,470m3,470l237,236l3,3e" filled="f" strokecolor="#ff9b9b" strokeweight="0.5pt">
              <v:stroke joinstyle="miter"/>
            </v:shape>
            <v:shape id="_x0000_s1075" style="width:482;height:467;left:3007;position:absolute;top:3" coordorigin="0,0" coordsize="482,467" path="m,l248,l482,233l248,466l,466l233,233l,xe" filled="t" fillcolor="#ff9b9b" stroked="f"/>
            <v:shape id="_x0000_s1076" style="width:490;height:474;left:3003;position:absolute" coordorigin="0,0" coordsize="490,474" path="m252,3l485,236l252,470m3,470l237,236l3,3e" filled="f" strokecolor="#ff9b9b" strokeweight="0.5pt">
              <v:stroke joinstyle="miter"/>
            </v:shape>
            <v:shape id="_x0000_s1077" style="width:485;height:467;left:3384;position:absolute;top:3" coordorigin="0,0" coordsize="485,467" path="m,l252,l485,233l252,466l,466l233,233l,xe" filled="t" fillcolor="#ff9b9b" stroked="f"/>
            <v:shape id="_x0000_s1078" style="width:492;height:474;left:3380;position:absolute" coordorigin="0,0" coordsize="492,474" path="m255,3l489,236l255,470m3,470l237,236l3,3e" filled="f" strokecolor="#ff9b9b" strokeweight="0.5pt">
              <v:stroke joinstyle="miter"/>
            </v:shape>
            <v:shape id="_x0000_s1079" style="width:485;height:467;left:3761;position:absolute;top:3" coordorigin="0,0" coordsize="485,467" path="m,l252,l485,233l252,466l,466l233,233l,xe" filled="t" fillcolor="#ff9b9b" stroked="f"/>
            <v:shape id="_x0000_s1080" style="width:492;height:474;left:3758;position:absolute" coordorigin="0,0" coordsize="492,474" path="m255,3l489,236l255,470m3,470l237,236l3,3e" filled="f" strokecolor="#ff9b9b" strokeweight="0.5pt">
              <v:stroke joinstyle="miter"/>
            </v:shape>
            <v:shape id="_x0000_s1081" style="width:482;height:467;left:4142;position:absolute;top:3" coordorigin="0,0" coordsize="482,467" path="m,l248,l481,233l248,466l,466l233,233l,xe" filled="t" fillcolor="#ff9b9b" stroked="f"/>
            <v:shape id="_x0000_s1082" style="width:489;height:474;left:4139;position:absolute" coordorigin="0,0" coordsize="489,474" path="m251,3l485,236l251,470m3,470l237,236l3,3e" filled="f" strokecolor="#ff9b9b" strokeweight="0.5pt">
              <v:stroke joinstyle="miter"/>
            </v:shape>
            <v:shape id="_x0000_s1083" style="width:482;height:467;left:4520;position:absolute;top:3" coordorigin="0,0" coordsize="482,467" path="m,l248,l481,233l248,466l,466l233,233l,xe" filled="t" fillcolor="#ff9b9b" stroked="f"/>
            <v:shape id="_x0000_s1084" style="width:489;height:474;left:4516;position:absolute" coordorigin="0,0" coordsize="489,474" path="m251,3l485,236l251,470m3,470l237,236l3,3e" filled="f" strokecolor="#ff9b9b" strokeweight="0.5pt">
              <v:stroke joinstyle="miter"/>
            </v:shape>
            <v:shape id="_x0000_s1085" style="width:485;height:467;left:4897;position:absolute;top:3" coordorigin="0,0" coordsize="485,467" path="m,l252,l485,233l252,466l,466l233,233l,xe" filled="t" fillcolor="#c00000" stroked="f"/>
            <v:shape id="_x0000_s1086" style="width:492;height:474;left:4893;position:absolute" coordorigin="0,0" coordsize="492,474" path="m255,3l489,236l255,470m3,470l237,236l3,3e" filled="f" strokecolor="#c00000" strokeweight="0.5pt">
              <v:stroke joinstyle="miter"/>
            </v:shape>
            <v:shape id="_x0000_s1087" style="width:485;height:467;left:5274;position:absolute;top:3" coordorigin="0,0" coordsize="485,467" path="m,l252,l485,233l252,466l,466l233,233l,xe" filled="t" fillcolor="#c00000" stroked="f"/>
            <v:shape id="_x0000_s1088" style="width:492;height:474;left:5271;position:absolute" coordorigin="0,0" coordsize="492,474" path="m255,3l489,236l255,470m3,470l237,236l3,3e" filled="f" strokecolor="#c00000" strokeweight="0.5pt">
              <v:stroke joinstyle="miter"/>
            </v:shape>
            <v:shape id="_x0000_s1089" style="width:482;height:467;left:5655;position:absolute;top:3" coordorigin="0,0" coordsize="482,467" path="m,l248,l482,233l248,466l,466l233,233l,xe" filled="t" fillcolor="#c00000" stroked="f"/>
            <v:shape id="_x0000_s1090" style="width:490;height:474;left:5651;position:absolute" coordorigin="0,0" coordsize="490,474" path="m252,3l485,236l252,470m3,470l237,236l3,3e" filled="f" strokecolor="#c00000" strokeweight="0.5pt">
              <v:stroke joinstyle="miter"/>
            </v:shape>
            <v:shape id="_x0000_s1091" style="width:485;height:467;left:6033;position:absolute;top:3" coordorigin="0,0" coordsize="485,467" path="m,l251,l485,233l251,466l,466l233,233l,xe" filled="t" fillcolor="#c00000" stroked="f"/>
            <v:shape id="_x0000_s1092" style="width:492;height:474;left:6029;position:absolute" coordorigin="0,0" coordsize="492,474" path="m255,3l488,236l255,470m3,470l237,236l3,3e" filled="f" strokecolor="#c00000" strokeweight="0.5pt">
              <v:stroke joinstyle="miter"/>
            </v:shape>
            <v:shape id="_x0000_s1093" style="width:485;height:467;left:6410;position:absolute;top:3" coordorigin="0,0" coordsize="485,467" path="m,l252,l485,233l252,466l,466l233,233l,xe" filled="t" fillcolor="#c00000" stroked="f"/>
            <v:shape id="_x0000_s1094" style="width:492;height:474;left:6406;position:absolute" coordorigin="0,0" coordsize="492,474" path="m255,3l488,236l255,470m3,470l237,236l3,3e" filled="f" strokecolor="#c00000" strokeweight="0.5pt">
              <v:stroke joinstyle="miter"/>
            </v:shape>
            <w10:wrap type="none"/>
          </v:group>
        </w:pict>
      </w:r>
    </w:p>
    <w:p>
      <w:pPr>
        <w:pStyle w:val="BodyText"/>
        <w:spacing w:before="130" w:line="224" w:lineRule="exact"/>
        <w:ind w:left="4005"/>
        <w:rPr>
          <w:sz w:val="17"/>
          <w:szCs w:val="17"/>
        </w:rPr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column">
              <wp:posOffset>1858888</wp:posOffset>
            </wp:positionH>
            <wp:positionV relativeFrom="paragraph">
              <wp:posOffset>-3419</wp:posOffset>
            </wp:positionV>
            <wp:extent cx="4370327" cy="157476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370327" cy="157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"/>
          <w:position w:val="1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1988年</w:t>
      </w:r>
      <w:r>
        <w:rPr>
          <w:spacing w:val="4"/>
          <w:position w:val="1"/>
          <w:sz w:val="17"/>
          <w:szCs w:val="17"/>
        </w:rPr>
        <w:t xml:space="preserve">                </w:t>
      </w:r>
      <w:r>
        <w:rPr>
          <w:spacing w:val="3"/>
          <w:position w:val="1"/>
          <w:sz w:val="17"/>
          <w:szCs w:val="17"/>
        </w:rPr>
        <w:t xml:space="preserve">       </w:t>
      </w:r>
      <w:r>
        <w:rPr>
          <w:spacing w:val="3"/>
          <w:position w:val="1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2005年</w:t>
      </w:r>
    </w:p>
    <w:p>
      <w:pPr>
        <w:pStyle w:val="BodyText"/>
        <w:spacing w:before="27" w:line="239" w:lineRule="auto"/>
        <w:ind w:left="6561" w:right="2074" w:firstLine="9"/>
        <w:rPr>
          <w:sz w:val="17"/>
          <w:szCs w:val="17"/>
        </w:rPr>
      </w:pPr>
      <w:r>
        <w:pict>
          <v:shape id="_x0000_s1095" type="#_x0000_t202" style="width:101.75pt;height:23.85pt;margin-top:-0.42pt;margin-left:199.24pt;position:absolute;z-index:25168384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7" w:lineRule="auto"/>
                    <w:ind w:left="20" w:right="20" w:firstLine="9"/>
                    <w:rPr>
                      <w:sz w:val="17"/>
                      <w:szCs w:val="17"/>
                    </w:rPr>
                  </w:pPr>
                  <w:r>
                    <w:rPr>
                      <w:spacing w:val="10"/>
                      <w:sz w:val="17"/>
                      <w:szCs w:val="17"/>
                      <w14:textOutline w14:w="3250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东方红商场改革为无锡商</w:t>
                  </w:r>
                  <w:r>
                    <w:rPr>
                      <w:spacing w:val="4"/>
                      <w:sz w:val="17"/>
                      <w:szCs w:val="17"/>
                    </w:rPr>
                    <w:t xml:space="preserve"> </w:t>
                  </w:r>
                  <w:r>
                    <w:rPr>
                      <w:spacing w:val="11"/>
                      <w:sz w:val="17"/>
                      <w:szCs w:val="17"/>
                      <w14:textOutline w14:w="3263">
                        <w14:solidFill>
                          <w14:srgbClr w14:val="000000"/>
                        </w14:solidFill>
                        <w14:prstDash w14:val="solid"/>
                        <w14:miter w14:lim="10"/>
                      </w14:textOutline>
                    </w:rPr>
                    <w:t>业大厦，公司正式成立</w:t>
                  </w:r>
                </w:p>
              </w:txbxContent>
            </v:textbox>
          </v:shape>
        </w:pict>
      </w:r>
      <w:r>
        <w:rPr>
          <w:spacing w:val="12"/>
          <w:sz w:val="17"/>
          <w:szCs w:val="17"/>
          <w14:textOutline w14:w="3250">
            <w14:solidFill>
              <w14:srgbClr w14:val="000000"/>
            </w14:solidFill>
            <w14:prstDash w14:val="solid"/>
            <w14:miter w14:lim="10"/>
          </w14:textOutline>
        </w:rPr>
        <w:t>整体更名为无锡商业大</w:t>
      </w:r>
      <w:r>
        <w:rPr>
          <w:spacing w:val="1"/>
          <w:sz w:val="17"/>
          <w:szCs w:val="17"/>
        </w:rPr>
        <w:t xml:space="preserve"> </w:t>
      </w:r>
      <w:r>
        <w:rPr>
          <w:spacing w:val="13"/>
          <w:sz w:val="17"/>
          <w:szCs w:val="17"/>
          <w14:textOutline w14:w="3263">
            <w14:solidFill>
              <w14:srgbClr w14:val="000000"/>
            </w14:solidFill>
            <w14:prstDash w14:val="solid"/>
            <w14:miter w14:lim="10"/>
          </w14:textOutline>
        </w:rPr>
        <w:t>厦大东方股份有限公司</w:t>
      </w:r>
    </w:p>
    <w:p>
      <w:pPr>
        <w:spacing w:line="410" w:lineRule="auto"/>
        <w:rPr>
          <w:rFonts w:ascii="Arial"/>
          <w:sz w:val="21"/>
        </w:rPr>
      </w:pPr>
    </w:p>
    <w:p>
      <w:pPr>
        <w:pStyle w:val="BodyText"/>
        <w:spacing w:before="52" w:line="227" w:lineRule="auto"/>
        <w:ind w:left="2566"/>
        <w:rPr>
          <w:sz w:val="16"/>
          <w:szCs w:val="16"/>
        </w:rPr>
      </w:pPr>
      <w:r>
        <w:rPr>
          <w:spacing w:val="-4"/>
          <w:sz w:val="16"/>
          <w:szCs w:val="16"/>
        </w:rPr>
        <w:t>资料来源：公司官网，</w:t>
      </w:r>
      <w:r>
        <w:rPr>
          <w:spacing w:val="-4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16"/>
          <w:szCs w:val="16"/>
        </w:rPr>
        <w:t>wind</w:t>
      </w:r>
      <w:r>
        <w:rPr>
          <w:spacing w:val="-4"/>
          <w:sz w:val="16"/>
          <w:szCs w:val="16"/>
        </w:rPr>
        <w:t>，浙商证券研究所</w:t>
      </w:r>
    </w:p>
    <w:p>
      <w:pPr>
        <w:pStyle w:val="BodyText"/>
        <w:spacing w:before="140" w:line="238" w:lineRule="auto"/>
        <w:ind w:left="2957"/>
      </w:pP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概览：</w:t>
      </w:r>
      <w:r>
        <w:rPr>
          <w:color w:val="C00000"/>
          <w:spacing w:val="-55"/>
        </w:rPr>
        <w:t xml:space="preserve">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商业零售</w:t>
      </w:r>
      <w:r>
        <w:rPr>
          <w:rFonts w:ascii="Times New Roman" w:eastAsia="Times New Roman" w:hAnsi="Times New Roman" w:cs="Times New Roman"/>
          <w:b/>
          <w:bCs/>
          <w:color w:val="C00000"/>
          <w:spacing w:val="6"/>
        </w:rPr>
        <w:t>=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百货零售</w:t>
      </w:r>
      <w:r>
        <w:rPr>
          <w:rFonts w:ascii="Times New Roman" w:eastAsia="Times New Roman" w:hAnsi="Times New Roman" w:cs="Times New Roman"/>
          <w:b/>
          <w:bCs/>
          <w:color w:val="C00000"/>
          <w:spacing w:val="6"/>
        </w:rPr>
        <w:t>+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三凤桥品牌经营；</w:t>
      </w:r>
      <w:r>
        <w:rPr>
          <w:color w:val="C00000"/>
          <w:spacing w:val="6"/>
        </w:rPr>
        <w:t xml:space="preserve">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医</w:t>
      </w: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疗健康</w:t>
      </w:r>
      <w:r>
        <w:rPr>
          <w:rFonts w:ascii="Times New Roman" w:eastAsia="Times New Roman" w:hAnsi="Times New Roman" w:cs="Times New Roman"/>
          <w:b/>
          <w:bCs/>
          <w:color w:val="C00000"/>
          <w:spacing w:val="5"/>
        </w:rPr>
        <w:t>=</w:t>
      </w: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儿童特色专科</w:t>
      </w:r>
      <w:r>
        <w:rPr>
          <w:rFonts w:ascii="Times New Roman" w:eastAsia="Times New Roman" w:hAnsi="Times New Roman" w:cs="Times New Roman"/>
          <w:b/>
          <w:bCs/>
          <w:color w:val="C00000"/>
          <w:spacing w:val="5"/>
        </w:rPr>
        <w:t>+</w:t>
      </w: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综合医院。</w:t>
      </w:r>
    </w:p>
    <w:p>
      <w:pPr>
        <w:pStyle w:val="BodyText"/>
        <w:spacing w:before="195" w:line="281" w:lineRule="auto"/>
        <w:ind w:left="2553" w:right="14" w:firstLine="413"/>
        <w:rPr>
          <w:rFonts w:ascii="Times New Roman" w:eastAsia="Times New Roman" w:hAnsi="Times New Roman" w:cs="Times New Roman"/>
        </w:rPr>
      </w:pP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百货零售：</w:t>
      </w:r>
      <w:r>
        <w:rPr>
          <w:spacing w:val="7"/>
        </w:rPr>
        <w:t xml:space="preserve"> 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构建百货商场</w:t>
      </w:r>
      <w:r>
        <w:rPr>
          <w:rFonts w:ascii="Times New Roman" w:eastAsia="Times New Roman" w:hAnsi="Times New Roman" w:cs="Times New Roman"/>
          <w:b/>
          <w:bCs/>
          <w:spacing w:val="7"/>
        </w:rPr>
        <w:t>+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超市</w:t>
      </w:r>
      <w:r>
        <w:rPr>
          <w:rFonts w:ascii="Times New Roman" w:eastAsia="Times New Roman" w:hAnsi="Times New Roman" w:cs="Times New Roman"/>
          <w:b/>
          <w:bCs/>
          <w:spacing w:val="7"/>
        </w:rPr>
        <w:t>+</w:t>
      </w:r>
      <w:r>
        <w:rPr>
          <w:spacing w:val="7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便利店多层次零售矩阵。</w:t>
      </w:r>
      <w:r>
        <w:rPr>
          <w:spacing w:val="7"/>
        </w:rPr>
        <w:t>其中大东方百货定位中高端</w:t>
      </w:r>
      <w:r>
        <w:rPr>
          <w:spacing w:val="9"/>
        </w:rPr>
        <w:t xml:space="preserve"> </w:t>
      </w:r>
      <w:r>
        <w:rPr>
          <w:spacing w:val="9"/>
        </w:rPr>
        <w:t>精品销售与服务，坐落于无锡梁溪区核心商圈，拥有近</w:t>
      </w:r>
      <w:r>
        <w:rPr>
          <w:spacing w:val="-3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50 </w:t>
      </w:r>
      <w:r>
        <w:rPr>
          <w:spacing w:val="9"/>
        </w:rPr>
        <w:t>万注</w:t>
      </w:r>
      <w:r>
        <w:rPr>
          <w:spacing w:val="8"/>
        </w:rPr>
        <w:t>册会员和优质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</w:rPr>
        <w:t>VIP</w:t>
      </w:r>
      <w:r>
        <w:rPr>
          <w:rFonts w:ascii="Times New Roman" w:eastAsia="Times New Roman" w:hAnsi="Times New Roman" w:cs="Times New Roman"/>
          <w:spacing w:val="8"/>
        </w:rPr>
        <w:t xml:space="preserve"> </w:t>
      </w:r>
      <w:r>
        <w:rPr>
          <w:spacing w:val="8"/>
        </w:rPr>
        <w:t>客群；百</w:t>
      </w:r>
      <w:r>
        <w:t xml:space="preserve"> </w:t>
      </w:r>
      <w:r>
        <w:rPr>
          <w:spacing w:val="5"/>
        </w:rPr>
        <w:t>业超市定位社区生活连锁，</w:t>
      </w:r>
      <w:r>
        <w:rPr>
          <w:spacing w:val="5"/>
        </w:rPr>
        <w:t xml:space="preserve"> </w:t>
      </w:r>
      <w:r>
        <w:rPr>
          <w:spacing w:val="5"/>
        </w:rPr>
        <w:t>截至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23H1 </w:t>
      </w:r>
      <w:r>
        <w:rPr>
          <w:spacing w:val="5"/>
        </w:rPr>
        <w:t>在江苏共有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6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5"/>
        </w:rPr>
        <w:t>家门店；便利店业务运营主体为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7-</w:t>
      </w:r>
    </w:p>
    <w:p>
      <w:pPr>
        <w:pStyle w:val="BodyText"/>
        <w:spacing w:before="91" w:line="236" w:lineRule="auto"/>
        <w:ind w:left="2558"/>
      </w:pPr>
      <w:r>
        <w:rPr>
          <w:rFonts w:ascii="Times New Roman" w:eastAsia="Times New Roman" w:hAnsi="Times New Roman" w:cs="Times New Roman"/>
        </w:rPr>
        <w:t>eleven</w:t>
      </w:r>
      <w:r>
        <w:rPr>
          <w:spacing w:val="4"/>
        </w:rPr>
        <w:t>，截至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23H1 </w:t>
      </w:r>
      <w:r>
        <w:rPr>
          <w:spacing w:val="4"/>
        </w:rPr>
        <w:t>在湖北地区共有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34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4"/>
        </w:rPr>
        <w:t>家门店，其中直营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12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4"/>
        </w:rPr>
        <w:t>家，加盟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22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4"/>
        </w:rPr>
        <w:t>家。</w:t>
      </w:r>
    </w:p>
    <w:p>
      <w:pPr>
        <w:pStyle w:val="BodyText"/>
        <w:spacing w:before="199" w:line="293" w:lineRule="auto"/>
        <w:ind w:left="2553" w:right="37" w:firstLine="409"/>
      </w:pP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三凤桥品牌：布局熟食、礼品性食品及餐饮三大板块。</w:t>
      </w:r>
      <w:r>
        <w:rPr>
          <w:spacing w:val="-50"/>
        </w:rPr>
        <w:t xml:space="preserve"> </w:t>
      </w:r>
      <w:r>
        <w:rPr>
          <w:spacing w:val="9"/>
        </w:rPr>
        <w:t>熟食业务核心产品为区域特色</w:t>
      </w:r>
      <w:r>
        <w:t xml:space="preserve"> </w:t>
      </w:r>
      <w:r>
        <w:rPr>
          <w:spacing w:val="3"/>
        </w:rPr>
        <w:t>三凤桥酱排骨，</w:t>
      </w:r>
      <w:r>
        <w:rPr>
          <w:spacing w:val="3"/>
        </w:rPr>
        <w:t xml:space="preserve"> </w:t>
      </w:r>
      <w:r>
        <w:rPr>
          <w:spacing w:val="3"/>
        </w:rPr>
        <w:t>截至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23H1 </w:t>
      </w:r>
      <w:r>
        <w:rPr>
          <w:spacing w:val="3"/>
        </w:rPr>
        <w:t>共经营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44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3"/>
        </w:rPr>
        <w:t>家食品专</w:t>
      </w:r>
      <w:r>
        <w:rPr>
          <w:spacing w:val="2"/>
        </w:rPr>
        <w:t>卖店，</w:t>
      </w:r>
      <w:r>
        <w:rPr>
          <w:spacing w:val="31"/>
        </w:rPr>
        <w:t xml:space="preserve"> </w:t>
      </w:r>
      <w:r>
        <w:rPr>
          <w:spacing w:val="2"/>
        </w:rPr>
        <w:t>临近年关或重大节日期间日销售量最</w:t>
      </w:r>
      <w:r>
        <w:t xml:space="preserve"> </w:t>
      </w:r>
      <w:r>
        <w:rPr>
          <w:spacing w:val="9"/>
        </w:rPr>
        <w:t>高可突破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20 </w:t>
      </w:r>
      <w:r>
        <w:rPr>
          <w:spacing w:val="9"/>
        </w:rPr>
        <w:t>吨，营业额达百万；礼品性食品业务主要以真空包装礼盒形式销</w:t>
      </w:r>
      <w:r>
        <w:rPr>
          <w:spacing w:val="8"/>
        </w:rPr>
        <w:t>售三凤桥酱排</w:t>
      </w:r>
      <w:r>
        <w:t xml:space="preserve"> </w:t>
      </w:r>
      <w:r>
        <w:rPr>
          <w:spacing w:val="6"/>
        </w:rPr>
        <w:t>骨及太湖熏鱼等无锡特色食品；餐饮业务经营主体为三凤酒家和三凤桥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12"/>
          <w:szCs w:val="12"/>
        </w:rPr>
        <w:t xml:space="preserve">• </w:t>
      </w:r>
      <w:r>
        <w:rPr>
          <w:spacing w:val="6"/>
        </w:rPr>
        <w:t>客堂间，</w:t>
      </w:r>
      <w:r>
        <w:rPr>
          <w:spacing w:val="6"/>
        </w:rPr>
        <w:t xml:space="preserve"> </w:t>
      </w:r>
      <w:r>
        <w:rPr>
          <w:spacing w:val="6"/>
        </w:rPr>
        <w:t>定位无</w:t>
      </w:r>
      <w:r>
        <w:rPr>
          <w:spacing w:val="6"/>
        </w:rPr>
        <w:t xml:space="preserve">  </w:t>
      </w:r>
      <w:r>
        <w:rPr>
          <w:spacing w:val="6"/>
        </w:rPr>
        <w:t>锡本帮菜，当前在无锡主流商圈共有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3</w:t>
      </w:r>
      <w:r>
        <w:rPr>
          <w:rFonts w:ascii="Times New Roman" w:eastAsia="Times New Roman" w:hAnsi="Times New Roman" w:cs="Times New Roman"/>
          <w:spacing w:val="20"/>
        </w:rPr>
        <w:t xml:space="preserve"> </w:t>
      </w:r>
      <w:r>
        <w:rPr>
          <w:spacing w:val="6"/>
        </w:rPr>
        <w:t>家门店。</w:t>
      </w:r>
    </w:p>
    <w:p>
      <w:pPr>
        <w:pStyle w:val="BodyText"/>
        <w:spacing w:before="213" w:line="296" w:lineRule="auto"/>
        <w:ind w:left="2551" w:right="56" w:firstLine="434"/>
        <w:sectPr>
          <w:headerReference w:type="default" r:id="rId31"/>
          <w:footerReference w:type="default" r:id="rId32"/>
          <w:type w:val="continuous"/>
          <w:pgSz w:w="11907" w:h="16839"/>
          <w:pgMar w:top="1264" w:right="718" w:bottom="1027" w:left="720" w:header="788" w:footer="796" w:gutter="0"/>
          <w:pgNumType w:start="11"/>
          <w:cols w:num="1" w:space="708" w:equalWidth="0">
            <w:col w:w="10469" w:space="0"/>
          </w:cols>
        </w:sectPr>
      </w:pP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医疗健康：</w:t>
      </w:r>
      <w:r>
        <w:rPr>
          <w:spacing w:val="6"/>
        </w:rPr>
        <w:t xml:space="preserve"> </w:t>
      </w:r>
      <w:r>
        <w:rPr>
          <w:spacing w:val="6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儿童特色专科为主，综合医院为辅。</w:t>
      </w:r>
      <w:r>
        <w:rPr>
          <w:rFonts w:ascii="Times New Roman" w:eastAsia="Times New Roman" w:hAnsi="Times New Roman" w:cs="Times New Roman"/>
          <w:spacing w:val="6"/>
        </w:rPr>
        <w:t xml:space="preserve">2021 </w:t>
      </w:r>
      <w:r>
        <w:rPr>
          <w:spacing w:val="6"/>
        </w:rPr>
        <w:t>年大东方设立子公司均瑶医疗布</w:t>
      </w:r>
      <w:r>
        <w:rPr>
          <w:spacing w:val="6"/>
        </w:rPr>
        <w:t xml:space="preserve"> </w:t>
      </w:r>
      <w:r>
        <w:rPr>
          <w:spacing w:val="9"/>
        </w:rPr>
        <w:t>局医疗健康产业，当前已形成特色儿科（涵盖儿童全发育周期医疗服务和特需儿童康复）</w:t>
      </w:r>
      <w:r>
        <w:rPr>
          <w:spacing w:val="9"/>
        </w:rPr>
        <w:t xml:space="preserve"> </w:t>
      </w:r>
      <w:r>
        <w:rPr>
          <w:spacing w:val="9"/>
        </w:rPr>
        <w:t>及综合医院两大板块布局。具体来看：</w:t>
      </w:r>
      <w:r>
        <w:rPr>
          <w:rFonts w:ascii="Times New Roman" w:eastAsia="Times New Roman" w:hAnsi="Times New Roman" w:cs="Times New Roman"/>
          <w:b/>
          <w:bCs/>
          <w:spacing w:val="9"/>
        </w:rPr>
        <w:t>1</w:t>
      </w:r>
      <w:r>
        <w:rPr>
          <w:spacing w:val="9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）儿童特色专科：</w:t>
      </w:r>
      <w:r>
        <w:rPr>
          <w:spacing w:val="9"/>
        </w:rPr>
        <w:t>定位消费医疗，目前由健高儿</w:t>
      </w:r>
      <w:r>
        <w:rPr>
          <w:spacing w:val="9"/>
        </w:rPr>
        <w:t xml:space="preserve">  </w:t>
      </w:r>
      <w:r>
        <w:rPr>
          <w:spacing w:val="9"/>
        </w:rPr>
        <w:t>科、雅恩健康、知贝医疗组成，分别专注于儿童全发育成长、儿童康复训练和儿童及家庭</w:t>
      </w:r>
      <w:r>
        <w:rPr>
          <w:spacing w:val="9"/>
        </w:rPr>
        <w:t xml:space="preserve"> </w:t>
      </w:r>
      <w:r>
        <w:rPr>
          <w:spacing w:val="6"/>
        </w:rPr>
        <w:t>健康管理，截至</w:t>
      </w:r>
      <w:r>
        <w:rPr>
          <w:spacing w:val="-1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23 </w:t>
      </w:r>
      <w:r>
        <w:rPr>
          <w:spacing w:val="6"/>
        </w:rPr>
        <w:t>年中报运营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50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6"/>
        </w:rPr>
        <w:t>家儿童医疗服务连锁机构（</w:t>
      </w:r>
      <w:r>
        <w:rPr>
          <w:rFonts w:ascii="Times New Roman" w:eastAsia="Times New Roman" w:hAnsi="Times New Roman" w:cs="Times New Roman"/>
          <w:spacing w:val="6"/>
        </w:rPr>
        <w:t xml:space="preserve">23 </w:t>
      </w:r>
      <w:r>
        <w:rPr>
          <w:spacing w:val="6"/>
        </w:rPr>
        <w:t>健高儿科</w:t>
      </w:r>
      <w:r>
        <w:rPr>
          <w:rFonts w:ascii="Times New Roman" w:eastAsia="Times New Roman" w:hAnsi="Times New Roman" w:cs="Times New Roman"/>
          <w:spacing w:val="6"/>
        </w:rPr>
        <w:t xml:space="preserve">+21 </w:t>
      </w:r>
      <w:r>
        <w:rPr>
          <w:spacing w:val="6"/>
        </w:rPr>
        <w:t>雅恩健康</w:t>
      </w:r>
      <w:r>
        <w:rPr>
          <w:rFonts w:ascii="Times New Roman" w:eastAsia="Times New Roman" w:hAnsi="Times New Roman" w:cs="Times New Roman"/>
          <w:spacing w:val="6"/>
        </w:rPr>
        <w:t xml:space="preserve">+6  </w:t>
      </w:r>
      <w:r>
        <w:rPr>
          <w:spacing w:val="1"/>
        </w:rPr>
        <w:t>知贝医疗</w:t>
      </w:r>
      <w:r>
        <w:rPr>
          <w:spacing w:val="-39"/>
        </w:rPr>
        <w:t>），</w:t>
      </w:r>
      <w:r>
        <w:rPr>
          <w:spacing w:val="1"/>
        </w:rPr>
        <w:t>覆盖全国超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30 </w:t>
      </w:r>
      <w:r>
        <w:rPr>
          <w:spacing w:val="1"/>
        </w:rPr>
        <w:t>个大中型城市；</w:t>
      </w:r>
      <w:r>
        <w:rPr>
          <w:spacing w:val="1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</w:rPr>
        <w:t>2</w:t>
      </w:r>
      <w:r>
        <w:rPr>
          <w:spacing w:val="1"/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）</w:t>
      </w:r>
      <w:r>
        <w:rPr>
          <w14:textOutline w14:w="3614">
            <w14:solidFill>
              <w14:srgbClr w14:val="000000"/>
            </w14:solidFill>
            <w14:prstDash w14:val="solid"/>
            <w14:miter w14:lim="10"/>
          </w14:textOutline>
        </w:rPr>
        <w:t>综合医院：</w:t>
      </w:r>
      <w:r>
        <w:t xml:space="preserve">  </w:t>
      </w:r>
      <w:r>
        <w:t>定位严肃医疗并聚焦骨科特色，</w:t>
      </w:r>
      <w:r>
        <w:t xml:space="preserve"> </w:t>
      </w:r>
    </w:p>
    <w:p>
      <w:pPr>
        <w:pStyle w:val="BodyText"/>
        <w:spacing w:before="213" w:line="296" w:lineRule="auto"/>
        <w:ind w:left="2551" w:right="56" w:firstLine="434"/>
      </w:pPr>
      <w:r>
        <w:rPr>
          <w:spacing w:val="4"/>
        </w:rPr>
        <w:t>运营主体为金华联济医院和沭阳中心医院，</w:t>
      </w:r>
      <w:r>
        <w:rPr>
          <w:spacing w:val="4"/>
        </w:rPr>
        <w:t xml:space="preserve"> </w:t>
      </w:r>
      <w:r>
        <w:rPr>
          <w:spacing w:val="4"/>
        </w:rPr>
        <w:t>分别坐落于浙江金华市和江苏沭阳县，</w:t>
      </w:r>
      <w:r>
        <w:rPr>
          <w:spacing w:val="4"/>
        </w:rPr>
        <w:t xml:space="preserve"> </w:t>
      </w:r>
      <w:r>
        <w:rPr>
          <w:spacing w:val="4"/>
        </w:rPr>
        <w:t>当地人</w:t>
      </w:r>
      <w:r>
        <w:rPr>
          <w:spacing w:val="4"/>
        </w:rPr>
        <w:t xml:space="preserve"> </w:t>
      </w:r>
      <w:r>
        <w:rPr>
          <w:spacing w:val="5"/>
        </w:rPr>
        <w:t>口基数大且经济发展良好，</w:t>
      </w:r>
      <w:r>
        <w:rPr>
          <w:spacing w:val="5"/>
        </w:rPr>
        <w:t xml:space="preserve"> </w:t>
      </w:r>
      <w:r>
        <w:rPr>
          <w:spacing w:val="5"/>
        </w:rPr>
        <w:t>具有较大医疗需求空间。</w:t>
      </w:r>
    </w:p>
    <w:p>
      <w:pPr>
        <w:spacing w:line="296" w:lineRule="auto"/>
        <w:sectPr>
          <w:headerReference w:type="default" r:id="rId33"/>
          <w:footerReference w:type="default" r:id="rId34"/>
          <w:type w:val="nextPage"/>
          <w:pgSz w:w="11907" w:h="16839"/>
          <w:pgMar w:top="1264" w:right="718" w:bottom="1027" w:left="720" w:header="788" w:footer="796" w:gutter="0"/>
          <w:pgNumType w:start="12"/>
          <w:cols w:num="1" w:space="708" w:equalWidth="0">
            <w:col w:w="10469" w:space="0"/>
          </w:cols>
          <w:titlePg w:val="0"/>
        </w:sectPr>
      </w:pPr>
    </w:p>
    <w:p>
      <w:pPr>
        <w:pStyle w:val="BodyText"/>
        <w:spacing w:before="264" w:line="212" w:lineRule="auto"/>
        <w:ind w:left="2576"/>
        <w:rPr>
          <w:sz w:val="18"/>
          <w:szCs w:val="18"/>
        </w:rPr>
      </w:pPr>
      <w:r>
        <w:drawing>
          <wp:anchor distT="0" distB="0" distL="0" distR="0" simplePos="0" relativeHeight="251685888" behindDoc="1" locked="0" layoutInCell="0" allowOverlap="1">
            <wp:simplePos x="0" y="0"/>
            <wp:positionH relativeFrom="page">
              <wp:posOffset>2378710</wp:posOffset>
            </wp:positionH>
            <wp:positionV relativeFrom="page">
              <wp:posOffset>1227328</wp:posOffset>
            </wp:positionV>
            <wp:extent cx="4425950" cy="3019679"/>
            <wp:effectExtent l="0" t="0" r="0" b="0"/>
            <wp:wrapNone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425950" cy="301967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0" allowOverlap="1">
            <wp:simplePos x="0" y="0"/>
            <wp:positionH relativeFrom="page">
              <wp:posOffset>457200</wp:posOffset>
            </wp:positionH>
            <wp:positionV relativeFrom="page">
              <wp:posOffset>6251067</wp:posOffset>
            </wp:positionV>
            <wp:extent cx="6646164" cy="1644650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6646164" cy="16446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2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2"/>
          <w:sz w:val="18"/>
          <w:szCs w:val="18"/>
        </w:rPr>
        <w:t xml:space="preserve"> </w:t>
      </w:r>
      <w:r>
        <w:rPr>
          <w:color w:val="B70004"/>
          <w:spacing w:val="-2"/>
          <w:sz w:val="18"/>
          <w:szCs w:val="18"/>
        </w:rPr>
        <w:t>大东方医疗健康业务版图（截至</w:t>
      </w:r>
      <w:r>
        <w:rPr>
          <w:color w:val="B70004"/>
          <w:spacing w:val="-31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23H1</w:t>
      </w:r>
      <w:r>
        <w:rPr>
          <w:color w:val="B70004"/>
          <w:spacing w:val="-2"/>
          <w:sz w:val="18"/>
          <w:szCs w:val="18"/>
        </w:rPr>
        <w:t>，图中列示为均瑶医疗对各标的持股比例）</w:t>
      </w:r>
    </w:p>
    <w:p>
      <w:pPr>
        <w:spacing w:before="125" w:line="4916" w:lineRule="exact"/>
        <w:ind w:firstLine="2551"/>
      </w:pPr>
      <w:r>
        <w:rPr>
          <w:position w:val="-98"/>
        </w:rPr>
        <w:pict>
          <v:group id="_x0000_i1096" style="width:396.1pt;height:245.8pt;mso-position-horizontal-relative:char;mso-position-vertical-relative:line" coordorigin="0,0" coordsize="7922,4916" filled="f" stroked="f">
            <v:rect id="_x0000_s1097" style="width:7922;height:10;position:absolute;top:4906" filled="t" fillcolor="#c00000" stroked="f"/>
            <v:rect id="_x0000_s1098" style="width:7922;height:10;position:absolute" filled="t" fillcolor="#c00000" stroked="f"/>
            <w10:wrap type="none"/>
          </v:group>
        </w:pict>
      </w:r>
    </w:p>
    <w:p>
      <w:pPr>
        <w:pStyle w:val="BodyText"/>
        <w:spacing w:before="159" w:line="227" w:lineRule="auto"/>
        <w:ind w:left="2566"/>
        <w:rPr>
          <w:sz w:val="16"/>
          <w:szCs w:val="16"/>
        </w:rPr>
      </w:pPr>
      <w:r>
        <w:rPr>
          <w:spacing w:val="-3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3"/>
          <w:sz w:val="16"/>
          <w:szCs w:val="16"/>
        </w:rPr>
        <w:t>wind</w:t>
      </w:r>
      <w:r>
        <w:rPr>
          <w:spacing w:val="-3"/>
          <w:sz w:val="16"/>
          <w:szCs w:val="16"/>
        </w:rPr>
        <w:t>，公司公告，</w:t>
      </w:r>
      <w:r>
        <w:rPr>
          <w:spacing w:val="-3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公司官方公众号，浙商</w:t>
      </w:r>
      <w:r>
        <w:rPr>
          <w:spacing w:val="-4"/>
          <w:sz w:val="16"/>
          <w:szCs w:val="16"/>
        </w:rPr>
        <w:t>证券研究所</w:t>
      </w:r>
    </w:p>
    <w:p>
      <w:pPr>
        <w:pStyle w:val="BodyText"/>
        <w:spacing w:before="162" w:line="212" w:lineRule="auto"/>
        <w:ind w:left="2533"/>
        <w:outlineLvl w:val="0"/>
        <w:rPr>
          <w:sz w:val="24"/>
          <w:szCs w:val="24"/>
        </w:rPr>
      </w:pPr>
      <w:bookmarkStart w:id="3" w:name="bookmark21"/>
      <w:bookmarkEnd w:id="3"/>
      <w:bookmarkStart w:id="4" w:name="bookmark22"/>
      <w:bookmarkEnd w:id="4"/>
      <w:bookmarkStart w:id="5" w:name="bookmark3"/>
      <w:bookmarkEnd w:id="5"/>
      <w:r>
        <w:rPr>
          <w:rFonts w:ascii="Times New Roman" w:eastAsia="Times New Roman" w:hAnsi="Times New Roman" w:cs="Times New Roman"/>
          <w:b/>
          <w:bCs/>
          <w:color w:val="B70004"/>
          <w:spacing w:val="-1"/>
          <w:sz w:val="24"/>
          <w:szCs w:val="24"/>
        </w:rPr>
        <w:t>1.2</w:t>
      </w:r>
      <w:r>
        <w:rPr>
          <w:rFonts w:ascii="Times New Roman" w:eastAsia="Times New Roman" w:hAnsi="Times New Roman" w:cs="Times New Roman"/>
          <w:b/>
          <w:bCs/>
          <w:color w:val="B70004"/>
          <w:spacing w:val="17"/>
          <w:sz w:val="24"/>
          <w:szCs w:val="24"/>
        </w:rPr>
        <w:t xml:space="preserve"> </w:t>
      </w:r>
      <w:r>
        <w:rPr>
          <w:color w:val="B70004"/>
          <w:spacing w:val="-1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股权结构清晰，管理团队稳定</w:t>
      </w:r>
    </w:p>
    <w:p>
      <w:pPr>
        <w:pStyle w:val="BodyText"/>
        <w:spacing w:before="205" w:line="293" w:lineRule="auto"/>
        <w:ind w:left="2555" w:right="100" w:firstLine="414"/>
        <w:jc w:val="both"/>
      </w:pP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均瑶集团赋能业务拓展，</w:t>
      </w:r>
      <w:r>
        <w:rPr>
          <w:color w:val="C00000"/>
          <w:spacing w:val="5"/>
        </w:rPr>
        <w:t xml:space="preserve"> </w:t>
      </w: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股权结构稳定清晰。</w:t>
      </w:r>
      <w:r>
        <w:rPr>
          <w:color w:val="C00000"/>
          <w:spacing w:val="5"/>
        </w:rPr>
        <w:t xml:space="preserve"> </w:t>
      </w:r>
      <w:r>
        <w:rPr>
          <w:spacing w:val="5"/>
        </w:rPr>
        <w:t>公</w:t>
      </w:r>
      <w:r>
        <w:rPr>
          <w:spacing w:val="4"/>
        </w:rPr>
        <w:t>司实控人为上海均瑶集团，均瑶集团</w:t>
      </w:r>
      <w:r>
        <w:t xml:space="preserve"> </w:t>
      </w:r>
      <w:r>
        <w:rPr>
          <w:spacing w:val="10"/>
        </w:rPr>
        <w:t>以实业投资为主，现已形成航空运输、金融服务、现代消费、教育</w:t>
      </w:r>
      <w:r>
        <w:rPr>
          <w:spacing w:val="9"/>
        </w:rPr>
        <w:t>服务、科技创新五大业</w:t>
      </w:r>
      <w:r>
        <w:t xml:space="preserve"> </w:t>
      </w:r>
      <w:r>
        <w:rPr>
          <w:spacing w:val="6"/>
        </w:rPr>
        <w:t>务板块，</w:t>
      </w:r>
      <w:r>
        <w:rPr>
          <w:spacing w:val="61"/>
        </w:rPr>
        <w:t xml:space="preserve"> </w:t>
      </w:r>
      <w:r>
        <w:rPr>
          <w:spacing w:val="6"/>
        </w:rPr>
        <w:t>具有丰富的产业投资及投后管理体系，可全方位赋能大东</w:t>
      </w:r>
      <w:r>
        <w:rPr>
          <w:spacing w:val="5"/>
        </w:rPr>
        <w:t>方业务拓展。公司第一</w:t>
      </w:r>
      <w:r>
        <w:t xml:space="preserve"> </w:t>
      </w:r>
      <w:r>
        <w:rPr>
          <w:spacing w:val="6"/>
        </w:rPr>
        <w:t>大股东为江苏无锡商业大厦集团有限公司，</w:t>
      </w:r>
      <w:r>
        <w:rPr>
          <w:spacing w:val="6"/>
        </w:rPr>
        <w:t xml:space="preserve"> </w:t>
      </w:r>
      <w:r>
        <w:rPr>
          <w:spacing w:val="6"/>
        </w:rPr>
        <w:t>持股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44</w:t>
      </w:r>
      <w:r>
        <w:rPr>
          <w:rFonts w:ascii="Times New Roman" w:eastAsia="Times New Roman" w:hAnsi="Times New Roman" w:cs="Times New Roman"/>
          <w:spacing w:val="5"/>
        </w:rPr>
        <w:t>.71%</w:t>
      </w:r>
      <w:r>
        <w:rPr>
          <w:spacing w:val="5"/>
        </w:rPr>
        <w:t>，下设数个子公司分别经营百货、</w:t>
      </w:r>
      <w:r>
        <w:t xml:space="preserve"> </w:t>
      </w:r>
      <w:r>
        <w:rPr>
          <w:spacing w:val="8"/>
        </w:rPr>
        <w:t>食品、医疗等业务，各主体分工明确，整体股权结构稳定清晰。</w:t>
      </w:r>
    </w:p>
    <w:p>
      <w:pPr>
        <w:pStyle w:val="BodyText"/>
        <w:spacing w:before="206" w:line="217" w:lineRule="auto"/>
        <w:ind w:left="25"/>
        <w:rPr>
          <w:sz w:val="18"/>
          <w:szCs w:val="18"/>
        </w:rPr>
      </w:pPr>
      <w:r>
        <w:rPr>
          <w:color w:val="B70004"/>
          <w:spacing w:val="-5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5"/>
          <w:sz w:val="18"/>
          <w:szCs w:val="18"/>
        </w:rPr>
        <w:t>3</w:t>
      </w:r>
      <w:r>
        <w:rPr>
          <w:color w:val="B70004"/>
          <w:spacing w:val="-5"/>
          <w:sz w:val="18"/>
          <w:szCs w:val="18"/>
        </w:rPr>
        <w:t>：</w:t>
      </w:r>
      <w:r>
        <w:rPr>
          <w:color w:val="B70004"/>
          <w:spacing w:val="-5"/>
          <w:sz w:val="18"/>
          <w:szCs w:val="18"/>
        </w:rPr>
        <w:t xml:space="preserve"> </w:t>
      </w:r>
      <w:r>
        <w:rPr>
          <w:color w:val="B70004"/>
          <w:spacing w:val="-5"/>
          <w:sz w:val="18"/>
          <w:szCs w:val="18"/>
        </w:rPr>
        <w:t>均瑶集团五大业务板块</w:t>
      </w:r>
    </w:p>
    <w:p>
      <w:pPr>
        <w:spacing w:before="48" w:line="2780" w:lineRule="exact"/>
      </w:pPr>
      <w:r>
        <w:rPr>
          <w:position w:val="-55"/>
        </w:rPr>
        <w:pict>
          <v:group id="_x0000_i1099" style="width:523.45pt;height:139pt;mso-position-horizontal-relative:char;mso-position-vertical-relative:line" coordorigin="0,0" coordsize="10469,2780" filled="f" stroked="f">
            <v:rect id="_x0000_s1100" style="width:10469;height:10;position:absolute;top:2770" filled="t" fillcolor="#c00000" stroked="f"/>
            <v:rect id="_x0000_s1101" style="width:10469;height:10;position:absolute" filled="t" fillcolor="#c00000" stroked="f"/>
            <w10:wrap type="none"/>
          </v:group>
        </w:pict>
      </w:r>
    </w:p>
    <w:p>
      <w:pPr>
        <w:pStyle w:val="BodyText"/>
        <w:spacing w:before="90" w:line="213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资料来源：均瑶集团官网，浙商证券研究所</w:t>
      </w:r>
    </w:p>
    <w:p>
      <w:pPr>
        <w:spacing w:line="213" w:lineRule="auto"/>
        <w:rPr>
          <w:sz w:val="16"/>
          <w:szCs w:val="16"/>
        </w:rPr>
        <w:sectPr>
          <w:headerReference w:type="default" r:id="rId37"/>
          <w:footerReference w:type="default" r:id="rId38"/>
          <w:pgSz w:w="11907" w:h="16839"/>
          <w:pgMar w:top="1264" w:right="713" w:bottom="1027" w:left="720" w:header="788" w:footer="796" w:gutter="0"/>
          <w:pgNumType w:start="13"/>
          <w:cols w:space="708"/>
        </w:sectPr>
      </w:pPr>
    </w:p>
    <w:p>
      <w:pPr>
        <w:pStyle w:val="BodyText"/>
        <w:spacing w:before="191" w:line="215" w:lineRule="auto"/>
        <w:ind w:left="2576"/>
        <w:rPr>
          <w:sz w:val="18"/>
          <w:szCs w:val="18"/>
        </w:rPr>
      </w:pPr>
      <w:r>
        <w:drawing>
          <wp:anchor distT="0" distB="0" distL="0" distR="0" simplePos="0" relativeHeight="251687936" behindDoc="1" locked="0" layoutInCell="0" allowOverlap="1">
            <wp:simplePos x="0" y="0"/>
            <wp:positionH relativeFrom="page">
              <wp:posOffset>2077720</wp:posOffset>
            </wp:positionH>
            <wp:positionV relativeFrom="page">
              <wp:posOffset>1243787</wp:posOffset>
            </wp:positionV>
            <wp:extent cx="4962348" cy="1859381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4962348" cy="18593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6" w:name="bookmark73"/>
      <w:bookmarkEnd w:id="6"/>
      <w:bookmarkStart w:id="7" w:name="bookmark23"/>
      <w:bookmarkEnd w:id="7"/>
      <w:bookmarkStart w:id="8" w:name="bookmark4"/>
      <w:bookmarkEnd w:id="8"/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4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3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大东方股权结构（截至</w:t>
      </w:r>
      <w:r>
        <w:rPr>
          <w:color w:val="B70004"/>
          <w:spacing w:val="-37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2024.1.31</w:t>
      </w:r>
      <w:r>
        <w:rPr>
          <w:color w:val="B70004"/>
          <w:spacing w:val="-3"/>
          <w:sz w:val="18"/>
          <w:szCs w:val="18"/>
        </w:rPr>
        <w:t>）</w:t>
      </w:r>
    </w:p>
    <w:p>
      <w:pPr>
        <w:spacing w:before="53" w:line="3410" w:lineRule="exact"/>
        <w:ind w:firstLine="2551"/>
      </w:pPr>
      <w:r>
        <w:rPr>
          <w:position w:val="-68"/>
        </w:rPr>
        <w:pict>
          <v:group id="_x0000_i1102" style="width:395.85pt;height:170.55pt;mso-position-horizontal-relative:char;mso-position-vertical-relative:line" coordorigin="0,0" coordsize="7917,3411" filled="f" stroked="f">
            <v:rect id="_x0000_s1103" style="width:7917;height:10;position:absolute" filled="t" fillcolor="#b70004" stroked="f"/>
            <v:rect id="_x0000_s1104" style="width:7917;height:10;position:absolute;top:3400" filled="t" fillcolor="#b70004" stroked="f"/>
            <w10:wrap type="none"/>
          </v:group>
        </w:pict>
      </w:r>
    </w:p>
    <w:p>
      <w:pPr>
        <w:pStyle w:val="BodyText"/>
        <w:spacing w:before="90" w:line="227" w:lineRule="auto"/>
        <w:ind w:left="2566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，浙商证券研究所</w:t>
      </w:r>
    </w:p>
    <w:p>
      <w:pPr>
        <w:pStyle w:val="BodyText"/>
        <w:spacing w:before="140" w:line="296" w:lineRule="auto"/>
        <w:ind w:left="2553" w:right="172" w:firstLine="417"/>
        <w:jc w:val="both"/>
      </w:pP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均瑶系高管挂帅，</w:t>
      </w:r>
      <w:r>
        <w:rPr>
          <w:color w:val="C00000"/>
          <w:spacing w:val="5"/>
        </w:rPr>
        <w:t xml:space="preserve"> </w:t>
      </w: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医疗核心团队经验丰富。</w:t>
      </w:r>
      <w:r>
        <w:rPr>
          <w:spacing w:val="5"/>
        </w:rPr>
        <w:t>公</w:t>
      </w:r>
      <w:r>
        <w:rPr>
          <w:spacing w:val="4"/>
        </w:rPr>
        <w:t>司主要管理层多在均瑶系任职多年，</w:t>
      </w:r>
      <w:r>
        <w:rPr>
          <w:spacing w:val="4"/>
        </w:rPr>
        <w:t xml:space="preserve"> </w:t>
      </w:r>
      <w:r>
        <w:rPr>
          <w:spacing w:val="4"/>
        </w:rPr>
        <w:t>其</w:t>
      </w:r>
      <w:r>
        <w:t xml:space="preserve"> </w:t>
      </w:r>
      <w:r>
        <w:rPr>
          <w:spacing w:val="10"/>
        </w:rPr>
        <w:t>中董事长林乃机为现任均瑶集团副总裁，曾历集团航空服务公司总经理</w:t>
      </w:r>
      <w:r>
        <w:rPr>
          <w:spacing w:val="9"/>
        </w:rPr>
        <w:t>、均瑶集团董事会</w:t>
      </w:r>
      <w:r>
        <w:t xml:space="preserve"> </w:t>
      </w:r>
      <w:r>
        <w:rPr>
          <w:spacing w:val="10"/>
        </w:rPr>
        <w:t>秘书等职，具有多年产业投资运营及行政管理经验；公司董事兼均瑶医</w:t>
      </w:r>
      <w:r>
        <w:rPr>
          <w:spacing w:val="9"/>
        </w:rPr>
        <w:t>疗董事长吴志军深</w:t>
      </w:r>
      <w:r>
        <w:t xml:space="preserve"> </w:t>
      </w:r>
      <w:r>
        <w:rPr>
          <w:spacing w:val="6"/>
        </w:rPr>
        <w:t>耕医疗健康行业近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 </w:t>
      </w:r>
      <w:r>
        <w:rPr>
          <w:spacing w:val="6"/>
        </w:rPr>
        <w:t>年，曾担任远东宏信副总裁及医院集团董事长，</w:t>
      </w:r>
      <w:r>
        <w:rPr>
          <w:spacing w:val="6"/>
        </w:rPr>
        <w:t xml:space="preserve"> </w:t>
      </w:r>
      <w:r>
        <w:rPr>
          <w:spacing w:val="6"/>
        </w:rPr>
        <w:t>主导投资并购近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70  </w:t>
      </w:r>
      <w:r>
        <w:rPr>
          <w:spacing w:val="7"/>
        </w:rPr>
        <w:t>家医疗机构，构建了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2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7"/>
        </w:rPr>
        <w:t>万张床位数规模的医院集团</w:t>
      </w:r>
      <w:r>
        <w:rPr>
          <w:spacing w:val="6"/>
        </w:rPr>
        <w:t>，打造社会资本办医第一梯队，</w:t>
      </w:r>
      <w:r>
        <w:rPr>
          <w:spacing w:val="6"/>
        </w:rPr>
        <w:t xml:space="preserve"> </w:t>
      </w:r>
      <w:r>
        <w:rPr>
          <w:spacing w:val="6"/>
        </w:rPr>
        <w:t>可有效</w:t>
      </w:r>
      <w:r>
        <w:t xml:space="preserve"> </w:t>
      </w:r>
      <w:r>
        <w:rPr>
          <w:spacing w:val="8"/>
        </w:rPr>
        <w:t>赋能公司医疗健康产业布局，为企业转型期发展保驾护航。</w:t>
      </w:r>
    </w:p>
    <w:p>
      <w:pPr>
        <w:pStyle w:val="BodyText"/>
        <w:spacing w:before="197" w:line="215" w:lineRule="auto"/>
        <w:ind w:left="2554"/>
        <w:rPr>
          <w:sz w:val="18"/>
          <w:szCs w:val="18"/>
        </w:rPr>
      </w:pPr>
      <w:r>
        <w:rPr>
          <w:color w:val="C00000"/>
          <w:spacing w:val="-2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2"/>
          <w:sz w:val="18"/>
          <w:szCs w:val="18"/>
        </w:rPr>
        <w:t>1</w:t>
      </w:r>
      <w:r>
        <w:rPr>
          <w:color w:val="C00000"/>
          <w:spacing w:val="-2"/>
          <w:sz w:val="18"/>
          <w:szCs w:val="18"/>
        </w:rPr>
        <w:t>：</w:t>
      </w:r>
      <w:r>
        <w:rPr>
          <w:color w:val="C00000"/>
          <w:spacing w:val="-21"/>
          <w:sz w:val="18"/>
          <w:szCs w:val="18"/>
        </w:rPr>
        <w:t xml:space="preserve"> </w:t>
      </w:r>
      <w:r>
        <w:rPr>
          <w:color w:val="B70004"/>
          <w:spacing w:val="-2"/>
          <w:sz w:val="18"/>
          <w:szCs w:val="18"/>
        </w:rPr>
        <w:t>公司核心管理层履历</w:t>
      </w:r>
    </w:p>
    <w:p>
      <w:pPr>
        <w:spacing w:line="46" w:lineRule="exact"/>
      </w:pPr>
    </w:p>
    <w:tbl>
      <w:tblPr>
        <w:tblStyle w:val="TableNormal3"/>
        <w:tblW w:w="7989" w:type="dxa"/>
        <w:tblInd w:w="2551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44"/>
        <w:gridCol w:w="1877"/>
        <w:gridCol w:w="5468"/>
      </w:tblGrid>
      <w:tr>
        <w:tblPrEx>
          <w:tblW w:w="7989" w:type="dxa"/>
          <w:tblInd w:w="2551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3"/>
        </w:trPr>
        <w:tc>
          <w:tcPr>
            <w:tcW w:w="644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1" w:line="229" w:lineRule="auto"/>
              <w:ind w:left="11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姓名</w:t>
            </w:r>
          </w:p>
        </w:tc>
        <w:tc>
          <w:tcPr>
            <w:tcW w:w="1877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0" w:line="227" w:lineRule="auto"/>
              <w:ind w:left="73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2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职位</w:t>
            </w:r>
          </w:p>
        </w:tc>
        <w:tc>
          <w:tcPr>
            <w:tcW w:w="5468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0" w:line="220" w:lineRule="auto"/>
              <w:ind w:left="2526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1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履历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414"/>
        </w:trPr>
        <w:tc>
          <w:tcPr>
            <w:tcW w:w="644" w:type="dxa"/>
            <w:tcBorders>
              <w:top w:val="single" w:sz="2" w:space="0" w:color="B70004"/>
            </w:tcBorders>
            <w:vAlign w:val="top"/>
          </w:tcPr>
          <w:p>
            <w:pPr>
              <w:spacing w:before="126" w:line="220" w:lineRule="auto"/>
              <w:ind w:left="8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林乃机</w:t>
            </w:r>
          </w:p>
        </w:tc>
        <w:tc>
          <w:tcPr>
            <w:tcW w:w="1877" w:type="dxa"/>
            <w:tcBorders>
              <w:top w:val="single" w:sz="2" w:space="0" w:color="B70004"/>
            </w:tcBorders>
            <w:vAlign w:val="top"/>
          </w:tcPr>
          <w:p>
            <w:pPr>
              <w:spacing w:before="125" w:line="218" w:lineRule="auto"/>
              <w:ind w:left="4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董事长、董事</w:t>
            </w:r>
          </w:p>
        </w:tc>
        <w:tc>
          <w:tcPr>
            <w:tcW w:w="5468" w:type="dxa"/>
            <w:tcBorders>
              <w:top w:val="single" w:sz="2" w:space="0" w:color="B70004"/>
            </w:tcBorders>
            <w:vAlign w:val="top"/>
          </w:tcPr>
          <w:p>
            <w:pPr>
              <w:spacing w:before="22" w:line="220" w:lineRule="auto"/>
              <w:ind w:right="1" w:firstLine="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历任温州天龙包机实业有限公司历任市场部经理、总</w:t>
            </w:r>
            <w:r>
              <w:rPr>
                <w:rFonts w:ascii="KaiTi" w:eastAsia="KaiTi" w:hAnsi="KaiTi" w:cs="KaiTi"/>
                <w:sz w:val="16"/>
                <w:szCs w:val="16"/>
              </w:rPr>
              <w:t>经理助理，均摇集团航空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服务有限公司营销部经理、总经理，现任上海均摇(集团)有限公司副总裁。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624"/>
        </w:trPr>
        <w:tc>
          <w:tcPr>
            <w:tcW w:w="644" w:type="dxa"/>
            <w:shd w:val="clear" w:color="auto" w:fill="F2F2F2"/>
            <w:vAlign w:val="top"/>
          </w:tcPr>
          <w:p>
            <w:pPr>
              <w:spacing w:before="233" w:line="216" w:lineRule="auto"/>
              <w:ind w:left="8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席国良</w:t>
            </w:r>
          </w:p>
        </w:tc>
        <w:tc>
          <w:tcPr>
            <w:tcW w:w="1877" w:type="dxa"/>
            <w:shd w:val="clear" w:color="auto" w:fill="F2F2F2"/>
            <w:vAlign w:val="top"/>
          </w:tcPr>
          <w:p>
            <w:pPr>
              <w:spacing w:before="232" w:line="218" w:lineRule="auto"/>
              <w:ind w:left="4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董事、总经理</w:t>
            </w:r>
          </w:p>
        </w:tc>
        <w:tc>
          <w:tcPr>
            <w:tcW w:w="5468" w:type="dxa"/>
            <w:shd w:val="clear" w:color="auto" w:fill="F2F2F2"/>
            <w:vAlign w:val="top"/>
          </w:tcPr>
          <w:p>
            <w:pPr>
              <w:spacing w:before="23" w:line="227" w:lineRule="auto"/>
              <w:ind w:left="4" w:firstLine="15"/>
              <w:jc w:val="both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曾任无锡市贸易局财务科副科长、无锡交电站副总经理、江苏无锡商业大厦集</w:t>
            </w:r>
            <w:r>
              <w:rPr>
                <w:rFonts w:ascii="KaiTi" w:eastAsia="KaiTi" w:hAnsi="KaiTi" w:cs="KaiTi"/>
                <w:spacing w:val="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团有限公司副总经理；历任无锡商业大厦大东方</w:t>
            </w:r>
            <w:r>
              <w:rPr>
                <w:rFonts w:ascii="KaiTi" w:eastAsia="KaiTi" w:hAnsi="KaiTi" w:cs="KaiTi"/>
                <w:sz w:val="16"/>
                <w:szCs w:val="16"/>
              </w:rPr>
              <w:t>股份有限公司第一届至第七届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董事会董事及公司总经理。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621"/>
        </w:trPr>
        <w:tc>
          <w:tcPr>
            <w:tcW w:w="644" w:type="dxa"/>
            <w:vAlign w:val="top"/>
          </w:tcPr>
          <w:p>
            <w:pPr>
              <w:spacing w:before="231" w:line="218" w:lineRule="auto"/>
              <w:ind w:left="16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倪军</w:t>
            </w:r>
          </w:p>
        </w:tc>
        <w:tc>
          <w:tcPr>
            <w:tcW w:w="1877" w:type="dxa"/>
            <w:vAlign w:val="top"/>
          </w:tcPr>
          <w:p>
            <w:pPr>
              <w:spacing w:before="230" w:line="218" w:lineRule="auto"/>
              <w:ind w:left="78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董事</w:t>
            </w:r>
          </w:p>
        </w:tc>
        <w:tc>
          <w:tcPr>
            <w:tcW w:w="5468" w:type="dxa"/>
            <w:vAlign w:val="top"/>
          </w:tcPr>
          <w:p>
            <w:pPr>
              <w:spacing w:before="23" w:line="226" w:lineRule="auto"/>
              <w:ind w:left="11" w:right="1" w:hanging="10"/>
              <w:jc w:val="both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历任无锡商业大厦集团二百商厦总经理、无锡商业大厦</w:t>
            </w:r>
            <w:r>
              <w:rPr>
                <w:rFonts w:ascii="KaiTi" w:eastAsia="KaiTi" w:hAnsi="KaiTi" w:cs="KaiTi"/>
                <w:sz w:val="16"/>
                <w:szCs w:val="16"/>
              </w:rPr>
              <w:t>集团总经理助理、无锡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5"/>
                <w:sz w:val="16"/>
                <w:szCs w:val="16"/>
              </w:rPr>
              <w:t>商业大厦大东方股份副总经理、汽车事业部总经理、东方汽车有限公司董事</w:t>
            </w:r>
            <w:r>
              <w:rPr>
                <w:rFonts w:ascii="KaiTi" w:eastAsia="KaiTi" w:hAnsi="KaiTi" w:cs="KaiTi"/>
                <w:spacing w:val="5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长,总经理等职;现任江苏无锡商业大厦集团有限公司党委书记。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414"/>
        </w:trPr>
        <w:tc>
          <w:tcPr>
            <w:tcW w:w="644" w:type="dxa"/>
            <w:shd w:val="clear" w:color="auto" w:fill="F2F2F2"/>
            <w:vAlign w:val="top"/>
          </w:tcPr>
          <w:p>
            <w:pPr>
              <w:spacing w:before="128" w:line="217" w:lineRule="auto"/>
              <w:ind w:left="16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邵琼</w:t>
            </w:r>
          </w:p>
        </w:tc>
        <w:tc>
          <w:tcPr>
            <w:tcW w:w="1877" w:type="dxa"/>
            <w:shd w:val="clear" w:color="auto" w:fill="F2F2F2"/>
            <w:vAlign w:val="top"/>
          </w:tcPr>
          <w:p>
            <w:pPr>
              <w:spacing w:before="127" w:line="218" w:lineRule="auto"/>
              <w:ind w:left="78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董事</w:t>
            </w:r>
          </w:p>
        </w:tc>
        <w:tc>
          <w:tcPr>
            <w:tcW w:w="5468" w:type="dxa"/>
            <w:shd w:val="clear" w:color="auto" w:fill="F2F2F2"/>
            <w:vAlign w:val="top"/>
          </w:tcPr>
          <w:p>
            <w:pPr>
              <w:spacing w:before="24" w:line="219" w:lineRule="auto"/>
              <w:ind w:left="6" w:right="3" w:firstLine="1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5"/>
                <w:sz w:val="16"/>
                <w:szCs w:val="16"/>
              </w:rPr>
              <w:t>曾任上海均摇（集团）有限公司人力资源部高级经理、总经理助理、</w:t>
            </w:r>
            <w:r>
              <w:rPr>
                <w:rFonts w:ascii="KaiTi" w:eastAsia="KaiTi" w:hAnsi="KaiTi" w:cs="KaiTi"/>
                <w:spacing w:val="4"/>
                <w:sz w:val="16"/>
                <w:szCs w:val="16"/>
              </w:rPr>
              <w:t>副总经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理；任上海均摇(集团)有限公司人力资源部总经理兼行政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企管部总经理。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621"/>
        </w:trPr>
        <w:tc>
          <w:tcPr>
            <w:tcW w:w="644" w:type="dxa"/>
            <w:vAlign w:val="top"/>
          </w:tcPr>
          <w:p>
            <w:pPr>
              <w:spacing w:before="232" w:line="218" w:lineRule="auto"/>
              <w:ind w:left="9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吴志军</w:t>
            </w:r>
          </w:p>
        </w:tc>
        <w:tc>
          <w:tcPr>
            <w:tcW w:w="1877" w:type="dxa"/>
            <w:vAlign w:val="top"/>
          </w:tcPr>
          <w:p>
            <w:pPr>
              <w:spacing w:before="232" w:line="218" w:lineRule="auto"/>
              <w:ind w:left="78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董事</w:t>
            </w:r>
          </w:p>
        </w:tc>
        <w:tc>
          <w:tcPr>
            <w:tcW w:w="5468" w:type="dxa"/>
            <w:vAlign w:val="top"/>
          </w:tcPr>
          <w:p>
            <w:pPr>
              <w:spacing w:before="25" w:line="225" w:lineRule="auto"/>
              <w:ind w:left="6" w:right="1" w:firstLine="18"/>
              <w:jc w:val="both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</w:rPr>
              <w:t>中国卫生法学会副会长，中国医师协会非公立医疗卫生机构医师工作委员会副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>主任委员兼秘书长。上海均摇医疗健康科技董事长，深耕医疗健康</w:t>
            </w: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行业近</w:t>
            </w: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20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年，曾任远东宏信担任副总裁、远东宏信医院集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团董事长。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415"/>
        </w:trPr>
        <w:tc>
          <w:tcPr>
            <w:tcW w:w="644" w:type="dxa"/>
            <w:shd w:val="clear" w:color="auto" w:fill="F2F2F2"/>
            <w:vAlign w:val="top"/>
          </w:tcPr>
          <w:p>
            <w:pPr>
              <w:spacing w:before="129" w:line="217" w:lineRule="auto"/>
              <w:ind w:left="9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朱晓明</w:t>
            </w:r>
          </w:p>
        </w:tc>
        <w:tc>
          <w:tcPr>
            <w:tcW w:w="1877" w:type="dxa"/>
            <w:shd w:val="clear" w:color="auto" w:fill="F2F2F2"/>
            <w:vAlign w:val="top"/>
          </w:tcPr>
          <w:p>
            <w:pPr>
              <w:spacing w:before="129" w:line="218" w:lineRule="auto"/>
              <w:ind w:left="78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董事</w:t>
            </w:r>
          </w:p>
        </w:tc>
        <w:tc>
          <w:tcPr>
            <w:tcW w:w="5468" w:type="dxa"/>
            <w:shd w:val="clear" w:color="auto" w:fill="F2F2F2"/>
            <w:vAlign w:val="top"/>
          </w:tcPr>
          <w:p>
            <w:pPr>
              <w:spacing w:before="27" w:line="218" w:lineRule="auto"/>
              <w:ind w:left="9" w:firstLine="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2"/>
                <w:sz w:val="16"/>
                <w:szCs w:val="16"/>
              </w:rPr>
              <w:t>高级会计师，历任均摇集团天龙航空服务有限公司会计主管、财务经理,上海</w:t>
            </w:r>
            <w:r>
              <w:rPr>
                <w:rFonts w:ascii="KaiTi" w:eastAsia="KaiTi" w:hAnsi="KaiTi" w:cs="KaiTi"/>
                <w:spacing w:val="18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均摇(集团)有限公司财务总监助理、财务部总经理等职。</w:t>
            </w:r>
          </w:p>
        </w:tc>
      </w:tr>
      <w:tr>
        <w:tblPrEx>
          <w:tblW w:w="7989" w:type="dxa"/>
          <w:tblInd w:w="2551" w:type="dxa"/>
          <w:tblLayout w:type="fixed"/>
        </w:tblPrEx>
        <w:trPr>
          <w:trHeight w:val="424"/>
        </w:trPr>
        <w:tc>
          <w:tcPr>
            <w:tcW w:w="644" w:type="dxa"/>
            <w:tcBorders>
              <w:bottom w:val="single" w:sz="2" w:space="0" w:color="C00000"/>
            </w:tcBorders>
            <w:vAlign w:val="top"/>
          </w:tcPr>
          <w:p>
            <w:pPr>
              <w:spacing w:before="130" w:line="221" w:lineRule="auto"/>
              <w:ind w:left="17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陈辉</w:t>
            </w:r>
          </w:p>
        </w:tc>
        <w:tc>
          <w:tcPr>
            <w:tcW w:w="1877" w:type="dxa"/>
            <w:tcBorders>
              <w:bottom w:val="single" w:sz="2" w:space="0" w:color="C00000"/>
            </w:tcBorders>
            <w:vAlign w:val="top"/>
          </w:tcPr>
          <w:p>
            <w:pPr>
              <w:spacing w:before="129" w:line="218" w:lineRule="auto"/>
              <w:ind w:left="54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董事会秘书</w:t>
            </w:r>
          </w:p>
        </w:tc>
        <w:tc>
          <w:tcPr>
            <w:tcW w:w="5468" w:type="dxa"/>
            <w:tcBorders>
              <w:bottom w:val="single" w:sz="2" w:space="0" w:color="C00000"/>
            </w:tcBorders>
            <w:vAlign w:val="top"/>
          </w:tcPr>
          <w:p>
            <w:pPr>
              <w:spacing w:before="27" w:line="223" w:lineRule="auto"/>
              <w:ind w:left="10" w:hanging="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历任大东方第一至第三届证券事务代表、第四届至第八</w:t>
            </w:r>
            <w:r>
              <w:rPr>
                <w:rFonts w:ascii="KaiTi" w:eastAsia="KaiTi" w:hAnsi="KaiTi" w:cs="KaiTi"/>
                <w:sz w:val="16"/>
                <w:szCs w:val="16"/>
              </w:rPr>
              <w:t>届董事会秘书，兼任董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事会办公室主任。</w:t>
            </w:r>
          </w:p>
        </w:tc>
      </w:tr>
    </w:tbl>
    <w:p>
      <w:pPr>
        <w:pStyle w:val="BodyText"/>
        <w:spacing w:before="83" w:line="213" w:lineRule="auto"/>
        <w:ind w:left="2566"/>
        <w:rPr>
          <w:sz w:val="16"/>
          <w:szCs w:val="16"/>
        </w:rPr>
      </w:pPr>
      <w:r>
        <w:rPr>
          <w:spacing w:val="-7"/>
          <w:sz w:val="16"/>
          <w:szCs w:val="16"/>
        </w:rPr>
        <w:t>资料来源：公司公告，</w:t>
      </w:r>
      <w:r>
        <w:rPr>
          <w:spacing w:val="25"/>
          <w:sz w:val="16"/>
          <w:szCs w:val="16"/>
        </w:rPr>
        <w:t xml:space="preserve"> </w:t>
      </w:r>
      <w:r>
        <w:rPr>
          <w:spacing w:val="-7"/>
          <w:sz w:val="16"/>
          <w:szCs w:val="16"/>
        </w:rPr>
        <w:t>浙商证券研究所</w:t>
      </w:r>
    </w:p>
    <w:p>
      <w:pPr>
        <w:pStyle w:val="BodyText"/>
        <w:spacing w:before="95" w:line="212" w:lineRule="auto"/>
        <w:ind w:left="2533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B70004"/>
          <w:spacing w:val="-1"/>
          <w:sz w:val="24"/>
          <w:szCs w:val="24"/>
        </w:rPr>
        <w:t>1.3</w:t>
      </w:r>
      <w:r>
        <w:rPr>
          <w:rFonts w:ascii="Times New Roman" w:eastAsia="Times New Roman" w:hAnsi="Times New Roman" w:cs="Times New Roman"/>
          <w:b/>
          <w:bCs/>
          <w:color w:val="B70004"/>
          <w:spacing w:val="30"/>
          <w:w w:val="101"/>
          <w:sz w:val="24"/>
          <w:szCs w:val="24"/>
        </w:rPr>
        <w:t xml:space="preserve"> </w:t>
      </w:r>
      <w:r>
        <w:rPr>
          <w:color w:val="B70004"/>
          <w:spacing w:val="-1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转型期表观业绩波动，医疗板块将成新增长极</w:t>
      </w:r>
    </w:p>
    <w:p>
      <w:pPr>
        <w:pStyle w:val="BodyText"/>
        <w:spacing w:before="205" w:line="293" w:lineRule="auto"/>
        <w:ind w:left="2553" w:right="96" w:firstLine="431"/>
        <w:sectPr>
          <w:headerReference w:type="default" r:id="rId40"/>
          <w:footerReference w:type="default" r:id="rId41"/>
          <w:pgSz w:w="11907" w:h="16839"/>
          <w:pgMar w:top="1264" w:right="645" w:bottom="1027" w:left="720" w:header="788" w:footer="796" w:gutter="0"/>
          <w:pgNumType w:start="14"/>
          <w:cols w:space="708"/>
        </w:sectPr>
      </w:pPr>
      <w:r>
        <w:rPr>
          <w:color w:val="C00000"/>
          <w:spacing w:val="9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医疗健康增长强劲，业绩环比改善可期。</w:t>
      </w:r>
      <w:r>
        <w:rPr>
          <w:spacing w:val="9"/>
        </w:rPr>
        <w:t>近年来受业务调整影响，公司整体业绩波动</w:t>
      </w:r>
      <w:r>
        <w:rPr>
          <w:spacing w:val="9"/>
        </w:rPr>
        <w:t xml:space="preserve"> </w:t>
      </w:r>
      <w:r>
        <w:rPr>
          <w:spacing w:val="4"/>
        </w:rPr>
        <w:t>较大。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2022 </w:t>
      </w:r>
      <w:r>
        <w:rPr>
          <w:spacing w:val="4"/>
        </w:rPr>
        <w:t>年实现营收</w:t>
      </w:r>
      <w:r>
        <w:rPr>
          <w:rFonts w:ascii="Times New Roman" w:eastAsia="Times New Roman" w:hAnsi="Times New Roman" w:cs="Times New Roman"/>
          <w:spacing w:val="4"/>
        </w:rPr>
        <w:t>/</w:t>
      </w:r>
      <w:r>
        <w:rPr>
          <w:spacing w:val="4"/>
        </w:rPr>
        <w:t>归母净利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31.</w:t>
      </w:r>
      <w:r>
        <w:rPr>
          <w:rFonts w:ascii="Times New Roman" w:eastAsia="Times New Roman" w:hAnsi="Times New Roman" w:cs="Times New Roman"/>
          <w:spacing w:val="3"/>
        </w:rPr>
        <w:t xml:space="preserve">3/1.7 </w:t>
      </w:r>
      <w:r>
        <w:rPr>
          <w:spacing w:val="3"/>
        </w:rPr>
        <w:t>亿元，分别同比下降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55%/73%</w:t>
      </w:r>
      <w:r>
        <w:rPr>
          <w:spacing w:val="3"/>
        </w:rPr>
        <w:t>，主要系：</w:t>
      </w:r>
      <w:r>
        <w:rPr>
          <w:spacing w:val="-49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1</w:t>
      </w:r>
      <w:r>
        <w:rPr>
          <w:spacing w:val="3"/>
        </w:rPr>
        <w:t>）</w:t>
      </w:r>
      <w:r>
        <w:rPr>
          <w:rFonts w:ascii="Times New Roman" w:eastAsia="Times New Roman" w:hAnsi="Times New Roman" w:cs="Times New Roman"/>
          <w:spacing w:val="3"/>
        </w:rPr>
        <w:t xml:space="preserve">21   </w:t>
      </w:r>
      <w:r>
        <w:rPr>
          <w:spacing w:val="6"/>
        </w:rPr>
        <w:t>年剥离汽车业务，该板块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 </w:t>
      </w:r>
      <w:r>
        <w:rPr>
          <w:spacing w:val="6"/>
        </w:rPr>
        <w:t>年贡献营收占比达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80%</w:t>
      </w:r>
      <w:r>
        <w:rPr>
          <w:spacing w:val="6"/>
        </w:rPr>
        <w:t>以上；</w:t>
      </w:r>
      <w:r>
        <w:rPr>
          <w:spacing w:val="4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</w:t>
      </w:r>
      <w:r>
        <w:rPr>
          <w:spacing w:val="6"/>
        </w:rPr>
        <w:t>）百货零售和食品业务受外部</w:t>
      </w:r>
      <w:r>
        <w:t xml:space="preserve"> </w:t>
      </w:r>
    </w:p>
    <w:p>
      <w:pPr>
        <w:pStyle w:val="BodyText"/>
        <w:spacing w:before="205" w:line="293" w:lineRule="auto"/>
        <w:ind w:left="2553" w:right="96" w:firstLine="431"/>
      </w:pPr>
      <w:r>
        <w:rPr>
          <w:spacing w:val="6"/>
        </w:rPr>
        <w:t>冲击客流减少业绩有所承压，</w:t>
      </w:r>
      <w:r>
        <w:rPr>
          <w:rFonts w:ascii="Times New Roman" w:eastAsia="Times New Roman" w:hAnsi="Times New Roman" w:cs="Times New Roman"/>
          <w:spacing w:val="6"/>
        </w:rPr>
        <w:t xml:space="preserve">22 </w:t>
      </w:r>
      <w:r>
        <w:rPr>
          <w:spacing w:val="6"/>
        </w:rPr>
        <w:t>年营收分别为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6.5/1.7 </w:t>
      </w:r>
      <w:r>
        <w:rPr>
          <w:spacing w:val="6"/>
        </w:rPr>
        <w:t>亿元，同比</w:t>
      </w:r>
      <w:r>
        <w:rPr>
          <w:rFonts w:ascii="Times New Roman" w:eastAsia="Times New Roman" w:hAnsi="Times New Roman" w:cs="Times New Roman"/>
          <w:spacing w:val="6"/>
        </w:rPr>
        <w:t>-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10%/-</w:t>
      </w:r>
      <w:r>
        <w:rPr>
          <w:rFonts w:ascii="Times New Roman" w:eastAsia="Times New Roman" w:hAnsi="Times New Roman" w:cs="Times New Roman"/>
          <w:spacing w:val="-23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</w:t>
      </w:r>
      <w:r>
        <w:rPr>
          <w:rFonts w:ascii="Times New Roman" w:eastAsia="Times New Roman" w:hAnsi="Times New Roman" w:cs="Times New Roman"/>
          <w:spacing w:val="5"/>
        </w:rPr>
        <w:t>5%</w:t>
      </w:r>
      <w:r>
        <w:rPr>
          <w:spacing w:val="5"/>
        </w:rPr>
        <w:t>。</w:t>
      </w:r>
      <w:r>
        <w:rPr>
          <w:rFonts w:ascii="Times New Roman" w:eastAsia="Times New Roman" w:hAnsi="Times New Roman" w:cs="Times New Roman"/>
          <w:spacing w:val="5"/>
        </w:rPr>
        <w:t>3</w:t>
      </w:r>
      <w:r>
        <w:rPr>
          <w:spacing w:val="5"/>
        </w:rPr>
        <w:t>）投资收益</w:t>
      </w:r>
      <w:r>
        <w:t xml:space="preserve"> </w:t>
      </w:r>
      <w:r>
        <w:rPr>
          <w:spacing w:val="8"/>
        </w:rPr>
        <w:t>下降。此外作为公司发展新引擎的医疗板块</w:t>
      </w:r>
      <w:r>
        <w:rPr>
          <w:spacing w:val="-38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2022</w:t>
      </w:r>
      <w:r>
        <w:rPr>
          <w:rFonts w:ascii="Times New Roman" w:eastAsia="Times New Roman" w:hAnsi="Times New Roman" w:cs="Times New Roman"/>
          <w:spacing w:val="7"/>
        </w:rPr>
        <w:t xml:space="preserve"> </w:t>
      </w:r>
      <w:r>
        <w:rPr>
          <w:spacing w:val="7"/>
        </w:rPr>
        <w:t>年收入为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22.4 </w:t>
      </w:r>
      <w:r>
        <w:rPr>
          <w:spacing w:val="7"/>
        </w:rPr>
        <w:t>亿元，同比</w:t>
      </w:r>
      <w:r>
        <w:rPr>
          <w:rFonts w:ascii="Times New Roman" w:eastAsia="Times New Roman" w:hAnsi="Times New Roman" w:cs="Times New Roman"/>
          <w:spacing w:val="7"/>
        </w:rPr>
        <w:t>+108%</w:t>
      </w:r>
      <w:r>
        <w:rPr>
          <w:spacing w:val="7"/>
        </w:rPr>
        <w:t>增长强</w:t>
      </w:r>
    </w:p>
    <w:p>
      <w:pPr>
        <w:pStyle w:val="BodyText"/>
        <w:spacing w:before="93" w:line="281" w:lineRule="auto"/>
        <w:ind w:left="2553" w:right="178" w:firstLine="11"/>
      </w:pPr>
      <w:r>
        <w:rPr>
          <w:spacing w:val="6"/>
        </w:rPr>
        <w:t>劲，营收占比达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72%</w:t>
      </w:r>
      <w:r>
        <w:rPr>
          <w:spacing w:val="6"/>
        </w:rPr>
        <w:t>。</w:t>
      </w:r>
      <w:r>
        <w:rPr>
          <w:rFonts w:ascii="Times New Roman" w:eastAsia="Times New Roman" w:hAnsi="Times New Roman" w:cs="Times New Roman"/>
          <w:spacing w:val="6"/>
        </w:rPr>
        <w:t xml:space="preserve">23 </w:t>
      </w:r>
      <w:r>
        <w:rPr>
          <w:spacing w:val="6"/>
        </w:rPr>
        <w:t>年前三季度公司实现营收</w:t>
      </w:r>
      <w:r>
        <w:rPr>
          <w:rFonts w:ascii="Times New Roman" w:eastAsia="Times New Roman" w:hAnsi="Times New Roman" w:cs="Times New Roman"/>
          <w:spacing w:val="6"/>
        </w:rPr>
        <w:t>/</w:t>
      </w:r>
      <w:r>
        <w:rPr>
          <w:spacing w:val="6"/>
        </w:rPr>
        <w:t>归母净利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26.8/1.3 </w:t>
      </w:r>
      <w:r>
        <w:rPr>
          <w:spacing w:val="6"/>
        </w:rPr>
        <w:t>亿元，</w:t>
      </w:r>
      <w:r>
        <w:rPr>
          <w:spacing w:val="5"/>
        </w:rPr>
        <w:t>同比</w:t>
      </w:r>
      <w:r>
        <w:rPr>
          <w:rFonts w:ascii="Times New Roman" w:eastAsia="Times New Roman" w:hAnsi="Times New Roman" w:cs="Times New Roman"/>
          <w:spacing w:val="5"/>
        </w:rPr>
        <w:t xml:space="preserve">+15%/-    </w:t>
      </w:r>
      <w:r>
        <w:rPr>
          <w:rFonts w:ascii="Times New Roman" w:eastAsia="Times New Roman" w:hAnsi="Times New Roman" w:cs="Times New Roman"/>
          <w:spacing w:val="3"/>
        </w:rPr>
        <w:t>25%</w:t>
      </w:r>
      <w:r>
        <w:rPr>
          <w:spacing w:val="3"/>
        </w:rPr>
        <w:t>，其中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Q2 </w:t>
      </w:r>
      <w:r>
        <w:rPr>
          <w:spacing w:val="3"/>
        </w:rPr>
        <w:t>单季度利润已恢复正增，</w:t>
      </w:r>
      <w:r>
        <w:rPr>
          <w:spacing w:val="3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Q3 </w:t>
      </w:r>
      <w:r>
        <w:rPr>
          <w:spacing w:val="3"/>
        </w:rPr>
        <w:t>三大主营业务（百货</w:t>
      </w:r>
      <w:r>
        <w:rPr>
          <w:rFonts w:ascii="Times New Roman" w:eastAsia="Times New Roman" w:hAnsi="Times New Roman" w:cs="Times New Roman"/>
          <w:spacing w:val="3"/>
        </w:rPr>
        <w:t>+</w:t>
      </w:r>
      <w:r>
        <w:rPr>
          <w:spacing w:val="3"/>
        </w:rPr>
        <w:t>食品</w:t>
      </w:r>
      <w:r>
        <w:rPr>
          <w:rFonts w:ascii="Times New Roman" w:eastAsia="Times New Roman" w:hAnsi="Times New Roman" w:cs="Times New Roman"/>
          <w:spacing w:val="2"/>
        </w:rPr>
        <w:t>+</w:t>
      </w:r>
      <w:r>
        <w:rPr>
          <w:spacing w:val="2"/>
        </w:rPr>
        <w:t>医疗）</w:t>
      </w:r>
      <w:r>
        <w:rPr>
          <w:spacing w:val="2"/>
        </w:rPr>
        <w:t xml:space="preserve"> </w:t>
      </w:r>
      <w:r>
        <w:rPr>
          <w:spacing w:val="2"/>
        </w:rPr>
        <w:t>净利亦同比</w:t>
      </w:r>
      <w:r>
        <w:t xml:space="preserve"> </w:t>
      </w:r>
      <w:r>
        <w:rPr>
          <w:spacing w:val="3"/>
        </w:rPr>
        <w:t>提升，整体改善趋势明显，</w:t>
      </w:r>
      <w:r>
        <w:rPr>
          <w:spacing w:val="3"/>
        </w:rPr>
        <w:t xml:space="preserve"> </w:t>
      </w:r>
      <w:r>
        <w:rPr>
          <w:spacing w:val="3"/>
        </w:rPr>
        <w:t>后续有望加速回暖。</w:t>
      </w:r>
    </w:p>
    <w:p>
      <w:pPr>
        <w:spacing w:line="281" w:lineRule="auto"/>
        <w:sectPr>
          <w:headerReference w:type="default" r:id="rId42"/>
          <w:footerReference w:type="default" r:id="rId43"/>
          <w:type w:val="nextPage"/>
          <w:pgSz w:w="11907" w:h="16839"/>
          <w:pgMar w:top="1264" w:right="645" w:bottom="1027" w:left="720" w:header="788" w:footer="796" w:gutter="0"/>
          <w:pgNumType w:start="15"/>
          <w:cols w:space="708"/>
          <w:titlePg w:val="0"/>
        </w:sectPr>
      </w:pPr>
    </w:p>
    <w:p>
      <w:pPr>
        <w:spacing w:line="153" w:lineRule="exact"/>
      </w:pPr>
      <w:r>
        <w:pict>
          <v:rect id="_x0000_s1105" style="width:254.6pt;height:0.5pt;margin-top:85.94pt;margin-left:304.85pt;mso-position-horizontal-relative:page;mso-position-vertical-relative:page;position:absolute;z-index:251691008" o:allowincell="f" filled="t" fillcolor="#c00000" stroked="f"/>
        </w:pict>
      </w:r>
      <w:r>
        <w:pict>
          <v:rect id="_x0000_s1106" style="width:254.6pt;height:0.5pt;margin-top:255.98pt;margin-left:304.85pt;mso-position-horizontal-relative:page;mso-position-vertical-relative:page;position:absolute;z-index:251692032" o:allowincell="f" filled="t" fillcolor="#c00000" stroked="f"/>
        </w:pict>
      </w:r>
      <w:r>
        <w:pict>
          <v:shape id="_x0000_s1107" style="width:254.6pt;height:0.5pt;margin-top:85.94pt;margin-left:36pt;mso-position-horizontal-relative:page;mso-position-vertical-relative:page;position:absolute;z-index:251688960" coordorigin="0,0" coordsize="5092,10" o:allowincell="f" path="m,9l5091,9l5091,l,l,9xe" filled="t" fillcolor="#c00000" stroked="f"/>
        </w:pict>
      </w:r>
      <w:r>
        <w:pict>
          <v:shape id="_x0000_s1108" style="width:254.6pt;height:0.5pt;margin-top:255.98pt;margin-left:36pt;mso-position-horizontal-relative:page;mso-position-vertical-relative:page;position:absolute;z-index:251689984" coordorigin="0,0" coordsize="5092,10" o:allowincell="f" path="m,9l5091,9l5091,l,l,9xe" filled="t" fillcolor="#c00000" stroked="f"/>
        </w:pict>
      </w:r>
    </w:p>
    <w:p>
      <w:pPr>
        <w:spacing w:line="153" w:lineRule="exact"/>
        <w:sectPr>
          <w:headerReference w:type="default" r:id="rId44"/>
          <w:footerReference w:type="default" r:id="rId45"/>
          <w:pgSz w:w="11907" w:h="16839"/>
          <w:pgMar w:top="1264" w:right="718" w:bottom="1027" w:left="720" w:header="788" w:footer="796" w:gutter="0"/>
          <w:pgNumType w:start="16"/>
          <w:cols w:num="1" w:space="708" w:equalWidth="0">
            <w:col w:w="10469" w:space="0"/>
          </w:cols>
        </w:sectPr>
      </w:pPr>
    </w:p>
    <w:p>
      <w:pPr>
        <w:pStyle w:val="BodyText"/>
        <w:spacing w:before="38" w:line="216" w:lineRule="auto"/>
        <w:ind w:left="25"/>
        <w:rPr>
          <w:sz w:val="18"/>
          <w:szCs w:val="18"/>
        </w:rPr>
      </w:pPr>
      <w:bookmarkStart w:id="9" w:name="bookmark24"/>
      <w:bookmarkEnd w:id="9"/>
      <w:bookmarkStart w:id="10" w:name="bookmark25"/>
      <w:bookmarkEnd w:id="10"/>
      <w:bookmarkStart w:id="11" w:name="bookmark26"/>
      <w:bookmarkEnd w:id="11"/>
      <w:bookmarkStart w:id="12" w:name="bookmark27"/>
      <w:bookmarkEnd w:id="12"/>
      <w:bookmarkStart w:id="13" w:name="bookmark28"/>
      <w:bookmarkEnd w:id="13"/>
      <w:bookmarkStart w:id="14" w:name="bookmark29"/>
      <w:bookmarkEnd w:id="14"/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5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2019-2023Q3 </w:t>
      </w:r>
      <w:r>
        <w:rPr>
          <w:color w:val="B70004"/>
          <w:spacing w:val="-2"/>
          <w:sz w:val="18"/>
          <w:szCs w:val="18"/>
        </w:rPr>
        <w:t>公司营业收入</w:t>
      </w:r>
      <w:r>
        <w:rPr>
          <w:color w:val="B70004"/>
          <w:spacing w:val="-3"/>
          <w:sz w:val="18"/>
          <w:szCs w:val="18"/>
        </w:rPr>
        <w:t>及增速</w:t>
      </w:r>
    </w:p>
    <w:p>
      <w:pPr>
        <w:spacing w:before="138"/>
      </w:pPr>
    </w:p>
    <w:tbl>
      <w:tblPr>
        <w:tblStyle w:val="TableNormal4"/>
        <w:tblW w:w="4857" w:type="dxa"/>
        <w:tblInd w:w="2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41"/>
        <w:gridCol w:w="4289"/>
        <w:gridCol w:w="327"/>
      </w:tblGrid>
      <w:tr>
        <w:tblPrEx>
          <w:tblW w:w="4857" w:type="dxa"/>
          <w:tblInd w:w="2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797"/>
        </w:trPr>
        <w:tc>
          <w:tcPr>
            <w:tcW w:w="241" w:type="dxa"/>
            <w:vAlign w:val="top"/>
          </w:tcPr>
          <w:p>
            <w:pPr>
              <w:spacing w:line="25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4" w:line="198" w:lineRule="auto"/>
            </w:pPr>
            <w:r>
              <w:rPr>
                <w:color w:val="595959"/>
                <w:spacing w:val="-1"/>
              </w:rPr>
              <w:t>100</w:t>
            </w:r>
          </w:p>
          <w:p>
            <w:pPr>
              <w:pStyle w:val="TableText"/>
              <w:spacing w:before="110" w:line="196" w:lineRule="auto"/>
              <w:ind w:left="53"/>
            </w:pPr>
            <w:r>
              <w:rPr>
                <w:color w:val="595959"/>
              </w:rPr>
              <w:t>90</w:t>
            </w:r>
          </w:p>
          <w:p>
            <w:pPr>
              <w:pStyle w:val="TableText"/>
              <w:spacing w:before="108" w:line="196" w:lineRule="auto"/>
              <w:ind w:left="55"/>
            </w:pPr>
            <w:r>
              <w:rPr>
                <w:color w:val="595959"/>
                <w:spacing w:val="-1"/>
              </w:rPr>
              <w:t>80</w:t>
            </w:r>
          </w:p>
          <w:p>
            <w:pPr>
              <w:pStyle w:val="TableText"/>
              <w:spacing w:before="119" w:line="196" w:lineRule="auto"/>
              <w:ind w:left="52"/>
            </w:pPr>
            <w:r>
              <w:rPr>
                <w:color w:val="595959"/>
              </w:rPr>
              <w:t>70</w:t>
            </w:r>
          </w:p>
          <w:p>
            <w:pPr>
              <w:pStyle w:val="TableText"/>
              <w:spacing w:before="110" w:line="196" w:lineRule="auto"/>
              <w:ind w:left="53"/>
            </w:pPr>
            <w:r>
              <w:rPr>
                <w:color w:val="595959"/>
              </w:rPr>
              <w:t>60</w:t>
            </w:r>
          </w:p>
          <w:p>
            <w:pPr>
              <w:pStyle w:val="TableText"/>
              <w:spacing w:before="108" w:line="196" w:lineRule="auto"/>
              <w:ind w:left="54"/>
            </w:pPr>
            <w:r>
              <w:rPr>
                <w:color w:val="595959"/>
              </w:rPr>
              <w:t>50</w:t>
            </w:r>
          </w:p>
          <w:p>
            <w:pPr>
              <w:pStyle w:val="TableText"/>
              <w:spacing w:before="109" w:line="196" w:lineRule="auto"/>
              <w:ind w:left="50"/>
            </w:pPr>
            <w:r>
              <w:rPr>
                <w:color w:val="595959"/>
                <w:spacing w:val="2"/>
              </w:rPr>
              <w:t>40</w:t>
            </w:r>
          </w:p>
          <w:p>
            <w:pPr>
              <w:pStyle w:val="TableText"/>
              <w:spacing w:before="121" w:line="196" w:lineRule="auto"/>
              <w:ind w:left="53"/>
            </w:pPr>
            <w:r>
              <w:rPr>
                <w:color w:val="595959"/>
              </w:rPr>
              <w:t>30</w:t>
            </w:r>
          </w:p>
          <w:p>
            <w:pPr>
              <w:pStyle w:val="TableText"/>
              <w:spacing w:before="108" w:line="196" w:lineRule="auto"/>
              <w:ind w:left="50"/>
            </w:pPr>
            <w:r>
              <w:rPr>
                <w:color w:val="595959"/>
                <w:spacing w:val="1"/>
              </w:rPr>
              <w:t>20</w:t>
            </w:r>
          </w:p>
          <w:p>
            <w:pPr>
              <w:pStyle w:val="TableText"/>
              <w:spacing w:before="109" w:line="196" w:lineRule="auto"/>
              <w:ind w:left="63"/>
            </w:pPr>
            <w:r>
              <w:rPr>
                <w:color w:val="595959"/>
                <w:spacing w:val="-3"/>
              </w:rPr>
              <w:t>10</w:t>
            </w:r>
          </w:p>
          <w:p>
            <w:pPr>
              <w:pStyle w:val="TableText"/>
              <w:spacing w:before="110" w:line="196" w:lineRule="auto"/>
              <w:ind w:left="116"/>
            </w:pPr>
            <w:r>
              <w:rPr>
                <w:color w:val="595959"/>
              </w:rPr>
              <w:t>0</w:t>
            </w:r>
          </w:p>
        </w:tc>
        <w:tc>
          <w:tcPr>
            <w:tcW w:w="4289" w:type="dxa"/>
            <w:vAlign w:val="top"/>
          </w:tcPr>
          <w:p>
            <w:pPr>
              <w:pStyle w:val="TableText"/>
              <w:spacing w:line="234" w:lineRule="auto"/>
              <w:ind w:left="1161"/>
            </w:pPr>
            <w:r>
              <w:rPr>
                <w:rFonts w:ascii="KaiTi" w:eastAsia="KaiTi" w:hAnsi="KaiTi" w:cs="KaiTi"/>
                <w:color w:val="595959"/>
              </w:rPr>
              <w:drawing>
                <wp:inline distT="0" distB="0" distL="0" distR="0">
                  <wp:extent cx="181934" cy="47923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1934" cy="4792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KaiTi" w:eastAsia="KaiTi" w:hAnsi="KaiTi" w:cs="KaiTi"/>
                <w:color w:val="595959"/>
                <w:spacing w:val="-20"/>
              </w:rPr>
              <w:t xml:space="preserve"> </w:t>
            </w:r>
            <w:r>
              <w:rPr>
                <w:rFonts w:ascii="KaiTi" w:eastAsia="KaiTi" w:hAnsi="KaiTi" w:cs="KaiTi"/>
                <w:color w:val="595959"/>
                <w:spacing w:val="13"/>
                <w14:textOutline w14:w="2292">
                  <w14:solidFill>
                    <w14:srgbClr w14:val="595959"/>
                  </w14:solidFill>
                  <w14:prstDash w14:val="solid"/>
                  <w14:round/>
                </w14:textOutline>
              </w:rPr>
              <w:t>营业收入（亿元）</w:t>
            </w:r>
            <w:r>
              <w:rPr>
                <w:rFonts w:ascii="KaiTi" w:eastAsia="KaiTi" w:hAnsi="KaiTi" w:cs="KaiTi"/>
                <w:color w:val="595959"/>
                <w:spacing w:val="49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strike/>
                <w:color w:val="595959"/>
                <w:spacing w:val="11"/>
              </w:rPr>
              <w:t xml:space="preserve">    </w:t>
            </w:r>
            <w:r>
              <w:rPr>
                <w:rFonts w:ascii="KaiTi" w:eastAsia="KaiTi" w:hAnsi="KaiTi" w:cs="KaiTi"/>
                <w:color w:val="595959"/>
                <w:spacing w:val="-34"/>
              </w:rPr>
              <w:t xml:space="preserve"> </w:t>
            </w:r>
            <w:r>
              <w:rPr>
                <w:b/>
                <w:bCs/>
                <w:color w:val="595959"/>
              </w:rPr>
              <w:t>YOY</w:t>
            </w:r>
          </w:p>
          <w:p>
            <w:pPr>
              <w:pStyle w:val="TableText"/>
              <w:spacing w:before="152" w:line="2482" w:lineRule="exact"/>
              <w:ind w:firstLine="64"/>
            </w:pPr>
            <w:r>
              <w:rPr>
                <w:position w:val="-50"/>
              </w:rPr>
              <w:pict>
                <v:group id="_x0000_i1109" style="width:208.4pt;height:124.7pt;mso-position-horizontal-relative:char;mso-position-vertical-relative:line" coordorigin="0,0" coordsize="4167,2493" filled="f" stroked="f">
                  <v:shape id="_x0000_s1110" type="#_x0000_t75" style="width:3807;height:2096;left:185;position:absolute;top:178" filled="f" stroked="f">
                    <v:imagedata r:id="rId47" o:title=""/>
                  </v:shape>
                  <v:rect id="_x0000_s1111" style="width:12;height:705;left:2256;position:absolute;top:1568" filled="t" fillcolor="#c00000" stroked="f"/>
                  <v:rect id="_x0000_s1112" style="width:337;height:12;left:2263;position:absolute;top:1562" filled="t" fillcolor="#c00000" stroked="f"/>
                  <v:shape id="_x0000_s1113" style="width:2098;height:1611;left:348;position:absolute;top:521" coordorigin="0,0" coordsize="2098,1611" path="m10,10c241,173,472,428,703,499c933,570,1164,253,1395,437c1626,620,1972,1406,2088,1600e" filled="f" strokecolor="#bfbfbf" strokeweight="1.05pt">
                    <v:stroke endcap="round"/>
                  </v:shape>
                  <v:shape id="_x0000_s1114" type="#_x0000_t202" style="width:4207;height:2533;left:-20;position:absolute;top:-2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4"/>
                            <w:tblW w:w="4157" w:type="dxa"/>
                            <w:tblInd w:w="25" w:type="dxa"/>
                            <w:tblBorders>
                              <w:top w:val="single" w:sz="4" w:space="0" w:color="C00000"/>
                              <w:left w:val="single" w:sz="4" w:space="0" w:color="C00000"/>
                              <w:bottom w:val="single" w:sz="4" w:space="0" w:color="C00000"/>
                              <w:right w:val="single" w:sz="4" w:space="0" w:color="C00000"/>
                              <w:insideH w:val="single" w:sz="4" w:space="0" w:color="C00000"/>
                              <w:insideV w:val="single" w:sz="4" w:space="0" w:color="C00000"/>
                            </w:tblBorders>
                            <w:tblLayout w:type="fixed"/>
                          </w:tblPr>
                          <w:tblGrid>
                            <w:gridCol w:w="2594"/>
                            <w:gridCol w:w="347"/>
                            <w:gridCol w:w="347"/>
                            <w:gridCol w:w="347"/>
                            <w:gridCol w:w="347"/>
                            <w:gridCol w:w="175"/>
                          </w:tblGrid>
                          <w:tr>
                            <w:tblPrEx>
                              <w:tblW w:w="4157" w:type="dxa"/>
                              <w:tblInd w:w="25" w:type="dxa"/>
                              <w:tblBorders>
                                <w:top w:val="single" w:sz="4" w:space="0" w:color="C00000"/>
                                <w:left w:val="single" w:sz="4" w:space="0" w:color="C00000"/>
                                <w:bottom w:val="single" w:sz="4" w:space="0" w:color="C00000"/>
                                <w:right w:val="single" w:sz="4" w:space="0" w:color="C00000"/>
                                <w:insideH w:val="single" w:sz="4" w:space="0" w:color="C00000"/>
                                <w:insideV w:val="single" w:sz="4" w:space="0" w:color="C00000"/>
                              </w:tblBorders>
                              <w:tblLayout w:type="fixed"/>
                            </w:tblPrEx>
                            <w:trPr>
                              <w:trHeight w:val="1672"/>
                            </w:trPr>
                            <w:tc>
                              <w:tcPr>
                                <w:tcW w:w="2594" w:type="dxa"/>
                                <w:vMerge w:val="restart"/>
                                <w:tcBorders>
                                  <w:top w:val="nil"/>
                                  <w:left w:val="single" w:sz="4" w:space="0" w:color="BFBFBF"/>
                                  <w:bottom w:val="nil"/>
                                  <w:right w:val="nil"/>
                                </w:tcBorders>
                                <w:vAlign w:val="top"/>
                              </w:tcPr>
                              <w:p>
                                <w:pPr>
                                  <w:spacing w:line="198" w:lineRule="auto"/>
                                  <w:ind w:left="239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1"/>
                                    <w:sz w:val="12"/>
                                    <w:szCs w:val="12"/>
                                  </w:rPr>
                                  <w:t>93.6</w:t>
                                </w:r>
                              </w:p>
                              <w:p>
                                <w:pPr>
                                  <w:spacing w:line="58" w:lineRule="exact"/>
                                </w:pPr>
                              </w:p>
                              <w:tbl>
                                <w:tblPr>
                                  <w:tblStyle w:val="TableNormal4"/>
                                  <w:tblW w:w="350" w:type="dxa"/>
                                  <w:tblInd w:w="174" w:type="dxa"/>
                                  <w:tblBorders>
                                    <w:top w:val="single" w:sz="4" w:space="0" w:color="C00000"/>
                                    <w:left w:val="single" w:sz="4" w:space="0" w:color="C00000"/>
                                    <w:right w:val="single" w:sz="4" w:space="0" w:color="C00000"/>
                                  </w:tblBorders>
                                  <w:tblLayout w:type="fixed"/>
                                </w:tblPr>
                                <w:tblGrid>
                                  <w:gridCol w:w="350"/>
                                </w:tblGrid>
                                <w:tr>
                                  <w:tblPrEx>
                                    <w:tblW w:w="350" w:type="dxa"/>
                                    <w:tblInd w:w="174" w:type="dxa"/>
                                    <w:tblBorders>
                                      <w:top w:val="single" w:sz="4" w:space="0" w:color="C00000"/>
                                      <w:left w:val="single" w:sz="4" w:space="0" w:color="C00000"/>
                                      <w:right w:val="single" w:sz="4" w:space="0" w:color="C00000"/>
                                    </w:tblBorders>
                                    <w:tblLayout w:type="fixed"/>
                                  </w:tblPrEx>
                                  <w:trPr>
                                    <w:trHeight w:val="2075"/>
                                  </w:trPr>
                                  <w:tc>
                                    <w:tcPr>
                                      <w:tcW w:w="350" w:type="dxa"/>
                                      <w:vAlign w:val="top"/>
                                    </w:tcPr>
                                    <w:p>
                                      <w:pPr>
                                        <w:spacing w:line="269" w:lineRule="auto"/>
                                        <w:rPr>
                                          <w:rFonts w:ascii="Arial"/>
                                          <w:sz w:val="21"/>
                                        </w:rPr>
                                      </w:pPr>
                                    </w:p>
                                    <w:p>
                                      <w:pPr>
                                        <w:spacing w:before="34" w:line="196" w:lineRule="auto"/>
                                        <w:jc w:val="right"/>
                                        <w:rPr>
                                          <w:rFonts w:ascii="Times New Roman" w:eastAsia="Times New Roman" w:hAnsi="Times New Roman" w:cs="Times New Roman"/>
                                          <w:sz w:val="12"/>
                                          <w:szCs w:val="12"/>
                                        </w:rPr>
                                      </w:pPr>
                                      <w:r>
                                        <w:rPr>
                                          <w:rFonts w:ascii="Times New Roman" w:eastAsia="Times New Roman" w:hAnsi="Times New Roman" w:cs="Times New Roman"/>
                                          <w:b/>
                                          <w:bCs/>
                                          <w:color w:val="404040"/>
                                          <w:spacing w:val="-5"/>
                                          <w:w w:val="91"/>
                                          <w:sz w:val="12"/>
                                          <w:szCs w:val="12"/>
                                        </w:rPr>
                                        <w:t>2</w:t>
                                      </w:r>
                                    </w:p>
                                  </w:tc>
                                </w:tr>
                              </w:tbl>
                              <w:p>
                                <w:pPr>
                                  <w:spacing w:line="14" w:lineRule="auto"/>
                                  <w:rPr>
                                    <w:rFonts w:ascii="Arial"/>
                                    <w:sz w:val="2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041" w:type="dxa"/>
                                <w:gridSpan w:val="3"/>
                                <w:vMerge w:val="restart"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  <w:vAlign w:val="top"/>
                              </w:tcPr>
                              <w:p>
                                <w:pPr>
                                  <w:spacing w:line="255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55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55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55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56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56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35" w:line="196" w:lineRule="auto"/>
                                  <w:ind w:left="421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2"/>
                                    <w:sz w:val="12"/>
                                    <w:szCs w:val="12"/>
                                  </w:rPr>
                                  <w:t>23.4</w:t>
                                </w:r>
                              </w:p>
                            </w:tc>
                            <w:tc>
                              <w:tcPr>
                                <w:tcW w:w="522" w:type="dxa"/>
                                <w:gridSpan w:val="2"/>
                                <w:tcBorders>
                                  <w:top w:val="nil"/>
                                  <w:left w:val="nil"/>
                                  <w:right w:val="single" w:sz="4" w:space="0" w:color="BFBFBF"/>
                                </w:tcBorders>
                                <w:vAlign w:val="top"/>
                              </w:tcPr>
                              <w:p>
                                <w:pPr>
                                  <w:spacing w:before="130" w:line="147" w:lineRule="exact"/>
                                  <w:jc w:val="right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z w:val="12"/>
                                    <w:szCs w:val="12"/>
                                  </w:rPr>
                                  <w:drawing>
                                    <wp:inline distT="0" distB="0" distL="0" distR="0">
                                      <wp:extent cx="54092" cy="61297"/>
                                      <wp:effectExtent l="0" t="0" r="0" b="0"/>
                                      <wp:docPr id="38" name="IM 38"/>
                                      <wp:cNvGraphicFramePr/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38" name="IM 38"/>
                                              <pic:cNvPicPr/>
                                            </pic:nvPicPr>
                                            <pic:blipFill>
                                              <a:blip xmlns:r="http://schemas.openxmlformats.org/officeDocument/2006/relationships" r:embed="rId48"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>
                                              <a:xfrm>
                                                <a:off x="0" y="0"/>
                                                <a:ext cx="54092" cy="61297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404040"/>
                                    <w:sz w:val="12"/>
                                    <w:szCs w:val="12"/>
                                  </w:rPr>
                                  <w:t xml:space="preserve">   </w:t>
                                </w:r>
                                <w: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404040"/>
                                    <w:spacing w:val="-9"/>
                                    <w:sz w:val="12"/>
                                    <w:szCs w:val="12"/>
                                  </w:rPr>
                                  <w:t>15%</w:t>
                                </w:r>
                              </w:p>
                              <w:p>
                                <w:pPr>
                                  <w:spacing w:line="296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96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96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96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34" w:line="196" w:lineRule="auto"/>
                                  <w:ind w:left="74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color w:val="404040"/>
                                    <w:spacing w:val="2"/>
                                    <w:sz w:val="12"/>
                                    <w:szCs w:val="12"/>
                                  </w:rPr>
                                  <w:t>26.8</w:t>
                                </w:r>
                              </w:p>
                            </w:tc>
                          </w:tr>
                          <w:tr>
                            <w:tblPrEx>
                              <w:tblW w:w="4157" w:type="dxa"/>
                              <w:tblInd w:w="25" w:type="dxa"/>
                              <w:tblLayout w:type="fixed"/>
                            </w:tblPrEx>
                            <w:trPr>
                              <w:trHeight w:val="63"/>
                            </w:trPr>
                            <w:tc>
                              <w:tcPr>
                                <w:tcW w:w="2594" w:type="dxa"/>
                                <w:vMerge/>
                                <w:tcBorders>
                                  <w:top w:val="nil"/>
                                  <w:left w:val="single" w:sz="4" w:space="0" w:color="BFBFBF"/>
                                  <w:bottom w:val="nil"/>
                                  <w:right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041" w:type="dxa"/>
                                <w:gridSpan w:val="3"/>
                                <w:vMerge/>
                                <w:tcBorders>
                                  <w:top w:val="nil"/>
                                  <w:left w:val="nil"/>
                                  <w:bottom w:val="nil"/>
                                  <w:right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47" w:type="dxa"/>
                                <w:vMerge w:val="restart"/>
                                <w:tcBorders>
                                  <w:bottom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75" w:type="dxa"/>
                                <w:vMerge w:val="restart"/>
                                <w:tcBorders>
                                  <w:top w:val="nil"/>
                                  <w:left w:val="single" w:sz="4" w:space="0" w:color="BFBFBF"/>
                                  <w:bottom w:val="nil"/>
                                  <w:right w:val="single" w:sz="4" w:space="0" w:color="BFBFBF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  <w:tr>
                            <w:tblPrEx>
                              <w:tblW w:w="4157" w:type="dxa"/>
                              <w:tblInd w:w="25" w:type="dxa"/>
                              <w:tblLayout w:type="fixed"/>
                            </w:tblPrEx>
                            <w:trPr>
                              <w:trHeight w:val="515"/>
                            </w:trPr>
                            <w:tc>
                              <w:tcPr>
                                <w:tcW w:w="2594" w:type="dxa"/>
                                <w:vMerge/>
                                <w:tcBorders>
                                  <w:top w:val="nil"/>
                                  <w:left w:val="single" w:sz="4" w:space="0" w:color="BFBFBF"/>
                                  <w:bottom w:val="single" w:sz="4" w:space="0" w:color="BFBFBF"/>
                                  <w:right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47" w:type="dxa"/>
                                <w:tcBorders>
                                  <w:top w:val="nil"/>
                                </w:tcBorders>
                                <w:vAlign w:val="top"/>
                              </w:tcPr>
                              <w:p>
                                <w:pPr>
                                  <w:spacing w:line="290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35" w:line="239" w:lineRule="auto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404040"/>
                                    <w:spacing w:val="3"/>
                                    <w:sz w:val="12"/>
                                    <w:szCs w:val="12"/>
                                  </w:rPr>
                                  <w:t>55%</w:t>
                                </w:r>
                              </w:p>
                            </w:tc>
                            <w:tc>
                              <w:tcPr>
                                <w:tcW w:w="347" w:type="dxa"/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47" w:type="dxa"/>
                                <w:tcBorders>
                                  <w:top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347" w:type="dxa"/>
                                <w:vMerge/>
                                <w:tcBorders>
                                  <w:top w:val="nil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  <w:tc>
                              <w:tcPr>
                                <w:tcW w:w="175" w:type="dxa"/>
                                <w:vMerge/>
                                <w:tcBorders>
                                  <w:top w:val="nil"/>
                                  <w:left w:val="single" w:sz="4" w:space="0" w:color="BFBFBF"/>
                                  <w:bottom w:val="single" w:sz="4" w:space="0" w:color="BFBFBF"/>
                                  <w:right w:val="single" w:sz="4" w:space="0" w:color="BFBFBF"/>
                                </w:tcBorders>
                                <w:vAlign w:val="top"/>
                              </w:tcPr>
                              <w:p>
                                <w:pPr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</w:tc>
                          </w:tr>
                        </w:tbl>
                        <w:p>
                          <w:pPr>
                            <w:spacing w:before="97" w:line="204" w:lineRule="auto"/>
                            <w:ind w:left="252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595959"/>
                              <w:spacing w:val="3"/>
                              <w:sz w:val="12"/>
                              <w:szCs w:val="12"/>
                            </w:rPr>
                            <w:t>2019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95959"/>
                              <w:spacing w:val="1"/>
                              <w:sz w:val="12"/>
                              <w:szCs w:val="12"/>
                            </w:rPr>
                            <w:t xml:space="preserve">             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95959"/>
                              <w:spacing w:val="3"/>
                              <w:sz w:val="12"/>
                              <w:szCs w:val="12"/>
                            </w:rPr>
                            <w:t xml:space="preserve">2020              2021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color w:val="595959"/>
                              <w:spacing w:val="2"/>
                              <w:sz w:val="12"/>
                              <w:szCs w:val="12"/>
                            </w:rPr>
                            <w:t xml:space="preserve">             2022          22Q1-Q3       23Q1-Q3</w:t>
                          </w:r>
                        </w:p>
                      </w:txbxContent>
                    </v:textbox>
                  </v:shape>
                  <v:shape id="_x0000_s1115" type="#_x0000_t202" style="width:400;height:1826;left:844;position:absolute;top:468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4"/>
                            <w:tblW w:w="350" w:type="dxa"/>
                            <w:tblInd w:w="25" w:type="dxa"/>
                            <w:tblBorders>
                              <w:top w:val="single" w:sz="4" w:space="0" w:color="C00000"/>
                              <w:left w:val="single" w:sz="4" w:space="0" w:color="C00000"/>
                              <w:right w:val="single" w:sz="4" w:space="0" w:color="C00000"/>
                            </w:tblBorders>
                            <w:tblLayout w:type="fixed"/>
                          </w:tblPr>
                          <w:tblGrid>
                            <w:gridCol w:w="350"/>
                          </w:tblGrid>
                          <w:tr>
                            <w:tblPrEx>
                              <w:tblW w:w="350" w:type="dxa"/>
                              <w:tblInd w:w="25" w:type="dxa"/>
                              <w:tblBorders>
                                <w:top w:val="single" w:sz="4" w:space="0" w:color="C00000"/>
                                <w:left w:val="single" w:sz="4" w:space="0" w:color="C00000"/>
                                <w:right w:val="single" w:sz="4" w:space="0" w:color="C00000"/>
                              </w:tblBorders>
                              <w:tblLayout w:type="fixed"/>
                            </w:tblPrEx>
                            <w:trPr>
                              <w:trHeight w:val="1775"/>
                            </w:trPr>
                            <w:tc>
                              <w:tcPr>
                                <w:tcW w:w="350" w:type="dxa"/>
                                <w:vAlign w:val="top"/>
                              </w:tcPr>
                              <w:p>
                                <w:pPr>
                                  <w:spacing w:line="249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line="250" w:lineRule="auto"/>
                                  <w:rPr>
                                    <w:rFonts w:ascii="Arial"/>
                                    <w:sz w:val="21"/>
                                  </w:rPr>
                                </w:pPr>
                              </w:p>
                              <w:p>
                                <w:pPr>
                                  <w:spacing w:before="35" w:line="60" w:lineRule="exact"/>
                                  <w:ind w:right="3"/>
                                  <w:jc w:val="right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404040"/>
                                    <w:position w:val="-1"/>
                                    <w:sz w:val="12"/>
                                    <w:szCs w:val="12"/>
                                  </w:rPr>
                                  <w:t>-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v:shape id="_x0000_s1116" type="#_x0000_t202" style="width:400;height:1595;left:1540;position:absolute;top:700" filled="f" stroked="f">
                    <o:lock v:ext="edit" aspectratio="f"/>
                    <v:textbox inset="0,0,0,0">
                      <w:txbxContent>
                        <w:p>
                          <w:pPr>
                            <w:spacing w:line="20" w:lineRule="exact"/>
                          </w:pPr>
                        </w:p>
                        <w:tbl>
                          <w:tblPr>
                            <w:tblStyle w:val="TableNormal4"/>
                            <w:tblW w:w="350" w:type="dxa"/>
                            <w:tblInd w:w="25" w:type="dxa"/>
                            <w:tblBorders>
                              <w:top w:val="single" w:sz="4" w:space="0" w:color="C00000"/>
                              <w:left w:val="single" w:sz="4" w:space="0" w:color="C00000"/>
                              <w:right w:val="single" w:sz="4" w:space="0" w:color="C00000"/>
                            </w:tblBorders>
                            <w:tblLayout w:type="fixed"/>
                          </w:tblPr>
                          <w:tblGrid>
                            <w:gridCol w:w="350"/>
                          </w:tblGrid>
                          <w:tr>
                            <w:tblPrEx>
                              <w:tblW w:w="350" w:type="dxa"/>
                              <w:tblInd w:w="25" w:type="dxa"/>
                              <w:tblBorders>
                                <w:top w:val="single" w:sz="4" w:space="0" w:color="C00000"/>
                                <w:left w:val="single" w:sz="4" w:space="0" w:color="C00000"/>
                                <w:right w:val="single" w:sz="4" w:space="0" w:color="C00000"/>
                              </w:tblBorders>
                              <w:tblLayout w:type="fixed"/>
                            </w:tblPrEx>
                            <w:trPr>
                              <w:trHeight w:val="1544"/>
                            </w:trPr>
                            <w:tc>
                              <w:tcPr>
                                <w:tcW w:w="350" w:type="dxa"/>
                                <w:vAlign w:val="top"/>
                              </w:tcPr>
                              <w:p>
                                <w:pPr>
                                  <w:spacing w:before="242" w:line="61" w:lineRule="exact"/>
                                  <w:ind w:right="5"/>
                                  <w:jc w:val="right"/>
                                  <w:rPr>
                                    <w:rFonts w:ascii="Times New Roman" w:eastAsia="Times New Roman" w:hAnsi="Times New Roman" w:cs="Times New Roman"/>
                                    <w:sz w:val="12"/>
                                    <w:szCs w:val="12"/>
                                  </w:rPr>
                                </w:pPr>
                                <w:r>
                                  <w:rPr>
                                    <w:rFonts w:ascii="Times New Roman" w:eastAsia="Times New Roman" w:hAnsi="Times New Roman" w:cs="Times New Roman"/>
                                    <w:b/>
                                    <w:bCs/>
                                    <w:color w:val="404040"/>
                                    <w:position w:val="-1"/>
                                    <w:sz w:val="12"/>
                                    <w:szCs w:val="12"/>
                                  </w:rPr>
                                  <w:t>-</w:t>
                                </w:r>
                              </w:p>
                            </w:tc>
                          </w:tr>
                        </w:tbl>
                        <w:p>
                          <w:pPr>
                            <w:rPr>
                              <w:rFonts w:ascii="Arial"/>
                              <w:sz w:val="21"/>
                            </w:rPr>
                          </w:pPr>
                        </w:p>
                      </w:txbxContent>
                    </v:textbox>
                  </v:shape>
                  <v:shape id="_x0000_s1117" style="width:43;height:1803;left:6;position:absolute;top:256" coordorigin="0,0" coordsize="43,1803" path="m,1796l42,1796m,1564l42,1564m,1343l42,1343m,1122l42,1122m,901l42,901m,669l42,669m,448l42,448m,227l42,227m,6l42,6e" filled="f" strokecolor="#bfbfbf" strokeweight="0.61pt"/>
                  <v:shape id="_x0000_s1118" type="#_x0000_t202" style="width:285;height:153;left:1892;position:absolute;top:90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8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404040"/>
                              <w:spacing w:val="1"/>
                              <w:sz w:val="12"/>
                              <w:szCs w:val="12"/>
                            </w:rPr>
                            <w:t>13%</w:t>
                          </w:r>
                        </w:p>
                      </w:txbxContent>
                    </v:textbox>
                  </v:shape>
                  <v:shape id="_x0000_s1119" type="#_x0000_t202" style="width:285;height:153;left:1198;position:absolute;top:965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8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404040"/>
                              <w:spacing w:val="1"/>
                              <w:sz w:val="12"/>
                              <w:szCs w:val="12"/>
                            </w:rPr>
                            <w:t>15%</w:t>
                          </w:r>
                        </w:p>
                      </w:txbxContent>
                    </v:textbox>
                  </v:shape>
                  <v:shape id="_x0000_s1120" type="#_x0000_t202" style="width:257;height:130;left:2309;position:absolute;top:1374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198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1"/>
                              <w:sz w:val="12"/>
                              <w:szCs w:val="12"/>
                            </w:rPr>
                            <w:t>31.3</w:t>
                          </w:r>
                        </w:p>
                      </w:txbxContent>
                    </v:textbox>
                  </v:shape>
                  <v:shape id="_x0000_s1121" type="#_x0000_t202" style="width:257;height:128;left:923;position:absolute;top:29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1"/>
                              <w:sz w:val="12"/>
                              <w:szCs w:val="12"/>
                            </w:rPr>
                            <w:t>79.4</w:t>
                          </w:r>
                        </w:p>
                      </w:txbxContent>
                    </v:textbox>
                  </v:shape>
                  <v:shape id="_x0000_s1122" type="#_x0000_t202" style="width:257;height:128;left:1617;position:absolute;top:531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19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404040"/>
                              <w:spacing w:val="1"/>
                              <w:sz w:val="12"/>
                              <w:szCs w:val="12"/>
                            </w:rPr>
                            <w:t>69.0</w:t>
                          </w:r>
                        </w:p>
                      </w:txbxContent>
                    </v:textbox>
                  </v:shape>
                  <v:shape id="_x0000_s1123" type="#_x0000_t202" style="width:158;height:153;left:528;position:absolute;top:469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19" w:line="236" w:lineRule="auto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404040"/>
                              <w:sz w:val="12"/>
                              <w:szCs w:val="12"/>
                            </w:rPr>
                            <w:t>%</w:t>
                          </w:r>
                        </w:p>
                      </w:txbxContent>
                    </v:textbox>
                  </v:shape>
                  <v:shape id="_x0000_s1124" type="#_x0000_t202" style="width:80;height:54;left:2539;position:absolute;top:2112" filled="f" stroked="f">
                    <o:lock v:ext="edit" aspectratio="f"/>
                    <v:textbox inset="0,0,0,0">
                      <w:txbxContent>
                        <w:p>
                          <w:pPr>
                            <w:spacing w:before="20" w:line="60" w:lineRule="exact"/>
                            <w:ind w:left="20"/>
                            <w:rPr>
                              <w:rFonts w:ascii="Times New Roman" w:eastAsia="Times New Roman" w:hAnsi="Times New Roman" w:cs="Times New Roman"/>
                              <w:sz w:val="12"/>
                              <w:szCs w:val="12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b/>
                              <w:bCs/>
                              <w:color w:val="404040"/>
                              <w:position w:val="-1"/>
                              <w:sz w:val="12"/>
                              <w:szCs w:val="12"/>
                            </w:rPr>
                            <w:t>-</w:t>
                          </w:r>
                        </w:p>
                      </w:txbxContent>
                    </v:textbox>
                  </v:shape>
                  <w10:wrap type="none"/>
                </v:group>
              </w:pict>
            </w:r>
          </w:p>
        </w:tc>
        <w:tc>
          <w:tcPr>
            <w:tcW w:w="32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4" w:line="140" w:lineRule="exact"/>
              <w:ind w:left="55"/>
            </w:pPr>
            <w:r>
              <w:rPr>
                <w:color w:val="595959"/>
                <w:spacing w:val="3"/>
              </w:rPr>
              <w:t>20%</w:t>
            </w:r>
          </w:p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4" w:line="239" w:lineRule="auto"/>
              <w:ind w:left="57"/>
            </w:pPr>
            <w:r>
              <w:rPr>
                <w:color w:val="595959"/>
                <w:spacing w:val="2"/>
              </w:rPr>
              <w:t>0%</w:t>
            </w:r>
          </w:p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5" w:line="239" w:lineRule="auto"/>
              <w:jc w:val="right"/>
            </w:pPr>
            <w:r>
              <w:rPr>
                <w:color w:val="595959"/>
                <w:spacing w:val="2"/>
              </w:rPr>
              <w:t>-20%</w:t>
            </w:r>
          </w:p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5" w:line="239" w:lineRule="auto"/>
              <w:jc w:val="right"/>
            </w:pPr>
            <w:r>
              <w:rPr>
                <w:color w:val="595959"/>
                <w:spacing w:val="2"/>
              </w:rPr>
              <w:t>-40%</w:t>
            </w:r>
          </w:p>
          <w:p>
            <w:pPr>
              <w:spacing w:line="38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35" w:line="239" w:lineRule="auto"/>
              <w:jc w:val="right"/>
            </w:pPr>
            <w:r>
              <w:rPr>
                <w:color w:val="595959"/>
                <w:spacing w:val="2"/>
              </w:rPr>
              <w:t>-60%</w:t>
            </w:r>
          </w:p>
        </w:tc>
      </w:tr>
    </w:tbl>
    <w:p>
      <w:pPr>
        <w:spacing w:line="321" w:lineRule="auto"/>
        <w:rPr>
          <w:rFonts w:ascii="Arial"/>
          <w:sz w:val="21"/>
        </w:rPr>
      </w:pPr>
    </w:p>
    <w:p>
      <w:pPr>
        <w:pStyle w:val="BodyText"/>
        <w:spacing w:before="52" w:line="199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7" w:line="216" w:lineRule="auto"/>
        <w:ind w:left="25"/>
        <w:rPr>
          <w:sz w:val="18"/>
          <w:szCs w:val="18"/>
        </w:rPr>
      </w:pPr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6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2019-2023Q3 </w:t>
      </w:r>
      <w:r>
        <w:rPr>
          <w:color w:val="B70004"/>
          <w:spacing w:val="-2"/>
          <w:sz w:val="18"/>
          <w:szCs w:val="18"/>
        </w:rPr>
        <w:t>年公司归母净利润及增速</w:t>
      </w:r>
    </w:p>
    <w:p>
      <w:pPr>
        <w:spacing w:before="212" w:line="3084" w:lineRule="exact"/>
        <w:ind w:firstLine="106"/>
      </w:pPr>
      <w:r>
        <w:rPr>
          <w:position w:val="-61"/>
        </w:rPr>
        <w:drawing>
          <wp:inline distT="0" distB="0" distL="0" distR="0">
            <wp:extent cx="3164459" cy="1958213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64459" cy="19582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7" w:line="199" w:lineRule="auto"/>
        <w:ind w:left="14"/>
        <w:rPr>
          <w:sz w:val="16"/>
          <w:szCs w:val="16"/>
        </w:rPr>
      </w:pPr>
      <w:r>
        <w:rPr>
          <w:spacing w:val="-2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wind</w:t>
      </w:r>
      <w:r>
        <w:rPr>
          <w:rFonts w:ascii="Times New Roman" w:eastAsia="Times New Roman" w:hAnsi="Times New Roman" w:cs="Times New Roman"/>
          <w:spacing w:val="-19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，浙商证券研究所</w:t>
      </w:r>
    </w:p>
    <w:p>
      <w:pPr>
        <w:spacing w:line="199" w:lineRule="auto"/>
        <w:rPr>
          <w:sz w:val="16"/>
          <w:szCs w:val="16"/>
        </w:rPr>
        <w:sectPr>
          <w:headerReference w:type="default" r:id="rId50"/>
          <w:footerReference w:type="default" r:id="rId51"/>
          <w:type w:val="continuous"/>
          <w:pgSz w:w="11907" w:h="16839"/>
          <w:pgMar w:top="1264" w:right="718" w:bottom="1027" w:left="720" w:header="788" w:footer="796" w:gutter="0"/>
          <w:pgNumType w:start="17"/>
          <w:cols w:num="2" w:space="708" w:equalWidth="0">
            <w:col w:w="5277" w:space="100"/>
            <w:col w:w="5092" w:space="0"/>
          </w:cols>
        </w:sectPr>
      </w:pPr>
    </w:p>
    <w:p>
      <w:pPr>
        <w:pStyle w:val="BodyText"/>
        <w:spacing w:before="164" w:line="298" w:lineRule="auto"/>
        <w:ind w:left="2813" w:right="46" w:firstLine="395"/>
      </w:pP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转型</w:t>
      </w:r>
      <w:r>
        <w:rPr>
          <w:rFonts w:ascii="Times New Roman" w:eastAsia="Times New Roman" w:hAnsi="Times New Roman" w:cs="Times New Roman"/>
          <w:b/>
          <w:bCs/>
          <w:color w:val="C00000"/>
          <w:spacing w:val="7"/>
        </w:rPr>
        <w:t>+</w:t>
      </w: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控费驱动净利率提升，</w:t>
      </w:r>
      <w:r>
        <w:rPr>
          <w:color w:val="C00000"/>
          <w:spacing w:val="7"/>
        </w:rPr>
        <w:t xml:space="preserve"> </w:t>
      </w: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医疗板块盈利能力静待释放。</w:t>
      </w:r>
      <w:r>
        <w:rPr>
          <w:spacing w:val="7"/>
        </w:rPr>
        <w:t>伴随业务转型推进，医</w:t>
      </w:r>
      <w:r>
        <w:rPr>
          <w:spacing w:val="5"/>
        </w:rPr>
        <w:t xml:space="preserve">  </w:t>
      </w:r>
      <w:r>
        <w:rPr>
          <w:spacing w:val="6"/>
        </w:rPr>
        <w:t>疗健康已成为公司第一大业务，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23H1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</w:t>
      </w:r>
      <w:r>
        <w:rPr>
          <w:spacing w:val="6"/>
        </w:rPr>
        <w:t>营收占比达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>69%</w:t>
      </w:r>
      <w:r>
        <w:rPr>
          <w:spacing w:val="5"/>
        </w:rPr>
        <w:t>，此外百货及餐饮食品占比分别</w:t>
      </w:r>
      <w:r>
        <w:t xml:space="preserve">  </w:t>
      </w:r>
      <w:r>
        <w:rPr>
          <w:spacing w:val="9"/>
        </w:rPr>
        <w:t>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>21%/7%</w:t>
      </w:r>
      <w:r>
        <w:rPr>
          <w:spacing w:val="9"/>
        </w:rPr>
        <w:t>，高毛利业务占比提升使得公司毛利率近年来呈小幅上行趋</w:t>
      </w:r>
      <w:r>
        <w:rPr>
          <w:spacing w:val="8"/>
        </w:rPr>
        <w:t>势，其中公司医</w:t>
      </w:r>
      <w:r>
        <w:t xml:space="preserve">  </w:t>
      </w:r>
      <w:r>
        <w:rPr>
          <w:spacing w:val="-1"/>
        </w:rPr>
        <w:t>疗板块处于培育初期，</w:t>
      </w:r>
      <w:r>
        <w:rPr>
          <w:spacing w:val="-1"/>
        </w:rPr>
        <w:t xml:space="preserve"> </w:t>
      </w:r>
      <w:r>
        <w:rPr>
          <w:spacing w:val="-1"/>
        </w:rPr>
        <w:t>截至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23H1 </w:t>
      </w:r>
      <w:r>
        <w:rPr>
          <w:spacing w:val="-1"/>
        </w:rPr>
        <w:t>毛利率为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7.1%</w:t>
      </w:r>
      <w:r>
        <w:rPr>
          <w:spacing w:val="-1"/>
        </w:rPr>
        <w:t>。</w:t>
      </w:r>
      <w:r>
        <w:rPr>
          <w:spacing w:val="-45"/>
        </w:rPr>
        <w:t xml:space="preserve"> </w:t>
      </w:r>
      <w:r>
        <w:rPr>
          <w:spacing w:val="-1"/>
        </w:rPr>
        <w:t>费用端来看，</w:t>
      </w:r>
      <w:r>
        <w:rPr>
          <w:spacing w:val="-1"/>
        </w:rPr>
        <w:t xml:space="preserve">  </w:t>
      </w:r>
      <w:r>
        <w:rPr>
          <w:spacing w:val="-1"/>
        </w:rPr>
        <w:t>受益于</w:t>
      </w:r>
      <w:r>
        <w:rPr>
          <w:spacing w:val="-2"/>
        </w:rPr>
        <w:t>业务结构理顺、</w:t>
      </w:r>
      <w:r>
        <w:rPr>
          <w:spacing w:val="-2"/>
        </w:rPr>
        <w:t xml:space="preserve"> </w:t>
      </w:r>
      <w:r>
        <w:rPr>
          <w:spacing w:val="6"/>
        </w:rPr>
        <w:t>医疗板块整合提速，公司经营规模效应有望逐步释放，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23H1 </w:t>
      </w:r>
      <w:r>
        <w:rPr>
          <w:spacing w:val="6"/>
        </w:rPr>
        <w:t>销售及管理费用率均有所</w:t>
      </w:r>
      <w:r>
        <w:rPr>
          <w:spacing w:val="5"/>
        </w:rPr>
        <w:t xml:space="preserve">  </w:t>
      </w:r>
      <w:r>
        <w:rPr>
          <w:spacing w:val="8"/>
        </w:rPr>
        <w:t>下降，带动净利率由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 xml:space="preserve">22 </w:t>
      </w:r>
      <w:r>
        <w:rPr>
          <w:spacing w:val="8"/>
        </w:rPr>
        <w:t>年全年的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  <w:spacing w:val="8"/>
        </w:rPr>
        <w:t>6.1%</w:t>
      </w:r>
      <w:r>
        <w:rPr>
          <w:spacing w:val="7"/>
        </w:rPr>
        <w:t>提升至</w:t>
      </w:r>
      <w:r>
        <w:rPr>
          <w:spacing w:val="-33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8.1%</w:t>
      </w:r>
      <w:r>
        <w:rPr>
          <w:spacing w:val="7"/>
        </w:rPr>
        <w:t>。展望后续，预计作为收入主体的医</w:t>
      </w:r>
      <w:r>
        <w:t xml:space="preserve"> </w:t>
      </w:r>
      <w:r>
        <w:rPr>
          <w:spacing w:val="8"/>
        </w:rPr>
        <w:t>疗板块盈利能力提升空间较大</w:t>
      </w:r>
      <w:r>
        <w:rPr>
          <w:spacing w:val="-14"/>
        </w:rPr>
        <w:t xml:space="preserve"> </w:t>
      </w:r>
      <w:r>
        <w:rPr>
          <w:spacing w:val="8"/>
        </w:rPr>
        <w:t>，将成为公司利润增长核心驱动力。</w:t>
      </w:r>
    </w:p>
    <w:p>
      <w:pPr>
        <w:spacing w:line="170" w:lineRule="exact"/>
      </w:pPr>
    </w:p>
    <w:p>
      <w:pPr>
        <w:spacing w:line="170" w:lineRule="exact"/>
        <w:sectPr>
          <w:headerReference w:type="default" r:id="rId52"/>
          <w:footerReference w:type="default" r:id="rId53"/>
          <w:type w:val="continuous"/>
          <w:pgSz w:w="11907" w:h="16839"/>
          <w:pgMar w:top="1264" w:right="718" w:bottom="1027" w:left="720" w:header="788" w:footer="796" w:gutter="0"/>
          <w:pgNumType w:start="18"/>
          <w:cols w:num="1" w:space="708" w:equalWidth="0">
            <w:col w:w="10469" w:space="0"/>
          </w:cols>
        </w:sectPr>
      </w:pPr>
    </w:p>
    <w:p>
      <w:pPr>
        <w:pStyle w:val="BodyText"/>
        <w:spacing w:before="35" w:line="219" w:lineRule="auto"/>
        <w:ind w:left="25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7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1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2020-2023H1 </w:t>
      </w:r>
      <w:r>
        <w:rPr>
          <w:color w:val="B70004"/>
          <w:spacing w:val="-3"/>
          <w:sz w:val="18"/>
          <w:szCs w:val="18"/>
        </w:rPr>
        <w:t>公司收入拆分</w:t>
      </w:r>
    </w:p>
    <w:p>
      <w:pPr>
        <w:spacing w:line="47" w:lineRule="exact"/>
      </w:pPr>
    </w:p>
    <w:tbl>
      <w:tblPr>
        <w:tblStyle w:val="TableNormal4"/>
        <w:tblW w:w="509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91"/>
      </w:tblGrid>
      <w:tr>
        <w:tblPrEx>
          <w:tblW w:w="509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01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50" w:line="3293" w:lineRule="exact"/>
              <w:ind w:firstLine="108"/>
            </w:pPr>
            <w:r>
              <w:rPr>
                <w:position w:val="-65"/>
              </w:rPr>
              <w:drawing>
                <wp:inline distT="0" distB="0" distL="0" distR="0">
                  <wp:extent cx="3127375" cy="2091055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7375" cy="209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683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pStyle w:val="TableText"/>
              <w:spacing w:before="89" w:line="227" w:lineRule="auto"/>
              <w:ind w:left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资料来源：</w:t>
            </w:r>
            <w:r>
              <w:rPr>
                <w:spacing w:val="-1"/>
                <w:sz w:val="16"/>
                <w:szCs w:val="16"/>
              </w:rPr>
              <w:t>wind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，浙商证券研究所</w:t>
            </w:r>
          </w:p>
          <w:p>
            <w:pPr>
              <w:pStyle w:val="TableText"/>
              <w:spacing w:before="134" w:line="217" w:lineRule="auto"/>
              <w:ind w:left="2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图</w:t>
            </w:r>
            <w:r>
              <w:rPr>
                <w:color w:val="B70004"/>
                <w:spacing w:val="-2"/>
                <w:sz w:val="18"/>
                <w:szCs w:val="18"/>
              </w:rPr>
              <w:t>9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：</w:t>
            </w:r>
            <w:r>
              <w:rPr>
                <w:rFonts w:ascii="KaiTi" w:eastAsia="KaiTi" w:hAnsi="KaiTi" w:cs="KaiTi"/>
                <w:color w:val="B70004"/>
                <w:spacing w:val="-21"/>
                <w:sz w:val="18"/>
                <w:szCs w:val="18"/>
              </w:rPr>
              <w:t xml:space="preserve"> </w:t>
            </w:r>
            <w:r>
              <w:rPr>
                <w:color w:val="B70004"/>
                <w:spacing w:val="-2"/>
                <w:sz w:val="18"/>
                <w:szCs w:val="18"/>
              </w:rPr>
              <w:t xml:space="preserve">2020-2023H1 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公司各业务板块毛利率表现</w:t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3147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86" w:line="2957" w:lineRule="exact"/>
              <w:ind w:firstLine="115"/>
            </w:pPr>
            <w:r>
              <w:rPr>
                <w:position w:val="-59"/>
              </w:rPr>
              <w:drawing>
                <wp:inline distT="0" distB="0" distL="0" distR="0">
                  <wp:extent cx="3084829" cy="1877695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4829" cy="18776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91" w:line="199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，浙商证券研究所</w:t>
      </w:r>
    </w:p>
    <w:p>
      <w:pPr>
        <w:spacing w:line="14" w:lineRule="auto"/>
        <w:rPr>
          <w:rFonts w:ascii="Arial"/>
          <w:sz w:val="2"/>
        </w:rPr>
        <w:sectPr>
          <w:headerReference w:type="default" r:id="rId56"/>
          <w:footerReference w:type="default" r:id="rId57"/>
          <w:type w:val="continuous"/>
          <w:pgSz w:w="11907" w:h="16839"/>
          <w:pgMar w:top="1264" w:right="718" w:bottom="1027" w:left="720" w:header="788" w:footer="796" w:gutter="0"/>
          <w:pgNumType w:start="19"/>
          <w:cols w:num="2" w:space="708" w:equalWidth="0">
            <w:col w:w="5277" w:space="100"/>
            <w:col w:w="509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217" w:lineRule="auto"/>
        <w:ind w:left="25"/>
        <w:rPr>
          <w:sz w:val="18"/>
          <w:szCs w:val="18"/>
        </w:rPr>
      </w:pPr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8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2019-2023H1 </w:t>
      </w:r>
      <w:r>
        <w:rPr>
          <w:color w:val="B70004"/>
          <w:spacing w:val="-2"/>
          <w:sz w:val="18"/>
          <w:szCs w:val="18"/>
        </w:rPr>
        <w:t>公司毛利率及净利率表现</w:t>
      </w:r>
    </w:p>
    <w:p>
      <w:pPr>
        <w:spacing w:line="48" w:lineRule="exact"/>
      </w:pPr>
    </w:p>
    <w:tbl>
      <w:tblPr>
        <w:tblStyle w:val="TableNormal5"/>
        <w:tblW w:w="509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91"/>
      </w:tblGrid>
      <w:tr>
        <w:tblPrEx>
          <w:tblW w:w="509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401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77" w:line="3245" w:lineRule="exact"/>
              <w:ind w:firstLine="139"/>
            </w:pPr>
            <w:r>
              <w:rPr>
                <w:position w:val="-64"/>
              </w:rPr>
              <w:drawing>
                <wp:inline distT="0" distB="0" distL="0" distR="0">
                  <wp:extent cx="3054350" cy="2060575"/>
                  <wp:effectExtent l="0" t="0" r="0" b="0"/>
                  <wp:docPr id="46" name="IM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6" name="IM 46"/>
                          <pic:cNvPicPr/>
                        </pic:nvPicPr>
                        <pic:blipFill>
                          <a:blip xmlns:r="http://schemas.openxmlformats.org/officeDocument/2006/relationships"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350" cy="2060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683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pStyle w:val="TableText"/>
              <w:spacing w:before="89" w:line="227" w:lineRule="auto"/>
              <w:ind w:left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资料来源：</w:t>
            </w:r>
            <w:r>
              <w:rPr>
                <w:spacing w:val="-2"/>
                <w:sz w:val="16"/>
                <w:szCs w:val="16"/>
              </w:rPr>
              <w:t>wind</w:t>
            </w:r>
            <w:r>
              <w:rPr>
                <w:spacing w:val="-19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，浙商证券研究所</w:t>
            </w:r>
          </w:p>
          <w:p>
            <w:pPr>
              <w:pStyle w:val="TableText"/>
              <w:spacing w:before="134" w:line="217" w:lineRule="auto"/>
              <w:ind w:left="2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图</w:t>
            </w:r>
            <w:r>
              <w:rPr>
                <w:color w:val="B70004"/>
                <w:spacing w:val="-2"/>
                <w:sz w:val="18"/>
                <w:szCs w:val="18"/>
              </w:rPr>
              <w:t>10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：</w:t>
            </w:r>
            <w:r>
              <w:rPr>
                <w:rFonts w:ascii="KaiTi" w:eastAsia="KaiTi" w:hAnsi="KaiTi" w:cs="KaiTi"/>
                <w:color w:val="B70004"/>
                <w:spacing w:val="-24"/>
                <w:sz w:val="18"/>
                <w:szCs w:val="18"/>
              </w:rPr>
              <w:t xml:space="preserve"> </w:t>
            </w:r>
            <w:r>
              <w:rPr>
                <w:color w:val="B70004"/>
                <w:spacing w:val="-2"/>
                <w:sz w:val="18"/>
                <w:szCs w:val="18"/>
              </w:rPr>
              <w:t xml:space="preserve">2020-2023H1 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公司费用率</w:t>
            </w:r>
            <w:r>
              <w:rPr>
                <w:rFonts w:ascii="KaiTi" w:eastAsia="KaiTi" w:hAnsi="KaiTi" w:cs="KaiTi"/>
                <w:color w:val="B70004"/>
                <w:spacing w:val="-3"/>
                <w:sz w:val="18"/>
                <w:szCs w:val="18"/>
              </w:rPr>
              <w:t>表现</w:t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3147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71" w:line="2993" w:lineRule="exact"/>
              <w:ind w:firstLine="106"/>
            </w:pPr>
            <w:r>
              <w:rPr>
                <w:position w:val="-59"/>
              </w:rPr>
              <w:drawing>
                <wp:inline distT="0" distB="0" distL="0" distR="0">
                  <wp:extent cx="3164459" cy="1900555"/>
                  <wp:effectExtent l="0" t="0" r="0" b="0"/>
                  <wp:docPr id="48" name="IM 4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IM 48"/>
                          <pic:cNvPicPr/>
                        </pic:nvPicPr>
                        <pic:blipFill>
                          <a:blip xmlns:r="http://schemas.openxmlformats.org/officeDocument/2006/relationships"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459" cy="19005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90" w:line="199" w:lineRule="auto"/>
        <w:ind w:left="14"/>
        <w:rPr>
          <w:sz w:val="16"/>
          <w:szCs w:val="16"/>
        </w:rPr>
      </w:pPr>
      <w:r>
        <w:rPr>
          <w:spacing w:val="-2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2"/>
          <w:sz w:val="16"/>
          <w:szCs w:val="16"/>
        </w:rPr>
        <w:t>wind</w:t>
      </w:r>
      <w:r>
        <w:rPr>
          <w:rFonts w:ascii="Times New Roman" w:eastAsia="Times New Roman" w:hAnsi="Times New Roman" w:cs="Times New Roman"/>
          <w:spacing w:val="-19"/>
          <w:sz w:val="16"/>
          <w:szCs w:val="16"/>
        </w:rPr>
        <w:t xml:space="preserve"> </w:t>
      </w:r>
      <w:r>
        <w:rPr>
          <w:spacing w:val="-2"/>
          <w:sz w:val="16"/>
          <w:szCs w:val="16"/>
        </w:rPr>
        <w:t>，浙商证券研究所</w:t>
      </w:r>
    </w:p>
    <w:p>
      <w:pPr>
        <w:spacing w:line="199" w:lineRule="auto"/>
        <w:rPr>
          <w:sz w:val="16"/>
          <w:szCs w:val="16"/>
        </w:rPr>
        <w:sectPr>
          <w:headerReference w:type="default" r:id="rId60"/>
          <w:footerReference w:type="default" r:id="rId61"/>
          <w:type w:val="nextPage"/>
          <w:pgSz w:w="11907" w:h="16839"/>
          <w:pgMar w:top="1264" w:right="718" w:bottom="1027" w:left="720" w:header="788" w:footer="796" w:gutter="0"/>
          <w:pgNumType w:start="20"/>
          <w:cols w:num="2" w:space="708" w:equalWidth="0">
            <w:col w:w="5277" w:space="100"/>
            <w:col w:w="5092" w:space="0"/>
          </w:cols>
          <w:titlePg w:val="0"/>
        </w:sectPr>
      </w:pPr>
    </w:p>
    <w:p>
      <w:pPr>
        <w:pStyle w:val="BodyText"/>
        <w:spacing w:before="285" w:line="609" w:lineRule="exact"/>
        <w:ind w:left="2527"/>
        <w:rPr>
          <w:sz w:val="28"/>
          <w:szCs w:val="28"/>
        </w:rPr>
      </w:pPr>
      <w:r>
        <w:pict>
          <v:rect id="_x0000_s1125" style="width:254.6pt;height:0.5pt;margin-top:262.73pt;margin-left:36pt;mso-position-horizontal-relative:page;mso-position-vertical-relative:page;position:absolute;z-index:251696128" o:allowincell="f" filled="t" fillcolor="#c00000" stroked="f"/>
        </w:pict>
      </w:r>
      <w:r>
        <w:pict>
          <v:rect id="_x0000_s1126" style="width:254.6pt;height:0.5pt;margin-top:442.51pt;margin-left:36pt;mso-position-horizontal-relative:page;mso-position-vertical-relative:page;position:absolute;z-index:251697152" o:allowincell="f" filled="t" fillcolor="#c00000" stroked="f"/>
        </w:pict>
      </w:r>
      <w:r>
        <w:pict>
          <v:rect id="_x0000_s1127" style="width:254.7pt;height:0.5pt;margin-top:262.73pt;margin-left:319.03pt;mso-position-horizontal-relative:page;mso-position-vertical-relative:page;position:absolute;z-index:251695104" o:allowincell="f" filled="t" fillcolor="#c00000" stroked="f"/>
        </w:pict>
      </w:r>
      <w:r>
        <w:pict>
          <v:rect id="_x0000_s1128" style="width:254.7pt;height:0.5pt;margin-top:442.51pt;margin-left:319.03pt;mso-position-horizontal-relative:page;mso-position-vertical-relative:page;position:absolute;z-index:251694080" o:allowincell="f" filled="t" fillcolor="#c00000" stroked="f"/>
        </w:pict>
      </w:r>
      <w:r>
        <w:drawing>
          <wp:anchor distT="0" distB="0" distL="0" distR="0" simplePos="0" relativeHeight="251693056" behindDoc="1" locked="0" layoutInCell="0" allowOverlap="1">
            <wp:simplePos x="0" y="0"/>
            <wp:positionH relativeFrom="page">
              <wp:posOffset>2240026</wp:posOffset>
            </wp:positionH>
            <wp:positionV relativeFrom="page">
              <wp:posOffset>7617015</wp:posOffset>
            </wp:positionV>
            <wp:extent cx="4498656" cy="1833245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4498656" cy="18332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15" w:name="bookmark30"/>
      <w:bookmarkEnd w:id="15"/>
      <w:bookmarkStart w:id="16" w:name="bookmark31"/>
      <w:bookmarkEnd w:id="16"/>
      <w:bookmarkStart w:id="17" w:name="bookmark32"/>
      <w:bookmarkEnd w:id="17"/>
      <w:bookmarkStart w:id="18" w:name="bookmark5"/>
      <w:bookmarkEnd w:id="18"/>
      <w:bookmarkStart w:id="19" w:name="bookmark6"/>
      <w:bookmarkEnd w:id="19"/>
      <w:r>
        <w:rPr>
          <w:rFonts w:ascii="Times New Roman" w:eastAsia="Times New Roman" w:hAnsi="Times New Roman" w:cs="Times New Roman"/>
          <w:b/>
          <w:bCs/>
          <w:color w:val="B70004"/>
          <w:spacing w:val="-1"/>
          <w:position w:val="24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b/>
          <w:bCs/>
          <w:color w:val="B70004"/>
          <w:spacing w:val="58"/>
          <w:position w:val="24"/>
          <w:sz w:val="28"/>
          <w:szCs w:val="28"/>
        </w:rPr>
        <w:t xml:space="preserve"> </w:t>
      </w:r>
      <w:r>
        <w:rPr>
          <w:color w:val="B70004"/>
          <w:spacing w:val="-1"/>
          <w:position w:val="24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民营儿科：聚焦高潜业务</w:t>
      </w:r>
      <w:r>
        <w:rPr>
          <w:rFonts w:ascii="Times New Roman" w:eastAsia="Times New Roman" w:hAnsi="Times New Roman" w:cs="Times New Roman"/>
          <w:b/>
          <w:bCs/>
          <w:color w:val="B70004"/>
          <w:spacing w:val="-1"/>
          <w:position w:val="24"/>
          <w:sz w:val="28"/>
          <w:szCs w:val="28"/>
        </w:rPr>
        <w:t>+</w:t>
      </w:r>
      <w:r>
        <w:rPr>
          <w:color w:val="B70004"/>
          <w:spacing w:val="-1"/>
          <w:position w:val="24"/>
          <w:sz w:val="28"/>
          <w:szCs w:val="28"/>
          <w14:textOutline w14:w="5094">
            <w14:solidFill>
              <w14:srgbClr w14:val="B70004"/>
            </w14:solidFill>
            <w14:prstDash w14:val="solid"/>
            <w14:miter w14:lim="10"/>
          </w14:textOutline>
        </w:rPr>
        <w:t>连锁化赋能，优质赛道布局正当时</w:t>
      </w:r>
    </w:p>
    <w:p>
      <w:pPr>
        <w:pStyle w:val="BodyText"/>
        <w:spacing w:line="212" w:lineRule="auto"/>
        <w:ind w:left="2523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B70004"/>
          <w:spacing w:val="-4"/>
          <w:sz w:val="24"/>
          <w:szCs w:val="24"/>
        </w:rPr>
        <w:t xml:space="preserve">2.1 </w:t>
      </w:r>
      <w:r>
        <w:rPr>
          <w:color w:val="B70004"/>
          <w:spacing w:val="-4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概览：</w:t>
      </w:r>
      <w:r>
        <w:rPr>
          <w:color w:val="B70004"/>
          <w:spacing w:val="-4"/>
          <w:sz w:val="24"/>
          <w:szCs w:val="24"/>
        </w:rPr>
        <w:t xml:space="preserve"> </w:t>
      </w:r>
      <w:r>
        <w:rPr>
          <w:color w:val="B70004"/>
          <w:spacing w:val="-4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行业扩容政策支持，民营儿科乘</w:t>
      </w:r>
      <w:r>
        <w:rPr>
          <w:color w:val="B70004"/>
          <w:spacing w:val="-5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风而起</w:t>
      </w:r>
    </w:p>
    <w:p>
      <w:pPr>
        <w:pStyle w:val="BodyText"/>
        <w:spacing w:before="206" w:line="298" w:lineRule="auto"/>
        <w:ind w:left="2553" w:right="297" w:firstLine="416"/>
      </w:pPr>
      <w:r>
        <w:rPr>
          <w:color w:val="C00000"/>
          <w:spacing w:val="9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需求：客群基数大</w:t>
      </w:r>
      <w:r>
        <w:rPr>
          <w:rFonts w:ascii="Times New Roman" w:eastAsia="Times New Roman" w:hAnsi="Times New Roman" w:cs="Times New Roman"/>
          <w:b/>
          <w:bCs/>
          <w:color w:val="C00000"/>
          <w:spacing w:val="9"/>
        </w:rPr>
        <w:t>+</w:t>
      </w:r>
      <w:r>
        <w:rPr>
          <w:color w:val="C00000"/>
          <w:spacing w:val="9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消费精细化，儿科医疗空间广阔。</w:t>
      </w:r>
      <w:r>
        <w:rPr>
          <w:spacing w:val="9"/>
        </w:rPr>
        <w:t>尽管近年来人口出生率有所承</w:t>
      </w:r>
      <w:r>
        <w:rPr>
          <w:spacing w:val="9"/>
        </w:rPr>
        <w:t xml:space="preserve">  </w:t>
      </w:r>
      <w:r>
        <w:rPr>
          <w:spacing w:val="9"/>
        </w:rPr>
        <w:t>压，但伴随国民身体素质提高及医疗水平发展，我国新生儿、婴幼儿及</w:t>
      </w:r>
      <w:r>
        <w:rPr>
          <w:spacing w:val="-31"/>
        </w:rPr>
        <w:t xml:space="preserve"> </w:t>
      </w:r>
      <w:r>
        <w:rPr>
          <w:rFonts w:ascii="Times New Roman" w:eastAsia="Times New Roman" w:hAnsi="Times New Roman" w:cs="Times New Roman"/>
          <w:spacing w:val="9"/>
        </w:rPr>
        <w:t xml:space="preserve">5 </w:t>
      </w:r>
      <w:r>
        <w:rPr>
          <w:spacing w:val="9"/>
        </w:rPr>
        <w:t>岁以下儿童死亡</w:t>
      </w:r>
      <w:r>
        <w:t xml:space="preserve">  </w:t>
      </w:r>
      <w:r>
        <w:rPr>
          <w:spacing w:val="4"/>
        </w:rPr>
        <w:t>率显著降低，叠加多胎政策放开，</w:t>
      </w:r>
      <w:r>
        <w:rPr>
          <w:spacing w:val="4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>0-</w:t>
      </w:r>
      <w:r>
        <w:rPr>
          <w:rFonts w:ascii="Times New Roman" w:eastAsia="Times New Roman" w:hAnsi="Times New Roman" w:cs="Times New Roman"/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14 </w:t>
      </w:r>
      <w:r>
        <w:rPr>
          <w:spacing w:val="4"/>
        </w:rPr>
        <w:t>岁儿童当前仍有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2.4 </w:t>
      </w:r>
      <w:r>
        <w:rPr>
          <w:spacing w:val="4"/>
        </w:rPr>
        <w:t>亿存量。此外</w:t>
      </w:r>
      <w:r>
        <w:rPr>
          <w:spacing w:val="-32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85 </w:t>
      </w:r>
      <w:r>
        <w:rPr>
          <w:spacing w:val="4"/>
        </w:rPr>
        <w:t>后及</w:t>
      </w:r>
      <w:r>
        <w:rPr>
          <w:spacing w:val="-37"/>
        </w:rPr>
        <w:t xml:space="preserve"> </w:t>
      </w:r>
      <w:r>
        <w:rPr>
          <w:rFonts w:ascii="Times New Roman" w:eastAsia="Times New Roman" w:hAnsi="Times New Roman" w:cs="Times New Roman"/>
          <w:spacing w:val="4"/>
        </w:rPr>
        <w:t xml:space="preserve">90 </w:t>
      </w:r>
      <w:r>
        <w:rPr>
          <w:spacing w:val="4"/>
        </w:rPr>
        <w:t>后新</w:t>
      </w:r>
      <w:r>
        <w:t xml:space="preserve">   </w:t>
      </w:r>
      <w:r>
        <w:rPr>
          <w:spacing w:val="6"/>
        </w:rPr>
        <w:t>生代父母受教育程度普遍较高，养儿理念愈</w:t>
      </w:r>
      <w:r>
        <w:rPr>
          <w:spacing w:val="5"/>
        </w:rPr>
        <w:t>发科学化、精细化，</w:t>
      </w:r>
      <w:r>
        <w:rPr>
          <w:spacing w:val="73"/>
        </w:rPr>
        <w:t xml:space="preserve"> </w:t>
      </w:r>
      <w:r>
        <w:rPr>
          <w:spacing w:val="5"/>
        </w:rPr>
        <w:t>大基数客群叠加消费意愿</w:t>
      </w:r>
      <w:r>
        <w:t xml:space="preserve">  </w:t>
      </w:r>
      <w:r>
        <w:rPr>
          <w:spacing w:val="6"/>
        </w:rPr>
        <w:t>提升将有效驱动儿童医疗服务市场规模增长。据新世纪医疗官微披露，</w:t>
      </w:r>
      <w:r>
        <w:rPr>
          <w:spacing w:val="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2012-2016 </w:t>
      </w:r>
      <w:r>
        <w:rPr>
          <w:spacing w:val="6"/>
        </w:rPr>
        <w:t>年中国儿</w:t>
      </w:r>
      <w:r>
        <w:rPr>
          <w:spacing w:val="10"/>
        </w:rPr>
        <w:t xml:space="preserve"> </w:t>
      </w:r>
      <w:r>
        <w:rPr>
          <w:spacing w:val="6"/>
        </w:rPr>
        <w:t>科医疗服务市场规模由</w:t>
      </w:r>
      <w:r>
        <w:rPr>
          <w:spacing w:val="-34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537 </w:t>
      </w:r>
      <w:r>
        <w:rPr>
          <w:spacing w:val="6"/>
        </w:rPr>
        <w:t>亿元增至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933 </w:t>
      </w:r>
      <w:r>
        <w:rPr>
          <w:spacing w:val="6"/>
        </w:rPr>
        <w:t>亿元，对应</w:t>
      </w:r>
      <w:r>
        <w:rPr>
          <w:spacing w:val="-35"/>
        </w:rPr>
        <w:t xml:space="preserve"> </w:t>
      </w:r>
      <w:r>
        <w:rPr>
          <w:rFonts w:ascii="Times New Roman" w:eastAsia="Times New Roman" w:hAnsi="Times New Roman" w:cs="Times New Roman"/>
        </w:rPr>
        <w:t>CAGR</w:t>
      </w:r>
      <w:r>
        <w:rPr>
          <w:rFonts w:ascii="Times New Roman" w:eastAsia="Times New Roman" w:hAnsi="Times New Roman" w:cs="Times New Roman"/>
          <w:spacing w:val="6"/>
        </w:rPr>
        <w:t xml:space="preserve"> </w:t>
      </w:r>
      <w:r>
        <w:rPr>
          <w:spacing w:val="6"/>
        </w:rPr>
        <w:t>达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15%</w:t>
      </w:r>
      <w:r>
        <w:rPr>
          <w:spacing w:val="5"/>
        </w:rPr>
        <w:t>，预计</w:t>
      </w:r>
      <w:r>
        <w:rPr>
          <w:spacing w:val="-27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2016-2021 </w:t>
      </w:r>
      <w:r>
        <w:rPr>
          <w:spacing w:val="5"/>
        </w:rPr>
        <w:t>年可</w:t>
      </w:r>
      <w:r>
        <w:t xml:space="preserve">  </w:t>
      </w:r>
      <w:r>
        <w:rPr>
          <w:spacing w:val="3"/>
        </w:rPr>
        <w:t>保持约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>20%</w:t>
      </w:r>
      <w:r>
        <w:rPr>
          <w:spacing w:val="3"/>
        </w:rPr>
        <w:t>的年复合增速，</w:t>
      </w:r>
      <w:r>
        <w:rPr>
          <w:spacing w:val="3"/>
        </w:rPr>
        <w:t xml:space="preserve"> </w:t>
      </w:r>
      <w:r>
        <w:rPr>
          <w:spacing w:val="3"/>
        </w:rPr>
        <w:t>至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3"/>
        </w:rPr>
        <w:t xml:space="preserve">2021 </w:t>
      </w:r>
      <w:r>
        <w:rPr>
          <w:spacing w:val="3"/>
        </w:rPr>
        <w:t>年市场规</w:t>
      </w:r>
      <w:r>
        <w:rPr>
          <w:spacing w:val="2"/>
        </w:rPr>
        <w:t>模达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2304 </w:t>
      </w:r>
      <w:r>
        <w:rPr>
          <w:spacing w:val="2"/>
        </w:rPr>
        <w:t>亿元。</w:t>
      </w:r>
    </w:p>
    <w:p>
      <w:pPr>
        <w:spacing w:line="170" w:lineRule="exact"/>
      </w:pPr>
    </w:p>
    <w:p>
      <w:pPr>
        <w:spacing w:line="170" w:lineRule="exact"/>
        <w:sectPr>
          <w:headerReference w:type="default" r:id="rId63"/>
          <w:footerReference w:type="default" r:id="rId64"/>
          <w:pgSz w:w="11907" w:h="16839"/>
          <w:pgMar w:top="1264" w:right="432" w:bottom="1027" w:left="720" w:header="788" w:footer="796" w:gutter="0"/>
          <w:pgNumType w:start="21"/>
          <w:cols w:num="1" w:space="708" w:equalWidth="0">
            <w:col w:w="10755" w:space="0"/>
          </w:cols>
        </w:sectPr>
      </w:pPr>
    </w:p>
    <w:p>
      <w:pPr>
        <w:pStyle w:val="BodyText"/>
        <w:spacing w:before="36" w:line="217" w:lineRule="auto"/>
        <w:ind w:left="25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11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2010</w:t>
      </w:r>
      <w:r>
        <w:rPr>
          <w:rFonts w:ascii="Times New Roman" w:eastAsia="Times New Roman" w:hAnsi="Times New Roman" w:cs="Times New Roman"/>
          <w:color w:val="B70004"/>
          <w:spacing w:val="-28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—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2022 </w:t>
      </w:r>
      <w:r>
        <w:rPr>
          <w:color w:val="B70004"/>
          <w:spacing w:val="-3"/>
          <w:sz w:val="18"/>
          <w:szCs w:val="18"/>
        </w:rPr>
        <w:t>年</w:t>
      </w:r>
      <w:r>
        <w:rPr>
          <w:color w:val="B70004"/>
          <w:spacing w:val="-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0-</w:t>
      </w:r>
      <w:r>
        <w:rPr>
          <w:rFonts w:ascii="Times New Roman" w:eastAsia="Times New Roman" w:hAnsi="Times New Roman" w:cs="Times New Roman"/>
          <w:color w:val="B70004"/>
          <w:spacing w:val="-24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14 </w:t>
      </w:r>
      <w:r>
        <w:rPr>
          <w:color w:val="B70004"/>
          <w:spacing w:val="-3"/>
          <w:sz w:val="18"/>
          <w:szCs w:val="18"/>
        </w:rPr>
        <w:t>岁人口（亿人）及占总人口</w:t>
      </w:r>
      <w:r>
        <w:rPr>
          <w:color w:val="B70004"/>
          <w:spacing w:val="-4"/>
          <w:sz w:val="18"/>
          <w:szCs w:val="18"/>
        </w:rPr>
        <w:t>比例</w:t>
      </w:r>
    </w:p>
    <w:p>
      <w:pPr>
        <w:spacing w:before="231" w:line="3235" w:lineRule="exact"/>
        <w:ind w:firstLine="108"/>
      </w:pPr>
      <w:r>
        <w:rPr>
          <w:position w:val="-64"/>
        </w:rPr>
        <w:drawing>
          <wp:inline distT="0" distB="0" distL="0" distR="0">
            <wp:extent cx="3127375" cy="2054224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3127375" cy="2054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78" w:line="199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wind</w:t>
      </w:r>
      <w:r>
        <w:rPr>
          <w:spacing w:val="-1"/>
          <w:sz w:val="16"/>
          <w:szCs w:val="16"/>
        </w:rPr>
        <w:t>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5" w:lineRule="auto"/>
        <w:ind w:left="25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12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5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新生代父母学历画像（截至</w:t>
      </w:r>
      <w:r>
        <w:rPr>
          <w:color w:val="B70004"/>
          <w:spacing w:val="-40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 xml:space="preserve">2021 </w:t>
      </w:r>
      <w:r>
        <w:rPr>
          <w:color w:val="B70004"/>
          <w:spacing w:val="-3"/>
          <w:sz w:val="18"/>
          <w:szCs w:val="18"/>
        </w:rPr>
        <w:t>年）</w:t>
      </w:r>
    </w:p>
    <w:p>
      <w:pPr>
        <w:spacing w:line="455" w:lineRule="auto"/>
        <w:rPr>
          <w:rFonts w:ascii="Arial"/>
          <w:sz w:val="21"/>
        </w:rPr>
      </w:pPr>
    </w:p>
    <w:p>
      <w:pPr>
        <w:spacing w:line="2775" w:lineRule="exact"/>
        <w:ind w:firstLine="172"/>
      </w:pPr>
      <w:r>
        <w:rPr>
          <w:position w:val="-55"/>
        </w:rPr>
        <w:drawing>
          <wp:inline distT="0" distB="0" distL="0" distR="0">
            <wp:extent cx="3011804" cy="1762124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011804" cy="1762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58" w:lineRule="auto"/>
        <w:rPr>
          <w:rFonts w:ascii="Arial"/>
          <w:sz w:val="21"/>
        </w:rPr>
      </w:pPr>
    </w:p>
    <w:p>
      <w:pPr>
        <w:pStyle w:val="BodyText"/>
        <w:spacing w:before="52" w:line="199" w:lineRule="auto"/>
        <w:ind w:left="14"/>
        <w:rPr>
          <w:sz w:val="16"/>
          <w:szCs w:val="16"/>
        </w:rPr>
      </w:pPr>
      <w:r>
        <w:rPr>
          <w:spacing w:val="-6"/>
          <w:sz w:val="16"/>
          <w:szCs w:val="16"/>
        </w:rPr>
        <w:t>资料来源：艾瑞咨询，</w:t>
      </w:r>
      <w:r>
        <w:rPr>
          <w:spacing w:val="-6"/>
          <w:sz w:val="16"/>
          <w:szCs w:val="16"/>
        </w:rPr>
        <w:t xml:space="preserve"> </w:t>
      </w:r>
      <w:r>
        <w:rPr>
          <w:spacing w:val="-6"/>
          <w:sz w:val="16"/>
          <w:szCs w:val="16"/>
        </w:rPr>
        <w:t>浙商证券研究所</w:t>
      </w:r>
    </w:p>
    <w:p>
      <w:pPr>
        <w:spacing w:line="199" w:lineRule="auto"/>
        <w:rPr>
          <w:sz w:val="16"/>
          <w:szCs w:val="16"/>
        </w:rPr>
        <w:sectPr>
          <w:headerReference w:type="default" r:id="rId67"/>
          <w:footerReference w:type="default" r:id="rId68"/>
          <w:type w:val="continuous"/>
          <w:pgSz w:w="11907" w:h="16839"/>
          <w:pgMar w:top="1264" w:right="432" w:bottom="1027" w:left="720" w:header="788" w:footer="796" w:gutter="0"/>
          <w:pgNumType w:start="22"/>
          <w:cols w:num="2" w:space="708" w:equalWidth="0">
            <w:col w:w="5561" w:space="100"/>
            <w:col w:w="5094" w:space="0"/>
          </w:cols>
        </w:sectPr>
      </w:pPr>
    </w:p>
    <w:p>
      <w:pPr>
        <w:pStyle w:val="BodyText"/>
        <w:spacing w:before="164" w:line="298" w:lineRule="auto"/>
        <w:ind w:left="2557" w:right="380" w:firstLine="399"/>
        <w:jc w:val="both"/>
      </w:pP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供给：双轨制各有侧重，</w:t>
      </w:r>
      <w:r>
        <w:rPr>
          <w:color w:val="C00000"/>
          <w:spacing w:val="5"/>
        </w:rPr>
        <w:t xml:space="preserve"> </w:t>
      </w:r>
      <w:r>
        <w:rPr>
          <w:color w:val="C00000"/>
          <w:spacing w:val="5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民营机构聚焦长周期诊疗业务。</w:t>
      </w:r>
      <w:r>
        <w:rPr>
          <w:color w:val="C00000"/>
          <w:spacing w:val="5"/>
        </w:rPr>
        <w:t xml:space="preserve"> </w:t>
      </w:r>
      <w:r>
        <w:rPr>
          <w:spacing w:val="5"/>
        </w:rPr>
        <w:t>儿童医疗机构位于产业链中</w:t>
      </w:r>
      <w:r>
        <w:t xml:space="preserve"> </w:t>
      </w:r>
      <w:r>
        <w:rPr>
          <w:spacing w:val="10"/>
        </w:rPr>
        <w:t>游，主要可分为公立和民营两大体系，其中公立机构主要包括综</w:t>
      </w:r>
      <w:r>
        <w:rPr>
          <w:spacing w:val="9"/>
        </w:rPr>
        <w:t>合医院儿科、儿童医院和</w:t>
      </w:r>
      <w:r>
        <w:t xml:space="preserve"> </w:t>
      </w:r>
      <w:r>
        <w:rPr>
          <w:spacing w:val="10"/>
        </w:rPr>
        <w:t>妇幼保健院，主要承接儿童基础病、重大专科和急诊等严肃</w:t>
      </w:r>
      <w:r>
        <w:rPr>
          <w:spacing w:val="9"/>
        </w:rPr>
        <w:t>医疗属性较强的儿科疾病，为</w:t>
      </w:r>
      <w:r>
        <w:t xml:space="preserve"> </w:t>
      </w:r>
      <w:r>
        <w:rPr>
          <w:spacing w:val="10"/>
        </w:rPr>
        <w:t>当前儿童医疗服务市场主力军。而私立儿科机构主要包括儿</w:t>
      </w:r>
      <w:r>
        <w:rPr>
          <w:spacing w:val="9"/>
        </w:rPr>
        <w:t>童医院和诊所，定位市场化运</w:t>
      </w:r>
      <w:r>
        <w:t xml:space="preserve"> </w:t>
      </w:r>
      <w:r>
        <w:rPr>
          <w:spacing w:val="7"/>
        </w:rPr>
        <w:t>营，可进一步细分为儿童专科、儿童保健等多个赛道，</w:t>
      </w:r>
      <w:r>
        <w:rPr>
          <w:spacing w:val="7"/>
        </w:rPr>
        <w:t xml:space="preserve"> </w:t>
      </w:r>
      <w:r>
        <w:rPr>
          <w:spacing w:val="7"/>
        </w:rPr>
        <w:t>主要围绕儿童口腔、心理行为、矮</w:t>
      </w:r>
      <w:r>
        <w:rPr>
          <w:spacing w:val="2"/>
        </w:rPr>
        <w:t xml:space="preserve"> </w:t>
      </w:r>
      <w:r>
        <w:rPr>
          <w:spacing w:val="10"/>
        </w:rPr>
        <w:t>小、眼视光等专科展业，此类儿童生长发育问题往往具有发</w:t>
      </w:r>
      <w:r>
        <w:rPr>
          <w:spacing w:val="9"/>
        </w:rPr>
        <w:t>病率高、治疗周期长、医保覆</w:t>
      </w:r>
      <w:r>
        <w:t xml:space="preserve"> </w:t>
      </w:r>
      <w:r>
        <w:rPr>
          <w:spacing w:val="6"/>
        </w:rPr>
        <w:t>盖有限的特点，</w:t>
      </w:r>
      <w:r>
        <w:rPr>
          <w:spacing w:val="6"/>
        </w:rPr>
        <w:t xml:space="preserve"> </w:t>
      </w:r>
      <w:r>
        <w:rPr>
          <w:spacing w:val="6"/>
        </w:rPr>
        <w:t>公立医院难以服务到位，可为私营机构留出发展空间。</w:t>
      </w:r>
    </w:p>
    <w:p>
      <w:pPr>
        <w:pStyle w:val="BodyText"/>
        <w:spacing w:before="207" w:line="215" w:lineRule="auto"/>
        <w:ind w:left="2576"/>
        <w:rPr>
          <w:sz w:val="18"/>
          <w:szCs w:val="18"/>
        </w:rPr>
        <w:sectPr>
          <w:headerReference w:type="default" r:id="rId69"/>
          <w:footerReference w:type="default" r:id="rId70"/>
          <w:type w:val="continuous"/>
          <w:pgSz w:w="11907" w:h="16839"/>
          <w:pgMar w:top="1264" w:right="432" w:bottom="1027" w:left="720" w:header="788" w:footer="796" w:gutter="0"/>
          <w:pgNumType w:start="23"/>
          <w:cols w:num="1" w:space="708" w:equalWidth="0">
            <w:col w:w="10755" w:space="0"/>
          </w:cols>
        </w:sectPr>
      </w:pPr>
      <w:r>
        <w:rPr>
          <w:color w:val="B70004"/>
          <w:spacing w:val="-4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4"/>
          <w:sz w:val="18"/>
          <w:szCs w:val="18"/>
        </w:rPr>
        <w:t>13</w:t>
      </w:r>
      <w:r>
        <w:rPr>
          <w:color w:val="B70004"/>
          <w:spacing w:val="-4"/>
          <w:sz w:val="18"/>
          <w:szCs w:val="18"/>
        </w:rPr>
        <w:t>：</w:t>
      </w:r>
      <w:r>
        <w:rPr>
          <w:color w:val="B70004"/>
          <w:spacing w:val="-4"/>
          <w:sz w:val="18"/>
          <w:szCs w:val="18"/>
        </w:rPr>
        <w:t xml:space="preserve"> </w:t>
      </w:r>
      <w:r>
        <w:rPr>
          <w:color w:val="B70004"/>
          <w:spacing w:val="-4"/>
          <w:sz w:val="18"/>
          <w:szCs w:val="18"/>
        </w:rPr>
        <w:t>儿科医疗行业产业链概览</w:t>
      </w:r>
    </w:p>
    <w:p>
      <w:pPr>
        <w:spacing w:before="50" w:line="3080" w:lineRule="exact"/>
        <w:ind w:firstLine="2551"/>
      </w:pPr>
      <w:r>
        <w:rPr>
          <w:position w:val="-61"/>
        </w:rPr>
        <w:pict>
          <v:group id="_x0000_i1129" style="width:395.85pt;height:154pt;mso-position-horizontal-relative:char;mso-position-vertical-relative:line" coordorigin="0,0" coordsize="7917,3080" filled="f" stroked="f">
            <v:rect id="_x0000_s1130" style="width:7917;height:10;position:absolute" filled="t" fillcolor="#b70004" stroked="f"/>
            <v:rect id="_x0000_s1131" style="width:7917;height:10;position:absolute;top:3070" filled="t" fillcolor="#b70004" stroked="f"/>
            <w10:wrap type="none"/>
          </v:group>
        </w:pict>
      </w:r>
    </w:p>
    <w:p>
      <w:pPr>
        <w:pStyle w:val="BodyText"/>
        <w:spacing w:before="87" w:line="186" w:lineRule="auto"/>
        <w:ind w:left="2566"/>
        <w:rPr>
          <w:sz w:val="16"/>
          <w:szCs w:val="16"/>
        </w:rPr>
      </w:pPr>
      <w:r>
        <w:rPr>
          <w:spacing w:val="-1"/>
          <w:sz w:val="16"/>
          <w:szCs w:val="16"/>
        </w:rPr>
        <w:t>资料来源：头豹研究院，浙商证券研究所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71"/>
          <w:footerReference w:type="default" r:id="rId72"/>
          <w:type w:val="nextPage"/>
          <w:pgSz w:w="11907" w:h="16839"/>
          <w:pgMar w:top="1264" w:right="432" w:bottom="1027" w:left="720" w:header="788" w:footer="796" w:gutter="0"/>
          <w:pgNumType w:start="24"/>
          <w:cols w:num="1" w:space="708" w:equalWidth="0">
            <w:col w:w="10755" w:space="0"/>
          </w:cols>
          <w:titlePg w:val="0"/>
        </w:sectPr>
      </w:pPr>
    </w:p>
    <w:p>
      <w:pPr>
        <w:spacing w:line="155" w:lineRule="exact"/>
      </w:pPr>
      <w:r>
        <w:pict>
          <v:rect id="_x0000_s1132" style="width:254.6pt;height:0.5pt;margin-top:85.94pt;margin-left:36pt;mso-position-horizontal-relative:page;mso-position-vertical-relative:page;position:absolute;z-index:251700224" o:allowincell="f" filled="t" fillcolor="#c00000" stroked="f"/>
        </w:pict>
      </w:r>
      <w:r>
        <w:pict>
          <v:rect id="_x0000_s1133" style="width:254.6pt;height:0.5pt;margin-top:222.74pt;margin-left:36pt;mso-position-horizontal-relative:page;mso-position-vertical-relative:page;position:absolute;z-index:251699200" o:allowincell="f" filled="t" fillcolor="#c00000" stroked="f"/>
        </w:pict>
      </w:r>
      <w:r>
        <w:drawing>
          <wp:anchor distT="0" distB="0" distL="0" distR="0" simplePos="0" relativeHeight="251698176" behindDoc="1" locked="0" layoutInCell="0" allowOverlap="1">
            <wp:simplePos x="0" y="0"/>
            <wp:positionH relativeFrom="page">
              <wp:posOffset>4028059</wp:posOffset>
            </wp:positionH>
            <wp:positionV relativeFrom="page">
              <wp:posOffset>1138428</wp:posOffset>
            </wp:positionV>
            <wp:extent cx="2917571" cy="1649094"/>
            <wp:effectExtent l="0" t="0" r="0" b="0"/>
            <wp:wrapNone/>
            <wp:docPr id="58" name="IM 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IM 58"/>
                    <pic:cNvPicPr/>
                  </pic:nvPicPr>
                  <pic:blipFill>
                    <a:blip xmlns:r="http://schemas.openxmlformats.org/officeDocument/2006/relationships" r:embed="rId73"/>
                    <a:stretch>
                      <a:fillRect/>
                    </a:stretch>
                  </pic:blipFill>
                  <pic:spPr>
                    <a:xfrm>
                      <a:off x="0" y="0"/>
                      <a:ext cx="2917571" cy="16490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155" w:lineRule="exact"/>
        <w:sectPr>
          <w:headerReference w:type="default" r:id="rId74"/>
          <w:footerReference w:type="default" r:id="rId75"/>
          <w:pgSz w:w="11907" w:h="16839"/>
          <w:pgMar w:top="1264" w:right="718" w:bottom="1027" w:left="720" w:header="788" w:footer="796" w:gutter="0"/>
          <w:pgNumType w:start="25"/>
          <w:cols w:num="1" w:space="708" w:equalWidth="0">
            <w:col w:w="10469" w:space="0"/>
          </w:cols>
        </w:sectPr>
      </w:pPr>
    </w:p>
    <w:p>
      <w:pPr>
        <w:pStyle w:val="BodyText"/>
        <w:spacing w:before="35" w:line="217" w:lineRule="auto"/>
        <w:ind w:left="25"/>
        <w:rPr>
          <w:sz w:val="18"/>
          <w:szCs w:val="18"/>
        </w:rPr>
      </w:pPr>
      <w:bookmarkStart w:id="20" w:name="bookmark33"/>
      <w:bookmarkEnd w:id="20"/>
      <w:bookmarkStart w:id="21" w:name="bookmark34"/>
      <w:bookmarkEnd w:id="21"/>
      <w:bookmarkStart w:id="22" w:name="bookmark35"/>
      <w:bookmarkEnd w:id="22"/>
      <w:bookmarkStart w:id="23" w:name="bookmark36"/>
      <w:bookmarkEnd w:id="23"/>
      <w:bookmarkStart w:id="24" w:name="bookmark37"/>
      <w:bookmarkEnd w:id="24"/>
      <w:bookmarkStart w:id="25" w:name="bookmark38"/>
      <w:bookmarkEnd w:id="25"/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14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26"/>
          <w:sz w:val="18"/>
          <w:szCs w:val="18"/>
        </w:rPr>
        <w:t xml:space="preserve"> </w:t>
      </w:r>
      <w:r>
        <w:rPr>
          <w:color w:val="B70004"/>
          <w:spacing w:val="-2"/>
          <w:sz w:val="18"/>
          <w:szCs w:val="18"/>
        </w:rPr>
        <w:t>公立医院儿科主要临床方向（部分）</w:t>
      </w:r>
    </w:p>
    <w:p>
      <w:pPr>
        <w:spacing w:before="187" w:line="2474" w:lineRule="exact"/>
        <w:ind w:firstLine="108"/>
      </w:pPr>
      <w:r>
        <w:rPr>
          <w:position w:val="-49"/>
        </w:rPr>
        <w:drawing>
          <wp:inline distT="0" distB="0" distL="0" distR="0">
            <wp:extent cx="3095625" cy="1570990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3095625" cy="1570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5" w:line="186" w:lineRule="auto"/>
        <w:ind w:left="14"/>
        <w:rPr>
          <w:sz w:val="16"/>
          <w:szCs w:val="16"/>
        </w:rPr>
      </w:pPr>
      <w:r>
        <w:rPr>
          <w:spacing w:val="-7"/>
          <w:sz w:val="16"/>
          <w:szCs w:val="16"/>
        </w:rPr>
        <w:t>资料来源：《儿童医疗服务行业的展望》，浙商证券研究所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2" w:lineRule="auto"/>
        <w:ind w:left="25"/>
        <w:rPr>
          <w:sz w:val="18"/>
          <w:szCs w:val="18"/>
        </w:rPr>
      </w:pPr>
      <w:r>
        <w:rPr>
          <w:color w:val="B70004"/>
          <w:spacing w:val="-7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7"/>
          <w:sz w:val="18"/>
          <w:szCs w:val="18"/>
        </w:rPr>
        <w:t>15</w:t>
      </w:r>
      <w:r>
        <w:rPr>
          <w:color w:val="B70004"/>
          <w:spacing w:val="-7"/>
          <w:sz w:val="18"/>
          <w:szCs w:val="18"/>
        </w:rPr>
        <w:t>：</w:t>
      </w:r>
      <w:r>
        <w:rPr>
          <w:color w:val="B70004"/>
          <w:spacing w:val="-7"/>
          <w:sz w:val="18"/>
          <w:szCs w:val="18"/>
        </w:rPr>
        <w:t xml:space="preserve"> </w:t>
      </w:r>
      <w:r>
        <w:rPr>
          <w:color w:val="B70004"/>
          <w:spacing w:val="-7"/>
          <w:sz w:val="18"/>
          <w:szCs w:val="18"/>
        </w:rPr>
        <w:t>民营儿科机构主要服务方向（部分，</w:t>
      </w:r>
      <w:r>
        <w:rPr>
          <w:color w:val="B70004"/>
          <w:spacing w:val="49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7"/>
          <w:sz w:val="18"/>
          <w:szCs w:val="18"/>
        </w:rPr>
        <w:t xml:space="preserve">2021 </w:t>
      </w:r>
      <w:r>
        <w:rPr>
          <w:color w:val="B70004"/>
          <w:spacing w:val="-7"/>
          <w:sz w:val="18"/>
          <w:szCs w:val="18"/>
        </w:rPr>
        <w:t>年数据）</w:t>
      </w:r>
    </w:p>
    <w:p>
      <w:pPr>
        <w:spacing w:before="56" w:line="2745" w:lineRule="exact"/>
      </w:pPr>
      <w:r>
        <w:rPr>
          <w:position w:val="-54"/>
        </w:rPr>
        <w:pict>
          <v:group id="_x0000_i1134" style="width:254.6pt;height:137.3pt;mso-position-horizontal-relative:char;mso-position-vertical-relative:line" coordorigin="0,0" coordsize="5092,2746" filled="f" stroked="f">
            <v:rect id="_x0000_s1135" style="width:5092;height:10;position:absolute" filled="t" fillcolor="#c00000" stroked="f"/>
            <v:rect id="_x0000_s1136" style="width:5092;height:10;position:absolute;top:2735" filled="t" fillcolor="#c00000" stroked="f"/>
            <w10:wrap type="none"/>
          </v:group>
        </w:pict>
      </w:r>
    </w:p>
    <w:p>
      <w:pPr>
        <w:pStyle w:val="BodyText"/>
        <w:spacing w:before="89" w:line="186" w:lineRule="auto"/>
        <w:ind w:left="14"/>
        <w:rPr>
          <w:sz w:val="16"/>
          <w:szCs w:val="16"/>
        </w:rPr>
      </w:pPr>
      <w:r>
        <w:rPr>
          <w:spacing w:val="-7"/>
          <w:sz w:val="16"/>
          <w:szCs w:val="16"/>
        </w:rPr>
        <w:t>资料来源：《儿童医疗服务行业的展望》，浙商证券研究所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77"/>
          <w:footerReference w:type="default" r:id="rId78"/>
          <w:type w:val="continuous"/>
          <w:pgSz w:w="11907" w:h="16839"/>
          <w:pgMar w:top="1264" w:right="718" w:bottom="1027" w:left="720" w:header="788" w:footer="796" w:gutter="0"/>
          <w:pgNumType w:start="26"/>
          <w:cols w:num="2" w:space="708" w:equalWidth="0">
            <w:col w:w="5277" w:space="100"/>
            <w:col w:w="5092" w:space="0"/>
          </w:cols>
        </w:sectPr>
      </w:pPr>
    </w:p>
    <w:p>
      <w:pPr>
        <w:pStyle w:val="BodyText"/>
        <w:spacing w:before="177" w:line="296" w:lineRule="auto"/>
        <w:ind w:left="2552" w:right="28" w:firstLine="433"/>
      </w:pP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医师及床位负荷较高，儿科医疗资源紧缺。</w:t>
      </w:r>
      <w:r>
        <w:rPr>
          <w:spacing w:val="6"/>
        </w:rPr>
        <w:t>据《</w:t>
      </w:r>
      <w:r>
        <w:rPr>
          <w:rFonts w:ascii="Times New Roman" w:eastAsia="Times New Roman" w:hAnsi="Times New Roman" w:cs="Times New Roman"/>
          <w:spacing w:val="6"/>
        </w:rPr>
        <w:t>2022</w:t>
      </w:r>
      <w:r>
        <w:rPr>
          <w:rFonts w:ascii="Times New Roman" w:eastAsia="Times New Roman" w:hAnsi="Times New Roman" w:cs="Times New Roman"/>
          <w:spacing w:val="24"/>
        </w:rPr>
        <w:t xml:space="preserve"> </w:t>
      </w:r>
      <w:r>
        <w:rPr>
          <w:spacing w:val="5"/>
        </w:rPr>
        <w:t>中国卫生健康统计年鉴》，截至</w:t>
      </w:r>
      <w:r>
        <w:t xml:space="preserve">  </w:t>
      </w:r>
      <w:r>
        <w:rPr>
          <w:rFonts w:ascii="Times New Roman" w:eastAsia="Times New Roman" w:hAnsi="Times New Roman" w:cs="Times New Roman"/>
          <w:spacing w:val="7"/>
        </w:rPr>
        <w:t xml:space="preserve">2021 </w:t>
      </w:r>
      <w:r>
        <w:rPr>
          <w:spacing w:val="7"/>
        </w:rPr>
        <w:t>年，公立及民营儿童医院合计</w:t>
      </w:r>
      <w:r>
        <w:rPr>
          <w:spacing w:val="-2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>151</w:t>
      </w:r>
      <w:r>
        <w:rPr>
          <w:rFonts w:ascii="Times New Roman" w:eastAsia="Times New Roman" w:hAnsi="Times New Roman" w:cs="Times New Roman"/>
          <w:spacing w:val="19"/>
          <w:w w:val="101"/>
        </w:rPr>
        <w:t xml:space="preserve"> </w:t>
      </w:r>
      <w:r>
        <w:rPr>
          <w:spacing w:val="7"/>
        </w:rPr>
        <w:t>家，占全国各类</w:t>
      </w:r>
      <w:r>
        <w:rPr>
          <w:spacing w:val="6"/>
        </w:rPr>
        <w:t>医院总数比例仅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0.4%</w:t>
      </w:r>
      <w:r>
        <w:rPr>
          <w:spacing w:val="6"/>
        </w:rPr>
        <w:t>，此外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>2021</w:t>
      </w:r>
      <w:r>
        <w:rPr>
          <w:rFonts w:ascii="Times New Roman" w:eastAsia="Times New Roman" w:hAnsi="Times New Roman" w:cs="Times New Roman"/>
        </w:rPr>
        <w:t xml:space="preserve">    </w:t>
      </w:r>
      <w:r>
        <w:rPr>
          <w:spacing w:val="7"/>
        </w:rPr>
        <w:t>年每千名儿童床位数</w:t>
      </w:r>
      <w:r>
        <w:rPr>
          <w:rFonts w:ascii="Times New Roman" w:eastAsia="Times New Roman" w:hAnsi="Times New Roman" w:cs="Times New Roman"/>
          <w:spacing w:val="7"/>
        </w:rPr>
        <w:t>/</w:t>
      </w:r>
      <w:r>
        <w:rPr>
          <w:spacing w:val="7"/>
        </w:rPr>
        <w:t>儿科医师数分别为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2.2 </w:t>
      </w:r>
      <w:r>
        <w:rPr>
          <w:spacing w:val="7"/>
        </w:rPr>
        <w:t>个</w:t>
      </w:r>
      <w:r>
        <w:rPr>
          <w:rFonts w:ascii="Times New Roman" w:eastAsia="Times New Roman" w:hAnsi="Times New Roman" w:cs="Times New Roman"/>
          <w:spacing w:val="7"/>
        </w:rPr>
        <w:t>/0.7</w:t>
      </w:r>
      <w:r>
        <w:rPr>
          <w:rFonts w:ascii="Times New Roman" w:eastAsia="Times New Roman" w:hAnsi="Times New Roman" w:cs="Times New Roman"/>
          <w:spacing w:val="6"/>
        </w:rPr>
        <w:t xml:space="preserve">8 </w:t>
      </w:r>
      <w:r>
        <w:rPr>
          <w:spacing w:val="6"/>
        </w:rPr>
        <w:t>人，较卫健委制定的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2030 </w:t>
      </w:r>
      <w:r>
        <w:rPr>
          <w:spacing w:val="6"/>
        </w:rPr>
        <w:t>年实现每千</w:t>
      </w:r>
      <w:r>
        <w:rPr>
          <w:spacing w:val="6"/>
        </w:rPr>
        <w:t xml:space="preserve">  </w:t>
      </w:r>
      <w:r>
        <w:rPr>
          <w:spacing w:val="5"/>
        </w:rPr>
        <w:t>名儿童床位数</w:t>
      </w:r>
      <w:r>
        <w:rPr>
          <w:rFonts w:ascii="Times New Roman" w:eastAsia="Times New Roman" w:hAnsi="Times New Roman" w:cs="Times New Roman"/>
          <w:spacing w:val="5"/>
        </w:rPr>
        <w:t>/</w:t>
      </w:r>
      <w:r>
        <w:rPr>
          <w:spacing w:val="5"/>
        </w:rPr>
        <w:t>儿科医师数</w:t>
      </w:r>
      <w:r>
        <w:rPr>
          <w:spacing w:val="-36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3.17 </w:t>
      </w:r>
      <w:r>
        <w:rPr>
          <w:spacing w:val="5"/>
        </w:rPr>
        <w:t>个</w:t>
      </w:r>
      <w:r>
        <w:rPr>
          <w:rFonts w:ascii="Times New Roman" w:eastAsia="Times New Roman" w:hAnsi="Times New Roman" w:cs="Times New Roman"/>
          <w:spacing w:val="5"/>
        </w:rPr>
        <w:t xml:space="preserve">/1.12 </w:t>
      </w:r>
      <w:r>
        <w:rPr>
          <w:spacing w:val="5"/>
        </w:rPr>
        <w:t>人的发展目标仍有较大差距。但与此</w:t>
      </w:r>
      <w:r>
        <w:rPr>
          <w:spacing w:val="4"/>
        </w:rPr>
        <w:t>同时，</w:t>
      </w:r>
      <w:r>
        <w:rPr>
          <w:spacing w:val="4"/>
        </w:rPr>
        <w:t xml:space="preserve"> </w:t>
      </w:r>
      <w:r>
        <w:rPr>
          <w:spacing w:val="4"/>
        </w:rPr>
        <w:t>儿童医</w:t>
      </w:r>
      <w:r>
        <w:rPr>
          <w:spacing w:val="4"/>
        </w:rPr>
        <w:t xml:space="preserve">  </w:t>
      </w:r>
      <w:r>
        <w:rPr>
          <w:spacing w:val="8"/>
        </w:rPr>
        <w:t>院床位使用率及医师日均负担患者数始终高于医疗行业平均水准，其中</w:t>
      </w:r>
      <w:r>
        <w:rPr>
          <w:spacing w:val="8"/>
        </w:rPr>
        <w:t xml:space="preserve"> </w:t>
      </w:r>
      <w:r>
        <w:rPr>
          <w:rFonts w:ascii="Times New Roman" w:eastAsia="Times New Roman" w:hAnsi="Times New Roman" w:cs="Times New Roman"/>
          <w:spacing w:val="7"/>
        </w:rPr>
        <w:t xml:space="preserve">2020 </w:t>
      </w:r>
      <w:r>
        <w:rPr>
          <w:spacing w:val="7"/>
        </w:rPr>
        <w:t>年前儿童医院</w:t>
      </w:r>
      <w:r>
        <w:t xml:space="preserve"> </w:t>
      </w:r>
      <w:r>
        <w:rPr>
          <w:spacing w:val="9"/>
        </w:rPr>
        <w:t>床位使用率接近满负荷（</w:t>
      </w:r>
      <w:r>
        <w:rPr>
          <w:spacing w:val="-51"/>
        </w:rPr>
        <w:t xml:space="preserve"> </w:t>
      </w:r>
      <w:r>
        <w:rPr>
          <w:spacing w:val="9"/>
          <w:u w:val="single" w:color="auto"/>
        </w:rPr>
        <w:t>此后两年受特殊外部环境影响，全医</w:t>
      </w:r>
      <w:r>
        <w:rPr>
          <w:spacing w:val="8"/>
          <w:u w:val="single" w:color="auto"/>
        </w:rPr>
        <w:t>疗行业床位使用率普遍下</w:t>
      </w:r>
    </w:p>
    <w:p>
      <w:pPr>
        <w:pStyle w:val="BodyText"/>
        <w:spacing w:before="92" w:line="221" w:lineRule="auto"/>
        <w:ind w:left="2570"/>
      </w:pPr>
      <w:r>
        <w:rPr>
          <w:spacing w:val="9"/>
          <w:u w:val="single" w:color="auto"/>
        </w:rPr>
        <w:t>降，但儿科依旧领先</w:t>
      </w:r>
      <w:r>
        <w:rPr>
          <w:spacing w:val="-37"/>
          <w:w w:val="89"/>
        </w:rPr>
        <w:t>），</w:t>
      </w:r>
      <w:r>
        <w:rPr>
          <w:spacing w:val="9"/>
        </w:rPr>
        <w:t>行业供需失衡现象较为突出。</w:t>
      </w:r>
    </w:p>
    <w:p>
      <w:pPr>
        <w:spacing w:line="170" w:lineRule="exact"/>
      </w:pPr>
    </w:p>
    <w:p>
      <w:pPr>
        <w:spacing w:line="170" w:lineRule="exact"/>
        <w:sectPr>
          <w:headerReference w:type="default" r:id="rId79"/>
          <w:footerReference w:type="default" r:id="rId80"/>
          <w:type w:val="continuous"/>
          <w:pgSz w:w="11907" w:h="16839"/>
          <w:pgMar w:top="1264" w:right="718" w:bottom="1027" w:left="720" w:header="788" w:footer="796" w:gutter="0"/>
          <w:pgNumType w:start="27"/>
          <w:cols w:num="1" w:space="708" w:equalWidth="0">
            <w:col w:w="10469" w:space="0"/>
          </w:cols>
        </w:sectPr>
      </w:pPr>
    </w:p>
    <w:p>
      <w:pPr>
        <w:pStyle w:val="BodyText"/>
        <w:spacing w:before="36" w:line="214" w:lineRule="auto"/>
        <w:ind w:left="25"/>
        <w:rPr>
          <w:sz w:val="18"/>
          <w:szCs w:val="18"/>
        </w:rPr>
      </w:pPr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16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18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2020-2021 </w:t>
      </w:r>
      <w:r>
        <w:rPr>
          <w:color w:val="B70004"/>
          <w:spacing w:val="-2"/>
          <w:sz w:val="18"/>
          <w:szCs w:val="18"/>
        </w:rPr>
        <w:t>年每千名儿童儿科医师及床位数</w:t>
      </w:r>
    </w:p>
    <w:p>
      <w:pPr>
        <w:spacing w:line="52" w:lineRule="exact"/>
      </w:pPr>
    </w:p>
    <w:tbl>
      <w:tblPr>
        <w:tblStyle w:val="TableNormal6"/>
        <w:tblW w:w="509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91"/>
      </w:tblGrid>
      <w:tr>
        <w:tblPrEx>
          <w:tblW w:w="509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53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56" w:line="3226" w:lineRule="exact"/>
              <w:ind w:firstLine="108"/>
            </w:pPr>
            <w:r>
              <w:rPr>
                <w:position w:val="-64"/>
              </w:rPr>
              <w:drawing>
                <wp:inline distT="0" distB="0" distL="0" distR="0">
                  <wp:extent cx="3096895" cy="2048509"/>
                  <wp:effectExtent l="0" t="0" r="0" b="0"/>
                  <wp:docPr id="62" name="IM 6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2" name="IM 62"/>
                          <pic:cNvPicPr/>
                        </pic:nvPicPr>
                        <pic:blipFill>
                          <a:blip xmlns:r="http://schemas.openxmlformats.org/officeDocument/2006/relationships" r:embed="rId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6895" cy="20485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683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92" w:line="213" w:lineRule="auto"/>
              <w:ind w:left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资料来源：国家卫健委，浙商证券研究所</w:t>
            </w:r>
          </w:p>
          <w:p>
            <w:pPr>
              <w:pStyle w:val="TableText"/>
              <w:spacing w:before="144" w:line="217" w:lineRule="auto"/>
              <w:ind w:left="2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图</w:t>
            </w:r>
            <w:r>
              <w:rPr>
                <w:color w:val="B70004"/>
                <w:spacing w:val="-2"/>
                <w:sz w:val="18"/>
                <w:szCs w:val="18"/>
              </w:rPr>
              <w:t>18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：</w:t>
            </w:r>
            <w:r>
              <w:rPr>
                <w:rFonts w:ascii="KaiTi" w:eastAsia="KaiTi" w:hAnsi="KaiTi" w:cs="KaiTi"/>
                <w:color w:val="B70004"/>
                <w:spacing w:val="-20"/>
                <w:sz w:val="18"/>
                <w:szCs w:val="18"/>
              </w:rPr>
              <w:t xml:space="preserve"> </w:t>
            </w:r>
            <w:r>
              <w:rPr>
                <w:color w:val="B70004"/>
                <w:spacing w:val="-2"/>
                <w:sz w:val="18"/>
                <w:szCs w:val="18"/>
              </w:rPr>
              <w:t xml:space="preserve">2015-2021 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年医疗机构医师日均负担人次</w:t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3564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144" w:line="3274" w:lineRule="exact"/>
              <w:ind w:firstLine="108"/>
            </w:pPr>
            <w:r>
              <w:rPr>
                <w:position w:val="-65"/>
              </w:rPr>
              <w:drawing>
                <wp:inline distT="0" distB="0" distL="0" distR="0">
                  <wp:extent cx="3133725" cy="2078990"/>
                  <wp:effectExtent l="0" t="0" r="0" b="0"/>
                  <wp:docPr id="64" name="IM 6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" name="IM 64"/>
                          <pic:cNvPicPr/>
                        </pic:nvPicPr>
                        <pic:blipFill>
                          <a:blip xmlns:r="http://schemas.openxmlformats.org/officeDocument/2006/relationships" r:embed="rId8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3725" cy="2078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89" w:line="186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资料来源：国家卫健委，浙商证券研究所</w:t>
      </w:r>
    </w:p>
    <w:p>
      <w:pPr>
        <w:spacing w:line="14" w:lineRule="auto"/>
        <w:rPr>
          <w:rFonts w:ascii="Arial"/>
          <w:sz w:val="2"/>
        </w:rPr>
        <w:sectPr>
          <w:headerReference w:type="default" r:id="rId83"/>
          <w:footerReference w:type="default" r:id="rId84"/>
          <w:type w:val="continuous"/>
          <w:pgSz w:w="11907" w:h="16839"/>
          <w:pgMar w:top="1264" w:right="718" w:bottom="1027" w:left="720" w:header="788" w:footer="796" w:gutter="0"/>
          <w:pgNumType w:start="28"/>
          <w:cols w:num="2" w:space="708" w:equalWidth="0">
            <w:col w:w="5277" w:space="100"/>
            <w:col w:w="5092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5" w:line="220" w:lineRule="auto"/>
        <w:ind w:left="25"/>
        <w:rPr>
          <w:sz w:val="18"/>
          <w:szCs w:val="18"/>
        </w:rPr>
      </w:pPr>
      <w:r>
        <w:rPr>
          <w:color w:val="B70004"/>
          <w:spacing w:val="-3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3"/>
          <w:sz w:val="18"/>
          <w:szCs w:val="18"/>
        </w:rPr>
        <w:t>17</w:t>
      </w:r>
      <w:r>
        <w:rPr>
          <w:color w:val="B70004"/>
          <w:spacing w:val="-3"/>
          <w:sz w:val="18"/>
          <w:szCs w:val="18"/>
        </w:rPr>
        <w:t>：</w:t>
      </w:r>
      <w:r>
        <w:rPr>
          <w:color w:val="B70004"/>
          <w:spacing w:val="-21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公立及民营儿童医院数量</w:t>
      </w:r>
    </w:p>
    <w:p>
      <w:pPr>
        <w:spacing w:line="45" w:lineRule="exact"/>
      </w:pPr>
    </w:p>
    <w:tbl>
      <w:tblPr>
        <w:tblStyle w:val="TableNormal7"/>
        <w:tblW w:w="509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91"/>
      </w:tblGrid>
      <w:tr>
        <w:tblPrEx>
          <w:tblW w:w="509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53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56" w:line="3235" w:lineRule="exact"/>
              <w:ind w:firstLine="106"/>
            </w:pPr>
            <w:r>
              <w:rPr>
                <w:position w:val="-64"/>
              </w:rPr>
              <w:drawing>
                <wp:inline distT="0" distB="0" distL="0" distR="0">
                  <wp:extent cx="3145789" cy="2054225"/>
                  <wp:effectExtent l="0" t="0" r="0" b="0"/>
                  <wp:docPr id="66" name="IM 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" name="IM 66"/>
                          <pic:cNvPicPr/>
                        </pic:nvPicPr>
                        <pic:blipFill>
                          <a:blip xmlns:r="http://schemas.openxmlformats.org/officeDocument/2006/relationships" r:embed="rId8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5789" cy="20542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683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92" w:line="213" w:lineRule="auto"/>
              <w:ind w:left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资料来源：</w:t>
            </w:r>
            <w:r>
              <w:rPr>
                <w:rFonts w:ascii="KaiTi" w:eastAsia="KaiTi" w:hAnsi="KaiTi" w:cs="KaiTi"/>
                <w:spacing w:val="-39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国家卫健委，浙商证券研究所</w:t>
            </w:r>
          </w:p>
          <w:p>
            <w:pPr>
              <w:pStyle w:val="TableText"/>
              <w:spacing w:before="144" w:line="216" w:lineRule="auto"/>
              <w:ind w:left="25"/>
              <w:rPr>
                <w:rFonts w:ascii="KaiTi" w:eastAsia="KaiTi" w:hAnsi="KaiTi" w:cs="KaiTi"/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图</w:t>
            </w:r>
            <w:r>
              <w:rPr>
                <w:color w:val="B70004"/>
                <w:spacing w:val="-2"/>
                <w:sz w:val="18"/>
                <w:szCs w:val="18"/>
              </w:rPr>
              <w:t>19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：</w:t>
            </w:r>
            <w:r>
              <w:rPr>
                <w:rFonts w:ascii="KaiTi" w:eastAsia="KaiTi" w:hAnsi="KaiTi" w:cs="KaiTi"/>
                <w:color w:val="B70004"/>
                <w:spacing w:val="-18"/>
                <w:sz w:val="18"/>
                <w:szCs w:val="18"/>
              </w:rPr>
              <w:t xml:space="preserve"> </w:t>
            </w:r>
            <w:r>
              <w:rPr>
                <w:color w:val="B70004"/>
                <w:spacing w:val="-2"/>
                <w:sz w:val="18"/>
                <w:szCs w:val="18"/>
              </w:rPr>
              <w:t xml:space="preserve">2015-2021 </w:t>
            </w:r>
            <w:r>
              <w:rPr>
                <w:rFonts w:ascii="KaiTi" w:eastAsia="KaiTi" w:hAnsi="KaiTi" w:cs="KaiTi"/>
                <w:color w:val="B70004"/>
                <w:spacing w:val="-2"/>
                <w:sz w:val="18"/>
                <w:szCs w:val="18"/>
              </w:rPr>
              <w:t>年各类医疗机构床位平均使用率</w:t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3564"/>
        </w:trPr>
        <w:tc>
          <w:tcPr>
            <w:tcW w:w="5091" w:type="dxa"/>
            <w:tcBorders>
              <w:top w:val="single" w:sz="2" w:space="0" w:color="C00000"/>
              <w:bottom w:val="single" w:sz="2" w:space="0" w:color="C00000"/>
            </w:tcBorders>
            <w:vAlign w:val="top"/>
          </w:tcPr>
          <w:p>
            <w:pPr>
              <w:spacing w:before="130" w:line="3294" w:lineRule="exact"/>
              <w:ind w:firstLine="106"/>
            </w:pPr>
            <w:r>
              <w:rPr>
                <w:position w:val="-65"/>
              </w:rPr>
              <w:drawing>
                <wp:inline distT="0" distB="0" distL="0" distR="0">
                  <wp:extent cx="3164459" cy="2091055"/>
                  <wp:effectExtent l="0" t="0" r="0" b="0"/>
                  <wp:docPr id="68" name="IM 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" name="IM 68"/>
                          <pic:cNvPicPr/>
                        </pic:nvPicPr>
                        <pic:blipFill>
                          <a:blip xmlns:r="http://schemas.openxmlformats.org/officeDocument/2006/relationships" r:embed="rId8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64459" cy="20910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spacing w:before="90" w:line="186" w:lineRule="auto"/>
        <w:ind w:left="14"/>
        <w:rPr>
          <w:sz w:val="16"/>
          <w:szCs w:val="16"/>
        </w:rPr>
      </w:pPr>
      <w:r>
        <w:rPr>
          <w:spacing w:val="-3"/>
          <w:sz w:val="16"/>
          <w:szCs w:val="16"/>
        </w:rPr>
        <w:t>资料来源：</w:t>
      </w:r>
      <w:r>
        <w:rPr>
          <w:spacing w:val="-39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国家卫健委，浙商证券研究所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87"/>
          <w:footerReference w:type="default" r:id="rId88"/>
          <w:type w:val="nextPage"/>
          <w:pgSz w:w="11907" w:h="16839"/>
          <w:pgMar w:top="1264" w:right="718" w:bottom="1027" w:left="720" w:header="788" w:footer="796" w:gutter="0"/>
          <w:pgNumType w:start="29"/>
          <w:cols w:num="2" w:space="708" w:equalWidth="0">
            <w:col w:w="5277" w:space="100"/>
            <w:col w:w="5092" w:space="0"/>
          </w:cols>
          <w:titlePg w:val="0"/>
        </w:sectPr>
      </w:pPr>
    </w:p>
    <w:p>
      <w:pPr>
        <w:pStyle w:val="BodyText"/>
        <w:spacing w:before="197" w:line="289" w:lineRule="auto"/>
        <w:ind w:left="2560" w:right="266" w:firstLine="398"/>
        <w:jc w:val="both"/>
      </w:pPr>
      <w:bookmarkStart w:id="26" w:name="bookmark74"/>
      <w:bookmarkEnd w:id="26"/>
      <w:bookmarkStart w:id="27" w:name="bookmark75"/>
      <w:bookmarkEnd w:id="27"/>
      <w:bookmarkStart w:id="28" w:name="bookmark7"/>
      <w:bookmarkEnd w:id="28"/>
      <w:r>
        <w:rPr>
          <w:color w:val="C00000"/>
          <w:spacing w:val="9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行业政策倾斜，多维度支持民营儿科建设。</w:t>
      </w:r>
      <w:r>
        <w:rPr>
          <w:color w:val="C00000"/>
          <w:spacing w:val="-38"/>
        </w:rPr>
        <w:t xml:space="preserve"> </w:t>
      </w:r>
      <w:r>
        <w:rPr>
          <w:spacing w:val="9"/>
        </w:rPr>
        <w:t>医疗体制改革</w:t>
      </w:r>
      <w:r>
        <w:rPr>
          <w:spacing w:val="8"/>
        </w:rPr>
        <w:t>以来我国社会办医利好政策</w:t>
      </w:r>
      <w:r>
        <w:t xml:space="preserve"> </w:t>
      </w:r>
      <w:r>
        <w:rPr>
          <w:spacing w:val="10"/>
        </w:rPr>
        <w:t>频出，旗帜鲜明支持社会资本拓展多层次医疗服务，与</w:t>
      </w:r>
      <w:r>
        <w:rPr>
          <w:spacing w:val="9"/>
        </w:rPr>
        <w:t>此同时儿科医疗卫生服务改革亦持</w:t>
      </w:r>
      <w:r>
        <w:t xml:space="preserve"> </w:t>
      </w:r>
      <w:r>
        <w:rPr>
          <w:spacing w:val="6"/>
        </w:rPr>
        <w:t>续深化，</w:t>
      </w:r>
      <w:r>
        <w:rPr>
          <w:spacing w:val="46"/>
        </w:rPr>
        <w:t xml:space="preserve"> </w:t>
      </w:r>
      <w:r>
        <w:rPr>
          <w:spacing w:val="6"/>
        </w:rPr>
        <w:t>叠加政策放松鼓励医师多点执业以提高流动性，多因素共振之下，民营儿科发展</w:t>
      </w:r>
      <w:r>
        <w:t xml:space="preserve"> </w:t>
      </w:r>
      <w:r>
        <w:rPr>
          <w:spacing w:val="7"/>
        </w:rPr>
        <w:t>景气向上，供给端扩容有望推动行业高质量成长。</w:t>
      </w:r>
    </w:p>
    <w:p>
      <w:pPr>
        <w:pStyle w:val="BodyText"/>
        <w:spacing w:before="151" w:line="216" w:lineRule="auto"/>
        <w:ind w:left="218"/>
        <w:rPr>
          <w:sz w:val="18"/>
          <w:szCs w:val="18"/>
        </w:rPr>
      </w:pPr>
      <w:r>
        <w:rPr>
          <w:color w:val="C00000"/>
          <w:spacing w:val="-1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1"/>
          <w:sz w:val="18"/>
          <w:szCs w:val="18"/>
        </w:rPr>
        <w:t>2</w:t>
      </w:r>
      <w:r>
        <w:rPr>
          <w:color w:val="C00000"/>
          <w:spacing w:val="-1"/>
          <w:sz w:val="18"/>
          <w:szCs w:val="18"/>
        </w:rPr>
        <w:t>：</w:t>
      </w:r>
      <w:r>
        <w:rPr>
          <w:color w:val="C00000"/>
          <w:spacing w:val="-19"/>
          <w:sz w:val="18"/>
          <w:szCs w:val="18"/>
        </w:rPr>
        <w:t xml:space="preserve"> </w:t>
      </w:r>
      <w:r>
        <w:rPr>
          <w:color w:val="B70004"/>
          <w:spacing w:val="-1"/>
          <w:sz w:val="18"/>
          <w:szCs w:val="18"/>
        </w:rPr>
        <w:t>近年来民营儿科医疗服务部分支持政</w:t>
      </w:r>
      <w:r>
        <w:rPr>
          <w:color w:val="B70004"/>
          <w:spacing w:val="-2"/>
          <w:sz w:val="18"/>
          <w:szCs w:val="18"/>
        </w:rPr>
        <w:t>策梳理</w:t>
      </w:r>
    </w:p>
    <w:p>
      <w:pPr>
        <w:spacing w:line="104" w:lineRule="exact"/>
      </w:pPr>
    </w:p>
    <w:tbl>
      <w:tblPr>
        <w:tblStyle w:val="TableNormal8"/>
        <w:tblW w:w="1063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955"/>
        <w:gridCol w:w="2430"/>
        <w:gridCol w:w="7250"/>
      </w:tblGrid>
      <w:tr>
        <w:tblPrEx>
          <w:tblW w:w="1063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30"/>
        </w:trPr>
        <w:tc>
          <w:tcPr>
            <w:tcW w:w="955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5" w:line="220" w:lineRule="auto"/>
              <w:ind w:left="287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5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时间</w:t>
            </w:r>
          </w:p>
        </w:tc>
        <w:tc>
          <w:tcPr>
            <w:tcW w:w="9680" w:type="dxa"/>
            <w:gridSpan w:val="2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5" w:line="217" w:lineRule="auto"/>
              <w:ind w:left="1015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政策</w:t>
            </w:r>
            <w:r>
              <w:rPr>
                <w:rFonts w:ascii="KaiTi" w:eastAsia="KaiTi" w:hAnsi="KaiTi" w:cs="KaiTi"/>
                <w:color w:val="FFFFFF"/>
                <w:sz w:val="21"/>
                <w:szCs w:val="21"/>
              </w:rPr>
              <w:t xml:space="preserve">                                      </w:t>
            </w:r>
            <w:r>
              <w:rPr>
                <w:rFonts w:ascii="KaiTi" w:eastAsia="KaiTi" w:hAnsi="KaiTi" w:cs="KaiTi"/>
                <w:color w:val="FFFFFF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相关内容摘要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7"/>
        </w:trPr>
        <w:tc>
          <w:tcPr>
            <w:tcW w:w="955" w:type="dxa"/>
            <w:tcBorders>
              <w:top w:val="single" w:sz="2" w:space="0" w:color="B70004"/>
            </w:tcBorders>
            <w:vAlign w:val="top"/>
          </w:tcPr>
          <w:p>
            <w:pPr>
              <w:pStyle w:val="TableText"/>
              <w:spacing w:before="129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 xml:space="preserve">2009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4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tcBorders>
              <w:top w:val="single" w:sz="2" w:space="0" w:color="B70004"/>
            </w:tcBorders>
            <w:vAlign w:val="top"/>
          </w:tcPr>
          <w:p>
            <w:pPr>
              <w:spacing w:before="25" w:line="220" w:lineRule="auto"/>
              <w:ind w:left="507" w:hanging="49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《中共中央国务院关于深化医药卫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稳步推动医务人员的合理流动，促进不同医疗机构之间人才的纵向和横向交流，研究探索注册医师多点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9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生体制改革的通知》</w:t>
            </w:r>
            <w:r>
              <w:rPr>
                <w:rFonts w:ascii="KaiTi" w:eastAsia="KaiTi" w:hAnsi="KaiTi" w:cs="KaiTi"/>
                <w:spacing w:val="4"/>
                <w:sz w:val="16"/>
                <w:szCs w:val="16"/>
              </w:rPr>
              <w:t xml:space="preserve">       </w:t>
            </w:r>
            <w:r>
              <w:rPr>
                <w:rFonts w:ascii="KaiTi" w:eastAsia="KaiTi" w:hAnsi="KaiTi" w:cs="KaiTi"/>
                <w:spacing w:val="-9"/>
                <w:sz w:val="16"/>
                <w:szCs w:val="16"/>
              </w:rPr>
              <w:t>执业。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2"/>
        </w:trPr>
        <w:tc>
          <w:tcPr>
            <w:tcW w:w="955" w:type="dxa"/>
            <w:shd w:val="clear" w:color="auto" w:fill="F2F2F2"/>
            <w:vAlign w:val="top"/>
          </w:tcPr>
          <w:p>
            <w:pPr>
              <w:pStyle w:val="TableText"/>
              <w:spacing w:before="127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 xml:space="preserve">2010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2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2"/>
                <w:sz w:val="16"/>
                <w:szCs w:val="16"/>
              </w:rPr>
              <w:t xml:space="preserve">12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shd w:val="clear" w:color="auto" w:fill="F2F2F2"/>
            <w:vAlign w:val="top"/>
          </w:tcPr>
          <w:p>
            <w:pPr>
              <w:spacing w:before="24" w:line="218" w:lineRule="auto"/>
              <w:ind w:left="262" w:hanging="24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《关于进一步鼓励和引导社会资本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鼓励和引导社会资本举办医疗机构，结合实际制定和完善鼓励引导社会资本举办医疗机构的实施细则和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举办医疗机构意见的通知》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 xml:space="preserve">   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配套文件，消除阻碍非公立医疗机构发展的政策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障碍，促进非公立医疗机构持续健康发展。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5"/>
        </w:trPr>
        <w:tc>
          <w:tcPr>
            <w:tcW w:w="955" w:type="dxa"/>
            <w:vAlign w:val="top"/>
          </w:tcPr>
          <w:p>
            <w:pPr>
              <w:pStyle w:val="TableText"/>
              <w:spacing w:before="130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 xml:space="preserve">2014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2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3"/>
                <w:sz w:val="16"/>
                <w:szCs w:val="16"/>
              </w:rPr>
              <w:t xml:space="preserve">11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2430" w:type="dxa"/>
            <w:vAlign w:val="top"/>
          </w:tcPr>
          <w:p>
            <w:pPr>
              <w:spacing w:before="25" w:line="219" w:lineRule="auto"/>
              <w:ind w:left="827" w:right="19" w:hanging="8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《关于推进和规范医师多点执业的</w:t>
            </w:r>
            <w:r>
              <w:rPr>
                <w:rFonts w:ascii="KaiTi" w:eastAsia="KaiTi" w:hAnsi="KaiTi" w:cs="KaiTi"/>
                <w:spacing w:val="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若干意见》</w:t>
            </w:r>
          </w:p>
        </w:tc>
        <w:tc>
          <w:tcPr>
            <w:tcW w:w="7250" w:type="dxa"/>
            <w:vAlign w:val="top"/>
          </w:tcPr>
          <w:p>
            <w:pPr>
              <w:spacing w:before="130" w:line="213" w:lineRule="auto"/>
              <w:ind w:left="2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推动医师合理流动，规范医师多点执业，简化医师多点执业的注册程序。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5"/>
        </w:trPr>
        <w:tc>
          <w:tcPr>
            <w:tcW w:w="955" w:type="dxa"/>
            <w:shd w:val="clear" w:color="auto" w:fill="F2F2F2"/>
            <w:vAlign w:val="top"/>
          </w:tcPr>
          <w:p>
            <w:pPr>
              <w:pStyle w:val="TableText"/>
              <w:spacing w:before="130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 xml:space="preserve">2015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6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shd w:val="clear" w:color="auto" w:fill="F2F2F2"/>
            <w:vAlign w:val="top"/>
          </w:tcPr>
          <w:p>
            <w:pPr>
              <w:spacing w:before="25" w:line="219" w:lineRule="auto"/>
              <w:ind w:left="747" w:hanging="73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《关于促进社会办医加快发展的若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进一步放宽准入、控制公立医院规模；拓宽投融资渠道、政府资金支持、优化融资政策；促进资源流动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7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干政策措施》</w:t>
            </w:r>
            <w:r>
              <w:rPr>
                <w:rFonts w:ascii="KaiTi" w:eastAsia="KaiTi" w:hAnsi="KaiTi" w:cs="KaiTi"/>
                <w:spacing w:val="3"/>
                <w:sz w:val="16"/>
                <w:szCs w:val="16"/>
              </w:rPr>
              <w:t xml:space="preserve">          </w:t>
            </w:r>
            <w:r>
              <w:rPr>
                <w:rFonts w:ascii="KaiTi" w:eastAsia="KaiTi" w:hAnsi="KaiTi" w:cs="KaiTi"/>
                <w:spacing w:val="-7"/>
                <w:sz w:val="16"/>
                <w:szCs w:val="16"/>
              </w:rPr>
              <w:t>和共享：</w:t>
            </w:r>
            <w:r>
              <w:rPr>
                <w:rFonts w:ascii="KaiTi" w:eastAsia="KaiTi" w:hAnsi="KaiTi" w:cs="KaiTi"/>
                <w:spacing w:val="3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7"/>
                <w:sz w:val="16"/>
                <w:szCs w:val="16"/>
              </w:rPr>
              <w:t>医师多点执业、设备共享、业务合作；优化发展环境：</w:t>
            </w:r>
            <w:r>
              <w:rPr>
                <w:rFonts w:ascii="KaiTi" w:eastAsia="KaiTi" w:hAnsi="KaiTi" w:cs="KaiTi"/>
                <w:spacing w:val="-7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7"/>
                <w:sz w:val="16"/>
                <w:szCs w:val="16"/>
              </w:rPr>
              <w:t>完善政策及监管。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5"/>
        </w:trPr>
        <w:tc>
          <w:tcPr>
            <w:tcW w:w="955" w:type="dxa"/>
            <w:vAlign w:val="top"/>
          </w:tcPr>
          <w:p>
            <w:pPr>
              <w:pStyle w:val="TableText"/>
              <w:spacing w:before="129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 xml:space="preserve">2015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2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2"/>
                <w:sz w:val="16"/>
                <w:szCs w:val="16"/>
              </w:rPr>
              <w:t xml:space="preserve">10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2430" w:type="dxa"/>
            <w:vAlign w:val="top"/>
          </w:tcPr>
          <w:p>
            <w:pPr>
              <w:pStyle w:val="TableText"/>
              <w:spacing w:before="128" w:line="218" w:lineRule="auto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2015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年儿科医师转岗培训方案》</w:t>
            </w:r>
          </w:p>
        </w:tc>
        <w:tc>
          <w:tcPr>
            <w:tcW w:w="7250" w:type="dxa"/>
            <w:vAlign w:val="top"/>
          </w:tcPr>
          <w:p>
            <w:pPr>
              <w:spacing w:before="25" w:line="219" w:lineRule="auto"/>
              <w:ind w:left="22" w:right="4" w:hanging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相关专业医师考核合格且符合相关条件的，可以转岗为</w:t>
            </w:r>
            <w:r>
              <w:rPr>
                <w:rFonts w:ascii="KaiTi" w:eastAsia="KaiTi" w:hAnsi="KaiTi" w:cs="KaiTi"/>
                <w:sz w:val="16"/>
                <w:szCs w:val="16"/>
              </w:rPr>
              <w:t>儿科执业医师，其《医师执业证书》执业范围也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将变更为儿科专业。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5"/>
        </w:trPr>
        <w:tc>
          <w:tcPr>
            <w:tcW w:w="955" w:type="dxa"/>
            <w:shd w:val="clear" w:color="auto" w:fill="F2F2F2"/>
            <w:vAlign w:val="top"/>
          </w:tcPr>
          <w:p>
            <w:pPr>
              <w:pStyle w:val="TableText"/>
              <w:spacing w:before="129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 xml:space="preserve">2016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5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shd w:val="clear" w:color="auto" w:fill="F2F2F2"/>
            <w:vAlign w:val="top"/>
          </w:tcPr>
          <w:p>
            <w:pPr>
              <w:spacing w:before="25" w:line="219" w:lineRule="auto"/>
              <w:ind w:left="670" w:hanging="65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《关于加强儿童医疗卫生服务改革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推进儿童医疗卫生服务改革：提高儿科医务人员薪酬待遇，推进优质儿童医疗资源下沉，鼓励社会力量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与发展的意见》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 xml:space="preserve">        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举办儿童专科医疗机构，完善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儿童医疗卫生服务体系；加强儿科医务人员培养和队伍建设。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5"/>
        </w:trPr>
        <w:tc>
          <w:tcPr>
            <w:tcW w:w="955" w:type="dxa"/>
            <w:vAlign w:val="top"/>
          </w:tcPr>
          <w:p>
            <w:pPr>
              <w:pStyle w:val="TableText"/>
              <w:spacing w:before="129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 xml:space="preserve">2021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9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vAlign w:val="top"/>
          </w:tcPr>
          <w:p>
            <w:pPr>
              <w:pStyle w:val="TableText"/>
              <w:spacing w:before="27" w:line="218" w:lineRule="auto"/>
              <w:ind w:left="1027" w:hanging="95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《中国儿童发展纲要（</w:t>
            </w:r>
            <w:r>
              <w:rPr>
                <w:b/>
                <w:bCs/>
                <w:spacing w:val="1"/>
                <w:sz w:val="16"/>
                <w:szCs w:val="16"/>
              </w:rPr>
              <w:t xml:space="preserve">2021-2030  </w:t>
            </w:r>
            <w:r>
              <w:rPr>
                <w:rFonts w:ascii="KaiTi" w:eastAsia="KaiTi" w:hAnsi="KaiTi" w:cs="KaiTi"/>
                <w:spacing w:val="1"/>
                <w:sz w:val="16"/>
                <w:szCs w:val="16"/>
              </w:rPr>
              <w:t>完善儿童健康服务体系，</w:t>
            </w:r>
            <w:r>
              <w:rPr>
                <w:rFonts w:ascii="KaiTi" w:eastAsia="KaiTi" w:hAnsi="KaiTi" w:cs="KaiTi"/>
                <w:sz w:val="16"/>
                <w:szCs w:val="16"/>
              </w:rPr>
              <w:t>加大儿童健康知识宣传普及力度，鼓励医疗机构、医务人员、相关社会组织等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年）》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 xml:space="preserve">            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开展健康科普活动：加强儿童保健门诊标准化、规范化建设。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4"/>
        </w:trPr>
        <w:tc>
          <w:tcPr>
            <w:tcW w:w="955" w:type="dxa"/>
            <w:shd w:val="clear" w:color="auto" w:fill="F2F2F2"/>
            <w:vAlign w:val="top"/>
          </w:tcPr>
          <w:p>
            <w:pPr>
              <w:pStyle w:val="TableText"/>
              <w:spacing w:before="129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3"/>
                <w:sz w:val="16"/>
                <w:szCs w:val="16"/>
              </w:rPr>
              <w:t xml:space="preserve">2021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2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3"/>
                <w:sz w:val="16"/>
                <w:szCs w:val="16"/>
              </w:rPr>
              <w:t xml:space="preserve">11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shd w:val="clear" w:color="auto" w:fill="F2F2F2"/>
            <w:vAlign w:val="top"/>
          </w:tcPr>
          <w:p>
            <w:pPr>
              <w:pStyle w:val="TableText"/>
              <w:spacing w:before="26" w:line="218" w:lineRule="auto"/>
              <w:ind w:left="848" w:hanging="82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《健康儿童行动提升计划（</w:t>
            </w:r>
            <w:r>
              <w:rPr>
                <w:b/>
                <w:bCs/>
                <w:sz w:val="16"/>
                <w:szCs w:val="16"/>
              </w:rPr>
              <w:t xml:space="preserve">2021— </w:t>
            </w:r>
            <w:r>
              <w:rPr>
                <w:rFonts w:ascii="KaiTi" w:eastAsia="KaiTi" w:hAnsi="KaiTi" w:cs="KaiTi"/>
                <w:sz w:val="16"/>
                <w:szCs w:val="16"/>
              </w:rPr>
              <w:t>坚持预防为主，防治结合：要求加强儿童中医药服务，推进“云上妇幼”等智慧儿童健康服务，方便群</w:t>
            </w:r>
            <w:r>
              <w:rPr>
                <w:rFonts w:ascii="KaiTi" w:eastAsia="KaiTi" w:hAnsi="KaiTi" w:cs="KaiTi"/>
                <w:spacing w:val="18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4"/>
                <w:sz w:val="16"/>
                <w:szCs w:val="16"/>
              </w:rPr>
              <w:t xml:space="preserve">2025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年）》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 xml:space="preserve">          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众看病就医。建立完善儿童健康服务体系：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增加儿童医</w:t>
            </w: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疗保健服务供给。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15"/>
        </w:trPr>
        <w:tc>
          <w:tcPr>
            <w:tcW w:w="955" w:type="dxa"/>
            <w:vAlign w:val="top"/>
          </w:tcPr>
          <w:p>
            <w:pPr>
              <w:pStyle w:val="TableText"/>
              <w:spacing w:before="131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 xml:space="preserve">2022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5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vAlign w:val="top"/>
          </w:tcPr>
          <w:p>
            <w:pPr>
              <w:spacing w:before="27" w:line="213" w:lineRule="auto"/>
              <w:jc w:val="right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《国务院办公厅关于印发“十四</w:t>
            </w:r>
            <w:r>
              <w:rPr>
                <w:rFonts w:ascii="KaiTi" w:eastAsia="KaiTi" w:hAnsi="KaiTi" w:cs="KaiTi"/>
                <w:spacing w:val="59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实施健康儿童行动提升计划，完善儿童健康服务网络，建设儿童友好医院，加强儿科建设，推动儿童保</w:t>
            </w:r>
          </w:p>
          <w:p>
            <w:pPr>
              <w:spacing w:before="21" w:line="197" w:lineRule="auto"/>
              <w:ind w:left="26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4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五”国民健康规划的通知》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 xml:space="preserve">   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健门诊标准化、规范化建设，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加强儿童保健和医疗服务。</w:t>
            </w:r>
          </w:p>
        </w:tc>
      </w:tr>
      <w:tr>
        <w:tblPrEx>
          <w:tblW w:w="10635" w:type="dxa"/>
          <w:tblInd w:w="0" w:type="dxa"/>
          <w:tblLayout w:type="fixed"/>
        </w:tblPrEx>
        <w:trPr>
          <w:trHeight w:val="424"/>
        </w:trPr>
        <w:tc>
          <w:tcPr>
            <w:tcW w:w="955" w:type="dxa"/>
            <w:tcBorders>
              <w:bottom w:val="single" w:sz="2" w:space="0" w:color="B70004"/>
            </w:tcBorders>
            <w:shd w:val="clear" w:color="auto" w:fill="F2F2F2"/>
            <w:vAlign w:val="top"/>
          </w:tcPr>
          <w:p>
            <w:pPr>
              <w:pStyle w:val="TableText"/>
              <w:spacing w:before="131" w:line="218" w:lineRule="auto"/>
              <w:ind w:left="3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b/>
                <w:bCs/>
                <w:spacing w:val="-1"/>
                <w:sz w:val="16"/>
                <w:szCs w:val="16"/>
              </w:rPr>
              <w:t xml:space="preserve">2022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</w:t>
            </w:r>
            <w:r>
              <w:rPr>
                <w:rFonts w:ascii="KaiTi" w:eastAsia="KaiTi" w:hAnsi="KaiTi" w:cs="KaiTi"/>
                <w:spacing w:val="-31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1"/>
                <w:sz w:val="16"/>
                <w:szCs w:val="16"/>
              </w:rPr>
              <w:t xml:space="preserve">8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月</w:t>
            </w:r>
          </w:p>
        </w:tc>
        <w:tc>
          <w:tcPr>
            <w:tcW w:w="9680" w:type="dxa"/>
            <w:gridSpan w:val="2"/>
            <w:tcBorders>
              <w:bottom w:val="single" w:sz="2" w:space="0" w:color="B70004"/>
            </w:tcBorders>
            <w:shd w:val="clear" w:color="auto" w:fill="F2F2F2"/>
            <w:vAlign w:val="top"/>
          </w:tcPr>
          <w:p>
            <w:pPr>
              <w:spacing w:before="27" w:line="223" w:lineRule="auto"/>
              <w:ind w:left="434" w:hanging="41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《关于进一步完善和落实积极生育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加强儿童医疗卫生服务体系建设，</w:t>
            </w:r>
            <w:r>
              <w:rPr>
                <w:rFonts w:ascii="KaiTi" w:eastAsia="KaiTi" w:hAnsi="KaiTi" w:cs="KaiTi"/>
                <w:spacing w:val="4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提高儿童健康服务质量。加快推进儿科医联体建设，促进优质儿科医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支持措施的指导意见》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 xml:space="preserve">     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疗资源下沉和均衡布局，不断提高儿童重大与危重疾病规范化诊疗水平。</w:t>
            </w:r>
          </w:p>
        </w:tc>
      </w:tr>
    </w:tbl>
    <w:p>
      <w:pPr>
        <w:pStyle w:val="BodyText"/>
        <w:spacing w:before="22" w:line="213" w:lineRule="auto"/>
        <w:ind w:left="14"/>
        <w:rPr>
          <w:sz w:val="16"/>
          <w:szCs w:val="16"/>
        </w:rPr>
      </w:pPr>
      <w:r>
        <w:rPr>
          <w:spacing w:val="-5"/>
          <w:sz w:val="16"/>
          <w:szCs w:val="16"/>
        </w:rPr>
        <w:t>资料来源：各级政府网站，</w:t>
      </w:r>
      <w:r>
        <w:rPr>
          <w:spacing w:val="-5"/>
          <w:sz w:val="16"/>
          <w:szCs w:val="16"/>
        </w:rPr>
        <w:t xml:space="preserve"> </w:t>
      </w:r>
      <w:r>
        <w:rPr>
          <w:spacing w:val="-5"/>
          <w:sz w:val="16"/>
          <w:szCs w:val="16"/>
        </w:rPr>
        <w:t>浙商证券研究所</w:t>
      </w:r>
    </w:p>
    <w:p>
      <w:pPr>
        <w:pStyle w:val="BodyText"/>
        <w:spacing w:before="141" w:line="226" w:lineRule="auto"/>
        <w:ind w:left="2523"/>
        <w:outlineLvl w:val="0"/>
        <w:rPr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B70004"/>
          <w:spacing w:val="-3"/>
          <w:sz w:val="24"/>
          <w:szCs w:val="24"/>
        </w:rPr>
        <w:t xml:space="preserve">2.2 </w:t>
      </w:r>
      <w:r>
        <w:rPr>
          <w:color w:val="B70004"/>
          <w:spacing w:val="-3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展望：</w:t>
      </w:r>
      <w:r>
        <w:rPr>
          <w:color w:val="B70004"/>
          <w:spacing w:val="-3"/>
          <w:sz w:val="24"/>
          <w:szCs w:val="24"/>
        </w:rPr>
        <w:t xml:space="preserve"> </w:t>
      </w:r>
      <w:r>
        <w:rPr>
          <w:color w:val="B70004"/>
          <w:spacing w:val="-3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长尾出清格局优化，标准连锁</w:t>
      </w:r>
      <w:r>
        <w:rPr>
          <w:rFonts w:ascii="Times New Roman" w:eastAsia="Times New Roman" w:hAnsi="Times New Roman" w:cs="Times New Roman"/>
          <w:b/>
          <w:bCs/>
          <w:color w:val="B70004"/>
          <w:spacing w:val="-3"/>
          <w:sz w:val="24"/>
          <w:szCs w:val="24"/>
        </w:rPr>
        <w:t>+</w:t>
      </w:r>
      <w:r>
        <w:rPr>
          <w:color w:val="B70004"/>
          <w:spacing w:val="-3"/>
          <w:sz w:val="24"/>
          <w:szCs w:val="24"/>
          <w14:textOutline w14:w="4354">
            <w14:solidFill>
              <w14:srgbClr w14:val="B70004"/>
            </w14:solidFill>
            <w14:prstDash w14:val="solid"/>
            <w14:miter w14:lim="10"/>
          </w14:textOutline>
        </w:rPr>
        <w:t>线上线下一体大势所趋</w:t>
      </w:r>
    </w:p>
    <w:p>
      <w:pPr>
        <w:pStyle w:val="BodyText"/>
        <w:spacing w:before="188" w:line="221" w:lineRule="auto"/>
        <w:ind w:left="2967"/>
      </w:pP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复盘我国儿童医疗服务市场发展阶段，</w:t>
      </w:r>
      <w:r>
        <w:rPr>
          <w:color w:val="C00000"/>
          <w:spacing w:val="7"/>
        </w:rPr>
        <w:t xml:space="preserve"> </w:t>
      </w: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我们认为民营儿科存在以下两大痛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点：</w:t>
      </w:r>
    </w:p>
    <w:p>
      <w:pPr>
        <w:pStyle w:val="BodyText"/>
        <w:spacing w:before="211" w:line="267" w:lineRule="auto"/>
        <w:ind w:left="2561" w:right="312" w:firstLine="400"/>
      </w:pPr>
      <w:r>
        <w:rPr>
          <w:color w:val="C00000"/>
          <w:spacing w:val="3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痛点</w:t>
      </w:r>
      <w:r>
        <w:rPr>
          <w:color w:val="C00000"/>
          <w:spacing w:val="-2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pacing w:val="3"/>
        </w:rPr>
        <w:t>1</w:t>
      </w:r>
      <w:r>
        <w:rPr>
          <w:color w:val="C00000"/>
          <w:spacing w:val="3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：传统民营儿科模式相对单一，成长性欠缺。</w:t>
      </w:r>
      <w:r>
        <w:rPr>
          <w:color w:val="C00000"/>
          <w:spacing w:val="3"/>
        </w:rPr>
        <w:t xml:space="preserve"> </w:t>
      </w:r>
      <w:r>
        <w:rPr>
          <w:spacing w:val="3"/>
        </w:rPr>
        <w:t>一般而</w:t>
      </w:r>
      <w:r>
        <w:rPr>
          <w:spacing w:val="2"/>
        </w:rPr>
        <w:t>言，</w:t>
      </w:r>
      <w:r>
        <w:rPr>
          <w:spacing w:val="65"/>
        </w:rPr>
        <w:t xml:space="preserve"> </w:t>
      </w:r>
      <w:r>
        <w:rPr>
          <w:spacing w:val="2"/>
        </w:rPr>
        <w:t>儿童基础疾病较成人</w:t>
      </w:r>
      <w:r>
        <w:t xml:space="preserve"> </w:t>
      </w:r>
      <w:r>
        <w:rPr>
          <w:spacing w:val="7"/>
        </w:rPr>
        <w:t>开药收入更少，</w:t>
      </w:r>
      <w:r>
        <w:rPr>
          <w:spacing w:val="7"/>
        </w:rPr>
        <w:t xml:space="preserve"> </w:t>
      </w:r>
      <w:r>
        <w:rPr>
          <w:spacing w:val="7"/>
        </w:rPr>
        <w:t>这也决定了传统儿科收入结构中诊费占比较高。过去数年受外部冲击影</w:t>
      </w:r>
    </w:p>
    <w:p>
      <w:pPr>
        <w:pStyle w:val="BodyText"/>
        <w:spacing w:before="92" w:line="221" w:lineRule="auto"/>
        <w:ind w:left="2564"/>
      </w:pPr>
      <w:r>
        <w:rPr>
          <w:spacing w:val="7"/>
        </w:rPr>
        <w:t>响，民营机构就诊人数大幅下滑，经营模式单一的痛点进一步凸显，</w:t>
      </w:r>
      <w:r>
        <w:rPr>
          <w:spacing w:val="7"/>
        </w:rPr>
        <w:t xml:space="preserve"> </w:t>
      </w:r>
      <w:r>
        <w:rPr>
          <w:spacing w:val="7"/>
        </w:rPr>
        <w:t>民营机构陷</w:t>
      </w:r>
      <w:r>
        <w:rPr>
          <w:spacing w:val="6"/>
        </w:rPr>
        <w:t>入倒闭</w:t>
      </w:r>
    </w:p>
    <w:p>
      <w:pPr>
        <w:pStyle w:val="BodyText"/>
        <w:spacing w:before="92" w:line="269" w:lineRule="auto"/>
        <w:ind w:left="2560" w:right="288" w:firstLine="4"/>
      </w:pPr>
      <w:r>
        <w:rPr>
          <w:spacing w:val="10"/>
        </w:rPr>
        <w:t>潮，中小玩家出清明显，在这一进程里大体</w:t>
      </w:r>
      <w:r>
        <w:rPr>
          <w:spacing w:val="9"/>
        </w:rPr>
        <w:t>量的全国连锁头部玩家和聚焦高复购属性细分</w:t>
      </w:r>
      <w:r>
        <w:t xml:space="preserve"> </w:t>
      </w:r>
      <w:r>
        <w:rPr>
          <w:spacing w:val="6"/>
        </w:rPr>
        <w:t>赛道的特色机构竞争优势逐步显现。</w:t>
      </w:r>
    </w:p>
    <w:p>
      <w:pPr>
        <w:pStyle w:val="BodyText"/>
        <w:spacing w:before="205" w:line="289" w:lineRule="auto"/>
        <w:ind w:left="2553" w:right="234" w:firstLine="407"/>
        <w:jc w:val="both"/>
      </w:pPr>
      <w:r>
        <w:rPr>
          <w:color w:val="C00000"/>
          <w:spacing w:val="2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痛点</w:t>
      </w:r>
      <w:r>
        <w:rPr>
          <w:color w:val="C00000"/>
          <w:spacing w:val="-35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C00000"/>
          <w:spacing w:val="2"/>
        </w:rPr>
        <w:t>2</w:t>
      </w:r>
      <w:r>
        <w:rPr>
          <w:color w:val="C00000"/>
          <w:spacing w:val="2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：公立医疗心智稳固，</w:t>
      </w:r>
      <w:r>
        <w:rPr>
          <w:color w:val="C00000"/>
          <w:spacing w:val="2"/>
        </w:rPr>
        <w:t xml:space="preserve"> </w:t>
      </w:r>
      <w:r>
        <w:rPr>
          <w:color w:val="C00000"/>
          <w:spacing w:val="2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民营机构信任度有待提高。</w:t>
      </w:r>
      <w:r>
        <w:rPr>
          <w:color w:val="C00000"/>
          <w:spacing w:val="2"/>
        </w:rPr>
        <w:t xml:space="preserve"> </w:t>
      </w:r>
      <w:r>
        <w:rPr>
          <w:spacing w:val="2"/>
        </w:rPr>
        <w:t>伴随医疗体制改革推进，</w:t>
      </w:r>
      <w:r>
        <w:rPr>
          <w:spacing w:val="2"/>
        </w:rPr>
        <w:t xml:space="preserve"> </w:t>
      </w:r>
      <w:r>
        <w:rPr>
          <w:spacing w:val="2"/>
        </w:rPr>
        <w:t>社</w:t>
      </w:r>
      <w:r>
        <w:t xml:space="preserve">  </w:t>
      </w:r>
      <w:r>
        <w:rPr>
          <w:spacing w:val="10"/>
        </w:rPr>
        <w:t>会公众对民营机构认知逐步改观，对其认可度亦有望从服务体验、就</w:t>
      </w:r>
      <w:r>
        <w:rPr>
          <w:spacing w:val="9"/>
        </w:rPr>
        <w:t>医环境逐步向医疗水</w:t>
      </w:r>
      <w:r>
        <w:t xml:space="preserve"> </w:t>
      </w:r>
      <w:r>
        <w:rPr>
          <w:spacing w:val="9"/>
        </w:rPr>
        <w:t>平方面发展，但过去几年医疗需求向公立明显倾</w:t>
      </w:r>
      <w:r>
        <w:rPr>
          <w:spacing w:val="8"/>
        </w:rPr>
        <w:t>斜，消费心智培育受到强外生冲击，</w:t>
      </w:r>
      <w:r>
        <w:rPr>
          <w:spacing w:val="8"/>
        </w:rPr>
        <w:t xml:space="preserve"> </w:t>
      </w:r>
      <w:r>
        <w:rPr>
          <w:spacing w:val="8"/>
        </w:rPr>
        <w:t>消费</w:t>
      </w:r>
      <w:r>
        <w:t xml:space="preserve"> </w:t>
      </w:r>
      <w:r>
        <w:rPr>
          <w:spacing w:val="6"/>
        </w:rPr>
        <w:t>习惯尚需时日。此外当前民营儿科竞争格局分散，</w:t>
      </w:r>
      <w:r>
        <w:rPr>
          <w:spacing w:val="6"/>
        </w:rPr>
        <w:t xml:space="preserve"> </w:t>
      </w:r>
      <w:r>
        <w:rPr>
          <w:spacing w:val="6"/>
        </w:rPr>
        <w:t>缺乏头部品牌引领消费者认知转变。</w:t>
      </w:r>
    </w:p>
    <w:p>
      <w:pPr>
        <w:pStyle w:val="BodyText"/>
        <w:spacing w:before="151" w:line="216" w:lineRule="auto"/>
        <w:ind w:left="218"/>
        <w:rPr>
          <w:sz w:val="18"/>
          <w:szCs w:val="18"/>
        </w:rPr>
      </w:pPr>
      <w:r>
        <w:rPr>
          <w:color w:val="C00000"/>
          <w:spacing w:val="-3"/>
          <w:sz w:val="18"/>
          <w:szCs w:val="18"/>
        </w:rPr>
        <w:t>表</w:t>
      </w:r>
      <w:r>
        <w:rPr>
          <w:rFonts w:ascii="Times New Roman" w:eastAsia="Times New Roman" w:hAnsi="Times New Roman" w:cs="Times New Roman"/>
          <w:color w:val="C00000"/>
          <w:spacing w:val="-3"/>
          <w:sz w:val="18"/>
          <w:szCs w:val="18"/>
        </w:rPr>
        <w:t>3</w:t>
      </w:r>
      <w:r>
        <w:rPr>
          <w:color w:val="C00000"/>
          <w:spacing w:val="-3"/>
          <w:sz w:val="18"/>
          <w:szCs w:val="18"/>
        </w:rPr>
        <w:t>：</w:t>
      </w:r>
      <w:r>
        <w:rPr>
          <w:color w:val="C00000"/>
          <w:spacing w:val="-3"/>
          <w:sz w:val="18"/>
          <w:szCs w:val="18"/>
        </w:rPr>
        <w:t xml:space="preserve"> </w:t>
      </w:r>
      <w:r>
        <w:rPr>
          <w:color w:val="B70004"/>
          <w:spacing w:val="-3"/>
          <w:sz w:val="18"/>
          <w:szCs w:val="18"/>
        </w:rPr>
        <w:t>儿童医疗服务市场发展历程</w:t>
      </w:r>
    </w:p>
    <w:tbl>
      <w:tblPr>
        <w:tblStyle w:val="TableNormal8"/>
        <w:tblW w:w="1049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08"/>
        <w:gridCol w:w="1308"/>
        <w:gridCol w:w="7883"/>
      </w:tblGrid>
      <w:tr>
        <w:tblPrEx>
          <w:tblW w:w="1049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329"/>
        </w:trPr>
        <w:tc>
          <w:tcPr>
            <w:tcW w:w="1308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3" w:line="220" w:lineRule="auto"/>
              <w:ind w:left="463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5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时间</w:t>
            </w:r>
          </w:p>
        </w:tc>
        <w:tc>
          <w:tcPr>
            <w:tcW w:w="1308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4" w:line="221" w:lineRule="auto"/>
              <w:ind w:left="464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pacing w:val="-4"/>
                <w:w w:val="99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阶段</w:t>
            </w:r>
          </w:p>
        </w:tc>
        <w:tc>
          <w:tcPr>
            <w:tcW w:w="7883" w:type="dxa"/>
            <w:tcBorders>
              <w:top w:val="single" w:sz="2" w:space="0" w:color="B70004"/>
              <w:bottom w:val="single" w:sz="2" w:space="0" w:color="B70004"/>
            </w:tcBorders>
            <w:shd w:val="clear" w:color="auto" w:fill="C00000"/>
            <w:vAlign w:val="top"/>
          </w:tcPr>
          <w:p>
            <w:pPr>
              <w:spacing w:before="63" w:line="217" w:lineRule="auto"/>
              <w:ind w:left="2988"/>
              <w:rPr>
                <w:rFonts w:ascii="KaiTi" w:eastAsia="KaiTi" w:hAnsi="KaiTi" w:cs="KaiTi"/>
                <w:sz w:val="21"/>
                <w:szCs w:val="21"/>
              </w:rPr>
            </w:pPr>
            <w:r>
              <w:rPr>
                <w:rFonts w:ascii="KaiTi" w:eastAsia="KaiTi" w:hAnsi="KaiTi" w:cs="KaiTi"/>
                <w:color w:val="FFFFFF"/>
                <w:sz w:val="21"/>
                <w:szCs w:val="21"/>
                <w14:textOutline w14:w="3831">
                  <w14:solidFill>
                    <w14:srgbClr w14:val="FFFFFF"/>
                  </w14:solidFill>
                  <w14:prstDash w14:val="solid"/>
                  <w14:miter w14:lim="10"/>
                </w14:textOutline>
              </w:rPr>
              <w:t>主要事件及发展趋势</w:t>
            </w:r>
          </w:p>
        </w:tc>
      </w:tr>
    </w:tbl>
    <w:p>
      <w:pPr>
        <w:sectPr>
          <w:headerReference w:type="default" r:id="rId89"/>
          <w:footerReference w:type="default" r:id="rId90"/>
          <w:pgSz w:w="11907" w:h="16839"/>
          <w:pgMar w:top="1264" w:right="551" w:bottom="1027" w:left="720" w:header="788" w:footer="796" w:gutter="0"/>
          <w:pgNumType w:start="30"/>
          <w:cols w:space="708"/>
        </w:sectPr>
      </w:pPr>
    </w:p>
    <w:tbl>
      <w:tblPr>
        <w:tblStyle w:val="TableNormal9"/>
        <w:tblW w:w="1049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308"/>
        <w:gridCol w:w="1308"/>
        <w:gridCol w:w="7883"/>
      </w:tblGrid>
      <w:tr>
        <w:tblPrEx>
          <w:tblW w:w="1049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4"/>
        </w:trPr>
        <w:tc>
          <w:tcPr>
            <w:tcW w:w="1308" w:type="dxa"/>
            <w:tcBorders>
              <w:top w:val="single" w:sz="2" w:space="0" w:color="B70004"/>
            </w:tcBorders>
            <w:vAlign w:val="top"/>
          </w:tcPr>
          <w:p>
            <w:pPr>
              <w:pStyle w:val="TableText"/>
              <w:spacing w:before="126" w:line="218" w:lineRule="auto"/>
              <w:ind w:left="256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 xml:space="preserve">1949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年以前</w:t>
            </w:r>
          </w:p>
        </w:tc>
        <w:tc>
          <w:tcPr>
            <w:tcW w:w="1308" w:type="dxa"/>
            <w:tcBorders>
              <w:top w:val="single" w:sz="2" w:space="0" w:color="B70004"/>
            </w:tcBorders>
            <w:vAlign w:val="top"/>
          </w:tcPr>
          <w:p>
            <w:pPr>
              <w:spacing w:before="125" w:line="218" w:lineRule="auto"/>
              <w:ind w:left="43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引入期</w:t>
            </w:r>
          </w:p>
        </w:tc>
        <w:tc>
          <w:tcPr>
            <w:tcW w:w="7883" w:type="dxa"/>
            <w:tcBorders>
              <w:top w:val="single" w:sz="2" w:space="0" w:color="B70004"/>
            </w:tcBorders>
            <w:vAlign w:val="top"/>
          </w:tcPr>
          <w:p>
            <w:pPr>
              <w:pStyle w:val="TableText"/>
              <w:spacing w:before="22" w:line="220" w:lineRule="auto"/>
              <w:ind w:left="13" w:right="26" w:firstLine="5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>1930s</w:t>
            </w:r>
            <w:r>
              <w:rPr>
                <w:spacing w:val="31"/>
                <w:w w:val="10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西方儿科发展迅速并在我国传播，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1937</w:t>
            </w:r>
            <w:r>
              <w:rPr>
                <w:spacing w:val="21"/>
                <w:w w:val="10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年我国第一所儿童专科医院—上海难民儿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童医院（上海儿童医院前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身）成立，北平私立儿童医院（北京儿童医院前身）</w:t>
            </w:r>
            <w:r>
              <w:rPr>
                <w:spacing w:val="-2"/>
                <w:sz w:val="16"/>
                <w:szCs w:val="16"/>
              </w:rPr>
              <w:t xml:space="preserve">1942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年成立。</w:t>
            </w:r>
          </w:p>
        </w:tc>
      </w:tr>
      <w:tr>
        <w:tblPrEx>
          <w:tblW w:w="10499" w:type="dxa"/>
          <w:tblInd w:w="0" w:type="dxa"/>
          <w:tblLayout w:type="fixed"/>
        </w:tblPrEx>
        <w:trPr>
          <w:trHeight w:val="414"/>
        </w:trPr>
        <w:tc>
          <w:tcPr>
            <w:tcW w:w="1308" w:type="dxa"/>
            <w:shd w:val="clear" w:color="auto" w:fill="F2F2F2"/>
            <w:vAlign w:val="top"/>
          </w:tcPr>
          <w:p>
            <w:pPr>
              <w:pStyle w:val="TableText"/>
              <w:spacing w:before="127" w:line="218" w:lineRule="auto"/>
              <w:ind w:left="23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4"/>
                <w:sz w:val="16"/>
                <w:szCs w:val="16"/>
              </w:rPr>
              <w:t>1950-</w:t>
            </w:r>
            <w:r>
              <w:rPr>
                <w:spacing w:val="-17"/>
                <w:sz w:val="16"/>
                <w:szCs w:val="16"/>
              </w:rPr>
              <w:t xml:space="preserve"> </w:t>
            </w:r>
            <w:r>
              <w:rPr>
                <w:spacing w:val="-4"/>
                <w:sz w:val="16"/>
                <w:szCs w:val="16"/>
              </w:rPr>
              <w:t xml:space="preserve">1980 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年</w:t>
            </w:r>
          </w:p>
        </w:tc>
        <w:tc>
          <w:tcPr>
            <w:tcW w:w="1308" w:type="dxa"/>
            <w:shd w:val="clear" w:color="auto" w:fill="F2F2F2"/>
            <w:vAlign w:val="top"/>
          </w:tcPr>
          <w:p>
            <w:pPr>
              <w:spacing w:before="24" w:line="238" w:lineRule="auto"/>
              <w:ind w:left="33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公立医院</w:t>
            </w:r>
          </w:p>
          <w:p>
            <w:pPr>
              <w:spacing w:line="200" w:lineRule="auto"/>
              <w:ind w:left="33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布局阶段</w:t>
            </w:r>
          </w:p>
        </w:tc>
        <w:tc>
          <w:tcPr>
            <w:tcW w:w="7883" w:type="dxa"/>
            <w:shd w:val="clear" w:color="auto" w:fill="F2F2F2"/>
            <w:vAlign w:val="top"/>
          </w:tcPr>
          <w:p>
            <w:pPr>
              <w:pStyle w:val="TableText"/>
              <w:spacing w:before="24" w:line="219" w:lineRule="auto"/>
              <w:ind w:left="14" w:right="23" w:hanging="12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伴随教会医院改制，民营医院被收编，经济水平和医疗行业发展背景下，公立儿童医院涌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现，</w:t>
            </w:r>
            <w:r>
              <w:rPr>
                <w:rFonts w:ascii="KaiTi" w:eastAsia="KaiTi" w:hAnsi="KaiTi" w:cs="KaiTi"/>
                <w:spacing w:val="43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主要包括浙江大学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附属儿童医院（</w:t>
            </w:r>
            <w:r>
              <w:rPr>
                <w:spacing w:val="-3"/>
                <w:sz w:val="16"/>
                <w:szCs w:val="16"/>
              </w:rPr>
              <w:t xml:space="preserve">1951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年成立）、复旦大学附属儿童医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院（</w:t>
            </w:r>
            <w:r>
              <w:rPr>
                <w:spacing w:val="-4"/>
                <w:sz w:val="16"/>
                <w:szCs w:val="16"/>
              </w:rPr>
              <w:t>1952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>）等。</w:t>
            </w:r>
          </w:p>
        </w:tc>
      </w:tr>
      <w:tr>
        <w:tblPrEx>
          <w:tblW w:w="10499" w:type="dxa"/>
          <w:tblInd w:w="0" w:type="dxa"/>
          <w:tblLayout w:type="fixed"/>
        </w:tblPrEx>
        <w:trPr>
          <w:trHeight w:val="414"/>
        </w:trPr>
        <w:tc>
          <w:tcPr>
            <w:tcW w:w="1308" w:type="dxa"/>
            <w:vAlign w:val="top"/>
          </w:tcPr>
          <w:p>
            <w:pPr>
              <w:pStyle w:val="TableText"/>
              <w:spacing w:before="128" w:line="218" w:lineRule="auto"/>
              <w:ind w:left="23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2"/>
                <w:sz w:val="16"/>
                <w:szCs w:val="16"/>
              </w:rPr>
              <w:t xml:space="preserve">1981-2008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年</w:t>
            </w:r>
          </w:p>
        </w:tc>
        <w:tc>
          <w:tcPr>
            <w:tcW w:w="1308" w:type="dxa"/>
            <w:vAlign w:val="top"/>
          </w:tcPr>
          <w:p>
            <w:pPr>
              <w:spacing w:before="128" w:line="217" w:lineRule="auto"/>
              <w:ind w:left="2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平稳发展期</w:t>
            </w:r>
          </w:p>
        </w:tc>
        <w:tc>
          <w:tcPr>
            <w:tcW w:w="7883" w:type="dxa"/>
            <w:vAlign w:val="top"/>
          </w:tcPr>
          <w:p>
            <w:pPr>
              <w:pStyle w:val="TableText"/>
              <w:spacing w:before="24" w:line="219" w:lineRule="auto"/>
              <w:ind w:left="10" w:right="25" w:firstLine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医疗资源供需矛盾加剧，公立承载力不足：</w:t>
            </w:r>
            <w:r>
              <w:rPr>
                <w:rFonts w:ascii="KaiTi" w:eastAsia="KaiTi" w:hAnsi="KaiTi" w:cs="KaiTi"/>
                <w:spacing w:val="28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期内实行计划生育，儿科消费增速趋稳。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1999</w:t>
            </w:r>
            <w:r>
              <w:rPr>
                <w:spacing w:val="31"/>
                <w:w w:val="10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年医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学院取消儿科专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业，人才缺口放大叠加机构长周期投入属性，儿科医疗服务市场增长放缓。</w:t>
            </w:r>
          </w:p>
        </w:tc>
      </w:tr>
      <w:tr>
        <w:tblPrEx>
          <w:tblW w:w="10499" w:type="dxa"/>
          <w:tblInd w:w="0" w:type="dxa"/>
          <w:tblLayout w:type="fixed"/>
        </w:tblPrEx>
        <w:trPr>
          <w:trHeight w:val="412"/>
        </w:trPr>
        <w:tc>
          <w:tcPr>
            <w:tcW w:w="1308" w:type="dxa"/>
            <w:shd w:val="clear" w:color="auto" w:fill="F2F2F2"/>
            <w:vAlign w:val="top"/>
          </w:tcPr>
          <w:p>
            <w:pPr>
              <w:pStyle w:val="TableText"/>
              <w:spacing w:before="129" w:line="218" w:lineRule="auto"/>
              <w:ind w:left="2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2009-2015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年</w:t>
            </w:r>
          </w:p>
        </w:tc>
        <w:tc>
          <w:tcPr>
            <w:tcW w:w="1308" w:type="dxa"/>
            <w:shd w:val="clear" w:color="auto" w:fill="F2F2F2"/>
            <w:vAlign w:val="top"/>
          </w:tcPr>
          <w:p>
            <w:pPr>
              <w:spacing w:before="129" w:line="215" w:lineRule="auto"/>
              <w:ind w:left="267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变革孕育期</w:t>
            </w:r>
          </w:p>
        </w:tc>
        <w:tc>
          <w:tcPr>
            <w:tcW w:w="7883" w:type="dxa"/>
            <w:shd w:val="clear" w:color="auto" w:fill="F2F2F2"/>
            <w:vAlign w:val="top"/>
          </w:tcPr>
          <w:p>
            <w:pPr>
              <w:pStyle w:val="TableText"/>
              <w:spacing w:before="25" w:line="217" w:lineRule="auto"/>
              <w:ind w:left="3" w:right="26" w:hanging="1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5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社会办医兴起，为民营儿科发展奠定基石：</w:t>
            </w:r>
            <w:r>
              <w:rPr>
                <w:rFonts w:ascii="KaiTi" w:eastAsia="KaiTi" w:hAnsi="KaiTi" w:cs="KaiTi"/>
                <w:spacing w:val="70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5"/>
                <w:sz w:val="16"/>
                <w:szCs w:val="16"/>
              </w:rPr>
              <w:t>1</w:t>
            </w:r>
            <w:r>
              <w:rPr>
                <w:rFonts w:ascii="KaiTi" w:eastAsia="KaiTi" w:hAnsi="KaiTi" w:cs="KaiTi"/>
                <w:spacing w:val="-5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）政策利好：</w:t>
            </w:r>
            <w:r>
              <w:rPr>
                <w:rFonts w:ascii="KaiTi" w:eastAsia="KaiTi" w:hAnsi="KaiTi" w:cs="KaiTi"/>
                <w:spacing w:val="47"/>
                <w:sz w:val="16"/>
                <w:szCs w:val="16"/>
              </w:rPr>
              <w:t xml:space="preserve"> </w:t>
            </w:r>
            <w:r>
              <w:rPr>
                <w:spacing w:val="-5"/>
                <w:sz w:val="16"/>
                <w:szCs w:val="16"/>
              </w:rPr>
              <w:t>2009</w:t>
            </w:r>
            <w:r>
              <w:rPr>
                <w:spacing w:val="3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5"/>
                <w:sz w:val="16"/>
                <w:szCs w:val="16"/>
              </w:rPr>
              <w:t>年深化医疗体制改革，一系列扶持社会办医、鼓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励医师多点执业政策出台；</w:t>
            </w:r>
            <w:r>
              <w:rPr>
                <w:rFonts w:ascii="KaiTi" w:eastAsia="KaiTi" w:hAnsi="KaiTi" w:cs="KaiTi"/>
                <w:spacing w:val="-4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2"/>
                <w:sz w:val="16"/>
                <w:szCs w:val="16"/>
              </w:rPr>
              <w:t>2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）互联网医疗兴起：</w:t>
            </w:r>
            <w:r>
              <w:rPr>
                <w:spacing w:val="-2"/>
                <w:sz w:val="16"/>
                <w:szCs w:val="16"/>
              </w:rPr>
              <w:t xml:space="preserve">2013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年前后互联网医疗爆发，大量医疗问诊及科普平台涌现。</w:t>
            </w:r>
          </w:p>
        </w:tc>
      </w:tr>
      <w:tr>
        <w:tblPrEx>
          <w:tblW w:w="10499" w:type="dxa"/>
          <w:tblInd w:w="0" w:type="dxa"/>
          <w:tblLayout w:type="fixed"/>
        </w:tblPrEx>
        <w:trPr>
          <w:trHeight w:val="623"/>
        </w:trPr>
        <w:tc>
          <w:tcPr>
            <w:tcW w:w="1308" w:type="dxa"/>
            <w:vAlign w:val="top"/>
          </w:tcPr>
          <w:p>
            <w:pPr>
              <w:pStyle w:val="TableText"/>
              <w:spacing w:before="236" w:line="218" w:lineRule="auto"/>
              <w:ind w:left="2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pacing w:val="-1"/>
                <w:sz w:val="16"/>
                <w:szCs w:val="16"/>
              </w:rPr>
              <w:t xml:space="preserve">2016-2019 </w:t>
            </w: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年</w:t>
            </w:r>
          </w:p>
        </w:tc>
        <w:tc>
          <w:tcPr>
            <w:tcW w:w="1308" w:type="dxa"/>
            <w:vAlign w:val="top"/>
          </w:tcPr>
          <w:p>
            <w:pPr>
              <w:spacing w:before="235" w:line="217" w:lineRule="auto"/>
              <w:ind w:left="259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快速发展期</w:t>
            </w:r>
          </w:p>
        </w:tc>
        <w:tc>
          <w:tcPr>
            <w:tcW w:w="7883" w:type="dxa"/>
            <w:vAlign w:val="top"/>
          </w:tcPr>
          <w:p>
            <w:pPr>
              <w:pStyle w:val="TableText"/>
              <w:spacing w:before="28" w:line="225" w:lineRule="auto"/>
              <w:ind w:left="1" w:right="23" w:firstLine="13"/>
              <w:jc w:val="both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资本助推民营儿科增长：</w:t>
            </w:r>
            <w:r>
              <w:rPr>
                <w:sz w:val="16"/>
                <w:szCs w:val="16"/>
              </w:rPr>
              <w:t>2016</w:t>
            </w:r>
            <w:r>
              <w:rPr>
                <w:spacing w:val="43"/>
                <w:w w:val="101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年《关于加强儿童医疗卫生服务改革与发展意见》发布叠加二孩政策，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投资方加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</w:rPr>
              <w:t>码民营儿科医疗。此外互联网医疗市场玩家线上</w:t>
            </w:r>
            <w:r>
              <w:rPr>
                <w:sz w:val="16"/>
                <w:szCs w:val="16"/>
              </w:rPr>
              <w:t>+</w:t>
            </w:r>
            <w:r>
              <w:rPr>
                <w:rFonts w:ascii="KaiTi" w:eastAsia="KaiTi" w:hAnsi="KaiTi" w:cs="KaiTi"/>
                <w:sz w:val="16"/>
                <w:szCs w:val="16"/>
              </w:rPr>
              <w:t>线下闭环布局初显，助推新型儿科诊所诞生。</w:t>
            </w:r>
            <w:r>
              <w:rPr>
                <w:rFonts w:ascii="KaiTi" w:eastAsia="KaiTi" w:hAnsi="KaiTi" w:cs="KaiTi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据《</w:t>
            </w:r>
            <w:r>
              <w:rPr>
                <w:b/>
                <w:bCs/>
                <w:sz w:val="16"/>
                <w:szCs w:val="16"/>
              </w:rPr>
              <w:t>2019</w:t>
            </w:r>
            <w:r>
              <w:rPr>
                <w:b/>
                <w:bCs/>
                <w:spacing w:val="41"/>
                <w:w w:val="102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年中国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新型儿科诊所发展报告》，</w:t>
            </w:r>
            <w:r>
              <w:rPr>
                <w:b/>
                <w:bCs/>
                <w:spacing w:val="-3"/>
                <w:sz w:val="16"/>
                <w:szCs w:val="16"/>
              </w:rPr>
              <w:t xml:space="preserve">2014-2018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年间新型儿科诊所品牌新增</w:t>
            </w:r>
            <w:r>
              <w:rPr>
                <w:rFonts w:ascii="KaiTi" w:eastAsia="KaiTi" w:hAnsi="KaiTi" w:cs="KaiTi"/>
                <w:spacing w:val="-14"/>
                <w:sz w:val="16"/>
                <w:szCs w:val="16"/>
              </w:rPr>
              <w:t xml:space="preserve"> </w:t>
            </w:r>
            <w:r>
              <w:rPr>
                <w:b/>
                <w:bCs/>
                <w:spacing w:val="-3"/>
                <w:sz w:val="16"/>
                <w:szCs w:val="16"/>
              </w:rPr>
              <w:t xml:space="preserve">150 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余家。</w:t>
            </w:r>
          </w:p>
        </w:tc>
      </w:tr>
      <w:tr>
        <w:tblPrEx>
          <w:tblW w:w="10499" w:type="dxa"/>
          <w:tblInd w:w="0" w:type="dxa"/>
          <w:tblLayout w:type="fixed"/>
        </w:tblPrEx>
        <w:trPr>
          <w:trHeight w:val="585"/>
        </w:trPr>
        <w:tc>
          <w:tcPr>
            <w:tcW w:w="1308" w:type="dxa"/>
            <w:tcBorders>
              <w:bottom w:val="single" w:sz="2" w:space="0" w:color="B70004"/>
            </w:tcBorders>
            <w:shd w:val="clear" w:color="auto" w:fill="F2F2F2"/>
            <w:vAlign w:val="top"/>
          </w:tcPr>
          <w:p>
            <w:pPr>
              <w:pStyle w:val="TableText"/>
              <w:spacing w:before="212" w:line="221" w:lineRule="auto"/>
              <w:ind w:left="310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sz w:val="16"/>
                <w:szCs w:val="16"/>
              </w:rPr>
              <w:t>2020-</w:t>
            </w:r>
            <w:r>
              <w:rPr>
                <w:rFonts w:ascii="KaiTi" w:eastAsia="KaiTi" w:hAnsi="KaiTi" w:cs="KaiTi"/>
                <w:sz w:val="16"/>
                <w:szCs w:val="16"/>
              </w:rPr>
              <w:t>至今</w:t>
            </w:r>
          </w:p>
        </w:tc>
        <w:tc>
          <w:tcPr>
            <w:tcW w:w="1308" w:type="dxa"/>
            <w:tcBorders>
              <w:bottom w:val="single" w:sz="2" w:space="0" w:color="B70004"/>
            </w:tcBorders>
            <w:shd w:val="clear" w:color="auto" w:fill="F2F2F2"/>
            <w:vAlign w:val="top"/>
          </w:tcPr>
          <w:p>
            <w:pPr>
              <w:spacing w:before="212" w:line="216" w:lineRule="auto"/>
              <w:ind w:left="258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转型出清期</w:t>
            </w:r>
          </w:p>
        </w:tc>
        <w:tc>
          <w:tcPr>
            <w:tcW w:w="7883" w:type="dxa"/>
            <w:tcBorders>
              <w:bottom w:val="single" w:sz="2" w:space="0" w:color="B70004"/>
            </w:tcBorders>
            <w:shd w:val="clear" w:color="auto" w:fill="F2F2F2"/>
            <w:vAlign w:val="top"/>
          </w:tcPr>
          <w:p>
            <w:pPr>
              <w:pStyle w:val="TableText"/>
              <w:spacing w:before="108" w:line="233" w:lineRule="auto"/>
              <w:ind w:left="2" w:right="23" w:firstLine="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2"/>
                <w:sz w:val="16"/>
                <w:szCs w:val="16"/>
                <w14:textOutline w14:w="2917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外部冲击加速长尾民营机构出清：</w:t>
            </w:r>
            <w:r>
              <w:rPr>
                <w:rFonts w:ascii="KaiTi" w:eastAsia="KaiTi" w:hAnsi="KaiTi" w:cs="KaiTi"/>
                <w:spacing w:val="46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特殊时期诊疗需求向公立倾斜，部分儿</w:t>
            </w:r>
            <w:r>
              <w:rPr>
                <w:rFonts w:ascii="KaiTi" w:eastAsia="KaiTi" w:hAnsi="KaiTi" w:cs="KaiTi"/>
                <w:spacing w:val="-3"/>
                <w:sz w:val="16"/>
                <w:szCs w:val="16"/>
              </w:rPr>
              <w:t>科民营机构出清。此后伴随需求回升叠</w:t>
            </w:r>
            <w:r>
              <w:rPr>
                <w:rFonts w:ascii="KaiTi" w:eastAsia="KaiTi" w:hAnsi="KaiTi" w:cs="KaiTi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加医疗消费升级，民营儿科逐步修复，</w:t>
            </w:r>
            <w:r>
              <w:rPr>
                <w:rFonts w:ascii="KaiTi" w:eastAsia="KaiTi" w:hAnsi="KaiTi" w:cs="KaiTi"/>
                <w:spacing w:val="-21"/>
                <w:sz w:val="16"/>
                <w:szCs w:val="16"/>
              </w:rPr>
              <w:t xml:space="preserve"> </w:t>
            </w:r>
            <w:r>
              <w:rPr>
                <w:spacing w:val="-2"/>
                <w:sz w:val="16"/>
                <w:szCs w:val="16"/>
              </w:rPr>
              <w:t>“</w:t>
            </w:r>
            <w:r>
              <w:rPr>
                <w:spacing w:val="-23"/>
                <w:sz w:val="16"/>
                <w:szCs w:val="16"/>
              </w:rPr>
              <w:t xml:space="preserve"> 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大专科</w:t>
            </w:r>
            <w:r>
              <w:rPr>
                <w:spacing w:val="-2"/>
                <w:sz w:val="16"/>
                <w:szCs w:val="16"/>
              </w:rPr>
              <w:t>+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小综合</w:t>
            </w:r>
            <w:r>
              <w:rPr>
                <w:spacing w:val="-2"/>
                <w:sz w:val="16"/>
                <w:szCs w:val="16"/>
              </w:rPr>
              <w:t>”</w:t>
            </w:r>
            <w:r>
              <w:rPr>
                <w:rFonts w:ascii="KaiTi" w:eastAsia="KaiTi" w:hAnsi="KaiTi" w:cs="KaiTi"/>
                <w:spacing w:val="-2"/>
                <w:sz w:val="16"/>
                <w:szCs w:val="16"/>
              </w:rPr>
              <w:t>成转型新方向，头部机构有望率先扩张抢占市场份额。</w:t>
            </w:r>
          </w:p>
        </w:tc>
      </w:tr>
    </w:tbl>
    <w:p>
      <w:pPr>
        <w:pStyle w:val="BodyText"/>
        <w:spacing w:before="23" w:line="213" w:lineRule="auto"/>
        <w:ind w:left="98"/>
        <w:rPr>
          <w:sz w:val="16"/>
          <w:szCs w:val="16"/>
        </w:rPr>
      </w:pPr>
      <w:r>
        <w:rPr>
          <w:spacing w:val="-3"/>
          <w:sz w:val="16"/>
          <w:szCs w:val="16"/>
        </w:rPr>
        <w:t>资料来源：头豹研究院，各级政府网站及官微，</w:t>
      </w:r>
      <w:r>
        <w:rPr>
          <w:spacing w:val="-3"/>
          <w:sz w:val="16"/>
          <w:szCs w:val="16"/>
        </w:rPr>
        <w:t xml:space="preserve"> </w:t>
      </w:r>
      <w:r>
        <w:rPr>
          <w:spacing w:val="-3"/>
          <w:sz w:val="16"/>
          <w:szCs w:val="16"/>
        </w:rPr>
        <w:t>浙商</w:t>
      </w:r>
      <w:r>
        <w:rPr>
          <w:spacing w:val="-4"/>
          <w:sz w:val="16"/>
          <w:szCs w:val="16"/>
        </w:rPr>
        <w:t>证券研究所</w:t>
      </w:r>
    </w:p>
    <w:p>
      <w:pPr>
        <w:spacing w:line="213" w:lineRule="auto"/>
        <w:rPr>
          <w:sz w:val="16"/>
          <w:szCs w:val="16"/>
        </w:rPr>
        <w:sectPr>
          <w:headerReference w:type="default" r:id="rId91"/>
          <w:footerReference w:type="default" r:id="rId92"/>
          <w:type w:val="nextPage"/>
          <w:pgSz w:w="11907" w:h="16839"/>
          <w:pgMar w:top="1264" w:right="551" w:bottom="1027" w:left="720" w:header="788" w:footer="796" w:gutter="0"/>
          <w:pgNumType w:start="31"/>
          <w:cols w:space="708"/>
          <w:titlePg w:val="0"/>
        </w:sectPr>
      </w:pPr>
    </w:p>
    <w:p>
      <w:pPr>
        <w:pStyle w:val="BodyText"/>
        <w:spacing w:before="199" w:line="271" w:lineRule="auto"/>
        <w:ind w:left="2551" w:right="55" w:firstLine="409"/>
      </w:pPr>
      <w:r>
        <w:pict>
          <v:rect id="_x0000_s1137" style="width:254.6pt;height:0.5pt;margin-top:225.86pt;margin-left:36pt;mso-position-horizontal-relative:page;mso-position-vertical-relative:page;position:absolute;z-index:251704320" o:allowincell="f" filled="t" fillcolor="#c00000" stroked="f"/>
        </w:pict>
      </w:r>
      <w:r>
        <w:pict>
          <v:rect id="_x0000_s1138" style="width:254.6pt;height:0.5pt;margin-top:381.41pt;margin-left:36pt;mso-position-horizontal-relative:page;mso-position-vertical-relative:page;position:absolute;z-index:251705344" o:allowincell="f" filled="t" fillcolor="#c00000" stroked="f"/>
        </w:pict>
      </w:r>
      <w:r>
        <w:pict>
          <v:rect id="_x0000_s1139" style="width:254.6pt;height:0.5pt;margin-top:517.87pt;margin-left:304.85pt;mso-position-horizontal-relative:page;mso-position-vertical-relative:page;position:absolute;z-index:251703296" o:allowincell="f" filled="t" fillcolor="#c00000" stroked="f"/>
        </w:pict>
      </w:r>
      <w:r>
        <w:pict>
          <v:rect id="_x0000_s1140" style="width:254.6pt;height:0.5pt;margin-top:687.34pt;margin-left:304.85pt;mso-position-horizontal-relative:page;mso-position-vertical-relative:page;position:absolute;z-index:251702272" o:allowincell="f" filled="t" fillcolor="#c00000" stroked="f"/>
        </w:pict>
      </w:r>
      <w:r>
        <w:drawing>
          <wp:anchor distT="0" distB="0" distL="0" distR="0" simplePos="0" relativeHeight="251701248" behindDoc="1" locked="0" layoutInCell="0" allowOverlap="1">
            <wp:simplePos x="0" y="0"/>
            <wp:positionH relativeFrom="page">
              <wp:posOffset>3972559</wp:posOffset>
            </wp:positionH>
            <wp:positionV relativeFrom="page">
              <wp:posOffset>2906649</wp:posOffset>
            </wp:positionV>
            <wp:extent cx="3023870" cy="1896109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3023870" cy="18961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C00000"/>
          <w:spacing w:val="8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我们认为，</w:t>
      </w:r>
      <w:r>
        <w:rPr>
          <w:color w:val="C00000"/>
          <w:spacing w:val="8"/>
        </w:rPr>
        <w:t xml:space="preserve"> </w:t>
      </w:r>
      <w:r>
        <w:rPr>
          <w:color w:val="C00000"/>
          <w:spacing w:val="8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针对以上痛点，机构本身业务延展能力</w:t>
      </w:r>
      <w:r>
        <w:rPr>
          <w:rFonts w:ascii="Times New Roman" w:eastAsia="Times New Roman" w:hAnsi="Times New Roman" w:cs="Times New Roman"/>
          <w:b/>
          <w:bCs/>
          <w:color w:val="C00000"/>
          <w:spacing w:val="8"/>
        </w:rPr>
        <w:t>+</w:t>
      </w:r>
      <w:r>
        <w:rPr>
          <w:color w:val="C00000"/>
          <w:spacing w:val="8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连锁</w:t>
      </w: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化标准化能力</w:t>
      </w:r>
      <w:r>
        <w:rPr>
          <w:rFonts w:ascii="Times New Roman" w:eastAsia="Times New Roman" w:hAnsi="Times New Roman" w:cs="Times New Roman"/>
          <w:b/>
          <w:bCs/>
          <w:color w:val="C00000"/>
          <w:spacing w:val="7"/>
        </w:rPr>
        <w:t>+</w:t>
      </w:r>
      <w:r>
        <w:rPr>
          <w:color w:val="C00000"/>
          <w:spacing w:val="7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线上线下联动</w:t>
      </w:r>
      <w:r>
        <w:rPr>
          <w:color w:val="C00000"/>
        </w:rPr>
        <w:t xml:space="preserve"> </w:t>
      </w:r>
      <w:bookmarkStart w:id="29" w:name="bookmark39"/>
      <w:bookmarkEnd w:id="29"/>
      <w:bookmarkStart w:id="30" w:name="bookmark40"/>
      <w:bookmarkEnd w:id="30"/>
      <w:bookmarkStart w:id="31" w:name="bookmark41"/>
      <w:bookmarkEnd w:id="31"/>
      <w:bookmarkStart w:id="32" w:name="bookmark42"/>
      <w:bookmarkEnd w:id="32"/>
      <w:r>
        <w:rPr>
          <w:color w:val="C00000"/>
          <w:spacing w:val="9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运营能力缺一不可。</w:t>
      </w:r>
    </w:p>
    <w:p>
      <w:pPr>
        <w:pStyle w:val="BodyText"/>
        <w:spacing w:before="203" w:line="221" w:lineRule="auto"/>
        <w:ind w:left="2964"/>
      </w:pPr>
      <w:r>
        <w:rPr>
          <w:color w:val="C00000"/>
          <w:spacing w:val="10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定位差异化高潜赛道，重视业务延展空间。</w:t>
      </w:r>
      <w:r>
        <w:rPr>
          <w:spacing w:val="10"/>
        </w:rPr>
        <w:t>据头豹研究院，经历儿科机构爆发增长</w:t>
      </w:r>
    </w:p>
    <w:p>
      <w:pPr>
        <w:pStyle w:val="BodyText"/>
        <w:spacing w:before="90" w:line="293" w:lineRule="auto"/>
        <w:ind w:left="2552" w:right="119" w:firstLine="2"/>
      </w:pPr>
      <w:r>
        <w:rPr>
          <w:spacing w:val="7"/>
        </w:rPr>
        <w:t>后，近年来相关投融资数目明显下降，行业发展由跑马圈地向精细运营演进，</w:t>
      </w:r>
      <w:r>
        <w:rPr>
          <w:spacing w:val="7"/>
        </w:rPr>
        <w:t xml:space="preserve"> </w:t>
      </w:r>
      <w:r>
        <w:rPr>
          <w:spacing w:val="7"/>
        </w:rPr>
        <w:t>可持续盈利</w:t>
      </w:r>
      <w:r>
        <w:rPr>
          <w:spacing w:val="5"/>
        </w:rPr>
        <w:t xml:space="preserve"> </w:t>
      </w:r>
      <w:r>
        <w:rPr>
          <w:spacing w:val="7"/>
        </w:rPr>
        <w:t>能力至关重要。即机构自身需要以差异化优势切入公立医院空白领域，</w:t>
      </w:r>
      <w:r>
        <w:rPr>
          <w:spacing w:val="7"/>
        </w:rPr>
        <w:t xml:space="preserve"> </w:t>
      </w:r>
      <w:r>
        <w:rPr>
          <w:spacing w:val="7"/>
        </w:rPr>
        <w:t>如保健、康复等健</w:t>
      </w:r>
      <w:r>
        <w:rPr>
          <w:spacing w:val="9"/>
        </w:rPr>
        <w:t xml:space="preserve"> </w:t>
      </w:r>
      <w:r>
        <w:rPr>
          <w:spacing w:val="4"/>
        </w:rPr>
        <w:t>康管理方向，这类专科项目医保覆盖有限，</w:t>
      </w:r>
      <w:r>
        <w:rPr>
          <w:spacing w:val="4"/>
        </w:rPr>
        <w:t xml:space="preserve"> </w:t>
      </w:r>
      <w:r>
        <w:rPr>
          <w:spacing w:val="4"/>
        </w:rPr>
        <w:t>且往往单次</w:t>
      </w:r>
      <w:r>
        <w:rPr>
          <w:spacing w:val="3"/>
        </w:rPr>
        <w:t>消费难以起效，</w:t>
      </w:r>
      <w:r>
        <w:rPr>
          <w:spacing w:val="3"/>
        </w:rPr>
        <w:t xml:space="preserve"> </w:t>
      </w:r>
      <w:r>
        <w:rPr>
          <w:spacing w:val="3"/>
        </w:rPr>
        <w:t>具有高复购属性。</w:t>
      </w:r>
      <w:r>
        <w:t xml:space="preserve"> </w:t>
      </w:r>
      <w:r>
        <w:rPr>
          <w:spacing w:val="10"/>
        </w:rPr>
        <w:t>此外对于客群多维度、全生命周期需求挖掘也将贡献新增量，即机构本身业务</w:t>
      </w:r>
      <w:r>
        <w:rPr>
          <w:spacing w:val="9"/>
        </w:rPr>
        <w:t>将由专精化</w:t>
      </w:r>
      <w:r>
        <w:t xml:space="preserve"> </w:t>
      </w:r>
      <w:r>
        <w:rPr>
          <w:spacing w:val="6"/>
        </w:rPr>
        <w:t>向多元化延展，</w:t>
      </w:r>
      <w:r>
        <w:rPr>
          <w:spacing w:val="6"/>
        </w:rPr>
        <w:t xml:space="preserve"> </w:t>
      </w:r>
      <w:r>
        <w:rPr>
          <w:spacing w:val="6"/>
        </w:rPr>
        <w:t>兼具优势业务和多元布局的“大专科小综合”模式或为未来发展方向。</w:t>
      </w:r>
    </w:p>
    <w:p>
      <w:pPr>
        <w:spacing w:line="170" w:lineRule="exact"/>
      </w:pPr>
    </w:p>
    <w:p>
      <w:pPr>
        <w:spacing w:line="170" w:lineRule="exact"/>
        <w:sectPr>
          <w:headerReference w:type="default" r:id="rId94"/>
          <w:footerReference w:type="default" r:id="rId95"/>
          <w:pgSz w:w="11907" w:h="16839"/>
          <w:pgMar w:top="1264" w:right="718" w:bottom="1027" w:left="720" w:header="788" w:footer="796" w:gutter="0"/>
          <w:pgNumType w:start="32"/>
          <w:cols w:num="1" w:space="708" w:equalWidth="0">
            <w:col w:w="10469" w:space="0"/>
          </w:cols>
        </w:sectPr>
      </w:pPr>
    </w:p>
    <w:p>
      <w:pPr>
        <w:pStyle w:val="BodyText"/>
        <w:spacing w:before="36" w:line="212" w:lineRule="auto"/>
        <w:ind w:left="25"/>
        <w:rPr>
          <w:sz w:val="18"/>
          <w:szCs w:val="18"/>
        </w:rPr>
      </w:pPr>
      <w:r>
        <w:rPr>
          <w:color w:val="B70004"/>
          <w:spacing w:val="-8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8"/>
          <w:sz w:val="18"/>
          <w:szCs w:val="18"/>
        </w:rPr>
        <w:t>20</w:t>
      </w:r>
      <w:r>
        <w:rPr>
          <w:color w:val="B70004"/>
          <w:spacing w:val="-8"/>
          <w:sz w:val="18"/>
          <w:szCs w:val="18"/>
        </w:rPr>
        <w:t>：</w:t>
      </w:r>
      <w:r>
        <w:rPr>
          <w:color w:val="B70004"/>
          <w:spacing w:val="-8"/>
          <w:sz w:val="18"/>
          <w:szCs w:val="18"/>
        </w:rPr>
        <w:t xml:space="preserve"> </w:t>
      </w:r>
      <w:r>
        <w:rPr>
          <w:color w:val="B70004"/>
          <w:spacing w:val="-8"/>
          <w:sz w:val="18"/>
          <w:szCs w:val="18"/>
        </w:rPr>
        <w:t>儿科行业投融资数量（单位：起，</w:t>
      </w:r>
      <w:r>
        <w:rPr>
          <w:color w:val="B70004"/>
          <w:spacing w:val="56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8"/>
          <w:sz w:val="18"/>
          <w:szCs w:val="18"/>
        </w:rPr>
        <w:t xml:space="preserve">21 </w:t>
      </w:r>
      <w:r>
        <w:rPr>
          <w:color w:val="B70004"/>
          <w:spacing w:val="-8"/>
          <w:sz w:val="18"/>
          <w:szCs w:val="18"/>
        </w:rPr>
        <w:t>年数据截至</w:t>
      </w:r>
      <w:r>
        <w:rPr>
          <w:color w:val="B7000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8"/>
          <w:sz w:val="18"/>
          <w:szCs w:val="18"/>
        </w:rPr>
        <w:t>11</w:t>
      </w:r>
      <w:r>
        <w:rPr>
          <w:rFonts w:ascii="Times New Roman" w:eastAsia="Times New Roman" w:hAnsi="Times New Roman" w:cs="Times New Roman"/>
          <w:color w:val="B70004"/>
          <w:spacing w:val="9"/>
          <w:sz w:val="18"/>
          <w:szCs w:val="18"/>
        </w:rPr>
        <w:t xml:space="preserve"> </w:t>
      </w:r>
      <w:r>
        <w:rPr>
          <w:color w:val="B70004"/>
          <w:spacing w:val="-8"/>
          <w:sz w:val="18"/>
          <w:szCs w:val="18"/>
        </w:rPr>
        <w:t>月）</w:t>
      </w:r>
    </w:p>
    <w:p>
      <w:pPr>
        <w:spacing w:before="168" w:line="2890" w:lineRule="exact"/>
        <w:ind w:firstLine="183"/>
      </w:pPr>
      <w:r>
        <w:rPr>
          <w:position w:val="-57"/>
        </w:rPr>
        <w:drawing>
          <wp:inline distT="0" distB="0" distL="0" distR="0">
            <wp:extent cx="2999739" cy="1835150"/>
            <wp:effectExtent l="0" t="0" r="0" b="0"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96"/>
                    <a:stretch>
                      <a:fillRect/>
                    </a:stretch>
                  </pic:blipFill>
                  <pic:spPr>
                    <a:xfrm>
                      <a:off x="0" y="0"/>
                      <a:ext cx="2999739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5" w:line="186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资料来源：头豹研究院，浙商证券研究所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4" w:line="217" w:lineRule="auto"/>
        <w:ind w:left="25"/>
        <w:rPr>
          <w:sz w:val="18"/>
          <w:szCs w:val="18"/>
        </w:rPr>
      </w:pPr>
      <w:r>
        <w:rPr>
          <w:color w:val="B70004"/>
          <w:spacing w:val="-2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>21</w:t>
      </w:r>
      <w:r>
        <w:rPr>
          <w:color w:val="B70004"/>
          <w:spacing w:val="-2"/>
          <w:sz w:val="18"/>
          <w:szCs w:val="18"/>
        </w:rPr>
        <w:t>：</w:t>
      </w:r>
      <w:r>
        <w:rPr>
          <w:color w:val="B70004"/>
          <w:spacing w:val="-23"/>
          <w:sz w:val="18"/>
          <w:szCs w:val="18"/>
        </w:rPr>
        <w:t xml:space="preserve"> </w:t>
      </w:r>
      <w:r>
        <w:rPr>
          <w:rFonts w:ascii="Times New Roman" w:eastAsia="Times New Roman" w:hAnsi="Times New Roman" w:cs="Times New Roman"/>
          <w:color w:val="B70004"/>
          <w:spacing w:val="-2"/>
          <w:sz w:val="18"/>
          <w:szCs w:val="18"/>
        </w:rPr>
        <w:t xml:space="preserve">2018 </w:t>
      </w:r>
      <w:r>
        <w:rPr>
          <w:color w:val="B70004"/>
          <w:spacing w:val="-2"/>
          <w:sz w:val="18"/>
          <w:szCs w:val="18"/>
        </w:rPr>
        <w:t>年儿童医疗市场细分专科数</w:t>
      </w:r>
      <w:r>
        <w:rPr>
          <w:color w:val="B70004"/>
          <w:spacing w:val="-3"/>
          <w:sz w:val="18"/>
          <w:szCs w:val="18"/>
        </w:rPr>
        <w:t>量占比</w:t>
      </w:r>
    </w:p>
    <w:p>
      <w:pPr>
        <w:spacing w:before="49" w:line="3120" w:lineRule="exact"/>
      </w:pPr>
      <w:r>
        <w:rPr>
          <w:position w:val="-62"/>
        </w:rPr>
        <w:pict>
          <v:group id="_x0000_i1141" style="width:254.6pt;height:156.05pt;mso-position-horizontal-relative:char;mso-position-vertical-relative:line" coordorigin="0,0" coordsize="5092,3121" filled="f" stroked="f">
            <v:rect id="_x0000_s1142" style="width:5092;height:10;position:absolute;top:3110" filled="t" fillcolor="#c00000" stroked="f"/>
            <v:rect id="_x0000_s1143" style="width:5092;height:10;position:absolute" filled="t" fillcolor="#c00000" stroked="f"/>
            <w10:wrap type="none"/>
          </v:group>
        </w:pict>
      </w:r>
    </w:p>
    <w:p>
      <w:pPr>
        <w:pStyle w:val="BodyText"/>
        <w:spacing w:before="90" w:line="186" w:lineRule="auto"/>
        <w:ind w:left="14"/>
        <w:rPr>
          <w:sz w:val="16"/>
          <w:szCs w:val="16"/>
        </w:rPr>
      </w:pPr>
      <w:r>
        <w:rPr>
          <w:spacing w:val="-6"/>
          <w:sz w:val="16"/>
          <w:szCs w:val="16"/>
        </w:rPr>
        <w:t>资料来源：《</w:t>
      </w:r>
      <w:r>
        <w:rPr>
          <w:rFonts w:ascii="Times New Roman" w:eastAsia="Times New Roman" w:hAnsi="Times New Roman" w:cs="Times New Roman"/>
          <w:spacing w:val="-6"/>
          <w:sz w:val="16"/>
          <w:szCs w:val="16"/>
        </w:rPr>
        <w:t xml:space="preserve">2019 </w:t>
      </w:r>
      <w:r>
        <w:rPr>
          <w:spacing w:val="-6"/>
          <w:sz w:val="16"/>
          <w:szCs w:val="16"/>
        </w:rPr>
        <w:t>年新型儿科诊所报告》，浙</w:t>
      </w:r>
      <w:r>
        <w:rPr>
          <w:spacing w:val="-7"/>
          <w:sz w:val="16"/>
          <w:szCs w:val="16"/>
        </w:rPr>
        <w:t>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97"/>
          <w:footerReference w:type="default" r:id="rId98"/>
          <w:type w:val="continuous"/>
          <w:pgSz w:w="11907" w:h="16839"/>
          <w:pgMar w:top="1264" w:right="718" w:bottom="1027" w:left="720" w:header="788" w:footer="796" w:gutter="0"/>
          <w:pgNumType w:start="33"/>
          <w:cols w:num="2" w:space="708" w:equalWidth="0">
            <w:col w:w="5277" w:space="100"/>
            <w:col w:w="5092" w:space="0"/>
          </w:cols>
        </w:sectPr>
      </w:pPr>
    </w:p>
    <w:p>
      <w:pPr>
        <w:pStyle w:val="BodyText"/>
        <w:spacing w:before="174" w:line="296" w:lineRule="auto"/>
        <w:ind w:left="2557" w:right="36" w:firstLine="409"/>
      </w:pP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线上运营</w:t>
      </w:r>
      <w:r>
        <w:rPr>
          <w:rFonts w:ascii="Times New Roman" w:eastAsia="Times New Roman" w:hAnsi="Times New Roman" w:cs="Times New Roman"/>
          <w:b/>
          <w:bCs/>
          <w:color w:val="C00000"/>
          <w:spacing w:val="6"/>
        </w:rPr>
        <w:t>+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线下引流，</w:t>
      </w:r>
      <w:r>
        <w:rPr>
          <w:color w:val="C00000"/>
          <w:spacing w:val="6"/>
        </w:rPr>
        <w:t xml:space="preserve"> </w:t>
      </w:r>
      <w:r>
        <w:rPr>
          <w:color w:val="C00000"/>
          <w:spacing w:val="6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闭环运营缓解获客压力。</w:t>
      </w:r>
      <w:r>
        <w:rPr>
          <w:spacing w:val="6"/>
        </w:rPr>
        <w:t>一方面互联网平台有利于突破地理限</w:t>
      </w:r>
      <w:r>
        <w:rPr>
          <w:spacing w:val="6"/>
        </w:rPr>
        <w:t xml:space="preserve">  </w:t>
      </w:r>
      <w:r>
        <w:rPr>
          <w:spacing w:val="10"/>
        </w:rPr>
        <w:t>制获取医生资源和潜在客源；另一方面线上可通过科普咨询</w:t>
      </w:r>
      <w:r>
        <w:rPr>
          <w:spacing w:val="9"/>
        </w:rPr>
        <w:t>、育儿课程等方式增加互动并</w:t>
      </w:r>
      <w:r>
        <w:t xml:space="preserve">  </w:t>
      </w:r>
      <w:r>
        <w:rPr>
          <w:spacing w:val="7"/>
        </w:rPr>
        <w:t>进行社群管理，</w:t>
      </w:r>
      <w:r>
        <w:rPr>
          <w:spacing w:val="7"/>
        </w:rPr>
        <w:t xml:space="preserve"> </w:t>
      </w:r>
      <w:r>
        <w:rPr>
          <w:spacing w:val="7"/>
        </w:rPr>
        <w:t>提升用户粘性，进一步引流至线下增厚诊所收益。例如著名儿科专家、微</w:t>
      </w:r>
      <w:r>
        <w:rPr>
          <w:spacing w:val="1"/>
        </w:rPr>
        <w:t xml:space="preserve">  </w:t>
      </w:r>
      <w:r>
        <w:rPr>
          <w:spacing w:val="6"/>
        </w:rPr>
        <w:t>博大</w:t>
      </w:r>
      <w:r>
        <w:rPr>
          <w:spacing w:val="-42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V </w:t>
      </w:r>
      <w:r>
        <w:rPr>
          <w:spacing w:val="6"/>
        </w:rPr>
        <w:t>崔玉涛于</w:t>
      </w:r>
      <w:r>
        <w:rPr>
          <w:spacing w:val="-40"/>
        </w:rPr>
        <w:t xml:space="preserve"> </w:t>
      </w:r>
      <w:r>
        <w:rPr>
          <w:rFonts w:ascii="Times New Roman" w:eastAsia="Times New Roman" w:hAnsi="Times New Roman" w:cs="Times New Roman"/>
          <w:spacing w:val="6"/>
        </w:rPr>
        <w:t xml:space="preserve">2014 </w:t>
      </w:r>
      <w:r>
        <w:rPr>
          <w:spacing w:val="6"/>
        </w:rPr>
        <w:t>年底创办儿童健康管理品牌“育学园”，成立</w:t>
      </w:r>
      <w:r>
        <w:rPr>
          <w:spacing w:val="5"/>
        </w:rPr>
        <w:t>初期由</w:t>
      </w:r>
      <w:r>
        <w:rPr>
          <w:spacing w:val="-41"/>
        </w:rPr>
        <w:t xml:space="preserve"> </w:t>
      </w:r>
      <w:r>
        <w:rPr>
          <w:rFonts w:ascii="Times New Roman" w:eastAsia="Times New Roman" w:hAnsi="Times New Roman" w:cs="Times New Roman"/>
        </w:rPr>
        <w:t>APP</w:t>
      </w:r>
      <w:r>
        <w:rPr>
          <w:rFonts w:ascii="Times New Roman" w:eastAsia="Times New Roman" w:hAnsi="Times New Roman" w:cs="Times New Roman"/>
          <w:spacing w:val="5"/>
        </w:rPr>
        <w:t xml:space="preserve"> </w:t>
      </w:r>
      <w:r>
        <w:rPr>
          <w:spacing w:val="5"/>
        </w:rPr>
        <w:t>进行线上运</w:t>
      </w:r>
      <w:r>
        <w:t xml:space="preserve"> </w:t>
      </w:r>
      <w:r>
        <w:rPr>
          <w:spacing w:val="5"/>
        </w:rPr>
        <w:t>营，不到一年便累积数百万有真实需求和高度活跃的线上用户，</w:t>
      </w:r>
      <w:r>
        <w:rPr>
          <w:spacing w:val="69"/>
        </w:rPr>
        <w:t xml:space="preserve"> </w:t>
      </w:r>
      <w:r>
        <w:rPr>
          <w:rFonts w:ascii="Times New Roman" w:eastAsia="Times New Roman" w:hAnsi="Times New Roman" w:cs="Times New Roman"/>
          <w:spacing w:val="5"/>
        </w:rPr>
        <w:t xml:space="preserve">2016 </w:t>
      </w:r>
      <w:r>
        <w:rPr>
          <w:spacing w:val="5"/>
        </w:rPr>
        <w:t>年借助流量优势成立</w:t>
      </w:r>
      <w:r>
        <w:t xml:space="preserve"> </w:t>
      </w:r>
      <w:r>
        <w:rPr>
          <w:spacing w:val="2"/>
        </w:rPr>
        <w:t>线下实体机构，</w:t>
      </w:r>
      <w:r>
        <w:rPr>
          <w:spacing w:val="2"/>
        </w:rPr>
        <w:t xml:space="preserve"> </w:t>
      </w:r>
      <w:r>
        <w:rPr>
          <w:spacing w:val="2"/>
        </w:rPr>
        <w:t>据财新健康披露，</w:t>
      </w:r>
      <w:r>
        <w:rPr>
          <w:spacing w:val="68"/>
        </w:rPr>
        <w:t xml:space="preserve"> </w:t>
      </w:r>
      <w:r>
        <w:rPr>
          <w:rFonts w:ascii="Times New Roman" w:eastAsia="Times New Roman" w:hAnsi="Times New Roman" w:cs="Times New Roman"/>
          <w:spacing w:val="2"/>
        </w:rPr>
        <w:t xml:space="preserve">2017 </w:t>
      </w:r>
      <w:r>
        <w:rPr>
          <w:spacing w:val="2"/>
        </w:rPr>
        <w:t>年</w:t>
      </w:r>
      <w:r>
        <w:rPr>
          <w:spacing w:val="1"/>
        </w:rPr>
        <w:t>育学园便实现全年收入近</w:t>
      </w:r>
      <w:r>
        <w:rPr>
          <w:spacing w:val="-21"/>
        </w:rPr>
        <w:t xml:space="preserve"> </w:t>
      </w:r>
      <w:r>
        <w:rPr>
          <w:rFonts w:ascii="Times New Roman" w:eastAsia="Times New Roman" w:hAnsi="Times New Roman" w:cs="Times New Roman"/>
          <w:spacing w:val="1"/>
        </w:rPr>
        <w:t xml:space="preserve">1 </w:t>
      </w:r>
      <w:r>
        <w:rPr>
          <w:spacing w:val="1"/>
        </w:rPr>
        <w:t>亿元。</w:t>
      </w:r>
    </w:p>
    <w:p>
      <w:pPr>
        <w:spacing w:line="207" w:lineRule="exact"/>
      </w:pPr>
    </w:p>
    <w:p>
      <w:pPr>
        <w:spacing w:line="207" w:lineRule="exact"/>
        <w:sectPr>
          <w:headerReference w:type="default" r:id="rId99"/>
          <w:footerReference w:type="default" r:id="rId100"/>
          <w:type w:val="continuous"/>
          <w:pgSz w:w="11907" w:h="16839"/>
          <w:pgMar w:top="1264" w:right="718" w:bottom="1027" w:left="720" w:header="788" w:footer="796" w:gutter="0"/>
          <w:pgNumType w:start="34"/>
          <w:cols w:num="1" w:space="708" w:equalWidth="0">
            <w:col w:w="10469" w:space="0"/>
          </w:cols>
        </w:sectPr>
      </w:pPr>
    </w:p>
    <w:tbl>
      <w:tblPr>
        <w:tblStyle w:val="TableNormal10"/>
        <w:tblW w:w="5091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5091"/>
      </w:tblGrid>
      <w:tr>
        <w:tblPrEx>
          <w:tblW w:w="5091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65"/>
        </w:trPr>
        <w:tc>
          <w:tcPr>
            <w:tcW w:w="5091" w:type="dxa"/>
            <w:tcBorders>
              <w:bottom w:val="single" w:sz="2" w:space="0" w:color="C00000"/>
            </w:tcBorders>
            <w:vAlign w:val="top"/>
          </w:tcPr>
          <w:p>
            <w:pPr>
              <w:pStyle w:val="TableText"/>
              <w:spacing w:line="215" w:lineRule="auto"/>
              <w:ind w:left="25"/>
              <w:rPr>
                <w:sz w:val="18"/>
                <w:szCs w:val="18"/>
              </w:rPr>
            </w:pPr>
            <w:r>
              <w:rPr>
                <w:rFonts w:ascii="KaiTi" w:eastAsia="KaiTi" w:hAnsi="KaiTi" w:cs="KaiTi"/>
                <w:color w:val="B70004"/>
                <w:spacing w:val="-6"/>
                <w:sz w:val="18"/>
                <w:szCs w:val="18"/>
              </w:rPr>
              <w:t>图</w:t>
            </w:r>
            <w:r>
              <w:rPr>
                <w:color w:val="B70004"/>
                <w:spacing w:val="-6"/>
                <w:sz w:val="18"/>
                <w:szCs w:val="18"/>
              </w:rPr>
              <w:t>22</w:t>
            </w:r>
            <w:r>
              <w:rPr>
                <w:rFonts w:ascii="KaiTi" w:eastAsia="KaiTi" w:hAnsi="KaiTi" w:cs="KaiTi"/>
                <w:color w:val="B70004"/>
                <w:spacing w:val="-6"/>
                <w:sz w:val="18"/>
                <w:szCs w:val="18"/>
              </w:rPr>
              <w:t>：</w:t>
            </w:r>
            <w:r>
              <w:rPr>
                <w:rFonts w:ascii="KaiTi" w:eastAsia="KaiTi" w:hAnsi="KaiTi" w:cs="KaiTi"/>
                <w:color w:val="B70004"/>
                <w:spacing w:val="-6"/>
                <w:sz w:val="18"/>
                <w:szCs w:val="18"/>
              </w:rPr>
              <w:t xml:space="preserve"> </w:t>
            </w:r>
            <w:r>
              <w:rPr>
                <w:rFonts w:ascii="KaiTi" w:eastAsia="KaiTi" w:hAnsi="KaiTi" w:cs="KaiTi"/>
                <w:color w:val="B70004"/>
                <w:spacing w:val="-6"/>
                <w:sz w:val="18"/>
                <w:szCs w:val="18"/>
              </w:rPr>
              <w:t>育学园线上</w:t>
            </w:r>
            <w:r>
              <w:rPr>
                <w:rFonts w:ascii="KaiTi" w:eastAsia="KaiTi" w:hAnsi="KaiTi" w:cs="KaiTi"/>
                <w:color w:val="B70004"/>
                <w:spacing w:val="-32"/>
                <w:sz w:val="18"/>
                <w:szCs w:val="18"/>
              </w:rPr>
              <w:t xml:space="preserve"> </w:t>
            </w:r>
            <w:r>
              <w:rPr>
                <w:color w:val="B70004"/>
                <w:spacing w:val="-6"/>
                <w:sz w:val="18"/>
                <w:szCs w:val="18"/>
              </w:rPr>
              <w:t>APP</w:t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3433"/>
        </w:trPr>
        <w:tc>
          <w:tcPr>
            <w:tcW w:w="5091" w:type="dxa"/>
            <w:tcBorders>
              <w:top w:val="single" w:sz="2" w:space="0" w:color="C00000"/>
            </w:tcBorders>
            <w:vAlign w:val="top"/>
          </w:tcPr>
          <w:p>
            <w:pPr>
              <w:spacing w:before="81" w:line="3215" w:lineRule="exact"/>
              <w:ind w:firstLine="877"/>
            </w:pPr>
            <w:r>
              <w:pict>
                <v:rect id="_x0000_s1144" style="width:254.6pt;height:0.5pt;margin-top:168.98pt;margin-left:-254.55pt;mso-position-horizontal-relative:right-margin-area;mso-position-vertical-relative:top-margin-area;position:absolute;z-index:251706368" filled="t" fillcolor="#c00000" stroked="f"/>
              </w:pict>
            </w:r>
            <w:r>
              <w:rPr>
                <w:position w:val="-64"/>
              </w:rPr>
              <w:drawing>
                <wp:inline distT="0" distB="0" distL="0" distR="0">
                  <wp:extent cx="2118995" cy="2041524"/>
                  <wp:effectExtent l="0" t="0" r="0" b="0"/>
                  <wp:docPr id="76" name="IM 7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6" name="IM 76"/>
                          <pic:cNvPicPr/>
                        </pic:nvPicPr>
                        <pic:blipFill>
                          <a:blip xmlns:r="http://schemas.openxmlformats.org/officeDocument/2006/relationships" r:embed="rId10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8995" cy="20415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W w:w="5091" w:type="dxa"/>
          <w:tblInd w:w="0" w:type="dxa"/>
          <w:tblLayout w:type="fixed"/>
        </w:tblPrEx>
        <w:trPr>
          <w:trHeight w:val="205"/>
        </w:trPr>
        <w:tc>
          <w:tcPr>
            <w:tcW w:w="5091" w:type="dxa"/>
            <w:vAlign w:val="top"/>
          </w:tcPr>
          <w:p>
            <w:pPr>
              <w:spacing w:before="45" w:line="172" w:lineRule="auto"/>
              <w:ind w:left="14"/>
              <w:rPr>
                <w:rFonts w:ascii="KaiTi" w:eastAsia="KaiTi" w:hAnsi="KaiTi" w:cs="KaiTi"/>
                <w:sz w:val="16"/>
                <w:szCs w:val="16"/>
              </w:rPr>
            </w:pPr>
            <w:r>
              <w:rPr>
                <w:rFonts w:ascii="KaiTi" w:eastAsia="KaiTi" w:hAnsi="KaiTi" w:cs="KaiTi"/>
                <w:spacing w:val="-1"/>
                <w:sz w:val="16"/>
                <w:szCs w:val="16"/>
              </w:rPr>
              <w:t>资料来源：育学园官网，浙商证券研究所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" w:line="213" w:lineRule="auto"/>
        <w:ind w:left="25"/>
        <w:rPr>
          <w:sz w:val="18"/>
          <w:szCs w:val="18"/>
        </w:rPr>
      </w:pPr>
      <w:r>
        <w:rPr>
          <w:color w:val="B70004"/>
          <w:spacing w:val="-6"/>
          <w:sz w:val="18"/>
          <w:szCs w:val="18"/>
        </w:rPr>
        <w:t>图</w:t>
      </w:r>
      <w:r>
        <w:rPr>
          <w:rFonts w:ascii="Times New Roman" w:eastAsia="Times New Roman" w:hAnsi="Times New Roman" w:cs="Times New Roman"/>
          <w:color w:val="B70004"/>
          <w:spacing w:val="-6"/>
          <w:sz w:val="18"/>
          <w:szCs w:val="18"/>
        </w:rPr>
        <w:t>23</w:t>
      </w:r>
      <w:r>
        <w:rPr>
          <w:color w:val="B70004"/>
          <w:spacing w:val="-6"/>
          <w:sz w:val="18"/>
          <w:szCs w:val="18"/>
        </w:rPr>
        <w:t>：</w:t>
      </w:r>
      <w:r>
        <w:rPr>
          <w:color w:val="B70004"/>
          <w:spacing w:val="-6"/>
          <w:sz w:val="18"/>
          <w:szCs w:val="18"/>
        </w:rPr>
        <w:t xml:space="preserve"> </w:t>
      </w:r>
      <w:r>
        <w:rPr>
          <w:color w:val="B70004"/>
          <w:spacing w:val="-6"/>
          <w:sz w:val="18"/>
          <w:szCs w:val="18"/>
        </w:rPr>
        <w:t>育学园线下门诊</w:t>
      </w:r>
    </w:p>
    <w:p>
      <w:pPr>
        <w:spacing w:before="174" w:line="3149" w:lineRule="exact"/>
        <w:ind w:firstLine="746"/>
      </w:pPr>
      <w:r>
        <w:rPr>
          <w:position w:val="-62"/>
        </w:rPr>
        <w:drawing>
          <wp:inline distT="0" distB="0" distL="0" distR="0">
            <wp:extent cx="2283460" cy="1999995"/>
            <wp:effectExtent l="0" t="0" r="0" b="0"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283460" cy="1999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5" w:line="186" w:lineRule="auto"/>
        <w:ind w:left="14"/>
        <w:rPr>
          <w:sz w:val="16"/>
          <w:szCs w:val="16"/>
        </w:rPr>
      </w:pPr>
      <w:r>
        <w:rPr>
          <w:spacing w:val="-1"/>
          <w:sz w:val="16"/>
          <w:szCs w:val="16"/>
        </w:rPr>
        <w:t>资料来源：育学园官网，浙商证券研究所</w:t>
      </w:r>
    </w:p>
    <w:p>
      <w:pPr>
        <w:spacing w:line="186" w:lineRule="auto"/>
        <w:rPr>
          <w:sz w:val="16"/>
          <w:szCs w:val="16"/>
        </w:rPr>
        <w:sectPr>
          <w:headerReference w:type="default" r:id="rId103"/>
          <w:footerReference w:type="default" r:id="rId104"/>
          <w:type w:val="continuous"/>
          <w:pgSz w:w="11907" w:h="16839"/>
          <w:pgMar w:top="1264" w:right="718" w:bottom="1027" w:left="720" w:header="788" w:footer="796" w:gutter="0"/>
          <w:pgNumType w:start="35"/>
          <w:cols w:num="2" w:space="708" w:equalWidth="0">
            <w:col w:w="5277" w:space="100"/>
            <w:col w:w="5092" w:space="0"/>
          </w:cols>
        </w:sectPr>
      </w:pPr>
    </w:p>
    <w:p>
      <w:pPr>
        <w:pStyle w:val="BodyText"/>
        <w:spacing w:before="174" w:line="282" w:lineRule="auto"/>
        <w:ind w:left="2560" w:right="95" w:firstLine="403"/>
        <w:jc w:val="both"/>
      </w:pPr>
      <w:r>
        <w:rPr>
          <w:color w:val="C00000"/>
          <w:spacing w:val="10"/>
          <w14:textOutline w14:w="3614">
            <w14:solidFill>
              <w14:srgbClr w14:val="C00000"/>
            </w14:solidFill>
            <w14:prstDash w14:val="solid"/>
            <w14:miter w14:lim="10"/>
          </w14:textOutline>
        </w:rPr>
        <w:t>连锁扩张树立品牌知名度，信息化助力机构提质增效。</w:t>
      </w:r>
      <w:r>
        <w:rPr>
          <w:spacing w:val="10"/>
        </w:rPr>
        <w:t>连锁化经营可助力头部机构抢</w:t>
      </w:r>
      <w:r>
        <w:rPr>
          <w:spacing w:val="8"/>
        </w:rPr>
        <w:t xml:space="preserve"> </w:t>
      </w:r>
      <w:r>
        <w:rPr>
          <w:spacing w:val="10"/>
        </w:rPr>
        <w:t>占市场份额、加速长尾诊所出清，与此同时，连锁模式</w:t>
      </w:r>
      <w:r>
        <w:rPr>
          <w:spacing w:val="9"/>
        </w:rPr>
        <w:t>要求单店经营模型及盈利模型具备</w:t>
      </w:r>
      <w:r>
        <w:t xml:space="preserve"> </w:t>
      </w:r>
      <w:r>
        <w:rPr>
          <w:spacing w:val="10"/>
        </w:rPr>
        <w:t>可复制性，即倒逼门店在诊疗流程、医护服务等方面形</w:t>
      </w:r>
      <w:r>
        <w:rPr>
          <w:spacing w:val="9"/>
        </w:rPr>
        <w:t>成标准规范，有利于塑造品牌效应</w:t>
      </w:r>
      <w:r>
        <w:t xml:space="preserve"> </w:t>
      </w:r>
      <w:r>
        <w:rPr>
          <w:spacing w:val="9"/>
        </w:rPr>
        <w:t>进而培育消费认知。此外医疗信息化管理可有效整合患者基本体征数据、就诊报告、随访</w:t>
      </w:r>
    </w:p>
    <w:p>
      <w:pPr>
        <w:spacing w:line="282" w:lineRule="auto"/>
      </w:pP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https://d.book118.com/986034003154010053</w:t>
        </w:r>
      </w:hyperlink>
    </w:p>
    <w:p>
      <w:pPr>
        <w:spacing w:line="282" w:lineRule="auto"/>
      </w:pPr>
    </w:p>
    <w:sectPr>
      <w:headerReference w:type="default" r:id="rId106"/>
      <w:footerReference w:type="default" r:id="rId107"/>
      <w:type w:val="continuous"/>
      <w:pgSz w:w="11907" w:h="16839"/>
      <w:pgMar w:top="1264" w:right="718" w:bottom="1027" w:left="720" w:header="788" w:footer="796" w:gutter="0"/>
      <w:pgNumType w:start="36"/>
      <w:cols w:num="1" w:space="708" w:equalWidth="0">
        <w:col w:w="1046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49" style="width:522.95pt;height:0.5pt;margin-top:790.54pt;margin-left:36pt;mso-position-horizontal-relative:page;mso-position-vertical-relative:page;position:absolute;z-index:25165926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85.7pt;height:9.35pt;margin-top:2.08pt;margin-left:4.45pt;position:absolute;z-index:25165824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51" type="#_x0000_t202" style="width:15.4pt;height:10.95pt;margin-top:2.08pt;margin-left:254.15pt;position:absolute;z-index:25166028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52" style="width:522.95pt;height:0.5pt;margin-top:790.54pt;margin-left:36pt;mso-position-horizontal-relative:page;mso-position-vertical-relative:page;position:absolute;z-index:25166233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85.7pt;height:9.35pt;margin-top:2.08pt;margin-left:4.45pt;position:absolute;z-index:25166131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54" type="#_x0000_t202" style="width:15.4pt;height:10.95pt;margin-top:2.08pt;margin-left:254.15pt;position:absolute;z-index:25166336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55" style="width:522.95pt;height:0.5pt;margin-top:790.54pt;margin-left:36pt;mso-position-horizontal-relative:page;mso-position-vertical-relative:page;position:absolute;z-index:25166540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85.7pt;height:9.35pt;margin-top:2.08pt;margin-left:4.45pt;position:absolute;z-index:25166438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57" type="#_x0000_t202" style="width:15.4pt;height:10.95pt;margin-top:2.08pt;margin-left:254.15pt;position:absolute;z-index:25166643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59" style="width:522.95pt;height:0.5pt;margin-top:790.54pt;margin-left:36pt;mso-position-horizontal-relative:page;mso-position-vertical-relative:page;position:absolute;z-index:25166848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85.7pt;height:9.35pt;margin-top:2.08pt;margin-left:4.45pt;position:absolute;z-index:25166745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61" type="#_x0000_t202" style="width:16.2pt;height:10.95pt;margin-top:2.08pt;margin-left:253.38pt;position:absolute;z-index:25166950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2/28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62" style="width:522.95pt;height:0.5pt;margin-top:790.54pt;margin-left:36pt;mso-position-horizontal-relative:page;mso-position-vertical-relative:page;position:absolute;z-index:25167155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85.7pt;height:9.35pt;margin-top:2.08pt;margin-left:4.45pt;position:absolute;z-index:25167052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64" type="#_x0000_t202" style="width:16.05pt;height:10.95pt;margin-top:2.08pt;margin-left:253.54pt;position:absolute;z-index:25167257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3/28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66" style="width:522.95pt;height:0.5pt;margin-top:790.54pt;margin-left:36pt;mso-position-horizontal-relative:page;mso-position-vertical-relative:page;position:absolute;z-index:25167462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85.7pt;height:9.35pt;margin-top:2.08pt;margin-left:4.45pt;position:absolute;z-index:25167360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68" type="#_x0000_t202" style="width:16.25pt;height:10.95pt;margin-top:2.08pt;margin-left:253.34pt;position:absolute;z-index:25167564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4/28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70" style="width:522.95pt;height:0.5pt;margin-top:790.54pt;margin-left:36pt;mso-position-horizontal-relative:page;mso-position-vertical-relative:page;position:absolute;z-index:25167769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85.7pt;height:9.35pt;margin-top:2.08pt;margin-left:4.45pt;position:absolute;z-index:25167667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72" type="#_x0000_t202" style="width:16.25pt;height:10.95pt;margin-top:2.08pt;margin-left:253.34pt;position:absolute;z-index:25167872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4/28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74" style="width:522.95pt;height:0.5pt;margin-top:790.54pt;margin-left:36pt;mso-position-horizontal-relative:page;mso-position-vertical-relative:page;position:absolute;z-index:25168076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85.7pt;height:9.35pt;margin-top:2.08pt;margin-left:4.45pt;position:absolute;z-index:25167974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76" type="#_x0000_t202" style="width:16pt;height:10.95pt;margin-top:2.08pt;margin-left:253.6pt;position:absolute;z-index:25168179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5/28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79" style="width:522.95pt;height:0.5pt;margin-top:790.54pt;margin-left:36pt;mso-position-horizontal-relative:page;mso-position-vertical-relative:page;position:absolute;z-index:25168384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85.7pt;height:9.35pt;margin-top:2.08pt;margin-left:4.45pt;position:absolute;z-index:25168281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81" type="#_x0000_t202" style="width:16pt;height:10.95pt;margin-top:2.08pt;margin-left:253.56pt;position:absolute;z-index:25168486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6/28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83" style="width:522.95pt;height:0.5pt;margin-top:790.54pt;margin-left:36pt;mso-position-horizontal-relative:page;mso-position-vertical-relative:page;position:absolute;z-index:25168691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85.7pt;height:9.35pt;margin-top:2.08pt;margin-left:4.45pt;position:absolute;z-index:25168588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85" type="#_x0000_t202" style="width:16pt;height:10.95pt;margin-top:2.08pt;margin-left:253.56pt;position:absolute;z-index:25168793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6/28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87" style="width:522.95pt;height:0.5pt;margin-top:790.54pt;margin-left:36pt;mso-position-horizontal-relative:page;mso-position-vertical-relative:page;position:absolute;z-index:25168998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85.7pt;height:9.35pt;margin-top:2.08pt;margin-left:4.45pt;position:absolute;z-index:25168896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89" type="#_x0000_t202" style="width:16pt;height:10.95pt;margin-top:2.08pt;margin-left:253.56pt;position:absolute;z-index:25169100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6/28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91" style="width:522.95pt;height:0.5pt;margin-top:790.54pt;margin-left:36pt;mso-position-horizontal-relative:page;mso-position-vertical-relative:page;position:absolute;z-index:25169305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85.7pt;height:9.35pt;margin-top:2.08pt;margin-left:4.45pt;position:absolute;z-index:25169203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93" type="#_x0000_t202" style="width:16pt;height:10.95pt;margin-top:2.08pt;margin-left:253.56pt;position:absolute;z-index:25169408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6/28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95" style="width:522.95pt;height:0.5pt;margin-top:790.54pt;margin-left:36pt;mso-position-horizontal-relative:page;mso-position-vertical-relative:page;position:absolute;z-index:25169612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85.7pt;height:9.35pt;margin-top:2.08pt;margin-left:4.45pt;position:absolute;z-index:25169510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097" type="#_x0000_t202" style="width:16.05pt;height:10.95pt;margin-top:2.08pt;margin-left:253.51pt;position:absolute;z-index:25169715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1"/>
                    <w:sz w:val="16"/>
                    <w:szCs w:val="16"/>
                  </w:rPr>
                  <w:t>7/28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099" style="width:522.95pt;height:0.5pt;margin-top:790.54pt;margin-left:36pt;mso-position-horizontal-relative:page;mso-position-vertical-relative:page;position:absolute;z-index:25169920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85.7pt;height:9.35pt;margin-top:2.08pt;margin-left:4.45pt;position:absolute;z-index:25169817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01" type="#_x0000_t202" style="width:15.85pt;height:10.95pt;margin-top:2.08pt;margin-left:253.7pt;position:absolute;z-index:25170022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8/28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03" style="width:522.95pt;height:0.5pt;margin-top:790.54pt;margin-left:36pt;mso-position-horizontal-relative:page;mso-position-vertical-relative:page;position:absolute;z-index:25170227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4" type="#_x0000_t202" style="width:85.7pt;height:9.35pt;margin-top:2.08pt;margin-left:4.45pt;position:absolute;z-index:25170124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05" type="#_x0000_t202" style="width:15.85pt;height:10.95pt;margin-top:2.08pt;margin-left:253.7pt;position:absolute;z-index:25170329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8/28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07" style="width:522.95pt;height:0.5pt;margin-top:790.54pt;margin-left:36pt;mso-position-horizontal-relative:page;mso-position-vertical-relative:page;position:absolute;z-index:25170534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8" type="#_x0000_t202" style="width:85.7pt;height:9.35pt;margin-top:2.08pt;margin-left:4.45pt;position:absolute;z-index:25170432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09" type="#_x0000_t202" style="width:16.05pt;height:10.95pt;margin-top:2.08pt;margin-left:253.53pt;position:absolute;z-index:25170636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11" style="width:522.95pt;height:0.5pt;margin-top:790.54pt;margin-left:36pt;mso-position-horizontal-relative:page;mso-position-vertical-relative:page;position:absolute;z-index:25170841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85.7pt;height:9.35pt;margin-top:2.08pt;margin-left:4.45pt;position:absolute;z-index:25170739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13" type="#_x0000_t202" style="width:16.05pt;height:10.95pt;margin-top:2.08pt;margin-left:253.53pt;position:absolute;z-index:25170944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15" style="width:522.95pt;height:0.5pt;margin-top:790.54pt;margin-left:36pt;mso-position-horizontal-relative:page;mso-position-vertical-relative:page;position:absolute;z-index:25171148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6" type="#_x0000_t202" style="width:85.7pt;height:9.35pt;margin-top:2.08pt;margin-left:4.45pt;position:absolute;z-index:25171046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17" type="#_x0000_t202" style="width:16.05pt;height:10.95pt;margin-top:2.08pt;margin-left:253.53pt;position:absolute;z-index:25171251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19" style="width:522.95pt;height:0.5pt;margin-top:790.54pt;margin-left:36pt;mso-position-horizontal-relative:page;mso-position-vertical-relative:page;position:absolute;z-index:25171456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0" type="#_x0000_t202" style="width:85.7pt;height:9.35pt;margin-top:2.08pt;margin-left:4.45pt;position:absolute;z-index:25171353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21" type="#_x0000_t202" style="width:16.05pt;height:10.95pt;margin-top:2.08pt;margin-left:253.53pt;position:absolute;z-index:25171558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23" style="width:522.95pt;height:0.5pt;margin-top:790.54pt;margin-left:36pt;mso-position-horizontal-relative:page;mso-position-vertical-relative:page;position:absolute;z-index:25171763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85.7pt;height:9.35pt;margin-top:2.08pt;margin-left:4.45pt;position:absolute;z-index:25171660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25" type="#_x0000_t202" style="width:16.05pt;height:10.95pt;margin-top:2.08pt;margin-left:253.53pt;position:absolute;z-index:25171865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2"/>
                    <w:sz w:val="16"/>
                    <w:szCs w:val="16"/>
                  </w:rPr>
                  <w:t>9/28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27" style="width:522.95pt;height:0.5pt;margin-top:790.54pt;margin-left:36pt;mso-position-horizontal-relative:page;mso-position-vertical-relative:page;position:absolute;z-index:25172070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8" type="#_x0000_t202" style="width:85.7pt;height:9.35pt;margin-top:2.08pt;margin-left:4.45pt;position:absolute;z-index:25171968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29" type="#_x0000_t202" style="width:19.4pt;height:10.95pt;margin-top:2.08pt;margin-left:252.23pt;position:absolute;z-index:25172172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31" style="width:522.95pt;height:0.5pt;margin-top:790.54pt;margin-left:36pt;mso-position-horizontal-relative:page;mso-position-vertical-relative:page;position:absolute;z-index:25172377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85.7pt;height:9.35pt;margin-top:2.08pt;margin-left:4.45pt;position:absolute;z-index:25172275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33" type="#_x0000_t202" style="width:19.4pt;height:10.95pt;margin-top:2.08pt;margin-left:252.23pt;position:absolute;z-index:25172480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35" style="width:522.95pt;height:0.5pt;margin-top:790.54pt;margin-left:36pt;mso-position-horizontal-relative:page;mso-position-vertical-relative:page;position:absolute;z-index:25172684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85.7pt;height:9.35pt;margin-top:2.08pt;margin-left:4.45pt;position:absolute;z-index:25172582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37" type="#_x0000_t202" style="width:19.4pt;height:10.95pt;margin-top:2.08pt;margin-left:252.23pt;position:absolute;z-index:25172787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39" style="width:522.95pt;height:0.5pt;margin-top:790.54pt;margin-left:36pt;mso-position-horizontal-relative:page;mso-position-vertical-relative:page;position:absolute;z-index:25172992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85.7pt;height:9.35pt;margin-top:2.08pt;margin-left:4.45pt;position:absolute;z-index:25172889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41" type="#_x0000_t202" style="width:19.4pt;height:10.95pt;margin-top:2.08pt;margin-left:252.23pt;position:absolute;z-index:25173094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10/28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43" style="width:522.95pt;height:0.5pt;margin-top:790.54pt;margin-left:36pt;mso-position-horizontal-relative:page;mso-position-vertical-relative:page;position:absolute;z-index:25173299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85.7pt;height:9.35pt;margin-top:2.08pt;margin-left:4.45pt;position:absolute;z-index:25173196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45" type="#_x0000_t202" style="width:19pt;height:10.95pt;margin-top:2.08pt;margin-left:252.35pt;position:absolute;z-index:25173401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47" style="width:522.95pt;height:0.5pt;margin-top:790.54pt;margin-left:36pt;mso-position-horizontal-relative:page;mso-position-vertical-relative:page;position:absolute;z-index:25173606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85.7pt;height:9.35pt;margin-top:2.08pt;margin-left:4.45pt;position:absolute;z-index:25173504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49" type="#_x0000_t202" style="width:19pt;height:10.95pt;margin-top:2.08pt;margin-left:252.35pt;position:absolute;z-index:25173708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51" style="width:522.95pt;height:0.5pt;margin-top:790.54pt;margin-left:36pt;mso-position-horizontal-relative:page;mso-position-vertical-relative:page;position:absolute;z-index:25173913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2" type="#_x0000_t202" style="width:85.7pt;height:9.35pt;margin-top:2.08pt;margin-left:4.45pt;position:absolute;z-index:25173811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53" type="#_x0000_t202" style="width:19pt;height:10.95pt;margin-top:2.08pt;margin-left:252.35pt;position:absolute;z-index:25174016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55" style="width:522.95pt;height:0.5pt;margin-top:790.54pt;margin-left:36pt;mso-position-horizontal-relative:page;mso-position-vertical-relative:page;position:absolute;z-index:25174220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6" type="#_x0000_t202" style="width:85.7pt;height:9.35pt;margin-top:2.08pt;margin-left:4.45pt;position:absolute;z-index:25174118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57" type="#_x0000_t202" style="width:19pt;height:10.95pt;margin-top:2.08pt;margin-left:252.35pt;position:absolute;z-index:25174323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59" style="width:522.95pt;height:0.5pt;margin-top:790.54pt;margin-left:36pt;mso-position-horizontal-relative:page;mso-position-vertical-relative:page;position:absolute;z-index:25174528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0" type="#_x0000_t202" style="width:85.7pt;height:9.35pt;margin-top:2.08pt;margin-left:4.45pt;position:absolute;z-index:25174425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61" type="#_x0000_t202" style="width:19pt;height:10.95pt;margin-top:2.08pt;margin-left:252.35pt;position:absolute;z-index:25174630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5"/>
                    <w:sz w:val="16"/>
                    <w:szCs w:val="16"/>
                  </w:rPr>
                  <w:t>11/28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63" style="width:522.95pt;height:0.5pt;margin-top:790.54pt;margin-left:36pt;mso-position-horizontal-relative:page;mso-position-vertical-relative:page;position:absolute;z-index:25174835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4" type="#_x0000_t202" style="width:85.7pt;height:9.35pt;margin-top:2.08pt;margin-left:4.45pt;position:absolute;z-index:25174732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65" type="#_x0000_t202" style="width:19.4pt;height:10.95pt;margin-top:2.08pt;margin-left:252.23pt;position:absolute;z-index:25174937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12/28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67" style="width:522.95pt;height:0.5pt;margin-top:790.54pt;margin-left:36pt;mso-position-horizontal-relative:page;mso-position-vertical-relative:page;position:absolute;z-index:25175142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8" type="#_x0000_t202" style="width:85.7pt;height:9.35pt;margin-top:2.08pt;margin-left:4.45pt;position:absolute;z-index:25175040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69" type="#_x0000_t202" style="width:19.4pt;height:10.95pt;margin-top:2.08pt;margin-left:252.23pt;position:absolute;z-index:25175244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12/28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71" style="width:522.95pt;height:0.5pt;margin-top:790.54pt;margin-left:36pt;mso-position-horizontal-relative:page;mso-position-vertical-relative:page;position:absolute;z-index:251754496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2" type="#_x0000_t202" style="width:85.7pt;height:9.35pt;margin-top:2.08pt;margin-left:4.45pt;position:absolute;z-index:251753472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73" type="#_x0000_t202" style="width:19.4pt;height:10.95pt;margin-top:2.08pt;margin-left:252.23pt;position:absolute;z-index:251755520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13/28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75" style="width:522.95pt;height:0.5pt;margin-top:790.54pt;margin-left:36pt;mso-position-horizontal-relative:page;mso-position-vertical-relative:page;position:absolute;z-index:251757568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76" type="#_x0000_t202" style="width:85.7pt;height:9.35pt;margin-top:2.08pt;margin-left:4.45pt;position:absolute;z-index:251756544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77" type="#_x0000_t202" style="width:19.4pt;height:10.95pt;margin-top:2.08pt;margin-left:252.23pt;position:absolute;z-index:251758592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13/28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79" style="width:522.95pt;height:0.5pt;margin-top:790.54pt;margin-left:36pt;mso-position-horizontal-relative:page;mso-position-vertical-relative:page;position:absolute;z-index:251760640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0" type="#_x0000_t202" style="width:85.7pt;height:9.35pt;margin-top:2.08pt;margin-left:4.45pt;position:absolute;z-index:251759616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81" type="#_x0000_t202" style="width:19.4pt;height:10.95pt;margin-top:2.08pt;margin-left:252.23pt;position:absolute;z-index:251761664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13/28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83" style="width:522.95pt;height:0.5pt;margin-top:790.54pt;margin-left:36pt;mso-position-horizontal-relative:page;mso-position-vertical-relative:page;position:absolute;z-index:251763712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4" type="#_x0000_t202" style="width:85.7pt;height:9.35pt;margin-top:2.08pt;margin-left:4.45pt;position:absolute;z-index:251762688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85" type="#_x0000_t202" style="width:19.4pt;height:10.95pt;margin-top:2.08pt;margin-left:252.23pt;position:absolute;z-index:251764736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13/28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34" w:line="215" w:lineRule="auto"/>
      <w:ind w:left="7791"/>
      <w:rPr>
        <w:sz w:val="16"/>
        <w:szCs w:val="16"/>
      </w:rPr>
    </w:pPr>
    <w:r>
      <w:pict>
        <v:shape id="_x0000_s2187" style="width:522.95pt;height:0.5pt;margin-top:790.54pt;margin-left:36pt;mso-position-horizontal-relative:page;mso-position-vertical-relative:page;position:absolute;z-index:251766784" coordorigin="0,0" coordsize="10459,10" o:allowincell="f" path="m,9l3485,9l3485,l,l,9xem3485,9l3495,9l3495,l3485,l3485,9xem3495,9l6970,9l6970,l3495,l3495,9xem6970,9l6980,9l6980,l6970,l6970,9xem6980,9l10458,9l10458,l6980,l6980,9xe" filled="t" fillcolor="#b70004" stroked="f"/>
      </w:pict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88" type="#_x0000_t202" style="width:85.7pt;height:9.35pt;margin-top:2.08pt;margin-left:4.45pt;position:absolute;z-index:251765760" filled="f" stroked="f">
          <o:lock v:ext="edit" aspectratio="f"/>
          <v:textbox inset="0,0,0,0">
            <w:txbxContent>
              <w:p>
                <w:pPr>
                  <w:spacing w:before="20" w:line="191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hyperlink r:id="rId1" w:history="1">
                  <w:r>
                    <w:rPr>
                      <w:rFonts w:ascii="Times New Roman" w:eastAsia="Times New Roman" w:hAnsi="Times New Roman" w:cs="Times New Roman"/>
                      <w:spacing w:val="-1"/>
                      <w:sz w:val="16"/>
                      <w:szCs w:val="16"/>
                    </w:rPr>
                    <w:t>http://www.stocke.com.cn</w:t>
                  </w:r>
                </w:hyperlink>
              </w:p>
            </w:txbxContent>
          </v:textbox>
        </v:shape>
      </w:pict>
    </w:r>
    <w:r>
      <w:pict>
        <v:shape id="_x0000_s2189" type="#_x0000_t202" style="width:19.4pt;height:10.95pt;margin-top:2.08pt;margin-left:252.23pt;position:absolute;z-index:251767808" filled="f" stroked="f">
          <o:lock v:ext="edit" aspectratio="f"/>
          <v:textbox inset="0,0,0,0">
            <w:txbxContent>
              <w:p>
                <w:pPr>
                  <w:spacing w:before="19" w:line="233" w:lineRule="auto"/>
                  <w:ind w:left="20"/>
                  <w:rPr>
                    <w:rFonts w:ascii="Times New Roman" w:eastAsia="Times New Roman" w:hAnsi="Times New Roman" w:cs="Times New Roman"/>
                    <w:sz w:val="16"/>
                    <w:szCs w:val="16"/>
                  </w:rPr>
                </w:pPr>
                <w:r>
                  <w:rPr>
                    <w:rFonts w:ascii="Times New Roman" w:eastAsia="Times New Roman" w:hAnsi="Times New Roman" w:cs="Times New Roman"/>
                    <w:spacing w:val="-4"/>
                    <w:sz w:val="16"/>
                    <w:szCs w:val="16"/>
                  </w:rPr>
                  <w:t>13/28</w:t>
                </w:r>
              </w:p>
            </w:txbxContent>
          </v:textbox>
        </v:shape>
      </w:pict>
    </w:r>
    <w:r>
      <w:rPr>
        <w:sz w:val="16"/>
        <w:szCs w:val="16"/>
      </w:rPr>
      <w:t>请务必阅读正文之后的免责条款部分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4" w:line="212" w:lineRule="auto"/>
      <w:ind w:right="31"/>
      <w:jc w:val="right"/>
      <w:rPr>
        <w:sz w:val="24"/>
        <w:szCs w:val="24"/>
      </w:rPr>
    </w:pP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079500" cy="302259"/>
          <wp:effectExtent l="0" t="0" r="0" b="0"/>
          <wp:wrapNone/>
          <wp:docPr id="2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B70004"/>
        <w:spacing w:val="-3"/>
        <w:sz w:val="24"/>
        <w:szCs w:val="24"/>
      </w:rPr>
      <w:t>证券研究报告</w:t>
    </w:r>
    <w:r>
      <w:rPr>
        <w:color w:val="B70004"/>
        <w:spacing w:val="-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3"/>
        <w:sz w:val="24"/>
        <w:szCs w:val="24"/>
      </w:rPr>
      <w:t xml:space="preserve">| </w:t>
    </w:r>
    <w:r>
      <w:rPr>
        <w:color w:val="B70004"/>
        <w:spacing w:val="-3"/>
        <w:sz w:val="24"/>
        <w:szCs w:val="24"/>
      </w:rPr>
      <w:t>公司深度</w:t>
    </w:r>
    <w:r>
      <w:rPr>
        <w:color w:val="B70004"/>
        <w:spacing w:val="-4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3"/>
        <w:sz w:val="24"/>
        <w:szCs w:val="24"/>
      </w:rPr>
      <w:t xml:space="preserve">| </w:t>
    </w:r>
    <w:r>
      <w:rPr>
        <w:color w:val="B70004"/>
        <w:spacing w:val="-3"/>
        <w:sz w:val="24"/>
        <w:szCs w:val="24"/>
      </w:rPr>
      <w:t>一般零售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4" w:line="212" w:lineRule="auto"/>
      <w:ind w:right="31"/>
      <w:jc w:val="right"/>
      <w:rPr>
        <w:sz w:val="24"/>
        <w:szCs w:val="24"/>
      </w:rPr>
    </w:pP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079500" cy="302259"/>
          <wp:effectExtent l="0" t="0" r="0" b="0"/>
          <wp:wrapNone/>
          <wp:docPr id="1344461640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461640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B70004"/>
        <w:spacing w:val="-3"/>
        <w:sz w:val="24"/>
        <w:szCs w:val="24"/>
      </w:rPr>
      <w:t>证券研究报告</w:t>
    </w:r>
    <w:r>
      <w:rPr>
        <w:color w:val="B70004"/>
        <w:spacing w:val="-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3"/>
        <w:sz w:val="24"/>
        <w:szCs w:val="24"/>
      </w:rPr>
      <w:t xml:space="preserve">| </w:t>
    </w:r>
    <w:r>
      <w:rPr>
        <w:color w:val="B70004"/>
        <w:spacing w:val="-3"/>
        <w:sz w:val="24"/>
        <w:szCs w:val="24"/>
      </w:rPr>
      <w:t>公司深度</w:t>
    </w:r>
    <w:r>
      <w:rPr>
        <w:color w:val="B70004"/>
        <w:spacing w:val="-4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3"/>
        <w:sz w:val="24"/>
        <w:szCs w:val="24"/>
      </w:rPr>
      <w:t xml:space="preserve">| </w:t>
    </w:r>
    <w:r>
      <w:rPr>
        <w:color w:val="B70004"/>
        <w:spacing w:val="-3"/>
        <w:sz w:val="24"/>
        <w:szCs w:val="24"/>
      </w:rPr>
      <w:t>一般零售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114" w:line="212" w:lineRule="auto"/>
      <w:ind w:right="31"/>
      <w:jc w:val="right"/>
      <w:rPr>
        <w:sz w:val="24"/>
        <w:szCs w:val="24"/>
      </w:rPr>
    </w:pPr>
    <w:r>
      <w:drawing>
        <wp:anchor distT="0" distB="0" distL="0" distR="0" simplePos="0" relativeHeight="251660288" behindDoc="0" locked="0" layoutInCell="0" allowOverlap="1">
          <wp:simplePos x="0" y="0"/>
          <wp:positionH relativeFrom="page">
            <wp:posOffset>457200</wp:posOffset>
          </wp:positionH>
          <wp:positionV relativeFrom="page">
            <wp:posOffset>540385</wp:posOffset>
          </wp:positionV>
          <wp:extent cx="1079500" cy="302259"/>
          <wp:effectExtent l="0" t="0" r="0" b="0"/>
          <wp:wrapNone/>
          <wp:docPr id="1339027966" name="IM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9027966" name="IM 2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B70004"/>
        <w:spacing w:val="-3"/>
        <w:sz w:val="24"/>
        <w:szCs w:val="24"/>
      </w:rPr>
      <w:t>证券研究报告</w:t>
    </w:r>
    <w:r>
      <w:rPr>
        <w:color w:val="B70004"/>
        <w:spacing w:val="-28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3"/>
        <w:sz w:val="24"/>
        <w:szCs w:val="24"/>
      </w:rPr>
      <w:t xml:space="preserve">| </w:t>
    </w:r>
    <w:r>
      <w:rPr>
        <w:color w:val="B70004"/>
        <w:spacing w:val="-3"/>
        <w:sz w:val="24"/>
        <w:szCs w:val="24"/>
      </w:rPr>
      <w:t>公司深度</w:t>
    </w:r>
    <w:r>
      <w:rPr>
        <w:color w:val="B70004"/>
        <w:spacing w:val="-41"/>
        <w:sz w:val="24"/>
        <w:szCs w:val="24"/>
      </w:rPr>
      <w:t xml:space="preserve"> </w:t>
    </w:r>
    <w:r>
      <w:rPr>
        <w:rFonts w:ascii="Times New Roman" w:eastAsia="Times New Roman" w:hAnsi="Times New Roman" w:cs="Times New Roman"/>
        <w:color w:val="B70004"/>
        <w:spacing w:val="-3"/>
        <w:sz w:val="24"/>
        <w:szCs w:val="24"/>
      </w:rPr>
      <w:t xml:space="preserve">| </w:t>
    </w:r>
    <w:r>
      <w:rPr>
        <w:color w:val="B70004"/>
        <w:spacing w:val="-3"/>
        <w:sz w:val="24"/>
        <w:szCs w:val="24"/>
      </w:rPr>
      <w:t>一般零售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5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10329583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329583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65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115733046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5733046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69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438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620706444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706444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73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49821543" name="IM 1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821543" name="IM 1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77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0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7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826026669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6026669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8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848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41639653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39653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8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05349427" name="IM 2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5349427" name="IM 2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9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4" name="IM 2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 2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9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30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09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257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87578094" name="IM 3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87578094" name="IM 3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0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34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0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765155971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5155971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1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705320072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5320072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1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667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267932851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7932851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1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058250401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8250401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2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5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2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977737712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7737712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3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076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572730260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2730260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3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45395933" name="IM 5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45395933" name="IM 5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3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469099828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9099828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4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183372696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3372696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4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486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872967683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2967683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5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40827563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0827563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5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191503610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1503610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5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70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0" name="IM 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6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896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816232721" name="IM 7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16232721" name="IM 70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6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389827985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9827985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70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682306088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2306088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74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776749498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6749498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78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93056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2054535788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4535788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82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before="206" w:line="213" w:lineRule="auto"/>
      <w:ind w:left="8735"/>
      <w:rPr>
        <w:sz w:val="16"/>
        <w:szCs w:val="16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467994</wp:posOffset>
          </wp:positionH>
          <wp:positionV relativeFrom="page">
            <wp:posOffset>500380</wp:posOffset>
          </wp:positionV>
          <wp:extent cx="1079500" cy="302259"/>
          <wp:effectExtent l="0" t="0" r="0" b="0"/>
          <wp:wrapNone/>
          <wp:docPr id="1595107019" name="IM 34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95107019" name="IM 34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1079500" cy="3022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pacing w:val="-1"/>
        <w:sz w:val="16"/>
        <w:szCs w:val="16"/>
      </w:rPr>
      <w:t>大东方</w:t>
    </w:r>
    <w:r>
      <w:rPr>
        <w:rFonts w:ascii="Times New Roman" w:eastAsia="Times New Roman" w:hAnsi="Times New Roman" w:cs="Times New Roman"/>
        <w:spacing w:val="-1"/>
        <w:sz w:val="16"/>
        <w:szCs w:val="16"/>
      </w:rPr>
      <w:t>(600327)</w:t>
    </w:r>
    <w:r>
      <w:rPr>
        <w:spacing w:val="-1"/>
        <w:sz w:val="16"/>
        <w:szCs w:val="16"/>
      </w:rPr>
      <w:t>公司深度</w:t>
    </w:r>
  </w:p>
  <w:p>
    <w:pPr>
      <w:spacing w:before="56" w:line="18" w:lineRule="exact"/>
      <w:ind w:firstLine="1793"/>
    </w:pPr>
    <w:r>
      <w:pict>
        <v:shape id="_x0000_i2186" style="width:433.4pt;height:1pt;mso-position-horizontal-relative:char;mso-position-vertical-relative:line" coordorigin="0,0" coordsize="8667,20" path="m,10l8667,10e" filled="f" strokecolor="#b70004" strokeweight="1pt">
          <v:stroke joinstyle="miter"/>
          <w10:wrap type="none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19"/>
      <w:szCs w:val="19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Times New Roman" w:eastAsia="Times New Roman" w:hAnsi="Times New Roman" w:cs="Times New Roman"/>
      <w:sz w:val="12"/>
      <w:szCs w:val="12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2.xml" /><Relationship Id="rId100" Type="http://schemas.openxmlformats.org/officeDocument/2006/relationships/footer" Target="footer34.xml" /><Relationship Id="rId101" Type="http://schemas.openxmlformats.org/officeDocument/2006/relationships/image" Target="media/image31.jpeg" /><Relationship Id="rId102" Type="http://schemas.openxmlformats.org/officeDocument/2006/relationships/image" Target="media/image32.png" /><Relationship Id="rId103" Type="http://schemas.openxmlformats.org/officeDocument/2006/relationships/header" Target="header35.xml" /><Relationship Id="rId104" Type="http://schemas.openxmlformats.org/officeDocument/2006/relationships/footer" Target="footer35.xml" /><Relationship Id="rId105" Type="http://schemas.openxmlformats.org/officeDocument/2006/relationships/hyperlink" Target="https://d.book118.com/986034003154010053" TargetMode="External" /><Relationship Id="rId106" Type="http://schemas.openxmlformats.org/officeDocument/2006/relationships/header" Target="header36.xml" /><Relationship Id="rId107" Type="http://schemas.openxmlformats.org/officeDocument/2006/relationships/footer" Target="footer36.xml" /><Relationship Id="rId108" Type="http://schemas.openxmlformats.org/officeDocument/2006/relationships/theme" Target="theme/theme1.xml" /><Relationship Id="rId109" Type="http://schemas.openxmlformats.org/officeDocument/2006/relationships/styles" Target="styles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image" Target="media/image7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header" Target="header4.xml" /><Relationship Id="rId17" Type="http://schemas.openxmlformats.org/officeDocument/2006/relationships/footer" Target="footer4.xml" /><Relationship Id="rId18" Type="http://schemas.openxmlformats.org/officeDocument/2006/relationships/header" Target="header5.xml" /><Relationship Id="rId19" Type="http://schemas.openxmlformats.org/officeDocument/2006/relationships/footer" Target="footer5.xml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header" Target="header7.xml" /><Relationship Id="rId23" Type="http://schemas.openxmlformats.org/officeDocument/2006/relationships/footer" Target="footer7.xml" /><Relationship Id="rId24" Type="http://schemas.openxmlformats.org/officeDocument/2006/relationships/header" Target="header8.xml" /><Relationship Id="rId25" Type="http://schemas.openxmlformats.org/officeDocument/2006/relationships/footer" Target="footer8.xml" /><Relationship Id="rId26" Type="http://schemas.openxmlformats.org/officeDocument/2006/relationships/header" Target="header9.xml" /><Relationship Id="rId27" Type="http://schemas.openxmlformats.org/officeDocument/2006/relationships/footer" Target="footer9.xml" /><Relationship Id="rId28" Type="http://schemas.openxmlformats.org/officeDocument/2006/relationships/header" Target="header10.xml" /><Relationship Id="rId29" Type="http://schemas.openxmlformats.org/officeDocument/2006/relationships/footer" Target="footer10.xml" /><Relationship Id="rId3" Type="http://schemas.openxmlformats.org/officeDocument/2006/relationships/fontTable" Target="fontTable.xml" /><Relationship Id="rId30" Type="http://schemas.openxmlformats.org/officeDocument/2006/relationships/image" Target="media/image8.png" /><Relationship Id="rId31" Type="http://schemas.openxmlformats.org/officeDocument/2006/relationships/header" Target="header11.xml" /><Relationship Id="rId32" Type="http://schemas.openxmlformats.org/officeDocument/2006/relationships/footer" Target="footer11.xml" /><Relationship Id="rId33" Type="http://schemas.openxmlformats.org/officeDocument/2006/relationships/header" Target="header12.xml" /><Relationship Id="rId34" Type="http://schemas.openxmlformats.org/officeDocument/2006/relationships/footer" Target="footer12.xml" /><Relationship Id="rId35" Type="http://schemas.openxmlformats.org/officeDocument/2006/relationships/image" Target="media/image9.png" /><Relationship Id="rId36" Type="http://schemas.openxmlformats.org/officeDocument/2006/relationships/image" Target="media/image10.png" /><Relationship Id="rId37" Type="http://schemas.openxmlformats.org/officeDocument/2006/relationships/header" Target="header13.xml" /><Relationship Id="rId38" Type="http://schemas.openxmlformats.org/officeDocument/2006/relationships/footer" Target="footer13.xml" /><Relationship Id="rId39" Type="http://schemas.openxmlformats.org/officeDocument/2006/relationships/image" Target="media/image11.png" /><Relationship Id="rId4" Type="http://schemas.openxmlformats.org/officeDocument/2006/relationships/image" Target="media/image1.png" /><Relationship Id="rId40" Type="http://schemas.openxmlformats.org/officeDocument/2006/relationships/header" Target="header14.xml" /><Relationship Id="rId41" Type="http://schemas.openxmlformats.org/officeDocument/2006/relationships/footer" Target="footer14.xml" /><Relationship Id="rId42" Type="http://schemas.openxmlformats.org/officeDocument/2006/relationships/header" Target="header15.xml" /><Relationship Id="rId43" Type="http://schemas.openxmlformats.org/officeDocument/2006/relationships/footer" Target="footer15.xml" /><Relationship Id="rId44" Type="http://schemas.openxmlformats.org/officeDocument/2006/relationships/header" Target="header16.xml" /><Relationship Id="rId45" Type="http://schemas.openxmlformats.org/officeDocument/2006/relationships/footer" Target="footer16.xml" /><Relationship Id="rId46" Type="http://schemas.openxmlformats.org/officeDocument/2006/relationships/image" Target="media/image12.png" /><Relationship Id="rId47" Type="http://schemas.openxmlformats.org/officeDocument/2006/relationships/image" Target="media/image13.png" /><Relationship Id="rId48" Type="http://schemas.openxmlformats.org/officeDocument/2006/relationships/image" Target="media/image14.png" /><Relationship Id="rId49" Type="http://schemas.openxmlformats.org/officeDocument/2006/relationships/image" Target="media/image15.png" /><Relationship Id="rId5" Type="http://schemas.openxmlformats.org/officeDocument/2006/relationships/header" Target="header1.xml" /><Relationship Id="rId50" Type="http://schemas.openxmlformats.org/officeDocument/2006/relationships/header" Target="header17.xml" /><Relationship Id="rId51" Type="http://schemas.openxmlformats.org/officeDocument/2006/relationships/footer" Target="footer17.xml" /><Relationship Id="rId52" Type="http://schemas.openxmlformats.org/officeDocument/2006/relationships/header" Target="header18.xml" /><Relationship Id="rId53" Type="http://schemas.openxmlformats.org/officeDocument/2006/relationships/footer" Target="footer18.xml" /><Relationship Id="rId54" Type="http://schemas.openxmlformats.org/officeDocument/2006/relationships/image" Target="media/image16.jpeg" /><Relationship Id="rId55" Type="http://schemas.openxmlformats.org/officeDocument/2006/relationships/image" Target="media/image17.jpeg" /><Relationship Id="rId56" Type="http://schemas.openxmlformats.org/officeDocument/2006/relationships/header" Target="header19.xml" /><Relationship Id="rId57" Type="http://schemas.openxmlformats.org/officeDocument/2006/relationships/footer" Target="footer19.xml" /><Relationship Id="rId58" Type="http://schemas.openxmlformats.org/officeDocument/2006/relationships/image" Target="media/image18.jpeg" /><Relationship Id="rId59" Type="http://schemas.openxmlformats.org/officeDocument/2006/relationships/image" Target="media/image19.png" /><Relationship Id="rId6" Type="http://schemas.openxmlformats.org/officeDocument/2006/relationships/footer" Target="footer1.xml" /><Relationship Id="rId60" Type="http://schemas.openxmlformats.org/officeDocument/2006/relationships/header" Target="header20.xml" /><Relationship Id="rId61" Type="http://schemas.openxmlformats.org/officeDocument/2006/relationships/footer" Target="footer20.xml" /><Relationship Id="rId62" Type="http://schemas.openxmlformats.org/officeDocument/2006/relationships/image" Target="media/image20.png" /><Relationship Id="rId63" Type="http://schemas.openxmlformats.org/officeDocument/2006/relationships/header" Target="header21.xml" /><Relationship Id="rId64" Type="http://schemas.openxmlformats.org/officeDocument/2006/relationships/footer" Target="footer21.xml" /><Relationship Id="rId65" Type="http://schemas.openxmlformats.org/officeDocument/2006/relationships/image" Target="media/image21.jpeg" /><Relationship Id="rId66" Type="http://schemas.openxmlformats.org/officeDocument/2006/relationships/image" Target="media/image22.jpeg" /><Relationship Id="rId67" Type="http://schemas.openxmlformats.org/officeDocument/2006/relationships/header" Target="header22.xml" /><Relationship Id="rId68" Type="http://schemas.openxmlformats.org/officeDocument/2006/relationships/footer" Target="footer22.xml" /><Relationship Id="rId69" Type="http://schemas.openxmlformats.org/officeDocument/2006/relationships/header" Target="header23.xml" /><Relationship Id="rId7" Type="http://schemas.openxmlformats.org/officeDocument/2006/relationships/image" Target="media/image3.png" /><Relationship Id="rId70" Type="http://schemas.openxmlformats.org/officeDocument/2006/relationships/footer" Target="footer23.xml" /><Relationship Id="rId71" Type="http://schemas.openxmlformats.org/officeDocument/2006/relationships/header" Target="header24.xml" /><Relationship Id="rId72" Type="http://schemas.openxmlformats.org/officeDocument/2006/relationships/footer" Target="footer24.xml" /><Relationship Id="rId73" Type="http://schemas.openxmlformats.org/officeDocument/2006/relationships/image" Target="media/image23.jpeg" /><Relationship Id="rId74" Type="http://schemas.openxmlformats.org/officeDocument/2006/relationships/header" Target="header25.xml" /><Relationship Id="rId75" Type="http://schemas.openxmlformats.org/officeDocument/2006/relationships/footer" Target="footer25.xml" /><Relationship Id="rId76" Type="http://schemas.openxmlformats.org/officeDocument/2006/relationships/image" Target="media/image24.jpeg" /><Relationship Id="rId77" Type="http://schemas.openxmlformats.org/officeDocument/2006/relationships/header" Target="header26.xml" /><Relationship Id="rId78" Type="http://schemas.openxmlformats.org/officeDocument/2006/relationships/footer" Target="footer26.xml" /><Relationship Id="rId79" Type="http://schemas.openxmlformats.org/officeDocument/2006/relationships/header" Target="header27.xml" /><Relationship Id="rId8" Type="http://schemas.openxmlformats.org/officeDocument/2006/relationships/image" Target="media/image4.png" /><Relationship Id="rId80" Type="http://schemas.openxmlformats.org/officeDocument/2006/relationships/footer" Target="footer27.xml" /><Relationship Id="rId81" Type="http://schemas.openxmlformats.org/officeDocument/2006/relationships/image" Target="media/image25.jpeg" /><Relationship Id="rId82" Type="http://schemas.openxmlformats.org/officeDocument/2006/relationships/image" Target="media/image26.jpeg" /><Relationship Id="rId83" Type="http://schemas.openxmlformats.org/officeDocument/2006/relationships/header" Target="header28.xml" /><Relationship Id="rId84" Type="http://schemas.openxmlformats.org/officeDocument/2006/relationships/footer" Target="footer28.xml" /><Relationship Id="rId85" Type="http://schemas.openxmlformats.org/officeDocument/2006/relationships/image" Target="media/image27.jpeg" /><Relationship Id="rId86" Type="http://schemas.openxmlformats.org/officeDocument/2006/relationships/image" Target="media/image28.png" /><Relationship Id="rId87" Type="http://schemas.openxmlformats.org/officeDocument/2006/relationships/header" Target="header29.xml" /><Relationship Id="rId88" Type="http://schemas.openxmlformats.org/officeDocument/2006/relationships/footer" Target="footer29.xml" /><Relationship Id="rId89" Type="http://schemas.openxmlformats.org/officeDocument/2006/relationships/header" Target="header30.xml" /><Relationship Id="rId9" Type="http://schemas.openxmlformats.org/officeDocument/2006/relationships/header" Target="header2.xml" /><Relationship Id="rId90" Type="http://schemas.openxmlformats.org/officeDocument/2006/relationships/footer" Target="footer30.xml" /><Relationship Id="rId91" Type="http://schemas.openxmlformats.org/officeDocument/2006/relationships/header" Target="header31.xml" /><Relationship Id="rId92" Type="http://schemas.openxmlformats.org/officeDocument/2006/relationships/footer" Target="footer31.xml" /><Relationship Id="rId93" Type="http://schemas.openxmlformats.org/officeDocument/2006/relationships/image" Target="media/image29.jpeg" /><Relationship Id="rId94" Type="http://schemas.openxmlformats.org/officeDocument/2006/relationships/header" Target="header32.xml" /><Relationship Id="rId95" Type="http://schemas.openxmlformats.org/officeDocument/2006/relationships/footer" Target="footer32.xml" /><Relationship Id="rId96" Type="http://schemas.openxmlformats.org/officeDocument/2006/relationships/image" Target="media/image30.jpeg" /><Relationship Id="rId97" Type="http://schemas.openxmlformats.org/officeDocument/2006/relationships/header" Target="header33.xml" /><Relationship Id="rId98" Type="http://schemas.openxmlformats.org/officeDocument/2006/relationships/footer" Target="footer33.xml" /><Relationship Id="rId99" Type="http://schemas.openxmlformats.org/officeDocument/2006/relationships/header" Target="header34.xml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7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8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19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0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7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8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29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0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1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2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3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4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5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footer36.xml.rels><?xml version="1.0" encoding="utf-8" standalone="yes"?><Relationships xmlns="http://schemas.openxmlformats.org/package/2006/relationships"><Relationship Id="rId1" Type="http://schemas.openxmlformats.org/officeDocument/2006/relationships/hyperlink" Target="http://www.stocke.com.cn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浙商证券-大东方(600327)首次覆盖报告：向宽而行，打造连锁儿科生态圈-240223.pdf</dc:title>
  <cp:revision>0</cp:revision>
  <dcterms:created xsi:type="dcterms:W3CDTF">2024-03-01T21:23:28Z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2024-03-01T22:24:01Z</vt:filetime>
  </property>
  <property fmtid="{D5CDD505-2E9C-101B-9397-08002B2CF9AE}" pid="3" name="CRO">
    <vt:lpwstr>wqlLaW5nc29mdCBQREYgdG8gV1BTIDkw</vt:lpwstr>
  </property>
</Properties>
</file>