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" w:line="16786" w:lineRule="exact"/>
      </w:pPr>
      <w:r>
        <w:rPr>
          <w:position w:val="-335"/>
        </w:rPr>
        <w:drawing>
          <wp:inline distT="0" distB="0" distL="0" distR="0">
            <wp:extent cx="7549641" cy="1065885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9641" cy="1065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786" w:lineRule="exact"/>
        <w:sectPr>
          <w:headerReference w:type="default" r:id="rId5"/>
          <w:footerReference w:type="default" r:id="rId6"/>
          <w:pgSz w:w="11906" w:h="16839"/>
          <w:pgMar w:top="1" w:right="0" w:bottom="1" w:left="16" w:header="0" w:footer="0" w:gutter="0"/>
          <w:cols w:space="708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85" w:line="196" w:lineRule="auto"/>
        <w:ind w:left="3520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前</w:t>
      </w:r>
      <w:r>
        <w:rPr>
          <w:rFonts w:ascii="Microsoft YaHei" w:eastAsia="Microsoft YaHei" w:hAnsi="Microsoft YaHei" w:cs="Microsoft YaHei"/>
          <w:spacing w:val="27"/>
          <w:sz w:val="43"/>
          <w:szCs w:val="43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言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1" w:line="559" w:lineRule="exact"/>
        <w:ind w:left="679"/>
      </w:pPr>
      <w:r>
        <w:rPr>
          <w:spacing w:val="4"/>
          <w:position w:val="18"/>
        </w:rPr>
        <w:t>2024</w:t>
      </w:r>
      <w:r>
        <w:rPr>
          <w:spacing w:val="-58"/>
          <w:position w:val="18"/>
        </w:rPr>
        <w:t xml:space="preserve"> </w:t>
      </w:r>
      <w:r>
        <w:rPr>
          <w:spacing w:val="4"/>
          <w:position w:val="18"/>
        </w:rPr>
        <w:t>年，是抓住一切有利时机，利用一切有利</w:t>
      </w:r>
      <w:r>
        <w:rPr>
          <w:spacing w:val="3"/>
          <w:position w:val="18"/>
        </w:rPr>
        <w:t>条件，增</w:t>
      </w:r>
    </w:p>
    <w:p>
      <w:pPr>
        <w:pStyle w:val="BodyText"/>
        <w:spacing w:line="220" w:lineRule="auto"/>
        <w:ind w:left="46"/>
      </w:pPr>
      <w:r>
        <w:rPr>
          <w:spacing w:val="6"/>
        </w:rPr>
        <w:t>强企业发展确定性的一年。</w:t>
      </w:r>
    </w:p>
    <w:p>
      <w:pPr>
        <w:pStyle w:val="BodyText"/>
        <w:spacing w:before="270" w:line="333" w:lineRule="auto"/>
        <w:ind w:left="17" w:right="89" w:firstLine="659"/>
      </w:pPr>
      <w:r>
        <w:rPr>
          <w:spacing w:val="8"/>
        </w:rPr>
        <w:t>为服务企业发展，实现政策放大组合效应，提高政策有</w:t>
      </w:r>
      <w:r>
        <w:rPr>
          <w:spacing w:val="7"/>
        </w:rPr>
        <w:t xml:space="preserve"> </w:t>
      </w:r>
      <w:r>
        <w:rPr>
          <w:spacing w:val="9"/>
        </w:rPr>
        <w:t>效性，增强企业获得感，北京市数字经济促进中心组织梳理</w:t>
      </w:r>
      <w:r>
        <w:rPr>
          <w:spacing w:val="7"/>
        </w:rPr>
        <w:t xml:space="preserve"> </w:t>
      </w:r>
      <w:r>
        <w:rPr>
          <w:spacing w:val="8"/>
        </w:rPr>
        <w:t>形成了《北京市数字经济政策精华汇编（2024）》（以下简</w:t>
      </w:r>
    </w:p>
    <w:p>
      <w:pPr>
        <w:pStyle w:val="BodyText"/>
        <w:spacing w:line="221" w:lineRule="auto"/>
        <w:ind w:left="30"/>
      </w:pPr>
      <w:r>
        <w:rPr>
          <w:spacing w:val="-2"/>
        </w:rPr>
        <w:t>称</w:t>
      </w:r>
      <w:r>
        <w:rPr>
          <w:spacing w:val="-104"/>
        </w:rPr>
        <w:t xml:space="preserve"> </w:t>
      </w:r>
      <w:r>
        <w:rPr>
          <w:spacing w:val="-2"/>
        </w:rPr>
        <w:t>“政策精华汇编”</w:t>
      </w:r>
      <w:r>
        <w:rPr>
          <w:spacing w:val="-68"/>
        </w:rPr>
        <w:t xml:space="preserve"> </w:t>
      </w:r>
      <w:r>
        <w:rPr>
          <w:spacing w:val="-2"/>
        </w:rPr>
        <w:t>）。</w:t>
      </w:r>
    </w:p>
    <w:p>
      <w:pPr>
        <w:pStyle w:val="BodyText"/>
        <w:spacing w:before="270" w:line="333" w:lineRule="auto"/>
        <w:ind w:left="34" w:right="91" w:firstLine="639"/>
      </w:pPr>
      <w:r>
        <w:rPr>
          <w:spacing w:val="12"/>
        </w:rPr>
        <w:t>政策精华汇编梳理了过去两年北京市出台的</w:t>
      </w:r>
      <w:r>
        <w:rPr>
          <w:spacing w:val="-33"/>
        </w:rPr>
        <w:t xml:space="preserve"> </w:t>
      </w:r>
      <w:r>
        <w:rPr>
          <w:spacing w:val="12"/>
        </w:rPr>
        <w:t>23</w:t>
      </w:r>
      <w:r>
        <w:rPr>
          <w:spacing w:val="-52"/>
        </w:rPr>
        <w:t xml:space="preserve"> </w:t>
      </w:r>
      <w:r>
        <w:rPr>
          <w:spacing w:val="12"/>
        </w:rPr>
        <w:t>项数字</w:t>
      </w:r>
      <w:r>
        <w:t xml:space="preserve"> </w:t>
      </w:r>
      <w:r>
        <w:rPr>
          <w:spacing w:val="12"/>
        </w:rPr>
        <w:t>经济相关政策，提炼形成了</w:t>
      </w:r>
      <w:r>
        <w:rPr>
          <w:spacing w:val="-37"/>
        </w:rPr>
        <w:t xml:space="preserve"> </w:t>
      </w:r>
      <w:r>
        <w:rPr>
          <w:spacing w:val="12"/>
        </w:rPr>
        <w:t>82</w:t>
      </w:r>
      <w:r>
        <w:rPr>
          <w:spacing w:val="-53"/>
        </w:rPr>
        <w:t xml:space="preserve"> </w:t>
      </w:r>
      <w:r>
        <w:rPr>
          <w:spacing w:val="12"/>
        </w:rPr>
        <w:t>条具体干货，涉及资金政策</w:t>
      </w:r>
      <w:r>
        <w:t xml:space="preserve"> </w:t>
      </w:r>
      <w:r>
        <w:rPr>
          <w:spacing w:val="4"/>
        </w:rPr>
        <w:t>46</w:t>
      </w:r>
      <w:r>
        <w:rPr>
          <w:spacing w:val="-51"/>
        </w:rPr>
        <w:t xml:space="preserve"> </w:t>
      </w:r>
      <w:r>
        <w:rPr>
          <w:spacing w:val="4"/>
        </w:rPr>
        <w:t>条、试点项目</w:t>
      </w:r>
      <w:r>
        <w:rPr>
          <w:spacing w:val="-41"/>
        </w:rPr>
        <w:t xml:space="preserve"> </w:t>
      </w:r>
      <w:r>
        <w:rPr>
          <w:spacing w:val="4"/>
        </w:rPr>
        <w:t>7</w:t>
      </w:r>
      <w:r>
        <w:rPr>
          <w:spacing w:val="-57"/>
        </w:rPr>
        <w:t xml:space="preserve"> </w:t>
      </w:r>
      <w:r>
        <w:rPr>
          <w:spacing w:val="4"/>
        </w:rPr>
        <w:t>个、场景开放</w:t>
      </w:r>
      <w:r>
        <w:rPr>
          <w:spacing w:val="-42"/>
        </w:rPr>
        <w:t xml:space="preserve"> </w:t>
      </w:r>
      <w:r>
        <w:rPr>
          <w:spacing w:val="4"/>
        </w:rPr>
        <w:t>5</w:t>
      </w:r>
      <w:r>
        <w:rPr>
          <w:spacing w:val="-58"/>
        </w:rPr>
        <w:t xml:space="preserve"> </w:t>
      </w:r>
      <w:r>
        <w:rPr>
          <w:spacing w:val="4"/>
        </w:rPr>
        <w:t>个、具体项目超</w:t>
      </w:r>
      <w:r>
        <w:rPr>
          <w:spacing w:val="-45"/>
        </w:rPr>
        <w:t xml:space="preserve"> </w:t>
      </w:r>
      <w:r>
        <w:rPr>
          <w:spacing w:val="4"/>
        </w:rPr>
        <w:t>23</w:t>
      </w:r>
      <w:r>
        <w:rPr>
          <w:spacing w:val="-57"/>
        </w:rPr>
        <w:t xml:space="preserve"> </w:t>
      </w:r>
      <w:r>
        <w:rPr>
          <w:spacing w:val="4"/>
        </w:rPr>
        <w:t>个，</w:t>
      </w:r>
      <w:r>
        <w:t xml:space="preserve"> </w:t>
      </w:r>
      <w:r>
        <w:rPr>
          <w:spacing w:val="6"/>
        </w:rPr>
        <w:t>涵盖数据要素、重点产业、配套措施等</w:t>
      </w:r>
      <w:r>
        <w:rPr>
          <w:spacing w:val="-29"/>
        </w:rPr>
        <w:t xml:space="preserve"> </w:t>
      </w:r>
      <w:r>
        <w:rPr>
          <w:spacing w:val="6"/>
        </w:rPr>
        <w:t>3</w:t>
      </w:r>
      <w:r>
        <w:rPr>
          <w:spacing w:val="-60"/>
        </w:rPr>
        <w:t xml:space="preserve"> </w:t>
      </w:r>
      <w:r>
        <w:rPr>
          <w:spacing w:val="6"/>
        </w:rPr>
        <w:t>个维度的精华。政</w:t>
      </w:r>
      <w:r>
        <w:t xml:space="preserve"> </w:t>
      </w:r>
      <w:r>
        <w:rPr>
          <w:spacing w:val="21"/>
        </w:rPr>
        <w:t>策精华汇编是政府支持产业发展的干货，方便企业明白政</w:t>
      </w:r>
    </w:p>
    <w:p>
      <w:pPr>
        <w:pStyle w:val="BodyText"/>
        <w:spacing w:line="221" w:lineRule="auto"/>
        <w:jc w:val="right"/>
      </w:pPr>
      <w:r>
        <w:t>策、运用政策、享受政策，是一份简明务实的政策服务指南。</w:t>
      </w:r>
    </w:p>
    <w:p>
      <w:pPr>
        <w:pStyle w:val="BodyText"/>
        <w:spacing w:before="265" w:line="334" w:lineRule="auto"/>
        <w:ind w:left="41" w:right="89" w:firstLine="623"/>
      </w:pPr>
      <w:r>
        <w:rPr>
          <w:spacing w:val="9"/>
        </w:rPr>
        <w:t>做强做优做大数字经济，是高质量发展的必由</w:t>
      </w:r>
      <w:r>
        <w:rPr>
          <w:spacing w:val="8"/>
        </w:rPr>
        <w:t>之路，是</w:t>
      </w:r>
      <w:r>
        <w:t xml:space="preserve"> </w:t>
      </w:r>
      <w:r>
        <w:rPr>
          <w:spacing w:val="8"/>
        </w:rPr>
        <w:t>中国式现代化的重要引擎。北京市高度重视数字经济，将数</w:t>
      </w:r>
      <w:r>
        <w:rPr>
          <w:spacing w:val="7"/>
        </w:rPr>
        <w:t xml:space="preserve"> </w:t>
      </w:r>
      <w:r>
        <w:rPr>
          <w:spacing w:val="4"/>
        </w:rPr>
        <w:t>字经济作为全市</w:t>
      </w:r>
      <w:r>
        <w:rPr>
          <w:spacing w:val="-106"/>
        </w:rPr>
        <w:t xml:space="preserve"> </w:t>
      </w:r>
      <w:r>
        <w:rPr>
          <w:spacing w:val="4"/>
        </w:rPr>
        <w:t>“五子联动”战略布局的核心枢纽，</w:t>
      </w:r>
      <w:r>
        <w:rPr>
          <w:spacing w:val="-91"/>
        </w:rPr>
        <w:t xml:space="preserve"> </w:t>
      </w:r>
      <w:r>
        <w:rPr>
          <w:spacing w:val="4"/>
        </w:rPr>
        <w:t>出台了</w:t>
      </w:r>
      <w:r>
        <w:t xml:space="preserve"> </w:t>
      </w:r>
      <w:r>
        <w:rPr>
          <w:spacing w:val="2"/>
        </w:rPr>
        <w:t>系列政策和措施。本政策精华汇编，是落实</w:t>
      </w:r>
      <w:r>
        <w:rPr>
          <w:spacing w:val="-100"/>
        </w:rPr>
        <w:t xml:space="preserve"> </w:t>
      </w:r>
      <w:r>
        <w:rPr>
          <w:spacing w:val="2"/>
        </w:rPr>
        <w:t>“</w:t>
      </w:r>
      <w:r>
        <w:rPr>
          <w:spacing w:val="-96"/>
        </w:rPr>
        <w:t xml:space="preserve"> </w:t>
      </w:r>
      <w:r>
        <w:rPr>
          <w:spacing w:val="2"/>
        </w:rPr>
        <w:t>以企业为本、</w:t>
      </w:r>
    </w:p>
    <w:p>
      <w:pPr>
        <w:pStyle w:val="BodyText"/>
        <w:spacing w:before="1" w:line="222" w:lineRule="auto"/>
        <w:ind w:left="70"/>
      </w:pPr>
      <w:r>
        <w:rPr>
          <w:spacing w:val="7"/>
        </w:rPr>
        <w:t>以服务为先”理念，营造良好营商环境的具体措施。</w:t>
      </w:r>
    </w:p>
    <w:p>
      <w:pPr>
        <w:pStyle w:val="BodyText"/>
        <w:spacing w:before="262" w:line="220" w:lineRule="auto"/>
        <w:jc w:val="right"/>
      </w:pPr>
      <w:r>
        <w:rPr>
          <w:spacing w:val="-5"/>
        </w:rPr>
        <w:t>2024</w:t>
      </w:r>
      <w:r>
        <w:rPr>
          <w:spacing w:val="-42"/>
        </w:rPr>
        <w:t xml:space="preserve"> </w:t>
      </w:r>
      <w:r>
        <w:rPr>
          <w:spacing w:val="-5"/>
        </w:rPr>
        <w:t>年，“北京服务”在行动，促进数字经济乘风破浪。</w:t>
      </w:r>
    </w:p>
    <w:p>
      <w:pPr>
        <w:spacing w:line="220" w:lineRule="auto"/>
        <w:sectPr>
          <w:headerReference w:type="default" r:id="rId7"/>
          <w:footerReference w:type="default" r:id="rId8"/>
          <w:pgSz w:w="11906" w:h="16839"/>
          <w:pgMar w:top="400" w:right="1710" w:bottom="400" w:left="1785" w:header="0" w:footer="0" w:gutter="0"/>
          <w:pgNumType w:start="2"/>
          <w:cols w:space="708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31"/>
          <w:szCs w:val="31"/>
        </w:rPr>
        <w:id w:val="108261202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31"/>
          <w:szCs w:val="31"/>
        </w:rPr>
      </w:sdtEndPr>
      <w:sdtContent>
        <w:p>
          <w:pPr>
            <w:spacing w:before="133" w:line="199" w:lineRule="auto"/>
            <w:ind w:left="3900"/>
            <w:rPr>
              <w:rFonts w:ascii="Microsoft YaHei" w:eastAsia="Microsoft YaHei" w:hAnsi="Microsoft YaHei" w:cs="Microsoft YaHei"/>
              <w:sz w:val="31"/>
              <w:szCs w:val="31"/>
            </w:rPr>
          </w:pPr>
          <w:r>
            <w:rPr>
              <w:rFonts w:ascii="Microsoft YaHei" w:eastAsia="Microsoft YaHei" w:hAnsi="Microsoft YaHei" w:cs="Microsoft YaHei"/>
              <w:spacing w:val="-18"/>
              <w:sz w:val="31"/>
              <w:szCs w:val="31"/>
            </w:rPr>
            <w:t>目录</w:t>
          </w:r>
        </w:p>
        <w:p>
          <w:pPr>
            <w:spacing w:line="270" w:lineRule="auto"/>
            <w:rPr>
              <w:rFonts w:ascii="Arial"/>
              <w:sz w:val="21"/>
            </w:rPr>
          </w:pPr>
        </w:p>
        <w:p>
          <w:pPr>
            <w:spacing w:line="27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133" w:line="335" w:lineRule="exact"/>
            <w:ind w:left="34"/>
            <w:rPr>
              <w:rFonts w:ascii="Arial" w:eastAsia="Arial" w:hAnsi="Arial" w:cs="Arial"/>
              <w:sz w:val="31"/>
              <w:szCs w:val="31"/>
            </w:rPr>
          </w:pPr>
          <w:hyperlink w:anchor="bookmark1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31"/>
                <w:szCs w:val="31"/>
              </w:rPr>
              <w:t>一、数据要素</w:t>
            </w:r>
            <w:r>
              <w:rPr>
                <w:rFonts w:ascii="Microsoft YaHei" w:eastAsia="Microsoft YaHei" w:hAnsi="Microsoft YaHei" w:cs="Microsoft YaHei"/>
                <w:spacing w:val="-20"/>
                <w:position w:val="-1"/>
                <w:sz w:val="31"/>
                <w:szCs w:val="3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-1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10"/>
                <w:position w:val="-1"/>
                <w:sz w:val="31"/>
                <w:szCs w:val="3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225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2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（一）数据资源资产化</w:t>
            </w:r>
            <w:r>
              <w:rPr>
                <w:rFonts w:ascii="KaiTi" w:eastAsia="KaiTi" w:hAnsi="KaiTi" w:cs="KaiTi"/>
                <w:spacing w:val="-80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67"/>
                <w:w w:val="101"/>
                <w:sz w:val="31"/>
                <w:szCs w:val="3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241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3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（二）数据交易流通</w:t>
            </w:r>
            <w:r>
              <w:rPr>
                <w:rFonts w:ascii="KaiTi" w:eastAsia="KaiTi" w:hAnsi="KaiTi" w:cs="KaiTi"/>
                <w:spacing w:val="-82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38"/>
                <w:sz w:val="31"/>
                <w:szCs w:val="3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241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4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（三）数据共享开放</w:t>
            </w:r>
            <w:r>
              <w:rPr>
                <w:rFonts w:ascii="KaiTi" w:eastAsia="KaiTi" w:hAnsi="KaiTi" w:cs="KaiTi"/>
                <w:spacing w:val="-82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38"/>
                <w:sz w:val="31"/>
                <w:szCs w:val="3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245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5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（四）数据治理体系</w:t>
            </w:r>
            <w:r>
              <w:rPr>
                <w:rFonts w:ascii="KaiTi" w:eastAsia="KaiTi" w:hAnsi="KaiTi" w:cs="KaiTi"/>
                <w:spacing w:val="-82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38"/>
                <w:sz w:val="31"/>
                <w:szCs w:val="3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243" w:line="335" w:lineRule="exact"/>
            <w:ind w:left="32"/>
            <w:rPr>
              <w:rFonts w:ascii="Arial" w:eastAsia="Arial" w:hAnsi="Arial" w:cs="Arial"/>
              <w:sz w:val="31"/>
              <w:szCs w:val="31"/>
            </w:rPr>
          </w:pPr>
          <w:hyperlink w:anchor="bookmark6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31"/>
                <w:szCs w:val="31"/>
              </w:rPr>
              <w:t>二、重点产业</w:t>
            </w:r>
            <w:r>
              <w:rPr>
                <w:rFonts w:ascii="Microsoft YaHei" w:eastAsia="Microsoft YaHei" w:hAnsi="Microsoft YaHei" w:cs="Microsoft YaHei"/>
                <w:spacing w:val="-18"/>
                <w:position w:val="-1"/>
                <w:sz w:val="31"/>
                <w:szCs w:val="3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-1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10"/>
                <w:position w:val="-1"/>
                <w:sz w:val="31"/>
                <w:szCs w:val="3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223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7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（一）数字产业化</w:t>
            </w:r>
            <w:r>
              <w:rPr>
                <w:rFonts w:ascii="KaiTi" w:eastAsia="KaiTi" w:hAnsi="KaiTi" w:cs="KaiTi"/>
                <w:spacing w:val="-83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5"/>
                <w:sz w:val="31"/>
                <w:szCs w:val="31"/>
              </w:rPr>
              <w:t>5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0" w:line="191" w:lineRule="auto"/>
            <w:ind w:left="886"/>
            <w:rPr>
              <w:rFonts w:ascii="Arial" w:eastAsia="Arial" w:hAnsi="Arial" w:cs="Arial"/>
            </w:rPr>
          </w:pPr>
          <w:hyperlink w:anchor="bookmark8" w:history="1">
            <w:r>
              <w:t>1.</w:t>
            </w:r>
            <w:r>
              <w:t xml:space="preserve"> </w:t>
            </w:r>
            <w:r>
              <w:t>信创</w:t>
            </w:r>
            <w:r>
              <w:rPr>
                <w:spacing w:val="-8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5"/>
                <w:w w:val="119"/>
              </w:rPr>
              <w:t>5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2" w:line="189" w:lineRule="auto"/>
            <w:ind w:left="878"/>
            <w:rPr>
              <w:rFonts w:ascii="Arial" w:eastAsia="Arial" w:hAnsi="Arial" w:cs="Arial"/>
            </w:rPr>
          </w:pPr>
          <w:hyperlink w:anchor="bookmark9" w:history="1">
            <w:r>
              <w:rPr>
                <w:spacing w:val="3"/>
              </w:rPr>
              <w:t>2.</w:t>
            </w:r>
            <w:r>
              <w:rPr>
                <w:spacing w:val="31"/>
              </w:rPr>
              <w:t xml:space="preserve"> </w:t>
            </w:r>
            <w:r>
              <w:rPr>
                <w:spacing w:val="3"/>
              </w:rPr>
              <w:t>软件与信息服务</w:t>
            </w:r>
            <w:r>
              <w:rPr>
                <w:spacing w:val="-8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40"/>
              </w:rPr>
              <w:t>6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2" w:line="189" w:lineRule="auto"/>
            <w:ind w:left="891"/>
            <w:rPr>
              <w:rFonts w:ascii="Arial" w:eastAsia="Arial" w:hAnsi="Arial" w:cs="Arial"/>
            </w:rPr>
          </w:pPr>
          <w:hyperlink w:anchor="bookmark10" w:history="1">
            <w:r>
              <w:rPr>
                <w:spacing w:val="-1"/>
              </w:rPr>
              <w:t>3.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人工智能</w:t>
            </w:r>
            <w:r>
              <w:rPr>
                <w:spacing w:val="-8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32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244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11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（二）产业数字化</w:t>
            </w:r>
            <w:r>
              <w:rPr>
                <w:rFonts w:ascii="KaiTi" w:eastAsia="KaiTi" w:hAnsi="KaiTi" w:cs="KaiTi"/>
                <w:spacing w:val="-83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47"/>
                <w:w w:val="101"/>
                <w:sz w:val="31"/>
                <w:szCs w:val="31"/>
              </w:rPr>
              <w:t>10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2" w:line="189" w:lineRule="auto"/>
            <w:ind w:left="886"/>
            <w:rPr>
              <w:rFonts w:ascii="Arial" w:eastAsia="Arial" w:hAnsi="Arial" w:cs="Arial"/>
            </w:rPr>
          </w:pPr>
          <w:hyperlink w:anchor="bookmark12" w:history="1">
            <w:r>
              <w:t>1.</w:t>
            </w:r>
            <w:r>
              <w:rPr>
                <w:spacing w:val="20"/>
              </w:rPr>
              <w:t xml:space="preserve"> </w:t>
            </w:r>
            <w:r>
              <w:t>智能制造</w:t>
            </w:r>
            <w:r>
              <w:rPr>
                <w:spacing w:val="-8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18"/>
              </w:rPr>
              <w:t>10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2" w:line="189" w:lineRule="auto"/>
            <w:ind w:left="878"/>
            <w:rPr>
              <w:rFonts w:ascii="Arial" w:eastAsia="Arial" w:hAnsi="Arial" w:cs="Arial"/>
            </w:rPr>
          </w:pPr>
          <w:hyperlink w:anchor="bookmark13" w:history="1">
            <w:r>
              <w:t>2.</w:t>
            </w:r>
            <w:r>
              <w:rPr>
                <w:spacing w:val="28"/>
              </w:rPr>
              <w:t xml:space="preserve"> </w:t>
            </w:r>
            <w:r>
              <w:t>数字医疗</w:t>
            </w:r>
            <w:r>
              <w:rPr>
                <w:spacing w:val="-8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18"/>
              </w:rPr>
              <w:t>12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4" w:line="189" w:lineRule="auto"/>
            <w:ind w:left="891"/>
            <w:rPr>
              <w:rFonts w:ascii="Arial" w:eastAsia="Arial" w:hAnsi="Arial" w:cs="Arial"/>
            </w:rPr>
          </w:pPr>
          <w:hyperlink w:anchor="bookmark14" w:history="1">
            <w:r>
              <w:rPr>
                <w:spacing w:val="-2"/>
              </w:rPr>
              <w:t>3.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</w:rPr>
              <w:t>数字消费</w:t>
            </w:r>
            <w:r>
              <w:rPr>
                <w:spacing w:val="-8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18"/>
              </w:rPr>
              <w:t>13</w:t>
            </w:r>
          </w:hyperlink>
        </w:p>
        <w:p>
          <w:pPr>
            <w:pStyle w:val="BodyText"/>
            <w:tabs>
              <w:tab w:val="right" w:leader="dot" w:pos="8320"/>
            </w:tabs>
            <w:spacing w:before="242" w:line="189" w:lineRule="auto"/>
            <w:ind w:left="877"/>
            <w:rPr>
              <w:rFonts w:ascii="Arial" w:eastAsia="Arial" w:hAnsi="Arial" w:cs="Arial"/>
            </w:rPr>
          </w:pPr>
          <w:hyperlink w:anchor="bookmark15" w:history="1">
            <w:r>
              <w:rPr>
                <w:spacing w:val="1"/>
              </w:rPr>
              <w:t>4.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机器人</w:t>
            </w:r>
            <w:r>
              <w:rPr>
                <w:spacing w:val="-8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47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243" w:line="335" w:lineRule="exact"/>
            <w:ind w:left="31"/>
            <w:rPr>
              <w:rFonts w:ascii="Arial" w:eastAsia="Arial" w:hAnsi="Arial" w:cs="Arial"/>
              <w:sz w:val="31"/>
              <w:szCs w:val="31"/>
            </w:rPr>
          </w:pPr>
          <w:hyperlink w:anchor="bookmark16" w:history="1">
            <w:r>
              <w:rPr>
                <w:rFonts w:ascii="Microsoft YaHei" w:eastAsia="Microsoft YaHei" w:hAnsi="Microsoft YaHei" w:cs="Microsoft YaHei"/>
                <w:spacing w:val="7"/>
                <w:position w:val="-1"/>
                <w:sz w:val="31"/>
                <w:szCs w:val="31"/>
              </w:rPr>
              <w:t>三、配套环境</w:t>
            </w:r>
            <w:r>
              <w:rPr>
                <w:rFonts w:ascii="Microsoft YaHei" w:eastAsia="Microsoft YaHei" w:hAnsi="Microsoft YaHei" w:cs="Microsoft YaHei"/>
                <w:spacing w:val="-22"/>
                <w:position w:val="-1"/>
                <w:sz w:val="31"/>
                <w:szCs w:val="3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-1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7"/>
                <w:position w:val="-1"/>
                <w:sz w:val="31"/>
                <w:szCs w:val="3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226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17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（一）开源开放</w:t>
            </w:r>
            <w:r>
              <w:rPr>
                <w:rFonts w:ascii="KaiTi" w:eastAsia="KaiTi" w:hAnsi="KaiTi" w:cs="KaiTi"/>
                <w:spacing w:val="-83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32"/>
                <w:sz w:val="31"/>
                <w:szCs w:val="3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241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18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（二）智慧城市建设</w:t>
            </w:r>
            <w:r>
              <w:rPr>
                <w:rFonts w:ascii="KaiTi" w:eastAsia="KaiTi" w:hAnsi="KaiTi" w:cs="KaiTi"/>
                <w:spacing w:val="-82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21"/>
                <w:sz w:val="31"/>
                <w:szCs w:val="3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242" w:line="189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hyperlink w:anchor="bookmark19" w:history="1">
            <w:r>
              <w:rPr>
                <w:rFonts w:ascii="KaiTi" w:eastAsia="KaiTi" w:hAnsi="KaiTi" w:cs="KaiTi"/>
                <w:spacing w:val="9"/>
                <w:sz w:val="31"/>
                <w:szCs w:val="31"/>
              </w:rPr>
              <w:t>（三）数字基础设施</w:t>
            </w:r>
            <w:r>
              <w:rPr>
                <w:rFonts w:ascii="KaiTi" w:eastAsia="KaiTi" w:hAnsi="KaiTi" w:cs="KaiTi"/>
                <w:spacing w:val="-82"/>
                <w:sz w:val="31"/>
                <w:szCs w:val="31"/>
              </w:rPr>
              <w:t xml:space="preserve"> </w:t>
            </w:r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21"/>
                <w:sz w:val="31"/>
                <w:szCs w:val="3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244" w:line="220" w:lineRule="auto"/>
            <w:ind w:left="438"/>
            <w:rPr>
              <w:rFonts w:ascii="Arial" w:eastAsia="Arial" w:hAnsi="Arial" w:cs="Arial"/>
              <w:sz w:val="31"/>
              <w:szCs w:val="31"/>
            </w:rPr>
          </w:pPr>
          <w:r>
            <w:rPr>
              <w:rFonts w:ascii="KaiTi" w:eastAsia="KaiTi" w:hAnsi="KaiTi" w:cs="KaiTi"/>
              <w:spacing w:val="9"/>
              <w:sz w:val="31"/>
              <w:szCs w:val="31"/>
            </w:rPr>
            <w:t>（四）新技术新产品研发推广</w:t>
          </w:r>
          <w:hyperlink w:anchor="bookmark20" w:history="1">
            <w:r>
              <w:rPr>
                <w:rFonts w:ascii="KaiTi" w:eastAsia="KaiTi" w:hAnsi="KaiTi" w:cs="KaiTi"/>
                <w:sz w:val="31"/>
                <w:szCs w:val="31"/>
              </w:rPr>
              <w:tab/>
            </w:r>
            <w:r>
              <w:rPr>
                <w:rFonts w:ascii="Arial" w:eastAsia="Arial" w:hAnsi="Arial" w:cs="Arial"/>
                <w:spacing w:val="40"/>
                <w:sz w:val="31"/>
                <w:szCs w:val="31"/>
              </w:rPr>
              <w:t>18</w:t>
            </w:r>
          </w:hyperlink>
        </w:p>
      </w:sdtContent>
    </w:sdt>
    <w:p>
      <w:pPr>
        <w:spacing w:line="220" w:lineRule="auto"/>
        <w:rPr>
          <w:rFonts w:ascii="Arial" w:eastAsia="Arial" w:hAnsi="Arial" w:cs="Arial"/>
          <w:sz w:val="31"/>
          <w:szCs w:val="31"/>
        </w:rPr>
        <w:sectPr>
          <w:headerReference w:type="default" r:id="rId9"/>
          <w:footerReference w:type="default" r:id="rId10"/>
          <w:pgSz w:w="11906" w:h="16839"/>
          <w:pgMar w:top="400" w:right="1785" w:bottom="400" w:left="1785" w:header="0" w:footer="0" w:gutter="0"/>
          <w:pgNumType w:start="3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0" w:line="196" w:lineRule="auto"/>
        <w:ind w:left="757"/>
        <w:outlineLvl w:val="0"/>
        <w:rPr>
          <w:rFonts w:ascii="Microsoft YaHei" w:eastAsia="Microsoft YaHei" w:hAnsi="Microsoft YaHei" w:cs="Microsoft YaHei"/>
          <w:sz w:val="35"/>
          <w:szCs w:val="35"/>
        </w:rPr>
      </w:pPr>
      <w:bookmarkStart w:id="0" w:name="bookmark1"/>
      <w:bookmarkEnd w:id="0"/>
      <w:bookmarkStart w:id="1" w:name="bookmark2"/>
      <w:bookmarkEnd w:id="1"/>
      <w:r>
        <w:rPr>
          <w:rFonts w:ascii="Microsoft YaHei" w:eastAsia="Microsoft YaHei" w:hAnsi="Microsoft YaHei" w:cs="Microsoft YaHei"/>
          <w:b/>
          <w:bCs/>
          <w:spacing w:val="-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Microsoft YaHei" w:eastAsia="Microsoft YaHei" w:hAnsi="Microsoft YaHei" w:cs="Microsoft YaHei"/>
          <w:b/>
          <w:bCs/>
          <w:spacing w:val="-5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Microsoft YaHei" w:eastAsia="Microsoft YaHei" w:hAnsi="Microsoft YaHei" w:cs="Microsoft YaHei"/>
          <w:b/>
          <w:bCs/>
          <w:spacing w:val="-8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数据要素</w:t>
      </w:r>
    </w:p>
    <w:p>
      <w:pPr>
        <w:spacing w:before="67" w:line="192" w:lineRule="auto"/>
        <w:ind w:left="503"/>
        <w:outlineLvl w:val="1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b/>
          <w:bCs/>
          <w:spacing w:val="-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Microsoft YaHei" w:eastAsia="Microsoft YaHei" w:hAnsi="Microsoft YaHei" w:cs="Microsoft YaHei"/>
          <w:b/>
          <w:bCs/>
          <w:spacing w:val="-52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一）</w:t>
      </w:r>
      <w:r>
        <w:rPr>
          <w:rFonts w:ascii="Microsoft YaHei" w:eastAsia="Microsoft YaHei" w:hAnsi="Microsoft YaHei" w:cs="Microsoft YaHei"/>
          <w:b/>
          <w:bCs/>
          <w:spacing w:val="-75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数据资源资产化</w:t>
      </w:r>
    </w:p>
    <w:p>
      <w:pPr>
        <w:spacing w:before="120" w:line="253" w:lineRule="auto"/>
        <w:ind w:left="26" w:right="16" w:firstLine="635"/>
        <w:jc w:val="both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探索数据资产评估和入表</w:t>
      </w:r>
      <w:r>
        <w:rPr>
          <w:rFonts w:ascii="Microsoft YaHei" w:eastAsia="Microsoft YaHei" w:hAnsi="Microsoft YaHei" w:cs="Microsoft YaHei"/>
          <w:b/>
          <w:bCs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推动建立健全数据资产评估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标准，</w:t>
      </w:r>
      <w:r>
        <w:rPr>
          <w:rFonts w:ascii="Microsoft YaHei" w:eastAsia="Microsoft YaHei" w:hAnsi="Microsoft YaHei" w:cs="Microsoft YaHei"/>
          <w:spacing w:val="-4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建立完善数据资产评估工作机制，</w:t>
      </w:r>
      <w:r>
        <w:rPr>
          <w:rFonts w:ascii="Microsoft YaHei" w:eastAsia="Microsoft YaHei" w:hAnsi="Microsoft YaHei" w:cs="Microsoft YaHei"/>
          <w:spacing w:val="-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开展数据资产质量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和价值评估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。探索将国有企业数据资产的开发利用纳入国有</w:t>
      </w:r>
    </w:p>
    <w:p>
      <w:pPr>
        <w:spacing w:line="187" w:lineRule="auto"/>
        <w:ind w:left="2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资产保值增值激励机制。</w:t>
      </w:r>
    </w:p>
    <w:p>
      <w:pPr>
        <w:spacing w:before="199" w:line="327" w:lineRule="exact"/>
        <w:ind w:right="1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——关于更好发挥数据要素作用进一步加快发展数字经济的实施</w:t>
      </w:r>
      <w:r>
        <w:rPr>
          <w:rFonts w:ascii="SimSun" w:eastAsia="SimSun" w:hAnsi="SimSun" w:cs="SimSun"/>
          <w:spacing w:val="-1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意见</w:t>
      </w:r>
    </w:p>
    <w:p>
      <w:pPr>
        <w:spacing w:before="178" w:line="253" w:lineRule="auto"/>
        <w:ind w:left="22" w:right="14" w:firstLine="645"/>
        <w:jc w:val="both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鼓励企业开展数据资产入表活动。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对于数据资源首次实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现入表且入表金额大于 100 万元的，</w:t>
      </w:r>
      <w:r>
        <w:rPr>
          <w:rFonts w:ascii="Microsoft YaHei" w:eastAsia="Microsoft YaHei" w:hAnsi="Microsoft YaHei" w:cs="Microsoft YaHei"/>
          <w:spacing w:val="-5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可以对企业为实现数据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资产入表所发生的数据质量评价</w:t>
      </w:r>
      <w:r>
        <w:rPr>
          <w:rFonts w:ascii="Microsoft YaHei" w:eastAsia="Microsoft YaHei" w:hAnsi="Microsoft YaHei" w:cs="Microsoft YaHei"/>
          <w:spacing w:val="-4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、数据资产评估和第三方审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计等服务费用予以 30%的补贴，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同一企业数据资产入表补贴</w:t>
      </w:r>
    </w:p>
    <w:p>
      <w:pPr>
        <w:spacing w:line="186" w:lineRule="auto"/>
        <w:ind w:left="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最高不超过 50 万元。</w:t>
      </w:r>
    </w:p>
    <w:p>
      <w:pPr>
        <w:spacing w:before="200" w:line="507" w:lineRule="exact"/>
        <w:ind w:right="5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8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——2023</w:t>
      </w:r>
      <w:r>
        <w:rPr>
          <w:rFonts w:ascii="SimSun" w:eastAsia="SimSun" w:hAnsi="SimSun" w:cs="SimSun"/>
          <w:spacing w:val="-53"/>
          <w:position w:val="18"/>
          <w:sz w:val="24"/>
          <w:szCs w:val="24"/>
        </w:rPr>
        <w:t xml:space="preserve"> </w:t>
      </w:r>
      <w:r>
        <w:rPr>
          <w:rFonts w:ascii="SimSun" w:eastAsia="SimSun" w:hAnsi="SimSun" w:cs="SimSun"/>
          <w:position w:val="18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年北京市高精尖产业发展资金实施指南（第三批）</w:t>
      </w:r>
    </w:p>
    <w:p>
      <w:pPr>
        <w:spacing w:before="2" w:line="184" w:lineRule="auto"/>
        <w:jc w:val="righ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推进数据采集处理标准化。</w:t>
      </w:r>
      <w:r>
        <w:rPr>
          <w:rFonts w:ascii="Microsoft YaHei" w:eastAsia="Microsoft YaHei" w:hAnsi="Microsoft YaHei" w:cs="Microsoft YaHei"/>
          <w:b/>
          <w:bCs/>
          <w:spacing w:val="-6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推动自动驾驶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、数字医疗、</w:t>
      </w:r>
    </w:p>
    <w:p>
      <w:pPr>
        <w:spacing w:before="149" w:line="186" w:lineRule="auto"/>
        <w:ind w:left="2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数字金融</w:t>
      </w:r>
      <w:r>
        <w:rPr>
          <w:rFonts w:ascii="Microsoft YaHei" w:eastAsia="Microsoft YaHei" w:hAnsi="Microsoft YaHei" w:cs="Microsoft YaHei"/>
          <w:spacing w:val="-3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、智慧城市等领域开展数据采集标准化试点。</w:t>
      </w:r>
    </w:p>
    <w:p>
      <w:pPr>
        <w:spacing w:before="205" w:line="218" w:lineRule="auto"/>
        <w:ind w:right="1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——北京市数字经济全产业链开放发展行动</w:t>
      </w:r>
      <w:r>
        <w:rPr>
          <w:rFonts w:ascii="SimSun" w:eastAsia="SimSun" w:hAnsi="SimSun" w:cs="SimSun"/>
          <w:spacing w:val="-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方案</w:t>
      </w:r>
    </w:p>
    <w:p>
      <w:pPr>
        <w:spacing w:before="216" w:line="254" w:lineRule="auto"/>
        <w:ind w:left="20" w:right="13" w:firstLine="654"/>
        <w:jc w:val="both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开展数据资产登记</w:t>
      </w:r>
      <w:r>
        <w:rPr>
          <w:rFonts w:ascii="Microsoft YaHei" w:eastAsia="Microsoft YaHei" w:hAnsi="Microsoft YaHei" w:cs="Microsoft YaHei"/>
          <w:b/>
          <w:bCs/>
          <w:spacing w:val="-4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建立公共数据资产基础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台账，</w:t>
      </w:r>
      <w:r>
        <w:rPr>
          <w:rFonts w:ascii="Microsoft YaHei" w:eastAsia="Microsoft YaHei" w:hAnsi="Microsoft YaHei" w:cs="Microsoft YaHei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推动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公共数据资产化全流程管理</w:t>
      </w:r>
      <w:r>
        <w:rPr>
          <w:rFonts w:ascii="Microsoft YaHei" w:eastAsia="Microsoft YaHei" w:hAnsi="Microsoft YaHei" w:cs="Microsoft YaHei"/>
          <w:spacing w:val="-3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。组织建设行业数据资产登记节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点，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推进工业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、交通</w:t>
      </w:r>
      <w:r>
        <w:rPr>
          <w:rFonts w:ascii="Microsoft YaHei" w:eastAsia="Microsoft YaHei" w:hAnsi="Microsoft YaHei" w:cs="Microsoft YaHei"/>
          <w:spacing w:val="-4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、金融等行业数据登记</w:t>
      </w:r>
      <w:r>
        <w:rPr>
          <w:rFonts w:ascii="Microsoft YaHei" w:eastAsia="Microsoft YaHei" w:hAnsi="Microsoft YaHei" w:cs="Microsoft YaHei"/>
          <w:spacing w:val="-4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。支持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市属国有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企业以及有条件的企业率先在数据交易机构开展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数据资产</w:t>
      </w:r>
    </w:p>
    <w:p>
      <w:pPr>
        <w:spacing w:before="1" w:line="178" w:lineRule="auto"/>
        <w:ind w:left="2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登记。</w:t>
      </w:r>
    </w:p>
    <w:p>
      <w:pPr>
        <w:spacing w:before="211" w:line="326" w:lineRule="exact"/>
        <w:ind w:right="13"/>
        <w:jc w:val="right"/>
        <w:rPr>
          <w:rFonts w:ascii="SimSun" w:eastAsia="SimSun" w:hAnsi="SimSun" w:cs="SimSun"/>
          <w:sz w:val="24"/>
          <w:szCs w:val="24"/>
        </w:rPr>
        <w:sectPr>
          <w:headerReference w:type="default" r:id="rId11"/>
          <w:footerReference w:type="default" r:id="rId12"/>
          <w:pgSz w:w="11906" w:h="16839"/>
          <w:pgMar w:top="400" w:right="1785" w:bottom="1118" w:left="1785" w:header="0" w:footer="746" w:gutter="0"/>
          <w:pgNumType w:start="4"/>
          <w:cols w:space="708"/>
        </w:sect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——关于更好发挥数据要素作用进一步加快发展数字经济的实施</w:t>
      </w:r>
      <w:r>
        <w:rPr>
          <w:rFonts w:ascii="SimSun" w:eastAsia="SimSun" w:hAnsi="SimSun" w:cs="SimSun"/>
          <w:spacing w:val="-1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意见</w:t>
      </w:r>
    </w:p>
    <w:p>
      <w:pPr>
        <w:spacing w:before="182" w:line="184" w:lineRule="auto"/>
        <w:jc w:val="right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鼓励企业在北京国际大数据交易所进行数据资</w:t>
      </w:r>
      <w:r>
        <w:rPr>
          <w:rFonts w:ascii="Microsoft YaHei" w:eastAsia="Microsoft YaHei" w:hAnsi="Microsoft YaHei" w:cs="Microsoft YaHei"/>
          <w:b/>
          <w:bCs/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产登记。</w:t>
      </w:r>
    </w:p>
    <w:p>
      <w:pPr>
        <w:spacing w:before="150" w:line="214" w:lineRule="auto"/>
        <w:ind w:left="1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对于企业首次开展数据资产登记并获得相应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证书的，</w:t>
      </w:r>
      <w:r>
        <w:rPr>
          <w:rFonts w:ascii="Microsoft YaHei" w:eastAsia="Microsoft YaHei" w:hAnsi="Microsoft YaHei" w:cs="Microsoft YaHei"/>
          <w:spacing w:val="-5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可以按</w:t>
      </w:r>
    </w:p>
    <w:p>
      <w:pPr>
        <w:spacing w:line="214" w:lineRule="auto"/>
        <w:rPr>
          <w:rFonts w:ascii="Microsoft YaHei" w:eastAsia="Microsoft YaHei" w:hAnsi="Microsoft YaHei" w:cs="Microsoft YaHei"/>
          <w:sz w:val="31"/>
          <w:szCs w:val="31"/>
        </w:rPr>
        <w:sectPr>
          <w:headerReference w:type="default" r:id="rId13"/>
          <w:footerReference w:type="default" r:id="rId14"/>
          <w:type w:val="nextPage"/>
          <w:pgSz w:w="11906" w:h="16839"/>
          <w:pgMar w:top="400" w:right="1785" w:bottom="1118" w:left="1785" w:header="0" w:footer="746" w:gutter="0"/>
          <w:pgNumType w:start="5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3" w:line="559" w:lineRule="exact"/>
        <w:ind w:left="3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4"/>
          <w:position w:val="15"/>
          <w:sz w:val="31"/>
          <w:szCs w:val="31"/>
        </w:rPr>
        <w:t>照该企业首批取得数据资产登记证书的登记费用的 3</w:t>
      </w:r>
      <w:r>
        <w:rPr>
          <w:rFonts w:ascii="Microsoft YaHei" w:eastAsia="Microsoft YaHei" w:hAnsi="Microsoft YaHei" w:cs="Microsoft YaHei"/>
          <w:spacing w:val="3"/>
          <w:position w:val="15"/>
          <w:sz w:val="31"/>
          <w:szCs w:val="31"/>
        </w:rPr>
        <w:t>0%予以</w:t>
      </w:r>
    </w:p>
    <w:p>
      <w:pPr>
        <w:spacing w:before="1" w:line="214" w:lineRule="auto"/>
        <w:ind w:left="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补贴，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同一企业年度补贴金额不超过 10 万元。</w:t>
      </w:r>
    </w:p>
    <w:p>
      <w:pPr>
        <w:spacing w:before="139" w:line="325" w:lineRule="exact"/>
        <w:ind w:right="5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——2023</w:t>
      </w:r>
      <w:r>
        <w:rPr>
          <w:rFonts w:ascii="SimSun" w:eastAsia="SimSun" w:hAnsi="SimSun" w:cs="SimSun"/>
          <w:spacing w:val="-53"/>
          <w:position w:val="1"/>
          <w:sz w:val="24"/>
          <w:szCs w:val="24"/>
        </w:rPr>
        <w:t xml:space="preserve"> </w:t>
      </w: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年北京市高精尖产业发展资金实施指南（第三批）</w:t>
      </w:r>
    </w:p>
    <w:p>
      <w:pPr>
        <w:spacing w:before="137" w:line="192" w:lineRule="auto"/>
        <w:ind w:left="503"/>
        <w:outlineLvl w:val="1"/>
        <w:rPr>
          <w:rFonts w:ascii="Microsoft YaHei" w:eastAsia="Microsoft YaHei" w:hAnsi="Microsoft YaHei" w:cs="Microsoft YaHei"/>
          <w:sz w:val="35"/>
          <w:szCs w:val="35"/>
        </w:rPr>
      </w:pPr>
      <w:bookmarkStart w:id="2" w:name="bookmark3"/>
      <w:bookmarkEnd w:id="2"/>
      <w:r>
        <w:rPr>
          <w:rFonts w:ascii="Microsoft YaHei" w:eastAsia="Microsoft YaHei" w:hAnsi="Microsoft YaHei" w:cs="Microsoft YaHei"/>
          <w:b/>
          <w:bCs/>
          <w:spacing w:val="-1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（二）</w:t>
      </w:r>
      <w:r>
        <w:rPr>
          <w:rFonts w:ascii="Microsoft YaHei" w:eastAsia="Microsoft YaHei" w:hAnsi="Microsoft YaHei" w:cs="Microsoft YaHei"/>
          <w:b/>
          <w:bCs/>
          <w:spacing w:val="-7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数据交易流通</w:t>
      </w:r>
    </w:p>
    <w:p>
      <w:pPr>
        <w:spacing w:before="122" w:line="253" w:lineRule="auto"/>
        <w:ind w:left="20" w:right="16" w:firstLine="647"/>
        <w:jc w:val="both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鼓励企业在北京国际大数据交易所开展数据交易。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对于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企业签订的首个数据产品交易合同，</w:t>
      </w:r>
      <w:r>
        <w:rPr>
          <w:rFonts w:ascii="Microsoft YaHei" w:eastAsia="Microsoft YaHei" w:hAnsi="Microsoft YaHei" w:cs="Microsoft YaHei"/>
          <w:spacing w:val="-3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可以按照第一年度数据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交易额的 4%对企业予以奖励， 同一企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业年度奖励金额最高</w:t>
      </w:r>
    </w:p>
    <w:p>
      <w:pPr>
        <w:spacing w:line="181" w:lineRule="auto"/>
        <w:ind w:left="2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不超过 200 万元。</w:t>
      </w:r>
    </w:p>
    <w:p>
      <w:pPr>
        <w:spacing w:before="211" w:line="325" w:lineRule="exact"/>
        <w:ind w:right="5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——2023</w:t>
      </w:r>
      <w:r>
        <w:rPr>
          <w:rFonts w:ascii="SimSun" w:eastAsia="SimSun" w:hAnsi="SimSun" w:cs="SimSun"/>
          <w:spacing w:val="-53"/>
          <w:position w:val="1"/>
          <w:sz w:val="24"/>
          <w:szCs w:val="24"/>
        </w:rPr>
        <w:t xml:space="preserve"> </w:t>
      </w: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年北京市高精尖产业发展资金实施指南（第三批）</w:t>
      </w:r>
    </w:p>
    <w:p>
      <w:pPr>
        <w:spacing w:before="181" w:line="253" w:lineRule="auto"/>
        <w:ind w:left="24" w:right="16" w:firstLine="636"/>
        <w:jc w:val="both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探索数据资产金融创新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探索市场主体以合法的数据资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产作价出资入股企业</w:t>
      </w:r>
      <w:r>
        <w:rPr>
          <w:rFonts w:ascii="Microsoft YaHei" w:eastAsia="Microsoft YaHei" w:hAnsi="Microsoft YaHei" w:cs="Microsoft YaHei"/>
          <w:spacing w:val="-4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、进行股权债权融资</w:t>
      </w:r>
      <w:r>
        <w:rPr>
          <w:rFonts w:ascii="Microsoft YaHei" w:eastAsia="Microsoft YaHei" w:hAnsi="Microsoft YaHei" w:cs="Microsoft YaHei"/>
          <w:spacing w:val="-4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、开展数据信托活</w:t>
      </w:r>
    </w:p>
    <w:p>
      <w:pPr>
        <w:spacing w:line="184" w:lineRule="auto"/>
        <w:ind w:left="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动。</w:t>
      </w:r>
    </w:p>
    <w:p>
      <w:pPr>
        <w:spacing w:before="204" w:line="326" w:lineRule="exact"/>
        <w:ind w:right="1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——关于更好发挥数据要素作用进一步加快发展数字经济的实施</w:t>
      </w:r>
      <w:r>
        <w:rPr>
          <w:rFonts w:ascii="SimSun" w:eastAsia="SimSun" w:hAnsi="SimSun" w:cs="SimSun"/>
          <w:spacing w:val="-1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意见</w:t>
      </w:r>
    </w:p>
    <w:p>
      <w:pPr>
        <w:spacing w:before="178" w:line="253" w:lineRule="auto"/>
        <w:ind w:left="27" w:right="14" w:firstLine="637"/>
        <w:jc w:val="both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建设一体化数据流通体系。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探索建设基于真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实底层资产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和交易场景的数字资产交易平台，</w:t>
      </w:r>
      <w:r>
        <w:rPr>
          <w:rFonts w:ascii="Microsoft YaHei" w:eastAsia="Microsoft YaHei" w:hAnsi="Microsoft YaHei" w:cs="Microsoft YaHei"/>
          <w:spacing w:val="-4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给予数据资产运营单位相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应业绩考核支持</w:t>
      </w:r>
      <w:r>
        <w:rPr>
          <w:rFonts w:ascii="Microsoft YaHei" w:eastAsia="Microsoft YaHei" w:hAnsi="Microsoft YaHei" w:cs="Microsoft YaHei"/>
          <w:spacing w:val="-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。允许数据商建立商用化的行业数据服务平</w:t>
      </w:r>
    </w:p>
    <w:p>
      <w:pPr>
        <w:spacing w:before="1" w:line="214" w:lineRule="auto"/>
        <w:ind w:left="4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台，</w:t>
      </w:r>
      <w:r>
        <w:rPr>
          <w:rFonts w:ascii="Microsoft YaHei" w:eastAsia="Microsoft YaHei" w:hAnsi="Microsoft YaHei" w:cs="Microsoft YaHei"/>
          <w:spacing w:val="-3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为中小微企业等用户提供数据产品。</w:t>
      </w:r>
    </w:p>
    <w:p>
      <w:pPr>
        <w:spacing w:before="139" w:line="327" w:lineRule="exact"/>
        <w:ind w:right="1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——关于更好发挥数据要素作用进一步加快发展数字经济的实施</w:t>
      </w:r>
      <w:r>
        <w:rPr>
          <w:rFonts w:ascii="SimSun" w:eastAsia="SimSun" w:hAnsi="SimSun" w:cs="SimSun"/>
          <w:spacing w:val="-1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意见</w:t>
      </w:r>
    </w:p>
    <w:p>
      <w:pPr>
        <w:spacing w:before="178" w:line="253" w:lineRule="auto"/>
        <w:ind w:left="20" w:right="14" w:firstLine="646"/>
        <w:jc w:val="both"/>
        <w:rPr>
          <w:rFonts w:ascii="Microsoft YaHei" w:eastAsia="Microsoft YaHei" w:hAnsi="Microsoft YaHei" w:cs="Microsoft YaHei"/>
          <w:sz w:val="31"/>
          <w:szCs w:val="31"/>
        </w:rPr>
        <w:sectPr>
          <w:headerReference w:type="default" r:id="rId15"/>
          <w:footerReference w:type="default" r:id="rId16"/>
          <w:pgSz w:w="11906" w:h="16839"/>
          <w:pgMar w:top="400" w:right="1785" w:bottom="1118" w:left="1785" w:header="0" w:footer="746" w:gutter="0"/>
          <w:pgNumType w:start="6"/>
          <w:cols w:space="708"/>
        </w:sectPr>
      </w:pPr>
      <w:r>
        <w:rPr>
          <w:rFonts w:ascii="Microsoft YaHei" w:eastAsia="Microsoft YaHei" w:hAnsi="Microsoft YaHei" w:cs="Microsoft YaHei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推进社会数据有序流通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推动建立健全数据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要素市场的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价格形成机制，</w:t>
      </w:r>
      <w:r>
        <w:rPr>
          <w:rFonts w:ascii="Microsoft YaHei" w:eastAsia="Microsoft YaHei" w:hAnsi="Microsoft YaHei" w:cs="Microsoft YaHei"/>
          <w:spacing w:val="-3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支持建立数据交易机构预定价</w:t>
      </w:r>
      <w:r>
        <w:rPr>
          <w:rFonts w:ascii="Microsoft YaHei" w:eastAsia="Microsoft YaHei" w:hAnsi="Microsoft YaHei" w:cs="Microsoft YaHei"/>
          <w:spacing w:val="-4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、买卖双方协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议定价</w:t>
      </w:r>
      <w:r>
        <w:rPr>
          <w:rFonts w:ascii="Microsoft YaHei" w:eastAsia="Microsoft YaHei" w:hAnsi="Microsoft YaHei" w:cs="Microsoft YaHei"/>
          <w:spacing w:val="-3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、按次定价等数据产品定价模式</w:t>
      </w:r>
      <w:r>
        <w:rPr>
          <w:rFonts w:ascii="Microsoft YaHei" w:eastAsia="Microsoft YaHei" w:hAnsi="Microsoft YaHei" w:cs="Microsoft YaHei"/>
          <w:spacing w:val="-4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。推动建立数据交易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范式及合同模板</w:t>
      </w:r>
      <w:r>
        <w:rPr>
          <w:rFonts w:ascii="Microsoft YaHei" w:eastAsia="Microsoft YaHei" w:hAnsi="Microsoft YaHei" w:cs="Microsoft YaHei"/>
          <w:spacing w:val="-3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。引导承担公共服务的单位依托依法设立的</w:t>
      </w:r>
    </w:p>
    <w:p>
      <w:pPr>
        <w:spacing w:before="1" w:line="184" w:lineRule="auto"/>
        <w:ind w:left="2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数据交易机构开展数据服务和数据产品交易活动。</w:t>
      </w:r>
    </w:p>
    <w:p>
      <w:pPr>
        <w:spacing w:before="204" w:line="326" w:lineRule="exact"/>
        <w:ind w:right="1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——关于更好发挥数据要素作用进一步加快发展数字经济的实施</w:t>
      </w:r>
      <w:r>
        <w:rPr>
          <w:rFonts w:ascii="SimSun" w:eastAsia="SimSun" w:hAnsi="SimSun" w:cs="SimSun"/>
          <w:spacing w:val="-1"/>
          <w:position w:val="1"/>
          <w:sz w:val="24"/>
          <w:szCs w:val="24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意见</w:t>
      </w:r>
    </w:p>
    <w:p>
      <w:pPr>
        <w:spacing w:line="326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https://d.book118.com/986042023023010043</w:t>
        </w:r>
      </w:hyperlink>
    </w:p>
    <w:p>
      <w:pPr>
        <w:spacing w:line="326" w:lineRule="exact"/>
        <w:rPr>
          <w:rFonts w:ascii="SimSun" w:eastAsia="SimSun" w:hAnsi="SimSun" w:cs="SimSun"/>
          <w:sz w:val="24"/>
          <w:szCs w:val="24"/>
        </w:rPr>
      </w:pPr>
    </w:p>
    <w:sectPr>
      <w:headerReference w:type="default" r:id="rId18"/>
      <w:footerReference w:type="default" r:id="rId19"/>
      <w:type w:val="nextPage"/>
      <w:pgSz w:w="11906" w:h="16839"/>
      <w:pgMar w:top="400" w:right="1785" w:bottom="1118" w:left="1785" w:header="0" w:footer="746" w:gutter="0"/>
      <w:pgNumType w:start="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" w:lineRule="auto"/>
      <w:ind w:left="3758"/>
      <w:rPr>
        <w:rFonts w:ascii="Microsoft YaHei" w:eastAsia="Microsoft YaHei" w:hAnsi="Microsoft YaHei" w:cs="Microsoft YaHei"/>
        <w:sz w:val="31"/>
        <w:szCs w:val="31"/>
      </w:rPr>
    </w:pPr>
    <w:r>
      <w:rPr>
        <w:rFonts w:ascii="Microsoft YaHei" w:eastAsia="Microsoft YaHei" w:hAnsi="Microsoft YaHei" w:cs="Microsoft YaHei"/>
        <w:spacing w:val="-13"/>
        <w:sz w:val="31"/>
        <w:szCs w:val="31"/>
      </w:rPr>
      <w:t>—</w:t>
    </w:r>
    <w:r>
      <w:rPr>
        <w:rFonts w:ascii="Microsoft YaHei" w:eastAsia="Microsoft YaHei" w:hAnsi="Microsoft YaHei" w:cs="Microsoft YaHei"/>
        <w:spacing w:val="-64"/>
        <w:sz w:val="31"/>
        <w:szCs w:val="31"/>
      </w:rPr>
      <w:t xml:space="preserve"> </w:t>
    </w:r>
    <w:r>
      <w:rPr>
        <w:rFonts w:ascii="Arial" w:eastAsia="Arial" w:hAnsi="Arial" w:cs="Arial"/>
        <w:spacing w:val="-13"/>
        <w:sz w:val="31"/>
        <w:szCs w:val="31"/>
      </w:rPr>
      <w:t>1</w:t>
    </w:r>
    <w:r>
      <w:rPr>
        <w:rFonts w:ascii="Microsoft YaHei" w:eastAsia="Microsoft YaHei" w:hAnsi="Microsoft YaHei" w:cs="Microsoft YaHei"/>
        <w:spacing w:val="-13"/>
        <w:sz w:val="31"/>
        <w:szCs w:val="31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" w:lineRule="auto"/>
      <w:ind w:left="3758"/>
      <w:rPr>
        <w:rFonts w:ascii="Microsoft YaHei" w:eastAsia="Microsoft YaHei" w:hAnsi="Microsoft YaHei" w:cs="Microsoft YaHei"/>
        <w:sz w:val="31"/>
        <w:szCs w:val="31"/>
      </w:rPr>
    </w:pPr>
    <w:r>
      <w:rPr>
        <w:rFonts w:ascii="Microsoft YaHei" w:eastAsia="Microsoft YaHei" w:hAnsi="Microsoft YaHei" w:cs="Microsoft YaHei"/>
        <w:spacing w:val="-13"/>
        <w:sz w:val="31"/>
        <w:szCs w:val="31"/>
      </w:rPr>
      <w:t>—</w:t>
    </w:r>
    <w:r>
      <w:rPr>
        <w:rFonts w:ascii="Microsoft YaHei" w:eastAsia="Microsoft YaHei" w:hAnsi="Microsoft YaHei" w:cs="Microsoft YaHei"/>
        <w:spacing w:val="-64"/>
        <w:sz w:val="31"/>
        <w:szCs w:val="31"/>
      </w:rPr>
      <w:t xml:space="preserve"> </w:t>
    </w:r>
    <w:r>
      <w:rPr>
        <w:rFonts w:ascii="Arial" w:eastAsia="Arial" w:hAnsi="Arial" w:cs="Arial"/>
        <w:spacing w:val="-13"/>
        <w:sz w:val="31"/>
        <w:szCs w:val="31"/>
      </w:rPr>
      <w:t>1</w:t>
    </w:r>
    <w:r>
      <w:rPr>
        <w:rFonts w:ascii="Microsoft YaHei" w:eastAsia="Microsoft YaHei" w:hAnsi="Microsoft YaHei" w:cs="Microsoft YaHei"/>
        <w:spacing w:val="-13"/>
        <w:sz w:val="31"/>
        <w:szCs w:val="31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" w:lineRule="auto"/>
      <w:ind w:left="3758"/>
      <w:rPr>
        <w:rFonts w:ascii="Microsoft YaHei" w:eastAsia="Microsoft YaHei" w:hAnsi="Microsoft YaHei" w:cs="Microsoft YaHei"/>
        <w:sz w:val="31"/>
        <w:szCs w:val="31"/>
      </w:rPr>
    </w:pPr>
    <w:r>
      <w:rPr>
        <w:rFonts w:ascii="Microsoft YaHei" w:eastAsia="Microsoft YaHei" w:hAnsi="Microsoft YaHei" w:cs="Microsoft YaHei"/>
        <w:spacing w:val="-4"/>
        <w:sz w:val="31"/>
        <w:szCs w:val="31"/>
      </w:rPr>
      <w:t>—</w:t>
    </w:r>
    <w:r>
      <w:rPr>
        <w:rFonts w:ascii="Arial" w:eastAsia="Arial" w:hAnsi="Arial" w:cs="Arial"/>
        <w:spacing w:val="-4"/>
        <w:sz w:val="31"/>
        <w:szCs w:val="31"/>
      </w:rPr>
      <w:t>2</w:t>
    </w:r>
    <w:r>
      <w:rPr>
        <w:rFonts w:ascii="Microsoft YaHei" w:eastAsia="Microsoft YaHei" w:hAnsi="Microsoft YaHei" w:cs="Microsoft YaHei"/>
        <w:spacing w:val="-4"/>
        <w:sz w:val="31"/>
        <w:szCs w:val="31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" w:lineRule="auto"/>
      <w:ind w:left="3758"/>
      <w:rPr>
        <w:rFonts w:ascii="Microsoft YaHei" w:eastAsia="Microsoft YaHei" w:hAnsi="Microsoft YaHei" w:cs="Microsoft YaHei"/>
        <w:sz w:val="31"/>
        <w:szCs w:val="31"/>
      </w:rPr>
    </w:pPr>
    <w:r>
      <w:rPr>
        <w:rFonts w:ascii="Microsoft YaHei" w:eastAsia="Microsoft YaHei" w:hAnsi="Microsoft YaHei" w:cs="Microsoft YaHei"/>
        <w:spacing w:val="-4"/>
        <w:sz w:val="31"/>
        <w:szCs w:val="31"/>
      </w:rPr>
      <w:t>—</w:t>
    </w:r>
    <w:r>
      <w:rPr>
        <w:rFonts w:ascii="Arial" w:eastAsia="Arial" w:hAnsi="Arial" w:cs="Arial"/>
        <w:spacing w:val="-4"/>
        <w:sz w:val="31"/>
        <w:szCs w:val="31"/>
      </w:rPr>
      <w:t>2</w:t>
    </w:r>
    <w:r>
      <w:rPr>
        <w:rFonts w:ascii="Microsoft YaHei" w:eastAsia="Microsoft YaHei" w:hAnsi="Microsoft YaHei" w:cs="Microsoft YaHei"/>
        <w:spacing w:val="-4"/>
        <w:sz w:val="31"/>
        <w:szCs w:val="31"/>
      </w:rPr>
      <w:t>—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yperlink" Target="https://d.book118.com/986042023023010043" TargetMode="Externa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WPS_1616747538</dc:creator>
  <cp:revision>0</cp:revision>
  <dcterms:created xsi:type="dcterms:W3CDTF">2024-02-01T20:39:05Z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2024-02-01T20:50:28Z</vt:filetime>
  </property>
  <property fmtid="{D5CDD505-2E9C-101B-9397-08002B2CF9AE}" pid="3" name="CRO">
    <vt:lpwstr>wqlLaW5nc29mdCBQREYgdG8gV1BTIDkw</vt:lpwstr>
  </property>
</Properties>
</file>