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13" w:line="184" w:lineRule="auto"/>
        <w:ind w:left="30"/>
        <w:rPr>
          <w:sz w:val="57"/>
          <w:szCs w:val="57"/>
        </w:rPr>
      </w:pPr>
      <w:r>
        <w:rPr>
          <w:b/>
          <w:bCs/>
          <w:color w:val="121212"/>
          <w:spacing w:val="-1"/>
          <w:sz w:val="57"/>
          <w:szCs w:val="57"/>
        </w:rPr>
        <w:t>引言</w:t>
      </w:r>
    </w:p>
    <w:p>
      <w:pPr>
        <w:spacing w:line="293" w:lineRule="auto"/>
        <w:rPr>
          <w:rFonts w:ascii="Arial"/>
          <w:sz w:val="21"/>
        </w:rPr>
      </w:pPr>
    </w:p>
    <w:p>
      <w:pPr>
        <w:spacing w:line="294" w:lineRule="auto"/>
        <w:rPr>
          <w:rFonts w:ascii="Arial"/>
          <w:sz w:val="21"/>
        </w:rPr>
      </w:pPr>
    </w:p>
    <w:p>
      <w:pPr>
        <w:pStyle w:val="BodyText"/>
        <w:spacing w:before="90" w:line="384" w:lineRule="auto"/>
        <w:ind w:firstLine="4"/>
        <w:jc w:val="both"/>
      </w:pPr>
      <w:r>
        <w:rPr>
          <w:color w:val="121212"/>
          <w:spacing w:val="6"/>
        </w:rPr>
        <w:t>面对“国家安全”概念蔓延至非传统安全领域的“泛国家安全化”国际趋势，企业如</w:t>
      </w:r>
      <w:r>
        <w:rPr>
          <w:color w:val="121212"/>
          <w:spacing w:val="5"/>
        </w:rPr>
        <w:t xml:space="preserve">何认识、防范与应对“泛  </w:t>
      </w:r>
      <w:r>
        <w:rPr>
          <w:color w:val="121212"/>
          <w:spacing w:val="6"/>
        </w:rPr>
        <w:t>国家安全化”对跨国经营带来的风险和挑战已成为不容忽视的问题。在持续升温的地缘政治冲突</w:t>
      </w:r>
      <w:r>
        <w:rPr>
          <w:color w:val="121212"/>
          <w:spacing w:val="5"/>
        </w:rPr>
        <w:t xml:space="preserve">背景下，各国  </w:t>
      </w:r>
      <w:r>
        <w:rPr>
          <w:color w:val="121212"/>
          <w:spacing w:val="6"/>
        </w:rPr>
        <w:t>之间对“国家安全”的界定存在较大差异。与此同时，世界贸易组织（“</w:t>
      </w:r>
      <w:r>
        <w:rPr>
          <w:color w:val="121212"/>
        </w:rPr>
        <w:t>WTO</w:t>
      </w:r>
      <w:r>
        <w:rPr>
          <w:color w:val="121212"/>
          <w:spacing w:val="6"/>
        </w:rPr>
        <w:t>”）多边贸易体制下援引安全例</w:t>
      </w:r>
      <w:r>
        <w:rPr>
          <w:color w:val="121212"/>
          <w:spacing w:val="9"/>
        </w:rPr>
        <w:t xml:space="preserve"> </w:t>
      </w:r>
      <w:r>
        <w:rPr>
          <w:color w:val="121212"/>
          <w:spacing w:val="6"/>
        </w:rPr>
        <w:t>外抗辩的贸易纠纷也频频发生，且涉及多国出台的贸易限制措施。</w:t>
      </w:r>
      <w:r>
        <w:rPr>
          <w:color w:val="121212"/>
        </w:rPr>
        <w:t>WTO</w:t>
      </w:r>
      <w:r>
        <w:rPr>
          <w:color w:val="121212"/>
          <w:spacing w:val="6"/>
        </w:rPr>
        <w:t>作为国际贸易相关的核心国际组织，既</w:t>
      </w:r>
      <w:r>
        <w:rPr>
          <w:color w:val="121212"/>
          <w:spacing w:val="9"/>
        </w:rPr>
        <w:t xml:space="preserve"> </w:t>
      </w:r>
      <w:r>
        <w:rPr>
          <w:color w:val="121212"/>
          <w:spacing w:val="3"/>
        </w:rPr>
        <w:t>是贸易协定谈判与贸易政策审查平台，又通过贸易争端解决机制在个案</w:t>
      </w:r>
      <w:r>
        <w:rPr>
          <w:color w:val="121212"/>
          <w:spacing w:val="2"/>
        </w:rPr>
        <w:t>中进一步阐释条文意义。</w:t>
      </w:r>
      <w:r>
        <w:rPr>
          <w:color w:val="121212"/>
          <w:spacing w:val="19"/>
          <w:w w:val="101"/>
        </w:rPr>
        <w:t xml:space="preserve">  </w:t>
      </w:r>
      <w:r>
        <w:rPr>
          <w:b/>
          <w:bCs/>
          <w:color w:val="121212"/>
          <w:spacing w:val="2"/>
        </w:rPr>
        <w:t>因此，</w:t>
      </w:r>
      <w:r>
        <w:rPr>
          <w:b/>
          <w:bCs/>
          <w:color w:val="121212"/>
        </w:rPr>
        <w:t>WTO</w:t>
      </w:r>
      <w:r>
        <w:rPr>
          <w:b/>
          <w:bCs/>
          <w:color w:val="121212"/>
          <w:spacing w:val="2"/>
        </w:rPr>
        <w:t>框</w:t>
      </w:r>
      <w:r>
        <w:rPr>
          <w:b/>
          <w:bCs/>
          <w:color w:val="121212"/>
        </w:rPr>
        <w:t xml:space="preserve"> </w:t>
      </w:r>
      <w:r>
        <w:rPr>
          <w:b/>
          <w:bCs/>
          <w:color w:val="121212"/>
          <w:spacing w:val="6"/>
        </w:rPr>
        <w:t>架下对于“国家安全”意涵的讨论，对于企业理解和利用新国际经贸视角下的“国家安全”衍生规则、有效防</w:t>
      </w:r>
    </w:p>
    <w:p>
      <w:pPr>
        <w:pStyle w:val="BodyText"/>
        <w:spacing w:line="187" w:lineRule="auto"/>
        <w:ind w:left="1"/>
      </w:pPr>
      <w:r>
        <w:rPr>
          <w:b/>
          <w:bCs/>
          <w:color w:val="121212"/>
          <w:spacing w:val="5"/>
        </w:rPr>
        <w:t>范和应对国际产业战略布局中潜在“国家安全”法律风险，具有不容小觑的重</w:t>
      </w:r>
      <w:r>
        <w:rPr>
          <w:b/>
          <w:bCs/>
          <w:color w:val="121212"/>
          <w:spacing w:val="4"/>
        </w:rPr>
        <w:t>要价值。</w:t>
      </w: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BodyText"/>
        <w:spacing w:before="244" w:line="191" w:lineRule="auto"/>
        <w:ind w:left="5" w:right="375" w:firstLine="10"/>
        <w:outlineLvl w:val="0"/>
        <w:rPr>
          <w:sz w:val="57"/>
          <w:szCs w:val="57"/>
        </w:rPr>
      </w:pPr>
      <w:r>
        <w:rPr>
          <w:b/>
          <w:bCs/>
          <w:color w:val="121212"/>
          <w:spacing w:val="18"/>
          <w:sz w:val="57"/>
          <w:szCs w:val="57"/>
        </w:rPr>
        <w:t>一、</w:t>
      </w:r>
      <w:r>
        <w:rPr>
          <w:b/>
          <w:bCs/>
          <w:color w:val="121212"/>
          <w:spacing w:val="-135"/>
          <w:sz w:val="57"/>
          <w:szCs w:val="57"/>
        </w:rPr>
        <w:t xml:space="preserve"> </w:t>
      </w:r>
      <w:r>
        <w:rPr>
          <w:b/>
          <w:bCs/>
          <w:color w:val="121212"/>
          <w:spacing w:val="18"/>
          <w:sz w:val="57"/>
          <w:szCs w:val="57"/>
        </w:rPr>
        <w:t>多边贸易协定中的“安全例外</w:t>
      </w:r>
      <w:r>
        <w:rPr>
          <w:b/>
          <w:bCs/>
          <w:color w:val="121212"/>
          <w:spacing w:val="-116"/>
          <w:sz w:val="57"/>
          <w:szCs w:val="57"/>
        </w:rPr>
        <w:t xml:space="preserve"> </w:t>
      </w:r>
      <w:r>
        <w:rPr>
          <w:b/>
          <w:bCs/>
          <w:color w:val="121212"/>
          <w:spacing w:val="18"/>
          <w:sz w:val="57"/>
          <w:szCs w:val="57"/>
        </w:rPr>
        <w:t>”条</w:t>
      </w:r>
      <w:r>
        <w:rPr>
          <w:b/>
          <w:bCs/>
          <w:color w:val="121212"/>
          <w:sz w:val="57"/>
          <w:szCs w:val="57"/>
        </w:rPr>
        <w:t xml:space="preserve"> </w:t>
      </w:r>
      <w:r>
        <w:rPr>
          <w:b/>
          <w:bCs/>
          <w:color w:val="121212"/>
          <w:sz w:val="57"/>
          <w:szCs w:val="57"/>
        </w:rPr>
        <w:t>款</w:t>
      </w:r>
    </w:p>
    <w:p>
      <w:pPr>
        <w:spacing w:line="299" w:lineRule="auto"/>
        <w:rPr>
          <w:rFonts w:ascii="Arial"/>
          <w:sz w:val="21"/>
        </w:rPr>
      </w:pPr>
    </w:p>
    <w:p>
      <w:pPr>
        <w:spacing w:line="300" w:lineRule="auto"/>
        <w:rPr>
          <w:rFonts w:ascii="Arial"/>
          <w:sz w:val="21"/>
        </w:rPr>
      </w:pPr>
    </w:p>
    <w:p>
      <w:pPr>
        <w:pStyle w:val="BodyText"/>
        <w:spacing w:before="90" w:line="384" w:lineRule="auto"/>
        <w:ind w:left="1" w:firstLine="1"/>
        <w:jc w:val="both"/>
      </w:pPr>
      <w:r>
        <w:rPr>
          <w:color w:val="121212"/>
          <w:spacing w:val="6"/>
        </w:rPr>
        <w:t>安全例外条款是</w:t>
      </w:r>
      <w:r>
        <w:rPr>
          <w:color w:val="121212"/>
        </w:rPr>
        <w:t>WTO</w:t>
      </w:r>
      <w:r>
        <w:rPr>
          <w:color w:val="121212"/>
          <w:spacing w:val="6"/>
        </w:rPr>
        <w:t>各成员谈判调和的产物，是国家政治安全利益和贸易利益权衡之下的平衡机制。安全例外</w:t>
      </w:r>
      <w:r>
        <w:rPr>
          <w:color w:val="121212"/>
          <w:spacing w:val="7"/>
        </w:rPr>
        <w:t xml:space="preserve"> </w:t>
      </w:r>
      <w:r>
        <w:rPr>
          <w:color w:val="121212"/>
          <w:spacing w:val="6"/>
        </w:rPr>
        <w:t>条款允许各成员因保障其正当安全利益而违背其在多边贸易规则下所承担的义务，因此兼具</w:t>
      </w:r>
      <w:r>
        <w:rPr>
          <w:color w:val="121212"/>
          <w:spacing w:val="5"/>
        </w:rPr>
        <w:t xml:space="preserve">贸易属性和政治属  </w:t>
      </w:r>
      <w:r>
        <w:rPr>
          <w:color w:val="121212"/>
          <w:spacing w:val="5"/>
        </w:rPr>
        <w:t>性。</w:t>
      </w:r>
      <w:r>
        <w:rPr>
          <w:color w:val="121212"/>
          <w:spacing w:val="20"/>
          <w:w w:val="101"/>
        </w:rPr>
        <w:t xml:space="preserve"> </w:t>
      </w:r>
      <w:r>
        <w:rPr>
          <w:b/>
          <w:bCs/>
          <w:color w:val="121212"/>
          <w:spacing w:val="5"/>
        </w:rPr>
        <w:t>换言之，在满足安全例外条款规定的情</w:t>
      </w:r>
      <w:r>
        <w:rPr>
          <w:b/>
          <w:bCs/>
          <w:color w:val="121212"/>
          <w:spacing w:val="4"/>
        </w:rPr>
        <w:t>况下，即使一国政府对他国企业的经贸行为采取了不符合</w:t>
      </w:r>
      <w:r>
        <w:rPr>
          <w:b/>
          <w:bCs/>
          <w:color w:val="121212"/>
        </w:rPr>
        <w:t>WTO</w:t>
      </w:r>
      <w:r>
        <w:rPr>
          <w:b/>
          <w:bCs/>
          <w:color w:val="121212"/>
          <w:spacing w:val="4"/>
        </w:rPr>
        <w:t>规则</w:t>
      </w:r>
    </w:p>
    <w:p>
      <w:pPr>
        <w:pStyle w:val="BodyText"/>
        <w:spacing w:line="187" w:lineRule="auto"/>
        <w:ind w:left="10"/>
      </w:pPr>
      <w:r>
        <w:rPr>
          <w:b/>
          <w:bCs/>
          <w:color w:val="121212"/>
          <w:spacing w:val="4"/>
        </w:rPr>
        <w:t>的贸易歧视性、限制性措施，该措施也不会被最终认定违法。</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188" w:lineRule="auto"/>
        <w:ind w:left="1"/>
      </w:pPr>
      <w:r>
        <w:rPr>
          <w:color w:val="121212"/>
        </w:rPr>
        <w:t>WTO</w:t>
      </w:r>
      <w:r>
        <w:rPr>
          <w:color w:val="121212"/>
          <w:spacing w:val="6"/>
        </w:rPr>
        <w:t>框架下存在三个主要的贸易协定，即《关税与贸</w:t>
      </w:r>
      <w:r>
        <w:rPr>
          <w:color w:val="121212"/>
          <w:spacing w:val="5"/>
        </w:rPr>
        <w:t>易总协定》（</w:t>
      </w:r>
      <w:r>
        <w:rPr>
          <w:color w:val="121212"/>
        </w:rPr>
        <w:t>GATT</w:t>
      </w:r>
      <w:r>
        <w:rPr>
          <w:color w:val="121212"/>
          <w:spacing w:val="24"/>
        </w:rPr>
        <w:t xml:space="preserve"> </w:t>
      </w:r>
      <w:r>
        <w:rPr>
          <w:color w:val="121212"/>
          <w:spacing w:val="5"/>
        </w:rPr>
        <w:t>1994）、《服务贸易总协定》</w:t>
      </w:r>
    </w:p>
    <w:p>
      <w:pPr>
        <w:pStyle w:val="BodyText"/>
        <w:spacing w:before="294" w:line="577" w:lineRule="exact"/>
        <w:ind w:left="34"/>
      </w:pPr>
      <w:r>
        <w:rPr>
          <w:color w:val="121212"/>
          <w:spacing w:val="6"/>
          <w:position w:val="28"/>
        </w:rPr>
        <w:t>（</w:t>
      </w:r>
      <w:r>
        <w:rPr>
          <w:color w:val="121212"/>
          <w:position w:val="28"/>
        </w:rPr>
        <w:t>GATS</w:t>
      </w:r>
      <w:r>
        <w:rPr>
          <w:color w:val="121212"/>
          <w:spacing w:val="6"/>
          <w:position w:val="28"/>
        </w:rPr>
        <w:t>）及《与贸易有关的知识产权协定》（</w:t>
      </w:r>
      <w:r>
        <w:rPr>
          <w:color w:val="121212"/>
          <w:position w:val="28"/>
        </w:rPr>
        <w:t>TRIPS</w:t>
      </w:r>
      <w:r>
        <w:rPr>
          <w:color w:val="121212"/>
          <w:spacing w:val="6"/>
          <w:position w:val="28"/>
        </w:rPr>
        <w:t>），分别涵盖</w:t>
      </w:r>
      <w:r>
        <w:rPr>
          <w:color w:val="121212"/>
          <w:spacing w:val="5"/>
          <w:position w:val="28"/>
        </w:rPr>
        <w:t>关于货物贸易、服务贸易及与贸易相关知识</w:t>
      </w:r>
    </w:p>
    <w:p>
      <w:pPr>
        <w:pStyle w:val="BodyText"/>
        <w:spacing w:before="1" w:line="187" w:lineRule="auto"/>
        <w:ind w:left="1"/>
      </w:pPr>
      <w:r>
        <w:rPr>
          <w:color w:val="121212"/>
          <w:spacing w:val="4"/>
        </w:rPr>
        <w:t>产权的法律规则。上述协定中均规定了内容基本一致的安全例外条款：</w:t>
      </w:r>
    </w:p>
    <w:p>
      <w:pPr>
        <w:spacing w:line="187" w:lineRule="auto"/>
        <w:sectPr>
          <w:pgSz w:w="11919" w:h="16858"/>
          <w:pgMar w:top="1371" w:right="763" w:bottom="0" w:left="677" w:header="0" w:footer="0" w:gutter="0"/>
          <w:cols w:space="708"/>
        </w:sectPr>
      </w:pPr>
    </w:p>
    <w:p>
      <w:pPr>
        <w:spacing w:line="7358" w:lineRule="exact"/>
        <w:ind w:firstLine="1714"/>
      </w:pPr>
      <w:r>
        <w:rPr>
          <w:position w:val="-147"/>
        </w:rPr>
        <w:drawing>
          <wp:inline distT="0" distB="0" distL="0" distR="0">
            <wp:extent cx="4497470" cy="4672794"/>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4497470" cy="4672794"/>
                    </a:xfrm>
                    <a:prstGeom prst="rect">
                      <a:avLst/>
                    </a:prstGeom>
                  </pic:spPr>
                </pic:pic>
              </a:graphicData>
            </a:graphic>
          </wp:inline>
        </w:drawing>
      </w:r>
    </w:p>
    <w:p>
      <w:pPr>
        <w:spacing w:line="334" w:lineRule="auto"/>
        <w:rPr>
          <w:rFonts w:ascii="Arial"/>
          <w:sz w:val="21"/>
        </w:rPr>
      </w:pPr>
    </w:p>
    <w:p>
      <w:pPr>
        <w:spacing w:line="334" w:lineRule="auto"/>
        <w:rPr>
          <w:rFonts w:ascii="Arial"/>
          <w:sz w:val="21"/>
        </w:rPr>
      </w:pPr>
    </w:p>
    <w:p>
      <w:pPr>
        <w:pStyle w:val="BodyText"/>
        <w:spacing w:before="90" w:line="384" w:lineRule="auto"/>
        <w:ind w:right="164"/>
      </w:pPr>
      <w:r>
        <w:rPr>
          <w:color w:val="121212"/>
          <w:spacing w:val="6"/>
        </w:rPr>
        <w:t>从上述条款内容可知，安全例外的适用总体包括三种情况，其一是信息安全，即允许各成员保护涉及其根本安</w:t>
      </w:r>
      <w:r>
        <w:rPr>
          <w:color w:val="121212"/>
        </w:rPr>
        <w:t xml:space="preserve"> </w:t>
      </w:r>
      <w:r>
        <w:rPr>
          <w:color w:val="121212"/>
          <w:spacing w:val="6"/>
        </w:rPr>
        <w:t>全利益的信息；其二是必要行动，即允许各成员采取保护根本安全利益所必需的特定行动；其三是遵循《联合</w:t>
      </w:r>
    </w:p>
    <w:p>
      <w:pPr>
        <w:pStyle w:val="BodyText"/>
        <w:spacing w:line="188" w:lineRule="auto"/>
        <w:ind w:left="13"/>
      </w:pPr>
      <w:r>
        <w:rPr>
          <w:color w:val="121212"/>
          <w:spacing w:val="5"/>
        </w:rPr>
        <w:t>国宪章》规定，履行维护国际和平安全的义务。就第二项，条文进一步明确了允许采取相</w:t>
      </w:r>
      <w:r>
        <w:rPr>
          <w:color w:val="121212"/>
          <w:spacing w:val="4"/>
        </w:rPr>
        <w:t>关行动的类型，即：</w:t>
      </w:r>
    </w:p>
    <w:p>
      <w:pPr>
        <w:pStyle w:val="BodyText"/>
        <w:spacing w:before="294" w:line="577" w:lineRule="exact"/>
        <w:jc w:val="right"/>
      </w:pPr>
      <w:r>
        <w:rPr>
          <w:color w:val="121212"/>
          <w:spacing w:val="5"/>
          <w:position w:val="28"/>
        </w:rPr>
        <w:t>（1）与核物质相关的行动</w:t>
      </w:r>
      <w:r>
        <w:rPr>
          <w:color w:val="121212"/>
          <w:spacing w:val="7"/>
          <w:position w:val="28"/>
        </w:rPr>
        <w:t>；（</w:t>
      </w:r>
      <w:r>
        <w:rPr>
          <w:color w:val="121212"/>
          <w:spacing w:val="5"/>
          <w:position w:val="28"/>
        </w:rPr>
        <w:t>2）与武器、弹药及作战物资的贸易、运输有关的行动</w:t>
      </w:r>
      <w:r>
        <w:rPr>
          <w:color w:val="121212"/>
          <w:spacing w:val="7"/>
          <w:position w:val="28"/>
        </w:rPr>
        <w:t>；（</w:t>
      </w:r>
      <w:r>
        <w:rPr>
          <w:color w:val="121212"/>
          <w:spacing w:val="5"/>
          <w:position w:val="28"/>
        </w:rPr>
        <w:t>3）在战时</w:t>
      </w:r>
      <w:r>
        <w:rPr>
          <w:b/>
          <w:bCs/>
          <w:color w:val="121212"/>
          <w:spacing w:val="5"/>
          <w:position w:val="28"/>
        </w:rPr>
        <w:t>或国际关系</w:t>
      </w:r>
    </w:p>
    <w:p>
      <w:pPr>
        <w:pStyle w:val="BodyText"/>
        <w:spacing w:line="187" w:lineRule="auto"/>
        <w:ind w:left="11"/>
      </w:pPr>
      <w:r>
        <w:rPr>
          <w:b/>
          <w:bCs/>
          <w:color w:val="121212"/>
          <w:spacing w:val="6"/>
        </w:rPr>
        <w:t>中的其他紧急情况下采取的行动</w:t>
      </w:r>
      <w:r>
        <w:rPr>
          <w:color w:val="121212"/>
          <w:spacing w:val="6"/>
        </w:rPr>
        <w:t>。各成员在上述情况下采取的相关措施不被视为违反</w:t>
      </w:r>
      <w:r>
        <w:rPr>
          <w:color w:val="121212"/>
        </w:rPr>
        <w:t>WTO</w:t>
      </w:r>
      <w:r>
        <w:rPr>
          <w:color w:val="121212"/>
          <w:spacing w:val="6"/>
        </w:rPr>
        <w:t>多边贸易规</w:t>
      </w:r>
      <w:r>
        <w:rPr>
          <w:color w:val="121212"/>
          <w:spacing w:val="5"/>
        </w:rPr>
        <w:t>则。因</w:t>
      </w:r>
    </w:p>
    <w:p>
      <w:pPr>
        <w:pStyle w:val="BodyText"/>
        <w:spacing w:before="293" w:line="578" w:lineRule="exact"/>
        <w:ind w:left="1"/>
      </w:pPr>
      <w:r>
        <w:rPr>
          <w:color w:val="121212"/>
          <w:spacing w:val="6"/>
          <w:position w:val="28"/>
        </w:rPr>
        <w:t>此，由于安全例外条款涉及的事项均需满足严重性要求，涉及安全例外抗辩的贸易措施对所涉国家的相关产业</w:t>
      </w:r>
    </w:p>
    <w:p>
      <w:pPr>
        <w:pStyle w:val="BodyText"/>
        <w:spacing w:before="2" w:line="186" w:lineRule="auto"/>
      </w:pPr>
      <w:r>
        <w:rPr>
          <w:color w:val="121212"/>
          <w:spacing w:val="2"/>
        </w:rPr>
        <w:t>通常会产生整体性和决定性影响。</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1" w:line="384" w:lineRule="auto"/>
        <w:ind w:right="45"/>
        <w:sectPr>
          <w:pgSz w:w="11919" w:h="16858"/>
          <w:pgMar w:top="580" w:right="706" w:bottom="0" w:left="677" w:header="0" w:footer="0" w:gutter="0"/>
          <w:pgNumType w:start="2"/>
          <w:cols w:space="708"/>
        </w:sectPr>
      </w:pPr>
      <w:r>
        <w:rPr>
          <w:color w:val="121212"/>
          <w:spacing w:val="6"/>
        </w:rPr>
        <w:t>在条款所列情况中，核物质、作战物资的概念均较为明确，且与国土安全、军事安全等传统安全观念相符。因</w:t>
      </w:r>
      <w:r>
        <w:rPr>
          <w:color w:val="121212"/>
        </w:rPr>
        <w:t xml:space="preserve">   </w:t>
      </w:r>
      <w:r>
        <w:rPr>
          <w:color w:val="121212"/>
          <w:spacing w:val="3"/>
        </w:rPr>
        <w:t xml:space="preserve">此，各国通常不会援引这两项规定来对其贸易限制措施进行抗辩。  </w:t>
      </w:r>
      <w:r>
        <w:rPr>
          <w:b/>
          <w:bCs/>
          <w:color w:val="121212"/>
          <w:spacing w:val="3"/>
        </w:rPr>
        <w:t>相比之下，第（b</w:t>
      </w:r>
      <w:r>
        <w:rPr>
          <w:b/>
          <w:bCs/>
          <w:color w:val="121212"/>
          <w:spacing w:val="10"/>
        </w:rPr>
        <w:t>）（</w:t>
      </w:r>
      <w:r>
        <w:rPr>
          <w:b/>
          <w:bCs/>
          <w:color w:val="121212"/>
        </w:rPr>
        <w:t>iii</w:t>
      </w:r>
      <w:r>
        <w:rPr>
          <w:b/>
          <w:bCs/>
          <w:color w:val="121212"/>
          <w:spacing w:val="3"/>
        </w:rPr>
        <w:t>）项下“国际关系中</w:t>
      </w:r>
      <w:r>
        <w:rPr>
          <w:b/>
          <w:bCs/>
          <w:color w:val="121212"/>
          <w:spacing w:val="1"/>
        </w:rPr>
        <w:t xml:space="preserve"> </w:t>
      </w:r>
      <w:r>
        <w:rPr>
          <w:b/>
          <w:bCs/>
          <w:color w:val="121212"/>
          <w:spacing w:val="6"/>
        </w:rPr>
        <w:t>的其他紧急情况”这一概念为相关成员方将经济安全、社会安全、科技安全等非传统安全领域引入</w:t>
      </w:r>
      <w:r>
        <w:rPr>
          <w:b/>
          <w:bCs/>
          <w:color w:val="121212"/>
        </w:rPr>
        <w:t>WTO</w:t>
      </w:r>
      <w:r>
        <w:rPr>
          <w:b/>
          <w:bCs/>
          <w:color w:val="121212"/>
          <w:spacing w:val="6"/>
        </w:rPr>
        <w:t>框架下</w:t>
      </w:r>
    </w:p>
    <w:p>
      <w:pPr>
        <w:pStyle w:val="BodyText"/>
        <w:spacing w:line="187" w:lineRule="auto"/>
        <w:ind w:left="7"/>
      </w:pPr>
      <w:r>
        <w:rPr>
          <w:b/>
          <w:bCs/>
          <w:color w:val="121212"/>
          <w:spacing w:val="6"/>
        </w:rPr>
        <w:t>留有一定的空间。其中，围绕</w:t>
      </w:r>
      <w:r>
        <w:rPr>
          <w:b/>
          <w:bCs/>
          <w:color w:val="121212"/>
        </w:rPr>
        <w:t>GATT</w:t>
      </w:r>
      <w:r>
        <w:rPr>
          <w:b/>
          <w:bCs/>
          <w:color w:val="121212"/>
          <w:spacing w:val="6"/>
        </w:rPr>
        <w:t>第21条（b）款的序言条款中规定的“其认为”一词是</w:t>
      </w:r>
      <w:r>
        <w:rPr>
          <w:b/>
          <w:bCs/>
          <w:color w:val="121212"/>
          <w:spacing w:val="5"/>
        </w:rPr>
        <w:t>否可以修饰该款中各</w:t>
      </w:r>
    </w:p>
    <w:p>
      <w:pPr>
        <w:spacing w:line="187" w:lineRule="auto"/>
        <w:sectPr>
          <w:type w:val="nextPage"/>
          <w:pgSz w:w="11919" w:h="16858"/>
          <w:pgMar w:top="580" w:right="706" w:bottom="0" w:left="677" w:header="0" w:footer="0" w:gutter="0"/>
          <w:pgNumType w:start="3"/>
          <w:cols w:space="708"/>
          <w:titlePg w:val="0"/>
        </w:sectPr>
      </w:pPr>
    </w:p>
    <w:p>
      <w:pPr>
        <w:pStyle w:val="BodyText"/>
        <w:spacing w:before="43" w:line="187" w:lineRule="auto"/>
        <w:ind w:left="2"/>
      </w:pPr>
      <w:r>
        <w:rPr>
          <w:b/>
          <w:bCs/>
          <w:color w:val="121212"/>
          <w:spacing w:val="6"/>
        </w:rPr>
        <w:t>项具体情形，以及由此引发的针对安全例外条款是否具有“自判”性质等问题成为了近年频发的争议焦点之</w:t>
      </w:r>
    </w:p>
    <w:p>
      <w:pPr>
        <w:spacing w:line="294" w:lineRule="auto"/>
        <w:rPr>
          <w:rFonts w:ascii="Arial"/>
          <w:sz w:val="21"/>
        </w:rPr>
      </w:pPr>
    </w:p>
    <w:p>
      <w:pPr>
        <w:pStyle w:val="BodyText"/>
        <w:spacing w:before="90" w:line="190" w:lineRule="exact"/>
        <w:ind w:left="5"/>
      </w:pPr>
      <w:r>
        <w:rPr>
          <w:b/>
          <w:bCs/>
          <w:color w:val="121212"/>
          <w:spacing w:val="-1"/>
          <w:position w:val="3"/>
        </w:rPr>
        <w:t>一。</w:t>
      </w: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BodyText"/>
        <w:spacing w:before="245" w:line="197" w:lineRule="auto"/>
        <w:ind w:left="16"/>
        <w:rPr>
          <w:sz w:val="57"/>
          <w:szCs w:val="57"/>
        </w:rPr>
      </w:pPr>
      <w:r>
        <w:rPr>
          <w:b/>
          <w:bCs/>
          <w:color w:val="121212"/>
          <w:spacing w:val="17"/>
          <w:sz w:val="57"/>
          <w:szCs w:val="57"/>
        </w:rPr>
        <w:t>二、</w:t>
      </w:r>
      <w:r>
        <w:rPr>
          <w:b/>
          <w:bCs/>
          <w:color w:val="121212"/>
          <w:spacing w:val="-129"/>
          <w:sz w:val="57"/>
          <w:szCs w:val="57"/>
        </w:rPr>
        <w:t xml:space="preserve"> </w:t>
      </w:r>
      <w:r>
        <w:rPr>
          <w:b/>
          <w:bCs/>
          <w:color w:val="121212"/>
          <w:spacing w:val="17"/>
          <w:sz w:val="57"/>
          <w:szCs w:val="57"/>
        </w:rPr>
        <w:t>涉及“</w:t>
      </w:r>
      <w:r>
        <w:rPr>
          <w:b/>
          <w:bCs/>
          <w:color w:val="121212"/>
          <w:spacing w:val="-118"/>
          <w:sz w:val="57"/>
          <w:szCs w:val="57"/>
        </w:rPr>
        <w:t xml:space="preserve"> </w:t>
      </w:r>
      <w:r>
        <w:rPr>
          <w:b/>
          <w:bCs/>
          <w:color w:val="121212"/>
          <w:spacing w:val="17"/>
          <w:sz w:val="57"/>
          <w:szCs w:val="57"/>
        </w:rPr>
        <w:t>国家安全</w:t>
      </w:r>
      <w:r>
        <w:rPr>
          <w:b/>
          <w:bCs/>
          <w:color w:val="121212"/>
          <w:spacing w:val="-116"/>
          <w:sz w:val="57"/>
          <w:szCs w:val="57"/>
        </w:rPr>
        <w:t xml:space="preserve"> </w:t>
      </w:r>
      <w:r>
        <w:rPr>
          <w:b/>
          <w:bCs/>
          <w:color w:val="121212"/>
          <w:spacing w:val="17"/>
          <w:sz w:val="57"/>
          <w:szCs w:val="57"/>
        </w:rPr>
        <w:t>”的</w:t>
      </w:r>
      <w:r>
        <w:rPr>
          <w:b/>
          <w:bCs/>
          <w:color w:val="121212"/>
          <w:sz w:val="57"/>
          <w:szCs w:val="57"/>
        </w:rPr>
        <w:t>WTO</w:t>
      </w:r>
      <w:r>
        <w:rPr>
          <w:b/>
          <w:bCs/>
          <w:color w:val="121212"/>
          <w:spacing w:val="17"/>
          <w:sz w:val="57"/>
          <w:szCs w:val="57"/>
        </w:rPr>
        <w:t>争端解决</w:t>
      </w:r>
    </w:p>
    <w:p>
      <w:pPr>
        <w:pStyle w:val="BodyText"/>
        <w:spacing w:before="2" w:line="184" w:lineRule="auto"/>
        <w:ind w:left="10"/>
        <w:rPr>
          <w:sz w:val="57"/>
          <w:szCs w:val="57"/>
        </w:rPr>
      </w:pPr>
      <w:r>
        <w:rPr>
          <w:b/>
          <w:bCs/>
          <w:color w:val="121212"/>
          <w:spacing w:val="22"/>
          <w:sz w:val="57"/>
          <w:szCs w:val="57"/>
        </w:rPr>
        <w:t>典型案例及对企业影响</w:t>
      </w:r>
    </w:p>
    <w:p>
      <w:pPr>
        <w:spacing w:line="293" w:lineRule="auto"/>
        <w:rPr>
          <w:rFonts w:ascii="Arial"/>
          <w:sz w:val="21"/>
        </w:rPr>
      </w:pPr>
    </w:p>
    <w:p>
      <w:pPr>
        <w:spacing w:line="293" w:lineRule="auto"/>
        <w:rPr>
          <w:rFonts w:ascii="Arial"/>
          <w:sz w:val="21"/>
        </w:rPr>
      </w:pPr>
    </w:p>
    <w:p>
      <w:pPr>
        <w:pStyle w:val="BodyText"/>
        <w:spacing w:before="90" w:line="384" w:lineRule="auto"/>
        <w:ind w:left="2" w:right="19" w:firstLine="2"/>
      </w:pPr>
      <w:r>
        <w:rPr>
          <w:color w:val="121212"/>
          <w:spacing w:val="6"/>
        </w:rPr>
        <w:t>长期以来，在多边贸易体制历史上，各成员对安全例外的援引普遍持谨慎态度，多以谈判、磋商等方式</w:t>
      </w:r>
      <w:r>
        <w:rPr>
          <w:color w:val="121212"/>
          <w:spacing w:val="5"/>
        </w:rPr>
        <w:t>最终解</w:t>
      </w:r>
      <w:r>
        <w:rPr>
          <w:color w:val="121212"/>
        </w:rPr>
        <w:t xml:space="preserve">  </w:t>
      </w:r>
      <w:r>
        <w:rPr>
          <w:color w:val="121212"/>
          <w:spacing w:val="6"/>
        </w:rPr>
        <w:t>决争端，避免在多边贸易机制场合触碰安全议题，这使得与安全例外相关的案件寥寥可数</w:t>
      </w:r>
      <w:r>
        <w:rPr>
          <w:color w:val="121212"/>
          <w:spacing w:val="5"/>
        </w:rPr>
        <w:t>。直至2019年的“俄</w:t>
      </w:r>
      <w:r>
        <w:rPr>
          <w:color w:val="121212"/>
        </w:rPr>
        <w:t xml:space="preserve"> </w:t>
      </w:r>
      <w:r>
        <w:rPr>
          <w:color w:val="121212"/>
          <w:spacing w:val="5"/>
        </w:rPr>
        <w:t>罗斯过境限制案”（</w:t>
      </w:r>
      <w:r>
        <w:rPr>
          <w:color w:val="121212"/>
        </w:rPr>
        <w:t>DS</w:t>
      </w:r>
      <w:r>
        <w:rPr>
          <w:color w:val="121212"/>
          <w:spacing w:val="5"/>
        </w:rPr>
        <w:t>512</w:t>
      </w:r>
      <w:r>
        <w:rPr>
          <w:color w:val="121212"/>
          <w:spacing w:val="9"/>
        </w:rPr>
        <w:t>），</w:t>
      </w:r>
      <w:r>
        <w:rPr>
          <w:color w:val="121212"/>
        </w:rPr>
        <w:t>WTO</w:t>
      </w:r>
      <w:r>
        <w:rPr>
          <w:color w:val="121212"/>
          <w:spacing w:val="5"/>
        </w:rPr>
        <w:t>争端解决机构才首次对安全例外条款进行了系统性的解读和阐述。自此，</w:t>
      </w:r>
      <w:r>
        <w:rPr>
          <w:color w:val="121212"/>
        </w:rPr>
        <w:t xml:space="preserve"> </w:t>
      </w:r>
      <w:r>
        <w:rPr>
          <w:color w:val="121212"/>
          <w:spacing w:val="6"/>
        </w:rPr>
        <w:t>争端解决机制下出现一系列涉及安全例外条款的争端案件，包括“沙特知识产权案”（</w:t>
      </w:r>
      <w:r>
        <w:rPr>
          <w:color w:val="121212"/>
        </w:rPr>
        <w:t>DS</w:t>
      </w:r>
      <w:r>
        <w:rPr>
          <w:color w:val="121212"/>
          <w:spacing w:val="6"/>
        </w:rPr>
        <w:t>567），“美国钢铝</w:t>
      </w:r>
    </w:p>
    <w:p>
      <w:pPr>
        <w:pStyle w:val="BodyText"/>
        <w:spacing w:line="188" w:lineRule="auto"/>
        <w:ind w:left="1"/>
      </w:pPr>
      <w:r>
        <w:rPr>
          <w:color w:val="121212"/>
          <w:spacing w:val="4"/>
        </w:rPr>
        <w:t>措施案”（</w:t>
      </w:r>
      <w:r>
        <w:rPr>
          <w:color w:val="121212"/>
        </w:rPr>
        <w:t>DS</w:t>
      </w:r>
      <w:r>
        <w:rPr>
          <w:color w:val="121212"/>
          <w:spacing w:val="4"/>
        </w:rPr>
        <w:t>544）及“美国产地来源标记案”（</w:t>
      </w:r>
      <w:r>
        <w:rPr>
          <w:color w:val="121212"/>
        </w:rPr>
        <w:t>DS</w:t>
      </w:r>
      <w:r>
        <w:rPr>
          <w:color w:val="121212"/>
          <w:spacing w:val="4"/>
        </w:rPr>
        <w:t>597）。</w:t>
      </w: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BodyText"/>
        <w:spacing w:before="90" w:line="384" w:lineRule="auto"/>
        <w:ind w:firstLine="4"/>
        <w:jc w:val="both"/>
      </w:pPr>
      <w:r>
        <w:rPr>
          <w:color w:val="121212"/>
          <w:spacing w:val="6"/>
        </w:rPr>
        <w:t>上述案件中涉及当事方的各项贸易限制措施，包括货物运</w:t>
      </w:r>
      <w:r>
        <w:rPr>
          <w:color w:val="121212"/>
          <w:spacing w:val="5"/>
        </w:rPr>
        <w:t xml:space="preserve">输限制、边境检查、原产地标记要求、对进口产品的  </w:t>
      </w:r>
      <w:r>
        <w:rPr>
          <w:color w:val="121212"/>
          <w:spacing w:val="6"/>
        </w:rPr>
        <w:t>附加关税等。被诉方均援引相关协定的第（b</w:t>
      </w:r>
      <w:r>
        <w:rPr>
          <w:color w:val="121212"/>
          <w:spacing w:val="8"/>
        </w:rPr>
        <w:t>）（</w:t>
      </w:r>
      <w:r>
        <w:rPr>
          <w:color w:val="121212"/>
        </w:rPr>
        <w:t>iii</w:t>
      </w:r>
      <w:r>
        <w:rPr>
          <w:color w:val="121212"/>
          <w:spacing w:val="6"/>
        </w:rPr>
        <w:t>）项进行抗辩，即主张其贸易限制措施系“在战时或国际关</w:t>
      </w:r>
      <w:r>
        <w:rPr>
          <w:color w:val="121212"/>
        </w:rPr>
        <w:t xml:space="preserve"> </w:t>
      </w:r>
      <w:r>
        <w:rPr>
          <w:color w:val="121212"/>
          <w:spacing w:val="6"/>
        </w:rPr>
        <w:t>系中的其他紧急情况下采取的行动”。具体而言，“沙特知识产权案”涉及</w:t>
      </w:r>
      <w:r>
        <w:rPr>
          <w:color w:val="121212"/>
        </w:rPr>
        <w:t>TRIPS</w:t>
      </w:r>
      <w:r>
        <w:rPr>
          <w:color w:val="121212"/>
          <w:spacing w:val="6"/>
        </w:rPr>
        <w:t>协定第73（b</w:t>
      </w:r>
      <w:r>
        <w:rPr>
          <w:color w:val="121212"/>
          <w:spacing w:val="13"/>
        </w:rPr>
        <w:t>）（</w:t>
      </w:r>
      <w:r>
        <w:rPr>
          <w:color w:val="121212"/>
        </w:rPr>
        <w:t>iii</w:t>
      </w:r>
      <w:r>
        <w:rPr>
          <w:color w:val="121212"/>
          <w:spacing w:val="6"/>
        </w:rPr>
        <w:t>）条，其</w:t>
      </w:r>
      <w:r>
        <w:rPr>
          <w:color w:val="121212"/>
        </w:rPr>
        <w:t xml:space="preserve"> </w:t>
      </w:r>
      <w:r>
        <w:rPr>
          <w:color w:val="121212"/>
          <w:spacing w:val="6"/>
        </w:rPr>
        <w:t>余三案涉及</w:t>
      </w:r>
      <w:r>
        <w:rPr>
          <w:color w:val="121212"/>
        </w:rPr>
        <w:t>GATT</w:t>
      </w:r>
      <w:r>
        <w:rPr>
          <w:color w:val="121212"/>
          <w:spacing w:val="25"/>
        </w:rPr>
        <w:t xml:space="preserve"> </w:t>
      </w:r>
      <w:r>
        <w:rPr>
          <w:color w:val="121212"/>
          <w:spacing w:val="6"/>
        </w:rPr>
        <w:t>1994第</w:t>
      </w:r>
      <w:r>
        <w:rPr>
          <w:color w:val="121212"/>
        </w:rPr>
        <w:t>XXI</w:t>
      </w:r>
      <w:r>
        <w:rPr>
          <w:color w:val="121212"/>
          <w:spacing w:val="6"/>
        </w:rPr>
        <w:t>（b</w:t>
      </w:r>
      <w:r>
        <w:rPr>
          <w:color w:val="121212"/>
          <w:spacing w:val="5"/>
        </w:rPr>
        <w:t>）（</w:t>
      </w:r>
      <w:r>
        <w:rPr>
          <w:color w:val="121212"/>
        </w:rPr>
        <w:t>iii</w:t>
      </w:r>
      <w:r>
        <w:rPr>
          <w:color w:val="121212"/>
          <w:spacing w:val="6"/>
        </w:rPr>
        <w:t>）条。就部分案件，专家组认定被诉</w:t>
      </w:r>
      <w:r>
        <w:rPr>
          <w:color w:val="121212"/>
          <w:spacing w:val="5"/>
        </w:rPr>
        <w:t>方违反了其国际义务，且未能举证</w:t>
      </w:r>
      <w:r>
        <w:rPr>
          <w:color w:val="121212"/>
        </w:rPr>
        <w:t xml:space="preserve">  </w:t>
      </w:r>
      <w:r>
        <w:rPr>
          <w:color w:val="121212"/>
          <w:spacing w:val="6"/>
        </w:rPr>
        <w:t>证明其满足了安全例外的适用标准。这表明在</w:t>
      </w:r>
      <w:r>
        <w:rPr>
          <w:color w:val="121212"/>
        </w:rPr>
        <w:t>WTO</w:t>
      </w:r>
      <w:r>
        <w:rPr>
          <w:color w:val="121212"/>
          <w:spacing w:val="6"/>
        </w:rPr>
        <w:t>语境下，安全例外并不当然成为歧视性贸易限制措施的“挡</w:t>
      </w:r>
      <w:r>
        <w:rPr>
          <w:color w:val="121212"/>
          <w:spacing w:val="10"/>
        </w:rPr>
        <w:t xml:space="preserve"> </w:t>
      </w:r>
      <w:r>
        <w:rPr>
          <w:color w:val="121212"/>
          <w:spacing w:val="6"/>
        </w:rPr>
        <w:t>箭牌”，相关措施有可能受到国际层面的司法审查，从而进一步被</w:t>
      </w:r>
      <w:r>
        <w:rPr>
          <w:color w:val="121212"/>
          <w:spacing w:val="5"/>
        </w:rPr>
        <w:t xml:space="preserve">认定违法。而在另一部分案件中，专家组认  </w:t>
      </w:r>
      <w:r>
        <w:rPr>
          <w:color w:val="121212"/>
          <w:spacing w:val="2"/>
        </w:rPr>
        <w:t>定被诉方成功援引了安全例外抗辩，因此其贸易限制措施具有正当性。</w:t>
      </w:r>
      <w:r>
        <w:rPr>
          <w:color w:val="121212"/>
          <w:spacing w:val="27"/>
        </w:rPr>
        <w:t xml:space="preserve">  </w:t>
      </w:r>
      <w:r>
        <w:rPr>
          <w:b/>
          <w:bCs/>
          <w:color w:val="121212"/>
          <w:spacing w:val="2"/>
        </w:rPr>
        <w:t xml:space="preserve">因此，虽然安全例外条款具有较高的适  </w:t>
      </w:r>
      <w:r>
        <w:rPr>
          <w:b/>
          <w:bCs/>
          <w:color w:val="121212"/>
          <w:spacing w:val="6"/>
        </w:rPr>
        <w:t>用标准，但在特殊情况下仍有可能作为国家对其经贸措施的合法辩</w:t>
      </w:r>
      <w:r>
        <w:rPr>
          <w:b/>
          <w:bCs/>
          <w:color w:val="121212"/>
          <w:spacing w:val="5"/>
        </w:rPr>
        <w:t xml:space="preserve">护，进而对企业的全球供应链布局带来一定  </w:t>
      </w:r>
      <w:r>
        <w:rPr>
          <w:b/>
          <w:bCs/>
          <w:color w:val="121212"/>
          <w:spacing w:val="4"/>
        </w:rPr>
        <w:t>风险。</w:t>
      </w:r>
      <w:r>
        <w:rPr>
          <w:b/>
          <w:bCs/>
          <w:color w:val="121212"/>
          <w:spacing w:val="43"/>
          <w:w w:val="101"/>
        </w:rPr>
        <w:t xml:space="preserve"> </w:t>
      </w:r>
      <w:r>
        <w:rPr>
          <w:color w:val="121212"/>
          <w:spacing w:val="4"/>
        </w:rPr>
        <w:t>在“国家安全”概念呈泛化趋势的当下，上述案件对各国政府和企业理解相关概念，认识</w:t>
      </w:r>
      <w:r>
        <w:rPr>
          <w:color w:val="121212"/>
        </w:rPr>
        <w:t>WTO</w:t>
      </w:r>
      <w:r>
        <w:rPr>
          <w:color w:val="121212"/>
          <w:spacing w:val="3"/>
        </w:rPr>
        <w:t>框架下对</w:t>
      </w:r>
    </w:p>
    <w:p>
      <w:pPr>
        <w:pStyle w:val="BodyText"/>
        <w:spacing w:before="1" w:line="187" w:lineRule="auto"/>
        <w:ind w:left="4"/>
      </w:pPr>
      <w:r>
        <w:rPr>
          <w:color w:val="121212"/>
          <w:spacing w:val="3"/>
        </w:rPr>
        <w:t>非传统安全领域的处理态度具有重要的指导作用。</w:t>
      </w:r>
    </w:p>
    <w:p>
      <w:pPr>
        <w:spacing w:line="357" w:lineRule="auto"/>
        <w:rPr>
          <w:rFonts w:ascii="Arial"/>
          <w:sz w:val="21"/>
        </w:rPr>
      </w:pPr>
    </w:p>
    <w:p>
      <w:pPr>
        <w:spacing w:line="358" w:lineRule="auto"/>
        <w:rPr>
          <w:rFonts w:ascii="Arial"/>
          <w:sz w:val="21"/>
        </w:rPr>
        <w:sectPr>
          <w:pgSz w:w="11919" w:h="16858"/>
          <w:pgMar w:top="725" w:right="776" w:bottom="0" w:left="676" w:header="0" w:footer="0" w:gutter="0"/>
          <w:pgNumType w:start="4"/>
          <w:cols w:space="708"/>
        </w:sectPr>
      </w:pPr>
    </w:p>
    <w:p>
      <w:pPr>
        <w:pStyle w:val="BodyText"/>
        <w:spacing w:before="198" w:line="225" w:lineRule="auto"/>
        <w:ind w:left="41"/>
        <w:outlineLvl w:val="0"/>
        <w:rPr>
          <w:sz w:val="46"/>
          <w:szCs w:val="46"/>
        </w:rPr>
      </w:pPr>
      <w:r>
        <w:rPr>
          <w:b/>
          <w:bCs/>
          <w:color w:val="121212"/>
          <w:spacing w:val="1"/>
          <w:sz w:val="46"/>
          <w:szCs w:val="46"/>
        </w:rPr>
        <w:t>1. “俄罗斯过境限制案</w:t>
      </w:r>
      <w:r>
        <w:rPr>
          <w:b/>
          <w:bCs/>
          <w:color w:val="121212"/>
          <w:spacing w:val="-98"/>
          <w:sz w:val="46"/>
          <w:szCs w:val="46"/>
        </w:rPr>
        <w:t xml:space="preserve"> </w:t>
      </w:r>
      <w:r>
        <w:rPr>
          <w:b/>
          <w:bCs/>
          <w:color w:val="121212"/>
          <w:spacing w:val="1"/>
          <w:sz w:val="46"/>
          <w:szCs w:val="46"/>
        </w:rPr>
        <w:t>”（</w:t>
      </w:r>
      <w:r>
        <w:rPr>
          <w:b/>
          <w:bCs/>
          <w:color w:val="121212"/>
          <w:spacing w:val="-61"/>
          <w:sz w:val="46"/>
          <w:szCs w:val="46"/>
        </w:rPr>
        <w:t xml:space="preserve"> </w:t>
      </w:r>
      <w:r>
        <w:rPr>
          <w:b/>
          <w:bCs/>
          <w:color w:val="121212"/>
          <w:sz w:val="46"/>
          <w:szCs w:val="46"/>
        </w:rPr>
        <w:t>DS</w:t>
      </w:r>
      <w:r>
        <w:rPr>
          <w:b/>
          <w:bCs/>
          <w:color w:val="121212"/>
          <w:spacing w:val="1"/>
          <w:sz w:val="46"/>
          <w:szCs w:val="46"/>
        </w:rPr>
        <w:t>512</w:t>
      </w:r>
      <w:r>
        <w:rPr>
          <w:b/>
          <w:bCs/>
          <w:color w:val="121212"/>
          <w:spacing w:val="6"/>
          <w:sz w:val="46"/>
          <w:szCs w:val="46"/>
        </w:rPr>
        <w:t>）</w:t>
      </w:r>
      <w:r>
        <w:rPr>
          <w:b/>
          <w:bCs/>
          <w:color w:val="121212"/>
          <w:spacing w:val="-117"/>
          <w:sz w:val="46"/>
          <w:szCs w:val="46"/>
        </w:rPr>
        <w:t xml:space="preserve"> </w:t>
      </w:r>
      <w:r>
        <w:rPr>
          <w:b/>
          <w:bCs/>
          <w:color w:val="121212"/>
          <w:spacing w:val="6"/>
          <w:sz w:val="46"/>
          <w:szCs w:val="46"/>
        </w:rPr>
        <w:t>：</w:t>
      </w:r>
    </w:p>
    <w:p>
      <w:pPr>
        <w:spacing w:line="225" w:lineRule="auto"/>
        <w:rPr>
          <w:sz w:val="46"/>
          <w:szCs w:val="46"/>
        </w:rPr>
        <w:sectPr>
          <w:type w:val="nextPage"/>
          <w:pgSz w:w="11919" w:h="16858"/>
          <w:pgMar w:top="725" w:right="776" w:bottom="0" w:left="676" w:header="0" w:footer="0" w:gutter="0"/>
          <w:pgNumType w:start="5"/>
          <w:cols w:space="708"/>
          <w:titlePg w:val="0"/>
        </w:sectPr>
      </w:pPr>
    </w:p>
    <w:p>
      <w:pPr>
        <w:pStyle w:val="BodyText"/>
        <w:spacing w:before="43" w:line="384" w:lineRule="auto"/>
        <w:ind w:left="10" w:right="90" w:hanging="9"/>
        <w:jc w:val="both"/>
      </w:pPr>
      <w:r>
        <w:rPr>
          <w:color w:val="121212"/>
          <w:spacing w:val="6"/>
        </w:rPr>
        <w:t>在俄罗斯过境限制案中，</w:t>
      </w:r>
      <w:r>
        <w:rPr>
          <w:color w:val="121212"/>
        </w:rPr>
        <w:t>WTO</w:t>
      </w:r>
      <w:r>
        <w:rPr>
          <w:color w:val="121212"/>
          <w:spacing w:val="6"/>
        </w:rPr>
        <w:t>争端解决机构首次系统性地对安全例外条款的前提要件和适用情形等进行了一定</w:t>
      </w:r>
      <w:r>
        <w:rPr>
          <w:color w:val="121212"/>
          <w:spacing w:val="8"/>
        </w:rPr>
        <w:t xml:space="preserve"> </w:t>
      </w:r>
      <w:r>
        <w:rPr>
          <w:color w:val="121212"/>
          <w:spacing w:val="3"/>
        </w:rPr>
        <w:t xml:space="preserve">的分析阐述。该案涉及俄乌冲突背景下，俄罗斯对乌克兰实行的货物运输限制措施。  </w:t>
      </w:r>
      <w:r>
        <w:rPr>
          <w:b/>
          <w:bCs/>
          <w:color w:val="121212"/>
          <w:spacing w:val="3"/>
        </w:rPr>
        <w:t>专家组最终认定，俄罗斯</w:t>
      </w:r>
    </w:p>
    <w:p>
      <w:pPr>
        <w:pStyle w:val="BodyText"/>
        <w:spacing w:line="187" w:lineRule="auto"/>
        <w:ind w:left="1"/>
      </w:pPr>
      <w:r>
        <w:rPr>
          <w:b/>
          <w:bCs/>
          <w:color w:val="121212"/>
          <w:spacing w:val="5"/>
        </w:rPr>
        <w:t>成功地援引了安全例外条款，使得其货物运输限制措</w:t>
      </w:r>
      <w:r>
        <w:rPr>
          <w:b/>
          <w:bCs/>
          <w:color w:val="121212"/>
          <w:spacing w:val="4"/>
        </w:rPr>
        <w:t>施得以继续合法实施。</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188" w:lineRule="auto"/>
        <w:ind w:left="34"/>
      </w:pPr>
      <w:r>
        <w:rPr>
          <w:color w:val="121212"/>
          <w:spacing w:val="-1"/>
        </w:rPr>
        <w:t>（1）案件背景</w:t>
      </w: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90" w:line="384" w:lineRule="auto"/>
        <w:ind w:right="60" w:firstLine="1"/>
      </w:pPr>
      <w:r>
        <w:rPr>
          <w:color w:val="121212"/>
          <w:spacing w:val="6"/>
        </w:rPr>
        <w:t>该案发生在克里米亚事件及相关俄乌冲突的大背景下。2011年10月，乌克</w:t>
      </w:r>
      <w:r>
        <w:rPr>
          <w:color w:val="121212"/>
          <w:spacing w:val="5"/>
        </w:rPr>
        <w:t>兰成为独立国家联合体成员，并与俄</w:t>
      </w:r>
      <w:r>
        <w:rPr>
          <w:color w:val="121212"/>
        </w:rPr>
        <w:t xml:space="preserve"> </w:t>
      </w:r>
      <w:r>
        <w:rPr>
          <w:color w:val="121212"/>
          <w:spacing w:val="6"/>
        </w:rPr>
        <w:t>罗斯、白俄罗斯、哈萨克斯坦等国之间签署了《独联体自</w:t>
      </w:r>
      <w:r>
        <w:rPr>
          <w:color w:val="121212"/>
          <w:spacing w:val="5"/>
        </w:rPr>
        <w:t>由贸易区协定》（</w:t>
      </w:r>
      <w:r>
        <w:rPr>
          <w:color w:val="121212"/>
        </w:rPr>
        <w:t>CIS</w:t>
      </w:r>
      <w:r>
        <w:rPr>
          <w:color w:val="121212"/>
          <w:spacing w:val="5"/>
        </w:rPr>
        <w:t>-</w:t>
      </w:r>
      <w:r>
        <w:rPr>
          <w:color w:val="121212"/>
        </w:rPr>
        <w:t>FTA</w:t>
      </w:r>
      <w:r>
        <w:rPr>
          <w:color w:val="121212"/>
          <w:spacing w:val="5"/>
        </w:rPr>
        <w:t xml:space="preserve">）。然而，乌克兰2013年  </w:t>
      </w:r>
      <w:r>
        <w:rPr>
          <w:color w:val="121212"/>
          <w:spacing w:val="5"/>
        </w:rPr>
        <w:t xml:space="preserve">11月的“广场革命”导致政权更迭。随后，新任政府退出了与俄罗斯的经济联盟，转而与欧盟于2014年3月达  </w:t>
      </w:r>
      <w:r>
        <w:rPr>
          <w:color w:val="121212"/>
          <w:spacing w:val="6"/>
        </w:rPr>
        <w:t>成了“欧盟—乌克兰联合协议”。在此期间，俄罗斯于2014年2月占领了克里米亚</w:t>
      </w:r>
      <w:r>
        <w:rPr>
          <w:color w:val="121212"/>
          <w:spacing w:val="5"/>
        </w:rPr>
        <w:t>，并与欧洲各国互相采取了</w:t>
      </w:r>
      <w:r>
        <w:rPr>
          <w:color w:val="121212"/>
        </w:rPr>
        <w:t xml:space="preserve">   </w:t>
      </w:r>
      <w:r>
        <w:rPr>
          <w:color w:val="121212"/>
          <w:spacing w:val="5"/>
        </w:rPr>
        <w:t xml:space="preserve">一系列制裁与反制裁措施。过程中，俄罗斯对乌克兰实行了多项货物运输限制。2016年9月14日，乌克兰就上  </w:t>
      </w:r>
      <w:r>
        <w:rPr>
          <w:color w:val="121212"/>
          <w:spacing w:val="6"/>
        </w:rPr>
        <w:t>述措施向俄罗斯提出磋商请求。磋商未果后，乌克兰将俄罗斯起诉至</w:t>
      </w:r>
      <w:r>
        <w:rPr>
          <w:color w:val="121212"/>
        </w:rPr>
        <w:t>WTO</w:t>
      </w:r>
      <w:r>
        <w:rPr>
          <w:color w:val="121212"/>
          <w:spacing w:val="6"/>
        </w:rPr>
        <w:t>，认为其违反了包括过境自由、禁止</w:t>
      </w:r>
    </w:p>
    <w:p>
      <w:pPr>
        <w:pStyle w:val="BodyText"/>
        <w:spacing w:before="1" w:line="187" w:lineRule="auto"/>
      </w:pPr>
      <w:r>
        <w:rPr>
          <w:color w:val="121212"/>
          <w:spacing w:val="2"/>
        </w:rPr>
        <w:t>数量限制等多项根本义务。</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188" w:lineRule="auto"/>
        <w:ind w:left="34"/>
      </w:pPr>
      <w:r>
        <w:rPr>
          <w:color w:val="121212"/>
          <w:spacing w:val="2"/>
        </w:rPr>
        <w:t>（2）涉案措施及对企业的影响</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1" w:line="188" w:lineRule="auto"/>
        <w:ind w:left="2"/>
      </w:pPr>
      <w:r>
        <w:rPr>
          <w:color w:val="121212"/>
          <w:spacing w:val="4"/>
        </w:rPr>
        <w:t>乌克兰主张，俄罗斯实行的下述措施构成了本案的涉案措施：</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384" w:lineRule="auto"/>
        <w:ind w:left="295" w:firstLine="8"/>
        <w:jc w:val="both"/>
      </w:pPr>
      <w:r>
        <w:rPr>
          <w:b/>
          <w:bCs/>
          <w:color w:val="121212"/>
          <w:spacing w:val="5"/>
        </w:rPr>
        <w:t>2016年白俄罗斯过境要求</w:t>
      </w:r>
      <w:r>
        <w:rPr>
          <w:color w:val="121212"/>
          <w:spacing w:val="5"/>
        </w:rPr>
        <w:t>：2016年1月1日起，依据联邦第1号总统令和政府第1号决议，要求所有从乌克兰</w:t>
      </w:r>
      <w:r>
        <w:rPr>
          <w:color w:val="121212"/>
          <w:spacing w:val="4"/>
        </w:rPr>
        <w:t xml:space="preserve">  </w:t>
      </w:r>
      <w:r>
        <w:rPr>
          <w:color w:val="121212"/>
          <w:spacing w:val="6"/>
        </w:rPr>
        <w:t>通过公路和铁路过境前往哈萨克斯坦或吉尔吉斯的国际货物仅从白俄罗斯运出。同时，在白俄罗斯-</w:t>
      </w:r>
      <w:r>
        <w:rPr>
          <w:color w:val="121212"/>
          <w:spacing w:val="5"/>
        </w:rPr>
        <w:t>俄罗斯边</w:t>
      </w:r>
      <w:r>
        <w:rPr>
          <w:color w:val="121212"/>
        </w:rPr>
        <w:t xml:space="preserve"> </w:t>
      </w:r>
      <w:r>
        <w:rPr>
          <w:color w:val="121212"/>
          <w:spacing w:val="6"/>
        </w:rPr>
        <w:t>境和俄罗斯-哈萨克斯坦边境的具体检查站施加了过境的附加限制性条件，包括使用具有卫星定位识</w:t>
      </w:r>
      <w:r>
        <w:rPr>
          <w:color w:val="121212"/>
          <w:spacing w:val="5"/>
        </w:rPr>
        <w:t>别功能的</w:t>
      </w:r>
    </w:p>
    <w:p>
      <w:pPr>
        <w:pStyle w:val="BodyText"/>
        <w:spacing w:before="1" w:line="187" w:lineRule="auto"/>
        <w:ind w:left="297"/>
        <w:sectPr>
          <w:pgSz w:w="11919" w:h="16858"/>
          <w:pgMar w:top="724" w:right="698" w:bottom="0" w:left="677" w:header="0" w:footer="0" w:gutter="0"/>
          <w:pgNumType w:start="6"/>
          <w:cols w:space="708"/>
        </w:sectPr>
      </w:pPr>
      <w:r>
        <w:rPr>
          <w:color w:val="121212"/>
          <w:spacing w:val="1"/>
        </w:rPr>
        <w:t>封条及驾驶员注册卡等。</w:t>
      </w:r>
    </w:p>
    <w:p>
      <w:pPr>
        <w:pStyle w:val="BodyText"/>
        <w:spacing w:before="295" w:line="187" w:lineRule="auto"/>
        <w:ind w:left="304"/>
      </w:pPr>
      <w:r>
        <w:rPr>
          <w:b/>
          <w:bCs/>
          <w:color w:val="121212"/>
          <w:spacing w:val="5"/>
        </w:rPr>
        <w:t>2016年关于非零关税和第778号决议商品的过境禁令</w:t>
      </w:r>
      <w:r>
        <w:rPr>
          <w:color w:val="121212"/>
          <w:spacing w:val="5"/>
        </w:rPr>
        <w:t>：禁止从乌克兰</w:t>
      </w:r>
      <w:r>
        <w:rPr>
          <w:color w:val="121212"/>
          <w:spacing w:val="4"/>
        </w:rPr>
        <w:t>通过公路和铁路运输下列商品</w:t>
      </w:r>
      <w:r>
        <w:rPr>
          <w:color w:val="121212"/>
          <w:spacing w:val="5"/>
        </w:rPr>
        <w:t>：（</w:t>
      </w:r>
      <w:r>
        <w:rPr>
          <w:color w:val="121212"/>
          <w:spacing w:val="4"/>
        </w:rPr>
        <w:t>i）</w:t>
      </w:r>
    </w:p>
    <w:p>
      <w:pPr>
        <w:pStyle w:val="BodyText"/>
        <w:spacing w:before="295" w:line="576" w:lineRule="exact"/>
        <w:ind w:right="30"/>
        <w:jc w:val="right"/>
      </w:pPr>
      <w:r>
        <w:rPr>
          <w:color w:val="121212"/>
          <w:spacing w:val="6"/>
          <w:position w:val="28"/>
        </w:rPr>
        <w:t>根据欧亚经济联盟共同关税税率征收关税的非零进口关税商品；（</w:t>
      </w:r>
      <w:r>
        <w:rPr>
          <w:color w:val="121212"/>
          <w:position w:val="28"/>
        </w:rPr>
        <w:t>ii</w:t>
      </w:r>
      <w:r>
        <w:rPr>
          <w:color w:val="121212"/>
          <w:spacing w:val="6"/>
          <w:position w:val="28"/>
        </w:rPr>
        <w:t>）属于第778号决议规定的进</w:t>
      </w:r>
      <w:r>
        <w:rPr>
          <w:color w:val="121212"/>
          <w:spacing w:val="5"/>
          <w:position w:val="28"/>
        </w:rPr>
        <w:t>口禁令范围</w:t>
      </w:r>
    </w:p>
    <w:p>
      <w:pPr>
        <w:pStyle w:val="BodyText"/>
        <w:spacing w:before="1" w:line="187" w:lineRule="auto"/>
        <w:ind w:left="314"/>
      </w:pPr>
      <w:r>
        <w:rPr>
          <w:color w:val="121212"/>
          <w:spacing w:val="5"/>
        </w:rPr>
        <w:t>内、运往哈萨克斯坦或吉尔吉斯的商品。上述该等商品的过境仅可</w:t>
      </w:r>
      <w:r>
        <w:rPr>
          <w:color w:val="121212"/>
          <w:spacing w:val="4"/>
        </w:rPr>
        <w:t>根据哈萨克斯坦或吉尔吉斯政府的要求，</w:t>
      </w:r>
    </w:p>
    <w:p>
      <w:pPr>
        <w:pStyle w:val="BodyText"/>
        <w:spacing w:before="294" w:line="188" w:lineRule="auto"/>
        <w:ind w:left="297"/>
      </w:pPr>
      <w:r>
        <w:rPr>
          <w:color w:val="121212"/>
          <w:spacing w:val="4"/>
        </w:rPr>
        <w:t>并经俄罗斯政府授权进行。同时，其过境应遵守上述2016年白俄罗斯过境要求。</w:t>
      </w:r>
    </w:p>
    <w:p>
      <w:pPr>
        <w:spacing w:line="188" w:lineRule="auto"/>
        <w:sectPr>
          <w:type w:val="nextPage"/>
          <w:pgSz w:w="11919" w:h="16858"/>
          <w:pgMar w:top="724" w:right="698" w:bottom="0" w:left="677" w:header="0" w:footer="0" w:gutter="0"/>
          <w:pgNumType w:start="7"/>
          <w:cols w:space="708"/>
          <w:titlePg w:val="0"/>
        </w:sectPr>
      </w:pPr>
    </w:p>
    <w:p>
      <w:pPr>
        <w:pStyle w:val="BodyText"/>
        <w:spacing w:before="42" w:line="576" w:lineRule="exact"/>
        <w:jc w:val="right"/>
      </w:pPr>
      <w:r>
        <w:rPr>
          <w:b/>
          <w:bCs/>
          <w:color w:val="121212"/>
          <w:spacing w:val="5"/>
          <w:position w:val="28"/>
        </w:rPr>
        <w:t>2014年关于第778号决议商品的白俄罗斯-俄罗斯边境过境禁令</w:t>
      </w:r>
      <w:r>
        <w:rPr>
          <w:color w:val="121212"/>
          <w:spacing w:val="5"/>
          <w:position w:val="28"/>
        </w:rPr>
        <w:t>：禁止特定属于第778号决议规定的进口禁令</w:t>
      </w:r>
    </w:p>
    <w:p>
      <w:pPr>
        <w:pStyle w:val="BodyText"/>
        <w:spacing w:line="187" w:lineRule="auto"/>
        <w:ind w:left="298"/>
      </w:pPr>
      <w:r>
        <w:rPr>
          <w:color w:val="121212"/>
          <w:spacing w:val="4"/>
        </w:rPr>
        <w:t>范围内货物从乌克兰经白俄罗斯检查站过境俄</w:t>
      </w:r>
      <w:r>
        <w:rPr>
          <w:color w:val="121212"/>
          <w:spacing w:val="3"/>
        </w:rPr>
        <w:t>罗斯。</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384" w:lineRule="auto"/>
        <w:ind w:left="1" w:right="38" w:hanging="1"/>
      </w:pPr>
      <w:r>
        <w:rPr>
          <w:color w:val="121212"/>
          <w:spacing w:val="6"/>
        </w:rPr>
        <w:t>俄罗斯对乌克兰产品施加的上述过境运输限制措施对乌克兰相关出口产品</w:t>
      </w:r>
      <w:r>
        <w:rPr>
          <w:color w:val="121212"/>
          <w:spacing w:val="5"/>
        </w:rPr>
        <w:t>造成严重影响。2015年12月30日，乌</w:t>
      </w:r>
      <w:r>
        <w:rPr>
          <w:color w:val="121212"/>
        </w:rPr>
        <w:t xml:space="preserve"> </w:t>
      </w:r>
      <w:r>
        <w:rPr>
          <w:color w:val="121212"/>
          <w:spacing w:val="2"/>
        </w:rPr>
        <w:t>克兰经贸部发布预警，认为乌克兰货物经俄罗斯中转至包括中国在内的第三国，均可能面临问题。</w:t>
      </w:r>
      <w:r>
        <w:rPr>
          <w:color w:val="121212"/>
          <w:spacing w:val="25"/>
        </w:rPr>
        <w:t xml:space="preserve">  </w:t>
      </w:r>
      <w:r>
        <w:rPr>
          <w:color w:val="121212"/>
          <w:spacing w:val="2"/>
        </w:rPr>
        <w:t xml:space="preserve">[1]乌克兰经  </w:t>
      </w:r>
      <w:r>
        <w:rPr>
          <w:color w:val="121212"/>
          <w:spacing w:val="6"/>
        </w:rPr>
        <w:t>济发展与贸易部长亦在采访中表示，俄罗斯的过境限制措施使得乌克兰出口产品的运输成本大幅提升。对于原</w:t>
      </w:r>
    </w:p>
    <w:p>
      <w:pPr>
        <w:pStyle w:val="BodyText"/>
        <w:spacing w:line="187" w:lineRule="auto"/>
        <w:ind w:left="2"/>
      </w:pPr>
      <w:r>
        <w:rPr>
          <w:color w:val="121212"/>
          <w:spacing w:val="3"/>
        </w:rPr>
        <w:t>本应经由俄罗斯运往亚洲地区的货物，其运输距离增加了约500公里，导致运输成本上涨约23-50%。  [</w:t>
      </w:r>
      <w:r>
        <w:rPr>
          <w:color w:val="121212"/>
          <w:spacing w:val="2"/>
        </w:rPr>
        <w:t>2]事实</w:t>
      </w:r>
    </w:p>
    <w:p>
      <w:pPr>
        <w:pStyle w:val="BodyText"/>
        <w:spacing w:before="294" w:line="188" w:lineRule="auto"/>
        <w:ind w:left="4"/>
      </w:pPr>
      <w:r>
        <w:rPr>
          <w:color w:val="121212"/>
          <w:spacing w:val="2"/>
        </w:rPr>
        <w:t>上，在上述涉案措施生效前，俄罗斯与乌克兰之间的紧张局势升级已经导致了乌克兰对外贸易额的下降。</w:t>
      </w:r>
      <w:r>
        <w:rPr>
          <w:color w:val="121212"/>
          <w:spacing w:val="31"/>
        </w:rPr>
        <w:t xml:space="preserve">  </w:t>
      </w:r>
      <w:r>
        <w:rPr>
          <w:color w:val="121212"/>
          <w:spacing w:val="2"/>
        </w:rPr>
        <w:t>[3]</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188" w:lineRule="auto"/>
        <w:ind w:left="34"/>
      </w:pPr>
      <w:r>
        <w:rPr>
          <w:color w:val="121212"/>
        </w:rPr>
        <w:t>（3）专家组裁判及理由</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576" w:lineRule="exact"/>
      </w:pPr>
      <w:r>
        <w:rPr>
          <w:color w:val="121212"/>
          <w:spacing w:val="6"/>
          <w:position w:val="28"/>
        </w:rPr>
        <w:t>俄罗斯主张，涉案运输限制措施为维护其国家安全所必需，且“国家安全”属于其内政范围，不应受</w:t>
      </w:r>
      <w:r>
        <w:rPr>
          <w:color w:val="121212"/>
          <w:position w:val="28"/>
        </w:rPr>
        <w:t>WTO</w:t>
      </w:r>
      <w:r>
        <w:rPr>
          <w:color w:val="121212"/>
          <w:spacing w:val="6"/>
          <w:position w:val="28"/>
        </w:rPr>
        <w:t>争端</w:t>
      </w:r>
    </w:p>
    <w:p>
      <w:pPr>
        <w:pStyle w:val="BodyText"/>
        <w:spacing w:line="188" w:lineRule="auto"/>
        <w:ind w:left="1"/>
      </w:pPr>
      <w:r>
        <w:rPr>
          <w:color w:val="121212"/>
          <w:spacing w:val="4"/>
        </w:rPr>
        <w:t>解决机构管辖。专家组首先否定了此种观点，建立了其对案件的管辖权。</w:t>
      </w: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91" w:line="384" w:lineRule="auto"/>
        <w:ind w:right="35" w:firstLine="2"/>
      </w:pPr>
      <w:r>
        <w:rPr>
          <w:color w:val="121212"/>
          <w:spacing w:val="5"/>
        </w:rPr>
        <w:t xml:space="preserve">具体而言，专家组不认可俄罗斯、美国等成员提出的“完全自判性”主张。专家组认为，安全例外条款并非为   </w:t>
      </w:r>
      <w:r>
        <w:rPr>
          <w:color w:val="121212"/>
          <w:spacing w:val="6"/>
        </w:rPr>
        <w:t>完全由援引方自行判断（</w:t>
      </w:r>
      <w:r>
        <w:rPr>
          <w:color w:val="121212"/>
        </w:rPr>
        <w:t>self</w:t>
      </w:r>
      <w:r>
        <w:rPr>
          <w:color w:val="121212"/>
          <w:spacing w:val="6"/>
        </w:rPr>
        <w:t>-</w:t>
      </w:r>
      <w:r>
        <w:rPr>
          <w:color w:val="121212"/>
        </w:rPr>
        <w:t>judging</w:t>
      </w:r>
      <w:r>
        <w:rPr>
          <w:color w:val="121212"/>
          <w:spacing w:val="6"/>
        </w:rPr>
        <w:t>）的条款，因此，被诉方援引安全例外并不必然意味着其行为不受司法审</w:t>
      </w:r>
      <w:r>
        <w:rPr>
          <w:color w:val="121212"/>
          <w:spacing w:val="18"/>
        </w:rPr>
        <w:t xml:space="preserve"> </w:t>
      </w:r>
      <w:r>
        <w:rPr>
          <w:color w:val="121212"/>
          <w:spacing w:val="6"/>
        </w:rPr>
        <w:t>查[4]。专家组指出，《争端解决谅解》（</w:t>
      </w:r>
      <w:r>
        <w:rPr>
          <w:color w:val="121212"/>
        </w:rPr>
        <w:t>DSU</w:t>
      </w:r>
      <w:r>
        <w:rPr>
          <w:color w:val="121212"/>
          <w:spacing w:val="6"/>
        </w:rPr>
        <w:t>）明确了争端解决机构具有“固有管辖权”，其范围涵盖所有多</w:t>
      </w:r>
      <w:r>
        <w:rPr>
          <w:color w:val="121212"/>
          <w:spacing w:val="1"/>
        </w:rPr>
        <w:t xml:space="preserve">  </w:t>
      </w:r>
      <w:r>
        <w:rPr>
          <w:color w:val="121212"/>
          <w:spacing w:val="6"/>
        </w:rPr>
        <w:t>边贸易协定，且安全例外条款并未被排除至争端解决程序的管辖事项之外[5]。</w:t>
      </w:r>
      <w:r>
        <w:rPr>
          <w:color w:val="121212"/>
        </w:rPr>
        <w:t>GATT</w:t>
      </w:r>
      <w:r>
        <w:rPr>
          <w:color w:val="121212"/>
          <w:spacing w:val="5"/>
        </w:rPr>
        <w:t>第21条（b）款的序言条款</w:t>
      </w:r>
      <w:r>
        <w:rPr>
          <w:color w:val="121212"/>
        </w:rPr>
        <w:t xml:space="preserve"> </w:t>
      </w:r>
      <w:r>
        <w:rPr>
          <w:color w:val="121212"/>
          <w:spacing w:val="6"/>
        </w:rPr>
        <w:t>中虽然有“其认为”一词，但其不修饰该款中</w:t>
      </w:r>
      <w:r>
        <w:rPr>
          <w:color w:val="121212"/>
          <w:spacing w:val="5"/>
        </w:rPr>
        <w:t xml:space="preserve">的各项具体情形。因此，专家组有权对涉案事实是否满足该款中   </w:t>
      </w:r>
      <w:r>
        <w:rPr>
          <w:color w:val="121212"/>
          <w:spacing w:val="6"/>
        </w:rPr>
        <w:t>各项中描述的具体情形作出客观审查[6]。若认为安全例外条款具有完全的自判断性，将使</w:t>
      </w:r>
      <w:r>
        <w:rPr>
          <w:color w:val="121212"/>
          <w:spacing w:val="5"/>
        </w:rPr>
        <w:t>得一成员可凭借其单</w:t>
      </w:r>
    </w:p>
    <w:p>
      <w:pPr>
        <w:pStyle w:val="BodyText"/>
        <w:spacing w:before="2" w:line="187" w:lineRule="auto"/>
      </w:pPr>
      <w:r>
        <w:rPr>
          <w:color w:val="121212"/>
          <w:spacing w:val="5"/>
        </w:rPr>
        <w:t>方面意愿决定其在</w:t>
      </w:r>
      <w:r>
        <w:rPr>
          <w:color w:val="121212"/>
        </w:rPr>
        <w:t>WTO</w:t>
      </w:r>
      <w:r>
        <w:rPr>
          <w:color w:val="121212"/>
          <w:spacing w:val="5"/>
        </w:rPr>
        <w:t>体制下的义务，从而破坏多边贸易体制的稳定性与可预见</w:t>
      </w:r>
      <w:r>
        <w:rPr>
          <w:color w:val="121212"/>
          <w:spacing w:val="4"/>
        </w:rPr>
        <w:t>性。</w:t>
      </w:r>
    </w:p>
    <w:p>
      <w:pPr>
        <w:spacing w:line="258" w:lineRule="auto"/>
        <w:rPr>
          <w:rFonts w:ascii="Arial"/>
          <w:sz w:val="21"/>
        </w:rPr>
      </w:pPr>
    </w:p>
    <w:p>
      <w:pPr>
        <w:spacing w:line="258" w:lineRule="auto"/>
        <w:rPr>
          <w:rFonts w:ascii="Arial"/>
          <w:sz w:val="21"/>
        </w:rPr>
      </w:pPr>
    </w:p>
    <w:p>
      <w:pPr>
        <w:spacing w:line="259" w:lineRule="auto"/>
        <w:rPr>
          <w:rFonts w:ascii="Arial"/>
          <w:sz w:val="21"/>
        </w:rPr>
        <w:sectPr>
          <w:pgSz w:w="11919" w:h="16858"/>
          <w:pgMar w:top="725" w:right="683" w:bottom="0" w:left="677" w:header="0" w:footer="0" w:gutter="0"/>
          <w:pgNumType w:start="8"/>
          <w:cols w:space="708"/>
        </w:sectPr>
      </w:pPr>
    </w:p>
    <w:p>
      <w:pPr>
        <w:pStyle w:val="BodyText"/>
        <w:spacing w:before="90" w:line="576" w:lineRule="exact"/>
        <w:ind w:left="2"/>
      </w:pPr>
      <w:r>
        <w:rPr>
          <w:color w:val="121212"/>
          <w:spacing w:val="6"/>
          <w:position w:val="28"/>
        </w:rPr>
        <w:t>其次，专家组对第21条（b）款中的“根本安全利益”概念进行了解读。围绕这</w:t>
      </w:r>
      <w:r>
        <w:rPr>
          <w:color w:val="121212"/>
          <w:spacing w:val="5"/>
          <w:position w:val="28"/>
        </w:rPr>
        <w:t>一概念的争议问题有二：其一，</w:t>
      </w:r>
    </w:p>
    <w:p>
      <w:pPr>
        <w:pStyle w:val="BodyText"/>
        <w:spacing w:before="2" w:line="187" w:lineRule="auto"/>
        <w:ind w:left="2"/>
      </w:pPr>
      <w:r>
        <w:rPr>
          <w:color w:val="121212"/>
          <w:spacing w:val="6"/>
        </w:rPr>
        <w:t>抗辩方是否能自主决定“根本安全利益”的范围；其二，措施相对于保障涉案安全利益的必要性应由谁来衡</w:t>
      </w:r>
    </w:p>
    <w:p>
      <w:pPr>
        <w:pStyle w:val="BodyText"/>
        <w:spacing w:before="293" w:line="385" w:lineRule="auto"/>
        <w:ind w:left="1" w:right="187" w:firstLine="1"/>
      </w:pPr>
      <w:r>
        <w:rPr>
          <w:color w:val="121212"/>
          <w:spacing w:val="6"/>
        </w:rPr>
        <w:t>量。总体而言，专家组认为基于国情和发展情况不同，各成员对其“根本安全利益”的界定和相关措施的</w:t>
      </w:r>
      <w:r>
        <w:rPr>
          <w:color w:val="121212"/>
          <w:spacing w:val="5"/>
        </w:rPr>
        <w:t>必要</w:t>
      </w:r>
      <w:r>
        <w:rPr>
          <w:color w:val="121212"/>
        </w:rPr>
        <w:t xml:space="preserve"> </w:t>
      </w:r>
      <w:r>
        <w:rPr>
          <w:color w:val="121212"/>
          <w:spacing w:val="6"/>
        </w:rPr>
        <w:t>性具有一定的自主判断权，但是，此种权利应善意行使且受多边体制监督，以免各国以安全之名行保护主义之</w:t>
      </w:r>
    </w:p>
    <w:p>
      <w:pPr>
        <w:pStyle w:val="BodyText"/>
        <w:spacing w:line="186" w:lineRule="auto"/>
        <w:ind w:left="2"/>
      </w:pPr>
      <w:r>
        <w:rPr>
          <w:color w:val="121212"/>
          <w:spacing w:val="-10"/>
        </w:rPr>
        <w:t>实。</w:t>
      </w:r>
    </w:p>
    <w:p>
      <w:pPr>
        <w:spacing w:line="186" w:lineRule="auto"/>
        <w:sectPr>
          <w:type w:val="nextPage"/>
          <w:pgSz w:w="11919" w:h="16858"/>
          <w:pgMar w:top="725" w:right="683" w:bottom="0" w:left="677" w:header="0" w:footer="0" w:gutter="0"/>
          <w:pgNumType w:start="9"/>
          <w:cols w:space="708"/>
          <w:titlePg w:val="0"/>
        </w:sectPr>
      </w:pPr>
    </w:p>
    <w:p>
      <w:pPr>
        <w:pStyle w:val="BodyText"/>
        <w:spacing w:before="42" w:line="384" w:lineRule="auto"/>
        <w:ind w:right="95" w:firstLine="2"/>
        <w:jc w:val="both"/>
      </w:pPr>
      <w:r>
        <w:rPr>
          <w:color w:val="121212"/>
          <w:spacing w:val="6"/>
        </w:rPr>
        <w:t>专家组指出，“根本安全利益”通常被理解为“与一国基本国家职能相关的利益”，且会根据各国情况</w:t>
      </w:r>
      <w:r>
        <w:rPr>
          <w:color w:val="121212"/>
          <w:spacing w:val="5"/>
        </w:rPr>
        <w:t>不同而</w:t>
      </w:r>
      <w:r>
        <w:rPr>
          <w:color w:val="121212"/>
        </w:rPr>
        <w:t xml:space="preserve">  </w:t>
      </w:r>
      <w:r>
        <w:rPr>
          <w:color w:val="121212"/>
          <w:spacing w:val="6"/>
        </w:rPr>
        <w:t>变化。正是基于这一原因，各成员才得以保有自主决定其“根本安全利益”范围的自由。如果存在任意一项所</w:t>
      </w:r>
      <w:r>
        <w:rPr>
          <w:color w:val="121212"/>
        </w:rPr>
        <w:t xml:space="preserve">  </w:t>
      </w:r>
      <w:r>
        <w:rPr>
          <w:color w:val="121212"/>
          <w:spacing w:val="6"/>
        </w:rPr>
        <w:t>描述的情形，则</w:t>
      </w:r>
      <w:r>
        <w:rPr>
          <w:color w:val="121212"/>
        </w:rPr>
        <w:t>WTO</w:t>
      </w:r>
      <w:r>
        <w:rPr>
          <w:color w:val="121212"/>
          <w:spacing w:val="6"/>
        </w:rPr>
        <w:t>成员可以自主决定在该场景下的“根本安全利益”，但此种自主决定权应受制于国际法中</w:t>
      </w:r>
      <w:r>
        <w:rPr>
          <w:color w:val="121212"/>
          <w:spacing w:val="8"/>
        </w:rPr>
        <w:t xml:space="preserve"> </w:t>
      </w:r>
      <w:r>
        <w:rPr>
          <w:color w:val="121212"/>
          <w:spacing w:val="3"/>
        </w:rPr>
        <w:t>的“善意原则”，即成员不得将安全例外作为规避其</w:t>
      </w:r>
      <w:r>
        <w:rPr>
          <w:color w:val="121212"/>
        </w:rPr>
        <w:t>WTO</w:t>
      </w:r>
      <w:r>
        <w:rPr>
          <w:color w:val="121212"/>
          <w:spacing w:val="3"/>
        </w:rPr>
        <w:t>义务的手段。  一国如主张其贸易限制措施是为保护其</w:t>
      </w:r>
      <w:r>
        <w:rPr>
          <w:color w:val="121212"/>
          <w:spacing w:val="15"/>
          <w:w w:val="101"/>
        </w:rPr>
        <w:t xml:space="preserve"> </w:t>
      </w:r>
      <w:r>
        <w:rPr>
          <w:color w:val="121212"/>
          <w:spacing w:val="6"/>
        </w:rPr>
        <w:t>“根本安全利益”所采取，则其有义务充分阐述其所提出的利益构成该条所述的“基本安全利益”，以表明其</w:t>
      </w:r>
      <w:r>
        <w:rPr>
          <w:color w:val="121212"/>
        </w:rPr>
        <w:t xml:space="preserve">  </w:t>
      </w:r>
      <w:r>
        <w:rPr>
          <w:color w:val="121212"/>
          <w:spacing w:val="6"/>
        </w:rPr>
        <w:t>真实性[7]。同时，相关涉案措施必须符合最低限度合理性要求。换言之，被</w:t>
      </w:r>
      <w:r>
        <w:rPr>
          <w:color w:val="121212"/>
          <w:spacing w:val="5"/>
        </w:rPr>
        <w:t>诉方所采取的贸易限制措施不能与</w:t>
      </w:r>
    </w:p>
    <w:p>
      <w:pPr>
        <w:pStyle w:val="BodyText"/>
        <w:spacing w:before="1" w:line="187" w:lineRule="auto"/>
        <w:ind w:left="1"/>
      </w:pPr>
      <w:r>
        <w:rPr>
          <w:color w:val="121212"/>
          <w:spacing w:val="5"/>
        </w:rPr>
        <w:t>其声称保护的根本安全利益相距甚远或毫无关系[8]。</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384" w:lineRule="auto"/>
        <w:ind w:left="1" w:right="94"/>
      </w:pPr>
      <w:r>
        <w:rPr>
          <w:color w:val="121212"/>
          <w:spacing w:val="3"/>
        </w:rPr>
        <w:t xml:space="preserve">具体就俄罗斯的运输限制措施而言，专家组认定其确系在“国际关系中的紧急情况”下采取的行动。  </w:t>
      </w:r>
      <w:r>
        <w:rPr>
          <w:b/>
          <w:bCs/>
          <w:color w:val="121212"/>
          <w:spacing w:val="3"/>
        </w:rPr>
        <w:t>专家组指</w:t>
      </w:r>
      <w:r>
        <w:rPr>
          <w:b/>
          <w:bCs/>
          <w:color w:val="121212"/>
          <w:spacing w:val="6"/>
        </w:rPr>
        <w:t xml:space="preserve">  </w:t>
      </w:r>
      <w:r>
        <w:rPr>
          <w:b/>
          <w:bCs/>
          <w:color w:val="121212"/>
          <w:spacing w:val="6"/>
        </w:rPr>
        <w:t>出，“国际关系中的紧急情况”通常指武装冲突局势、潜在的武装冲突局势、高度紧张或危机的局势，以及国</w:t>
      </w:r>
      <w:r>
        <w:rPr>
          <w:b/>
          <w:bCs/>
          <w:color w:val="121212"/>
        </w:rPr>
        <w:t xml:space="preserve">  </w:t>
      </w:r>
      <w:r>
        <w:rPr>
          <w:b/>
          <w:bCs/>
          <w:color w:val="121212"/>
          <w:spacing w:val="6"/>
        </w:rPr>
        <w:t>家的总体不稳定局势。这些局势会引起所涉成员在国防、军事，或维持法律和公共秩</w:t>
      </w:r>
      <w:r>
        <w:rPr>
          <w:b/>
          <w:bCs/>
          <w:color w:val="121212"/>
          <w:spacing w:val="5"/>
        </w:rPr>
        <w:t>序方面的利益考量[9]</w:t>
      </w:r>
      <w:r>
        <w:rPr>
          <w:color w:val="121212"/>
          <w:spacing w:val="5"/>
        </w:rPr>
        <w:t>。基</w:t>
      </w:r>
      <w:r>
        <w:rPr>
          <w:color w:val="121212"/>
        </w:rPr>
        <w:t xml:space="preserve"> </w:t>
      </w:r>
      <w:r>
        <w:rPr>
          <w:color w:val="121212"/>
          <w:spacing w:val="6"/>
        </w:rPr>
        <w:t>于俄罗斯提交的证据，专家组认为俄罗斯武力占领克里米亚后，与欧洲各国一直处于紧张态势下，且其与乌克</w:t>
      </w:r>
    </w:p>
    <w:p>
      <w:pPr>
        <w:pStyle w:val="BodyText"/>
        <w:spacing w:before="1" w:line="186" w:lineRule="auto"/>
        <w:ind w:left="2"/>
      </w:pPr>
      <w:r>
        <w:rPr>
          <w:color w:val="121212"/>
          <w:spacing w:val="6"/>
        </w:rPr>
        <w:t>兰之间的关系愈加恶化。同时，俄乌关系已经引起了国际社会的关切，且已被联合国大会认为构成“</w:t>
      </w:r>
      <w:r>
        <w:rPr>
          <w:color w:val="121212"/>
          <w:spacing w:val="5"/>
        </w:rPr>
        <w:t>武装冲</w:t>
      </w:r>
    </w:p>
    <w:p>
      <w:pPr>
        <w:pStyle w:val="BodyText"/>
        <w:spacing w:before="294" w:line="188" w:lineRule="auto"/>
        <w:ind w:left="1"/>
      </w:pPr>
      <w:r>
        <w:rPr>
          <w:color w:val="121212"/>
          <w:spacing w:val="5"/>
        </w:rPr>
        <w:t>突”。此外，部分国家自2014年起已对俄罗斯施加了制裁措施[10]。基于以上，俄罗斯阐述的“根本安全利</w:t>
      </w:r>
    </w:p>
    <w:p>
      <w:pPr>
        <w:pStyle w:val="BodyText"/>
        <w:spacing w:before="294" w:line="576" w:lineRule="exact"/>
        <w:jc w:val="right"/>
      </w:pPr>
      <w:r>
        <w:rPr>
          <w:color w:val="121212"/>
          <w:spacing w:val="6"/>
          <w:position w:val="28"/>
        </w:rPr>
        <w:t>益”并非是模糊或不确定的[11]。同时，涉案措施系俄罗斯为应对其</w:t>
      </w:r>
      <w:r>
        <w:rPr>
          <w:color w:val="121212"/>
          <w:spacing w:val="5"/>
          <w:position w:val="28"/>
        </w:rPr>
        <w:t>他成员施加的经济制裁措施而出台，因此与</w:t>
      </w:r>
    </w:p>
    <w:p>
      <w:pPr>
        <w:pStyle w:val="BodyText"/>
        <w:spacing w:before="1" w:line="187" w:lineRule="auto"/>
        <w:ind w:left="3"/>
      </w:pPr>
      <w:r>
        <w:rPr>
          <w:color w:val="121212"/>
          <w:spacing w:val="4"/>
        </w:rPr>
        <w:t>上述情形并非完全无关[12]。因此，俄罗斯已满足援引安全例外条款的相关要求。</w:t>
      </w:r>
    </w:p>
    <w:p>
      <w:pPr>
        <w:spacing w:line="357" w:lineRule="auto"/>
        <w:rPr>
          <w:rFonts w:ascii="Arial"/>
          <w:sz w:val="21"/>
        </w:rPr>
      </w:pPr>
    </w:p>
    <w:p>
      <w:pPr>
        <w:spacing w:line="358" w:lineRule="auto"/>
        <w:rPr>
          <w:rFonts w:ascii="Arial"/>
          <w:sz w:val="21"/>
        </w:rPr>
      </w:pPr>
    </w:p>
    <w:p>
      <w:pPr>
        <w:pStyle w:val="BodyText"/>
        <w:spacing w:before="197" w:line="225" w:lineRule="auto"/>
        <w:ind w:left="21"/>
        <w:outlineLvl w:val="0"/>
        <w:rPr>
          <w:sz w:val="46"/>
          <w:szCs w:val="46"/>
        </w:rPr>
      </w:pPr>
      <w:r>
        <w:rPr>
          <w:b/>
          <w:bCs/>
          <w:color w:val="121212"/>
          <w:spacing w:val="2"/>
          <w:sz w:val="46"/>
          <w:szCs w:val="46"/>
        </w:rPr>
        <w:t>2. “美国钢铝措施案</w:t>
      </w:r>
      <w:r>
        <w:rPr>
          <w:b/>
          <w:bCs/>
          <w:color w:val="121212"/>
          <w:spacing w:val="-95"/>
          <w:sz w:val="46"/>
          <w:szCs w:val="46"/>
        </w:rPr>
        <w:t xml:space="preserve"> </w:t>
      </w:r>
      <w:r>
        <w:rPr>
          <w:b/>
          <w:bCs/>
          <w:color w:val="121212"/>
          <w:spacing w:val="2"/>
          <w:sz w:val="46"/>
          <w:szCs w:val="46"/>
        </w:rPr>
        <w:t>”（</w:t>
      </w:r>
      <w:r>
        <w:rPr>
          <w:b/>
          <w:bCs/>
          <w:color w:val="121212"/>
          <w:spacing w:val="-62"/>
          <w:sz w:val="46"/>
          <w:szCs w:val="46"/>
        </w:rPr>
        <w:t xml:space="preserve"> </w:t>
      </w:r>
      <w:r>
        <w:rPr>
          <w:b/>
          <w:bCs/>
          <w:color w:val="121212"/>
          <w:sz w:val="46"/>
          <w:szCs w:val="46"/>
        </w:rPr>
        <w:t>DS</w:t>
      </w:r>
      <w:r>
        <w:rPr>
          <w:b/>
          <w:bCs/>
          <w:color w:val="121212"/>
          <w:spacing w:val="2"/>
          <w:sz w:val="46"/>
          <w:szCs w:val="46"/>
        </w:rPr>
        <w:t>544）</w:t>
      </w:r>
    </w:p>
    <w:p>
      <w:pPr>
        <w:spacing w:line="291" w:lineRule="auto"/>
        <w:rPr>
          <w:rFonts w:ascii="Arial"/>
          <w:sz w:val="21"/>
        </w:rPr>
      </w:pPr>
    </w:p>
    <w:p>
      <w:pPr>
        <w:spacing w:line="292" w:lineRule="auto"/>
        <w:rPr>
          <w:rFonts w:ascii="Arial"/>
          <w:sz w:val="21"/>
        </w:rPr>
      </w:pPr>
    </w:p>
    <w:p>
      <w:pPr>
        <w:pStyle w:val="BodyText"/>
        <w:spacing w:before="91" w:line="384" w:lineRule="auto"/>
        <w:ind w:right="70" w:firstLine="1"/>
        <w:jc w:val="both"/>
      </w:pPr>
      <w:r>
        <w:rPr>
          <w:color w:val="121212"/>
          <w:spacing w:val="6"/>
        </w:rPr>
        <w:t>本争议涉及美国根据《1962年贸易扩展法》及其修订版第232条对</w:t>
      </w:r>
      <w:r>
        <w:rPr>
          <w:color w:val="121212"/>
          <w:spacing w:val="5"/>
        </w:rPr>
        <w:t>进口钢铁和铝征收的关税及相关措施，具体</w:t>
      </w:r>
      <w:r>
        <w:rPr>
          <w:color w:val="121212"/>
        </w:rPr>
        <w:t xml:space="preserve">  </w:t>
      </w:r>
      <w:r>
        <w:rPr>
          <w:color w:val="121212"/>
          <w:spacing w:val="6"/>
        </w:rPr>
        <w:t>包括向钢铁和铝产品征收额外进口关税、针对特定国家免除关税和相关配额，以及这对特定产</w:t>
      </w:r>
      <w:r>
        <w:rPr>
          <w:color w:val="121212"/>
          <w:spacing w:val="5"/>
        </w:rPr>
        <w:t xml:space="preserve">品的具体排除适  </w:t>
      </w:r>
      <w:r>
        <w:rPr>
          <w:color w:val="121212"/>
          <w:spacing w:val="4"/>
        </w:rPr>
        <w:t>用流程。</w:t>
      </w:r>
      <w:r>
        <w:rPr>
          <w:color w:val="121212"/>
          <w:spacing w:val="61"/>
        </w:rPr>
        <w:t xml:space="preserve"> </w:t>
      </w:r>
      <w:r>
        <w:rPr>
          <w:b/>
          <w:bCs/>
          <w:color w:val="121212"/>
          <w:spacing w:val="4"/>
        </w:rPr>
        <w:t>专家组最终驳回美国援引</w:t>
      </w:r>
      <w:r>
        <w:rPr>
          <w:b/>
          <w:bCs/>
          <w:color w:val="121212"/>
        </w:rPr>
        <w:t>WTO</w:t>
      </w:r>
      <w:r>
        <w:rPr>
          <w:b/>
          <w:bCs/>
          <w:color w:val="121212"/>
          <w:spacing w:val="4"/>
        </w:rPr>
        <w:t>安全例外条款进行的抗</w:t>
      </w:r>
      <w:r>
        <w:rPr>
          <w:b/>
          <w:bCs/>
          <w:color w:val="121212"/>
          <w:spacing w:val="3"/>
        </w:rPr>
        <w:t>辩，否定了其过度泛化“国家安全”概念、将经</w:t>
      </w:r>
      <w:r>
        <w:rPr>
          <w:b/>
          <w:bCs/>
          <w:color w:val="121212"/>
        </w:rPr>
        <w:t xml:space="preserve"> </w:t>
      </w:r>
      <w:r>
        <w:rPr>
          <w:b/>
          <w:bCs/>
          <w:color w:val="121212"/>
          <w:spacing w:val="3"/>
        </w:rPr>
        <w:t xml:space="preserve">贸问题政治化的相关行为。  </w:t>
      </w:r>
      <w:r>
        <w:rPr>
          <w:color w:val="121212"/>
          <w:spacing w:val="3"/>
        </w:rPr>
        <w:t>专家组的这一裁决有利于将</w:t>
      </w:r>
      <w:r>
        <w:rPr>
          <w:color w:val="121212"/>
        </w:rPr>
        <w:t>WTO</w:t>
      </w:r>
      <w:r>
        <w:rPr>
          <w:color w:val="121212"/>
          <w:spacing w:val="3"/>
        </w:rPr>
        <w:t>框架下的“国家安全”概念精准化，对特定国家滥</w:t>
      </w:r>
    </w:p>
    <w:p>
      <w:pPr>
        <w:pStyle w:val="BodyText"/>
        <w:spacing w:before="1" w:line="187" w:lineRule="auto"/>
        <w:ind w:left="2"/>
        <w:sectPr>
          <w:pgSz w:w="11919" w:h="16858"/>
          <w:pgMar w:top="723" w:right="693" w:bottom="0" w:left="678" w:header="0" w:footer="0" w:gutter="0"/>
          <w:pgNumType w:start="10"/>
          <w:cols w:space="708"/>
        </w:sectPr>
      </w:pPr>
      <w:r>
        <w:rPr>
          <w:color w:val="121212"/>
          <w:spacing w:val="4"/>
        </w:rPr>
        <w:t>用安全例外条款实施歧视性贸易政策具有一定的抑制作用。</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0" w:line="188" w:lineRule="auto"/>
        <w:ind w:left="33"/>
      </w:pPr>
      <w:r>
        <w:rPr>
          <w:color w:val="121212"/>
          <w:spacing w:val="2"/>
        </w:rPr>
        <w:t>（1）案件背景及涉案措施</w:t>
      </w:r>
    </w:p>
    <w:p>
      <w:pPr>
        <w:spacing w:line="188" w:lineRule="auto"/>
        <w:sectPr>
          <w:type w:val="nextPage"/>
          <w:pgSz w:w="11919" w:h="16858"/>
          <w:pgMar w:top="723" w:right="693" w:bottom="0" w:left="678" w:header="0" w:footer="0" w:gutter="0"/>
          <w:pgNumType w:start="11"/>
          <w:cols w:space="708"/>
          <w:titlePg w:val="0"/>
        </w:sectPr>
      </w:pPr>
    </w:p>
    <w:p>
      <w:pPr>
        <w:pStyle w:val="BodyText"/>
        <w:spacing w:before="41" w:line="385" w:lineRule="auto"/>
        <w:ind w:right="75"/>
        <w:jc w:val="both"/>
      </w:pPr>
      <w:r>
        <w:rPr>
          <w:color w:val="121212"/>
          <w:spacing w:val="5"/>
        </w:rPr>
        <w:t>该案系由中美贸易摩擦背景下，美国依据《美国贸易法》第232节对钢铁和铝加征关税措施而引发。根</w:t>
      </w:r>
      <w:r>
        <w:rPr>
          <w:color w:val="121212"/>
          <w:spacing w:val="4"/>
        </w:rPr>
        <w:t>据该节，</w:t>
      </w:r>
      <w:r>
        <w:rPr>
          <w:color w:val="121212"/>
        </w:rPr>
        <w:t xml:space="preserve"> </w:t>
      </w:r>
      <w:r>
        <w:rPr>
          <w:color w:val="121212"/>
          <w:spacing w:val="6"/>
        </w:rPr>
        <w:t>美国商务部及美国总统享有较为宽泛的决定权，可以对特定产品进口是否威胁美国国家安全进行立案调查，并</w:t>
      </w:r>
      <w:r>
        <w:rPr>
          <w:color w:val="121212"/>
        </w:rPr>
        <w:t xml:space="preserve">   </w:t>
      </w:r>
      <w:r>
        <w:rPr>
          <w:color w:val="121212"/>
          <w:spacing w:val="6"/>
        </w:rPr>
        <w:t>依据调查结构采取附加关税或配额等贸易限制措施，或其任何其认为必要的其他措施来调整进口、消除安全威</w:t>
      </w:r>
    </w:p>
    <w:p>
      <w:pPr>
        <w:pStyle w:val="BodyText"/>
        <w:spacing w:line="185" w:lineRule="auto"/>
      </w:pPr>
      <w:r>
        <w:rPr>
          <w:color w:val="121212"/>
          <w:spacing w:val="-9"/>
        </w:rPr>
        <w:t>胁。</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90" w:line="384" w:lineRule="auto"/>
        <w:ind w:left="2" w:right="44" w:firstLine="8"/>
      </w:pPr>
      <w:r>
        <w:rPr>
          <w:color w:val="121212"/>
          <w:spacing w:val="5"/>
        </w:rPr>
        <w:t>2017年4月19日，美国商务部就进口钢铁对国家安全的影响发起232调查；几天后的4月26日，美国商务部再次</w:t>
      </w:r>
      <w:r>
        <w:rPr>
          <w:color w:val="121212"/>
          <w:spacing w:val="10"/>
        </w:rPr>
        <w:t xml:space="preserve"> </w:t>
      </w:r>
      <w:r>
        <w:rPr>
          <w:color w:val="121212"/>
          <w:spacing w:val="6"/>
        </w:rPr>
        <w:t>就进口铝制品启动232调查。2018年1月，美国商务部分别就</w:t>
      </w:r>
      <w:r>
        <w:rPr>
          <w:color w:val="121212"/>
          <w:spacing w:val="5"/>
        </w:rPr>
        <w:t>钢铁和铝产品进口向总统提交报告，认为钢铁和铝</w:t>
      </w:r>
    </w:p>
    <w:p>
      <w:pPr>
        <w:pStyle w:val="BodyText"/>
        <w:spacing w:line="188" w:lineRule="auto"/>
        <w:ind w:left="1"/>
      </w:pPr>
      <w:r>
        <w:rPr>
          <w:color w:val="121212"/>
          <w:spacing w:val="5"/>
        </w:rPr>
        <w:t>对美国的国家安全至关重要，且目前的进口数量对美国本土钢铁业和铝业造成了不利影响。美国商务部指出，</w:t>
      </w:r>
    </w:p>
    <w:p>
      <w:pPr>
        <w:pStyle w:val="BodyText"/>
        <w:spacing w:before="293" w:line="384" w:lineRule="auto"/>
        <w:ind w:right="163"/>
      </w:pPr>
      <w:r>
        <w:rPr>
          <w:color w:val="121212"/>
          <w:spacing w:val="6"/>
        </w:rPr>
        <w:t>钢铁和铝的大量进口替代国内产品，严重削弱了美国经济，且全球钢铁和铝产能过剩是导致国内相关产业和经</w:t>
      </w:r>
      <w:r>
        <w:rPr>
          <w:color w:val="121212"/>
        </w:rPr>
        <w:t xml:space="preserve"> </w:t>
      </w:r>
      <w:r>
        <w:rPr>
          <w:color w:val="121212"/>
          <w:spacing w:val="5"/>
        </w:rPr>
        <w:t>济疲软的原因之一。因此，该报告建议总统立即通过配额或关税限制进口措施以消除国家安全威胁[13]。2018</w:t>
      </w:r>
    </w:p>
    <w:p>
      <w:pPr>
        <w:pStyle w:val="BodyText"/>
        <w:spacing w:before="1" w:line="187" w:lineRule="auto"/>
        <w:ind w:left="2"/>
      </w:pPr>
      <w:r>
        <w:rPr>
          <w:color w:val="121212"/>
          <w:spacing w:val="5"/>
        </w:rPr>
        <w:t>年3月8日，美国总统正式宣布自3月23日起，对</w:t>
      </w:r>
      <w:r>
        <w:rPr>
          <w:color w:val="121212"/>
          <w:spacing w:val="4"/>
        </w:rPr>
        <w:t>钢铁征收25%的关税，对铝产品征收10%的关税。</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91" w:line="384" w:lineRule="auto"/>
        <w:ind w:left="1" w:right="14" w:firstLine="23"/>
      </w:pPr>
      <w:r>
        <w:rPr>
          <w:color w:val="121212"/>
          <w:spacing w:val="4"/>
        </w:rPr>
        <w:t>自1995年</w:t>
      </w:r>
      <w:r>
        <w:rPr>
          <w:color w:val="121212"/>
        </w:rPr>
        <w:t>WTO</w:t>
      </w:r>
      <w:r>
        <w:rPr>
          <w:color w:val="121212"/>
          <w:spacing w:val="4"/>
        </w:rPr>
        <w:t xml:space="preserve">成立后，美国启动“232调查”的次数屈指可数，包括1999年针对石油产品及2001年针对铁矿   </w:t>
      </w:r>
      <w:r>
        <w:rPr>
          <w:color w:val="121212"/>
          <w:spacing w:val="6"/>
        </w:rPr>
        <w:t>石和半成品钢产品，但两次调查中美国总统均最终决定不采取相关措施。然而此次时隔多年再次启动调查，美</w:t>
      </w:r>
      <w:r>
        <w:rPr>
          <w:color w:val="121212"/>
        </w:rPr>
        <w:t xml:space="preserve">    </w:t>
      </w:r>
      <w:r>
        <w:rPr>
          <w:color w:val="121212"/>
          <w:spacing w:val="6"/>
        </w:rPr>
        <w:t>国总统却最终决定采取高额关税措施。此举引发关注，并被有贸易保护主义之</w:t>
      </w:r>
      <w:r>
        <w:rPr>
          <w:color w:val="121212"/>
          <w:spacing w:val="5"/>
        </w:rPr>
        <w:t>嫌[14]。在美国正式宣布采取措施</w:t>
      </w:r>
    </w:p>
    <w:p>
      <w:pPr>
        <w:pStyle w:val="BodyText"/>
        <w:spacing w:line="188" w:lineRule="auto"/>
      </w:pPr>
      <w:r>
        <w:rPr>
          <w:color w:val="121212"/>
          <w:spacing w:val="6"/>
        </w:rPr>
        <w:t>后，我国明确表示反对，认为美国滥用了国家安全例外条款，其行为将对正常的国际贸易秩序造成严重冲击</w:t>
      </w:r>
    </w:p>
    <w:p>
      <w:pPr>
        <w:pStyle w:val="BodyText"/>
        <w:spacing w:before="293" w:line="384" w:lineRule="auto"/>
        <w:ind w:left="1" w:right="134" w:firstLine="19"/>
      </w:pPr>
      <w:r>
        <w:rPr>
          <w:color w:val="121212"/>
          <w:spacing w:val="4"/>
        </w:rPr>
        <w:t>[15]。事实上，美国总统特朗普于2016年底当选后，美国对华不断采取激进的进攻型经贸政策：2017年4月，</w:t>
      </w:r>
      <w:r>
        <w:rPr>
          <w:color w:val="121212"/>
          <w:spacing w:val="3"/>
        </w:rPr>
        <w:t xml:space="preserve">  </w:t>
      </w:r>
      <w:r>
        <w:rPr>
          <w:color w:val="121212"/>
          <w:spacing w:val="6"/>
        </w:rPr>
        <w:t>美国贸易代表办公室发布《301特别报告》，指控中国窃取美</w:t>
      </w:r>
      <w:r>
        <w:rPr>
          <w:color w:val="121212"/>
          <w:spacing w:val="5"/>
        </w:rPr>
        <w:t>国商业秘密；2017年12月，美国政府发布《美国</w:t>
      </w:r>
      <w:r>
        <w:rPr>
          <w:color w:val="121212"/>
        </w:rPr>
        <w:t xml:space="preserve"> </w:t>
      </w:r>
      <w:r>
        <w:rPr>
          <w:color w:val="121212"/>
          <w:spacing w:val="6"/>
        </w:rPr>
        <w:t>国家安全战略》，提及中国正在挑战美国势力、影响和利益，试图侵蚀美国的安全和繁荣，使得经济更加不自</w:t>
      </w:r>
    </w:p>
    <w:p>
      <w:pPr>
        <w:pStyle w:val="BodyText"/>
        <w:spacing w:before="1" w:line="187" w:lineRule="auto"/>
        <w:ind w:left="19"/>
      </w:pPr>
      <w:r>
        <w:rPr>
          <w:color w:val="121212"/>
          <w:spacing w:val="4"/>
        </w:rPr>
        <w:t>由和不公平；2018年起，美国更是对中国进口产品展开多轮的附加关税</w:t>
      </w:r>
      <w:r>
        <w:rPr>
          <w:color w:val="121212"/>
          <w:spacing w:val="3"/>
        </w:rPr>
        <w:t>征收。</w:t>
      </w: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BodyText"/>
        <w:spacing w:before="91" w:line="576" w:lineRule="exact"/>
        <w:jc w:val="right"/>
      </w:pPr>
      <w:r>
        <w:rPr>
          <w:color w:val="121212"/>
          <w:spacing w:val="6"/>
          <w:position w:val="28"/>
        </w:rPr>
        <w:t>2018年4月5日，中国在</w:t>
      </w:r>
      <w:r>
        <w:rPr>
          <w:color w:val="121212"/>
          <w:position w:val="28"/>
        </w:rPr>
        <w:t>WTO</w:t>
      </w:r>
      <w:r>
        <w:rPr>
          <w:color w:val="121212"/>
          <w:spacing w:val="6"/>
          <w:position w:val="28"/>
        </w:rPr>
        <w:t>框架下就上述关税措施向美国提出磋商请求</w:t>
      </w:r>
      <w:r>
        <w:rPr>
          <w:color w:val="121212"/>
          <w:spacing w:val="5"/>
          <w:position w:val="28"/>
        </w:rPr>
        <w:t>。在磋商未能达成结果后，中国将美国</w:t>
      </w:r>
    </w:p>
    <w:p>
      <w:pPr>
        <w:pStyle w:val="BodyText"/>
        <w:spacing w:before="2" w:line="187" w:lineRule="auto"/>
        <w:ind w:left="10"/>
      </w:pPr>
      <w:r>
        <w:rPr>
          <w:color w:val="121212"/>
          <w:spacing w:val="5"/>
        </w:rPr>
        <w:t>的上述措施诉诸</w:t>
      </w:r>
      <w:r>
        <w:rPr>
          <w:color w:val="121212"/>
        </w:rPr>
        <w:t>WTO</w:t>
      </w:r>
      <w:r>
        <w:rPr>
          <w:color w:val="121212"/>
          <w:spacing w:val="5"/>
        </w:rPr>
        <w:t>争端解决机制。中国认为，从美国上述措施的内容和实质上来看，其应为“保障措施”，</w:t>
      </w: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 w:history="1">
        <w:r>
          <w:rPr>
            <w:rFonts w:ascii="SimSun" w:eastAsia="SimSun" w:hAnsi="SimSun" w:cs="SimSun"/>
            <w:b/>
            <w:bCs/>
            <w:noProof w:val="0"/>
            <w:snapToGrid/>
            <w:color w:val="0000EE"/>
            <w:kern w:val="0"/>
            <w:sz w:val="30"/>
            <w:szCs w:val="30"/>
            <w:u w:val="single" w:color="0000EE"/>
          </w:rPr>
          <w:t>https://d.book118.com/986051105130010051</w:t>
        </w:r>
      </w:hyperlink>
    </w:p>
    <w:p>
      <w:pPr>
        <w:pStyle w:val="BodyText"/>
        <w:spacing w:before="2" w:line="187" w:lineRule="auto"/>
        <w:ind w:left="10"/>
      </w:pPr>
    </w:p>
    <w:sectPr>
      <w:pgSz w:w="11919" w:h="16858"/>
      <w:pgMar w:top="724" w:right="677" w:bottom="0" w:left="677" w:header="0" w:footer="0" w:gutter="0"/>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98605110513001005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2024-02-22T17:36:43Z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2024-02-22T17:43:26Z</vt:filetime>
  </property>
  <property fmtid="{D5CDD505-2E9C-101B-9397-08002B2CF9AE}" pid="3" name="CRO">
    <vt:lpwstr>wqlLaW5nc29mdCBQREYgdG8gV1BTIDkw</vt:lpwstr>
  </property>
</Properties>
</file>