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2018-2023年四川艺术职业学院高职单招（数学／语文／英语）历年常考试题库含答案解析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中国现代小说的奠基人是（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A.沈从文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B.茅盾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D.巴金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“多行不义必自毙”出自（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D.《郑伯克段于鄢》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《短歌行》中引用《诗经》成句“呦呦鹿鸣，食野之苹。我有嘉宾，鼓瑟吹笙”，所表达的心情是（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A.思慕贤才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B.优礼贤才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C.对贤才无所依托的焦虑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D.与贤才久别重逢的欣慰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在《声声慢》（寻寻觅觅）一词中，作者借以抒写家破人亡之痛的主要景物是（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A.晚风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B.黄花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C.梧桐细雨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D.过雁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先秦诸子散文中，最富有浪漫色彩的是（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C.《庄子》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D.《墨子》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《箱子岩》一文选自散文集（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A.《湘行散记》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B.《湘西》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C.《从文自传》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D.《闲书》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《谈时间》的语言风格是（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A.典雅平和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B.清新秀丽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C.幽默机智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D.谨严犀利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在思想内容和艺术成就方面都堪称中国古代长篇小说高峰的作品是（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A.《三国演义》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B.《红楼梦》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C.《水浒传》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D.《儒林外史》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“乐府”最初的含义是（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A.先秦民歌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B.最早的格律诗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C.西汉王朝设立的掌管音乐的机构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D.宫廷里的歌舞厅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人称“曲状元”的元代散曲作家是（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A.王实甫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B.关汉卿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C.郑光祖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D.马致远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陶渊明《饮酒》中，最富有哲理意味的诗句是（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A.飞鸟相与还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B.结庐在人境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C.悠然见南山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D.心远地自偏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下列属于书信体驳论文的是（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C.《五代史伶官传序》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D.《答司马谏议书》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下列诗句中属于远景静态描写的是（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A.操吴戈兮披犀甲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B.车错毂兮短兵接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C.旌蔽日兮敌若云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D.矢交坠兮士争先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“忽如一夜春风来，千树万树梨花开”这两句诗所采用的修辞方法是（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A.比喻、夸张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B.比喻、拟人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C.借代、比喻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https://d.book118.com/986110015230010052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98611001523001005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